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ascii="宋体" w:hAnsi="宋体"/>
          <w:color w:val="000000" w:themeColor="text1"/>
          <w:sz w:val="24"/>
          <w:szCs w:val="24"/>
          <w:highlight w:val="none"/>
          <w14:textFill>
            <w14:solidFill>
              <w14:schemeClr w14:val="tx1"/>
            </w14:solidFill>
          </w14:textFill>
        </w:rPr>
        <w:id w:val="147481176"/>
        <w15:color w:val="DBDBDB"/>
        <w:docPartObj>
          <w:docPartGallery w:val="Table of Contents"/>
          <w:docPartUnique/>
        </w:docPartObj>
      </w:sdtPr>
      <w:sdtEndPr>
        <w:rPr>
          <w:rFonts w:ascii="Times New Roman" w:hAnsi="Times New Roman" w:cs="Times New Roman"/>
          <w:b/>
          <w:color w:val="000000" w:themeColor="text1"/>
          <w:sz w:val="24"/>
          <w:szCs w:val="24"/>
          <w:highlight w:val="none"/>
          <w14:textFill>
            <w14:solidFill>
              <w14:schemeClr w14:val="tx1"/>
            </w14:solidFill>
          </w14:textFill>
        </w:rPr>
      </w:sdtEndPr>
      <w:sdtContent>
        <w:p w14:paraId="39F80378">
          <w:pPr>
            <w:spacing w:line="360" w:lineRule="auto"/>
            <w:jc w:val="center"/>
            <w:rPr>
              <w:b/>
              <w:bCs/>
              <w:color w:val="000000" w:themeColor="text1"/>
              <w:sz w:val="28"/>
              <w:szCs w:val="28"/>
              <w:highlight w:val="none"/>
              <w14:textFill>
                <w14:solidFill>
                  <w14:schemeClr w14:val="tx1"/>
                </w14:solidFill>
              </w14:textFill>
            </w:rPr>
          </w:pPr>
          <w:r>
            <w:rPr>
              <w:rFonts w:ascii="宋体" w:hAnsi="宋体"/>
              <w:b/>
              <w:bCs/>
              <w:color w:val="000000" w:themeColor="text1"/>
              <w:sz w:val="28"/>
              <w:szCs w:val="28"/>
              <w:highlight w:val="none"/>
              <w14:textFill>
                <w14:solidFill>
                  <w14:schemeClr w14:val="tx1"/>
                </w14:solidFill>
              </w14:textFill>
            </w:rPr>
            <w:t>目录</w:t>
          </w:r>
        </w:p>
        <w:p w14:paraId="738B7E9C">
          <w:pPr>
            <w:pStyle w:val="23"/>
            <w:tabs>
              <w:tab w:val="right" w:leader="dot" w:pos="8306"/>
            </w:tabs>
            <w:spacing w:line="360" w:lineRule="auto"/>
            <w:rPr>
              <w:color w:val="000000" w:themeColor="text1"/>
              <w:sz w:val="24"/>
              <w:szCs w:val="24"/>
              <w:highlight w:val="none"/>
              <w14:textFill>
                <w14:solidFill>
                  <w14:schemeClr w14:val="tx1"/>
                </w14:solidFill>
              </w14:textFill>
            </w:rPr>
          </w:pPr>
          <w:r>
            <w:rPr>
              <w:b/>
              <w:color w:val="000000" w:themeColor="text1"/>
              <w:sz w:val="24"/>
              <w:szCs w:val="24"/>
              <w:highlight w:val="none"/>
              <w14:textFill>
                <w14:solidFill>
                  <w14:schemeClr w14:val="tx1"/>
                </w14:solidFill>
              </w14:textFill>
            </w:rPr>
            <w:fldChar w:fldCharType="begin"/>
          </w:r>
          <w:r>
            <w:rPr>
              <w:b/>
              <w:color w:val="000000" w:themeColor="text1"/>
              <w:sz w:val="24"/>
              <w:szCs w:val="24"/>
              <w:highlight w:val="none"/>
              <w14:textFill>
                <w14:solidFill>
                  <w14:schemeClr w14:val="tx1"/>
                </w14:solidFill>
              </w14:textFill>
            </w:rPr>
            <w:instrText xml:space="preserve">TOC \o "1-2" \h \u </w:instrText>
          </w:r>
          <w:r>
            <w:rPr>
              <w:b/>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HYPERLINK \l _Toc9753 </w:instrText>
          </w:r>
          <w:r>
            <w:rPr>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第1章概述</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_Toc9753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fldChar w:fldCharType="end"/>
          </w:r>
          <w:r>
            <w:rPr>
              <w:color w:val="000000" w:themeColor="text1"/>
              <w:sz w:val="24"/>
              <w:szCs w:val="24"/>
              <w:highlight w:val="none"/>
              <w14:textFill>
                <w14:solidFill>
                  <w14:schemeClr w14:val="tx1"/>
                </w14:solidFill>
              </w14:textFill>
            </w:rPr>
            <w:fldChar w:fldCharType="end"/>
          </w:r>
        </w:p>
        <w:p w14:paraId="5134A7C9">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_Toc16974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1.1建设项目特点</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_Toc16974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5A43C3B2">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_Toc30079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lang w:eastAsia="zh-CN"/>
              <w14:textFill>
                <w14:solidFill>
                  <w14:schemeClr w14:val="tx1"/>
                </w14:solidFill>
              </w14:textFill>
            </w:rPr>
            <w:t>1.2</w:t>
          </w:r>
          <w:r>
            <w:rPr>
              <w:rFonts w:hint="eastAsia"/>
              <w:color w:val="000000" w:themeColor="text1"/>
              <w:sz w:val="24"/>
              <w:szCs w:val="24"/>
              <w:highlight w:val="none"/>
              <w:lang w:eastAsia="zh-CN"/>
              <w14:textFill>
                <w14:solidFill>
                  <w14:schemeClr w14:val="tx1"/>
                </w14:solidFill>
              </w14:textFill>
            </w:rPr>
            <w:t>环评工作过程</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_Toc30079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15ACDBDF">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_Toc490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lang w:eastAsia="zh-CN"/>
              <w14:textFill>
                <w14:solidFill>
                  <w14:schemeClr w14:val="tx1"/>
                </w14:solidFill>
              </w14:textFill>
            </w:rPr>
            <w:t>1.3</w:t>
          </w:r>
          <w:r>
            <w:rPr>
              <w:rFonts w:hint="eastAsia"/>
              <w:color w:val="000000" w:themeColor="text1"/>
              <w:sz w:val="24"/>
              <w:szCs w:val="24"/>
              <w:highlight w:val="none"/>
              <w:lang w:eastAsia="zh-CN"/>
              <w14:textFill>
                <w14:solidFill>
                  <w14:schemeClr w14:val="tx1"/>
                </w14:solidFill>
              </w14:textFill>
            </w:rPr>
            <w:t>分析判断相关情况</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_Toc490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69266140">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_Toc29280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lang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4环评报告书的主要结论</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_Toc29280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27</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320C063C">
          <w:pPr>
            <w:pStyle w:val="23"/>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_Toc2254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第</w:t>
          </w:r>
          <w:r>
            <w:rPr>
              <w:color w:val="000000" w:themeColor="text1"/>
              <w:sz w:val="24"/>
              <w:szCs w:val="24"/>
              <w:highlight w:val="none"/>
              <w14:textFill>
                <w14:solidFill>
                  <w14:schemeClr w14:val="tx1"/>
                </w14:solidFill>
              </w14:textFill>
            </w:rPr>
            <w:t>2</w:t>
          </w:r>
          <w:r>
            <w:rPr>
              <w:rFonts w:hint="eastAsia"/>
              <w:color w:val="000000" w:themeColor="text1"/>
              <w:sz w:val="24"/>
              <w:szCs w:val="24"/>
              <w:highlight w:val="none"/>
              <w14:textFill>
                <w14:solidFill>
                  <w14:schemeClr w14:val="tx1"/>
                </w14:solidFill>
              </w14:textFill>
            </w:rPr>
            <w:t>章总则</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_Toc2254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29</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7432A46B">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_Toc21316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lang w:eastAsia="zh-CN"/>
              <w14:textFill>
                <w14:solidFill>
                  <w14:schemeClr w14:val="tx1"/>
                </w14:solidFill>
              </w14:textFill>
            </w:rPr>
            <w:t>2.1</w:t>
          </w:r>
          <w:r>
            <w:rPr>
              <w:rFonts w:hint="eastAsia"/>
              <w:color w:val="000000" w:themeColor="text1"/>
              <w:sz w:val="24"/>
              <w:szCs w:val="24"/>
              <w:highlight w:val="none"/>
              <w:lang w:eastAsia="zh-CN"/>
              <w14:textFill>
                <w14:solidFill>
                  <w14:schemeClr w14:val="tx1"/>
                </w14:solidFill>
              </w14:textFill>
            </w:rPr>
            <w:t>编制依据</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_Toc21316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29</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37389327">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_Toc7389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lang w:eastAsia="zh-CN"/>
              <w14:textFill>
                <w14:solidFill>
                  <w14:schemeClr w14:val="tx1"/>
                </w14:solidFill>
              </w14:textFill>
            </w:rPr>
            <w:t>2.2</w:t>
          </w:r>
          <w:r>
            <w:rPr>
              <w:rFonts w:hint="eastAsia"/>
              <w:color w:val="000000" w:themeColor="text1"/>
              <w:sz w:val="24"/>
              <w:szCs w:val="24"/>
              <w:highlight w:val="none"/>
              <w:lang w:eastAsia="zh-CN"/>
              <w14:textFill>
                <w14:solidFill>
                  <w14:schemeClr w14:val="tx1"/>
                </w14:solidFill>
              </w14:textFill>
            </w:rPr>
            <w:t>评价目的及原则</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_Toc7389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34</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349B1DAB">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_Toc8154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lang w:eastAsia="zh-CN"/>
              <w14:textFill>
                <w14:solidFill>
                  <w14:schemeClr w14:val="tx1"/>
                </w14:solidFill>
              </w14:textFill>
            </w:rPr>
            <w:t>2.3</w:t>
          </w:r>
          <w:r>
            <w:rPr>
              <w:rFonts w:hint="eastAsia"/>
              <w:color w:val="000000" w:themeColor="text1"/>
              <w:sz w:val="24"/>
              <w:szCs w:val="24"/>
              <w:highlight w:val="none"/>
              <w:lang w:eastAsia="zh-CN"/>
              <w14:textFill>
                <w14:solidFill>
                  <w14:schemeClr w14:val="tx1"/>
                </w14:solidFill>
              </w14:textFill>
            </w:rPr>
            <w:t>评价内容及评价重点</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_Toc8154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34</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70A72850">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_Toc467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lang w:eastAsia="zh-CN"/>
              <w14:textFill>
                <w14:solidFill>
                  <w14:schemeClr w14:val="tx1"/>
                </w14:solidFill>
              </w14:textFill>
            </w:rPr>
            <w:t>2.4</w:t>
          </w:r>
          <w:r>
            <w:rPr>
              <w:rFonts w:hint="eastAsia"/>
              <w:color w:val="000000" w:themeColor="text1"/>
              <w:sz w:val="24"/>
              <w:szCs w:val="24"/>
              <w:highlight w:val="none"/>
              <w:lang w:eastAsia="zh-CN"/>
              <w14:textFill>
                <w14:solidFill>
                  <w14:schemeClr w14:val="tx1"/>
                </w14:solidFill>
              </w14:textFill>
            </w:rPr>
            <w:t>环境影响因素和评价因子识别</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_Toc467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36</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1A5BFC31">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_Toc11917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lang w:eastAsia="zh-CN"/>
              <w14:textFill>
                <w14:solidFill>
                  <w14:schemeClr w14:val="tx1"/>
                </w14:solidFill>
              </w14:textFill>
            </w:rPr>
            <w:t>2.5</w:t>
          </w:r>
          <w:r>
            <w:rPr>
              <w:rFonts w:hint="eastAsia"/>
              <w:color w:val="000000" w:themeColor="text1"/>
              <w:sz w:val="24"/>
              <w:szCs w:val="24"/>
              <w:highlight w:val="none"/>
              <w:lang w:eastAsia="zh-CN"/>
              <w14:textFill>
                <w14:solidFill>
                  <w14:schemeClr w14:val="tx1"/>
                </w14:solidFill>
              </w14:textFill>
            </w:rPr>
            <w:t>环境功能区划</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_Toc11917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37</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6D5AA95B">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_Toc13854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6</w:t>
          </w:r>
          <w:r>
            <w:rPr>
              <w:color w:val="000000" w:themeColor="text1"/>
              <w:sz w:val="24"/>
              <w:szCs w:val="24"/>
              <w:highlight w:val="none"/>
              <w14:textFill>
                <w14:solidFill>
                  <w14:schemeClr w14:val="tx1"/>
                </w14:solidFill>
              </w14:textFill>
            </w:rPr>
            <w:t>评价工作等级及评价范围</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_Toc13854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43</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6EAAAECE">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_Toc9502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lang w:eastAsia="zh-CN"/>
              <w14:textFill>
                <w14:solidFill>
                  <w14:schemeClr w14:val="tx1"/>
                </w14:solidFill>
              </w14:textFill>
            </w:rPr>
            <w:t>2.7</w:t>
          </w:r>
          <w:r>
            <w:rPr>
              <w:rFonts w:hint="eastAsia"/>
              <w:color w:val="000000" w:themeColor="text1"/>
              <w:sz w:val="24"/>
              <w:szCs w:val="24"/>
              <w:highlight w:val="none"/>
              <w:lang w:eastAsia="zh-CN"/>
              <w14:textFill>
                <w14:solidFill>
                  <w14:schemeClr w14:val="tx1"/>
                </w14:solidFill>
              </w14:textFill>
            </w:rPr>
            <w:t>环境保护目标</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_Toc9502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50</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3844E98E">
          <w:pPr>
            <w:pStyle w:val="23"/>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_Toc31284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第3章工程分析</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_Toc31284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53</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1BB8C6E5">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_Toc15135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3</w:t>
          </w:r>
          <w:r>
            <w:rPr>
              <w:color w:val="000000" w:themeColor="text1"/>
              <w:sz w:val="24"/>
              <w:szCs w:val="24"/>
              <w:highlight w:val="none"/>
              <w14:textFill>
                <w14:solidFill>
                  <w14:schemeClr w14:val="tx1"/>
                </w14:solidFill>
              </w14:textFill>
            </w:rPr>
            <w:t>.1项目背景</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_Toc15135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53</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690BA8A8">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_Toc1163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eastAsia="宋体" w:cs="宋体"/>
              <w:color w:val="000000" w:themeColor="text1"/>
              <w:sz w:val="24"/>
              <w:szCs w:val="24"/>
              <w:highlight w:val="none"/>
              <w:lang w:eastAsia="zh-CN"/>
              <w14:textFill>
                <w14:solidFill>
                  <w14:schemeClr w14:val="tx1"/>
                </w14:solidFill>
              </w14:textFill>
            </w:rPr>
            <w:t>3</w:t>
          </w:r>
          <w:r>
            <w:rPr>
              <w:rFonts w:hint="eastAsia" w:eastAsia="宋体" w:cs="宋体"/>
              <w:color w:val="000000" w:themeColor="text1"/>
              <w:sz w:val="24"/>
              <w:szCs w:val="24"/>
              <w:highlight w:val="none"/>
              <w14:textFill>
                <w14:solidFill>
                  <w14:schemeClr w14:val="tx1"/>
                </w14:solidFill>
              </w14:textFill>
            </w:rPr>
            <w:t>.2项目基本情况</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_Toc1163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54</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26B344C9">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_Toc23983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.3劳动定员和劳动制度</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_Toc23983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56</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176F86F2">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_Toc25663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.4</w:t>
          </w:r>
          <w:r>
            <w:rPr>
              <w:rFonts w:hint="eastAsia"/>
              <w:color w:val="000000" w:themeColor="text1"/>
              <w:sz w:val="24"/>
              <w:szCs w:val="24"/>
              <w:highlight w:val="none"/>
              <w:lang w:eastAsia="zh-CN"/>
              <w14:textFill>
                <w14:solidFill>
                  <w14:schemeClr w14:val="tx1"/>
                </w14:solidFill>
              </w14:textFill>
            </w:rPr>
            <w:t>主要原辅材料</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_Toc25663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56</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515008FB">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_Toc17419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.5产品方案</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_Toc17419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57</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4B6EA6D6">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_Toc3552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.6主要设备</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_Toc3552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59</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0F493DFA">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_Toc2993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.7公用工程</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_Toc2993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59</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359779B9">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_Toc8682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.8生产工艺流程及产污环节分析</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_Toc8682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65</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635ACE58">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_Toc21729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.9施工期污染源分析</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_Toc21729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75</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12ABCDDD">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_Toc23310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10</w:t>
          </w:r>
          <w:r>
            <w:rPr>
              <w:color w:val="000000" w:themeColor="text1"/>
              <w:sz w:val="24"/>
              <w:szCs w:val="24"/>
              <w:highlight w:val="none"/>
              <w14:textFill>
                <w14:solidFill>
                  <w14:schemeClr w14:val="tx1"/>
                </w14:solidFill>
              </w14:textFill>
            </w:rPr>
            <w:t>污染物产生、处理及排放情况</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_Toc23310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77</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7F524859">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_Toc11136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.11污染物排放情况汇总</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_Toc11136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88</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4E8E30BA">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_Toc4269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.12污染物总量控制分析</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_Toc4269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89</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4B797AAE">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_Toc8009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.13清洁生产分析</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_Toc8009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89</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4E3DF443">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_Toc13312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.14与排污许可证制度的衔接</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_Toc13312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93</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30E781D0">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_Toc876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3.15</w:t>
          </w:r>
          <w:r>
            <w:rPr>
              <w:rFonts w:hint="eastAsia" w:ascii="Times New Roman" w:hAnsi="Times New Roman" w:eastAsia="宋体" w:cs="宋体"/>
              <w:color w:val="000000" w:themeColor="text1"/>
              <w:sz w:val="24"/>
              <w:szCs w:val="24"/>
              <w:highlight w:val="none"/>
              <w:lang w:eastAsia="zh-CN"/>
              <w14:textFill>
                <w14:solidFill>
                  <w14:schemeClr w14:val="tx1"/>
                </w14:solidFill>
              </w14:textFill>
            </w:rPr>
            <w:t>现有工程存在的主要环境问题及措施</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_Toc876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93</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08BE5241">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_Toc16097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6</w:t>
          </w:r>
          <w:r>
            <w:rPr>
              <w:color w:val="000000" w:themeColor="text1"/>
              <w:sz w:val="24"/>
              <w:szCs w:val="24"/>
              <w:highlight w:val="none"/>
              <w14:textFill>
                <w14:solidFill>
                  <w14:schemeClr w14:val="tx1"/>
                </w14:solidFill>
              </w14:textFill>
            </w:rPr>
            <w:t>工程分析小结</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_Toc16097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93</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4E1908DA">
          <w:pPr>
            <w:pStyle w:val="23"/>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_Toc22531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第4章环境现状调查与评价</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_Toc22531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96</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57B7D613">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_Toc4108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4</w:t>
          </w:r>
          <w:r>
            <w:rPr>
              <w:color w:val="000000" w:themeColor="text1"/>
              <w:sz w:val="24"/>
              <w:szCs w:val="24"/>
              <w:highlight w:val="none"/>
              <w14:textFill>
                <w14:solidFill>
                  <w14:schemeClr w14:val="tx1"/>
                </w14:solidFill>
              </w14:textFill>
            </w:rPr>
            <w:t>.1自然环境概况</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_Toc4108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96</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5AE4F082">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_Toc27607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lang w:eastAsia="zh-CN"/>
              <w14:textFill>
                <w14:solidFill>
                  <w14:schemeClr w14:val="tx1"/>
                </w14:solidFill>
              </w14:textFill>
            </w:rPr>
            <w:t>4</w:t>
          </w:r>
          <w:r>
            <w:rPr>
              <w:color w:val="000000" w:themeColor="text1"/>
              <w:sz w:val="24"/>
              <w:szCs w:val="24"/>
              <w:highlight w:val="none"/>
              <w:lang w:eastAsia="zh-CN"/>
              <w14:textFill>
                <w14:solidFill>
                  <w14:schemeClr w14:val="tx1"/>
                </w14:solidFill>
              </w14:textFill>
            </w:rPr>
            <w:t>.2环境质量现状调查与评价</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_Toc27607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106</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2BFCF08B">
          <w:pPr>
            <w:pStyle w:val="23"/>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_Toc25138 </w:instrText>
          </w:r>
          <w:r>
            <w:rPr>
              <w:rFonts w:ascii="Times New Roman" w:cs="Times New Roman"/>
              <w:color w:val="000000" w:themeColor="text1"/>
              <w:sz w:val="24"/>
              <w:szCs w:val="24"/>
              <w:highlight w:val="none"/>
              <w14:textFill>
                <w14:solidFill>
                  <w14:schemeClr w14:val="tx1"/>
                </w14:solidFill>
              </w14:textFill>
            </w:rPr>
            <w:fldChar w:fldCharType="separate"/>
          </w:r>
          <w:r>
            <w:rPr>
              <w:rFonts w:hint="eastAsia"/>
              <w:color w:val="000000" w:themeColor="text1"/>
              <w:sz w:val="24"/>
              <w:szCs w:val="24"/>
              <w:highlight w:val="none"/>
              <w14:textFill>
                <w14:solidFill>
                  <w14:schemeClr w14:val="tx1"/>
                </w14:solidFill>
              </w14:textFill>
            </w:rPr>
            <w:t>第</w:t>
          </w:r>
          <w:r>
            <w:rPr>
              <w:color w:val="000000" w:themeColor="text1"/>
              <w:sz w:val="24"/>
              <w:szCs w:val="24"/>
              <w:highlight w:val="none"/>
              <w14:textFill>
                <w14:solidFill>
                  <w14:schemeClr w14:val="tx1"/>
                </w14:solidFill>
              </w14:textFill>
            </w:rPr>
            <w:t>5</w:t>
          </w:r>
          <w:r>
            <w:rPr>
              <w:rFonts w:hint="eastAsia"/>
              <w:color w:val="000000" w:themeColor="text1"/>
              <w:sz w:val="24"/>
              <w:szCs w:val="24"/>
              <w:highlight w:val="none"/>
              <w14:textFill>
                <w14:solidFill>
                  <w14:schemeClr w14:val="tx1"/>
                </w14:solidFill>
              </w14:textFill>
            </w:rPr>
            <w:t>章</w:t>
          </w:r>
          <w:r>
            <w:rPr>
              <w:color w:val="000000" w:themeColor="text1"/>
              <w:sz w:val="24"/>
              <w:szCs w:val="24"/>
              <w:highlight w:val="none"/>
              <w14:textFill>
                <w14:solidFill>
                  <w14:schemeClr w14:val="tx1"/>
                </w14:solidFill>
              </w14:textFill>
            </w:rPr>
            <w:t>环境影响预测与评价</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_Toc25138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128</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2135D058">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_Toc24988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5.1施工期环境影响分析</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_Toc24988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128</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56CEE320">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_Toc31963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5.</w:t>
          </w:r>
          <w:r>
            <w:rPr>
              <w:rFonts w:hint="eastAsia"/>
              <w:color w:val="000000" w:themeColor="text1"/>
              <w:sz w:val="24"/>
              <w:szCs w:val="24"/>
              <w:highlight w:val="none"/>
              <w:lang w:val="en-US" w:eastAsia="zh-CN"/>
              <w14:textFill>
                <w14:solidFill>
                  <w14:schemeClr w14:val="tx1"/>
                </w14:solidFill>
              </w14:textFill>
            </w:rPr>
            <w:t>1</w:t>
          </w:r>
          <w:r>
            <w:rPr>
              <w:color w:val="000000" w:themeColor="text1"/>
              <w:sz w:val="24"/>
              <w:szCs w:val="24"/>
              <w:highlight w:val="none"/>
              <w14:textFill>
                <w14:solidFill>
                  <w14:schemeClr w14:val="tx1"/>
                </w14:solidFill>
              </w14:textFill>
            </w:rPr>
            <w:t>运营期环境影响分析与评价</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_Toc31963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132</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6B22890E">
          <w:pPr>
            <w:pStyle w:val="23"/>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_Toc23510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6.环境保护措施及其可行性论证</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_Toc23510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178</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016FFFFF">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_Toc29998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6.1施工期环境保护措施</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_Toc29998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178</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28842CF4">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_Toc27897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6.2运营期污染防治措施</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_Toc27897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181</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4A4E0D29">
          <w:pPr>
            <w:pStyle w:val="23"/>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_Toc17939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7.环境经济损益分析</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_Toc17939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197</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78763252">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_Toc5512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7.1效益分析</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_Toc5512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197</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2C1FC207">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_Toc588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7.2环保投资估算</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_Toc588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198</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4583F404">
          <w:pPr>
            <w:pStyle w:val="23"/>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_Toc14459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8.环境管理与监测计划</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_Toc14459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200</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7F0E53C8">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_Toc27815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8.1环境管理</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_Toc27815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200</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708A3C70">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_Toc8237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8.2环境监测计划</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_Toc8237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203</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48B1B51D">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_Toc23086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8.</w:t>
          </w:r>
          <w:r>
            <w:rPr>
              <w:rFonts w:hint="eastAsia"/>
              <w:color w:val="000000" w:themeColor="text1"/>
              <w:sz w:val="24"/>
              <w:szCs w:val="24"/>
              <w:highlight w:val="none"/>
              <w:lang w:eastAsia="zh-CN"/>
              <w14:textFill>
                <w14:solidFill>
                  <w14:schemeClr w14:val="tx1"/>
                </w14:solidFill>
              </w14:textFill>
            </w:rPr>
            <w:t>3</w:t>
          </w:r>
          <w:r>
            <w:rPr>
              <w:color w:val="000000" w:themeColor="text1"/>
              <w:sz w:val="24"/>
              <w:szCs w:val="24"/>
              <w:highlight w:val="none"/>
              <w14:textFill>
                <w14:solidFill>
                  <w14:schemeClr w14:val="tx1"/>
                </w14:solidFill>
              </w14:textFill>
            </w:rPr>
            <w:t>环保</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三同时</w:t>
          </w:r>
          <w:r>
            <w:rPr>
              <w:rFonts w:hint="eastAsia"/>
              <w:color w:val="000000" w:themeColor="text1"/>
              <w:sz w:val="24"/>
              <w:szCs w:val="24"/>
              <w:highlight w:val="none"/>
              <w:lang w:eastAsia="zh-CN"/>
              <w14:textFill>
                <w14:solidFill>
                  <w14:schemeClr w14:val="tx1"/>
                </w14:solidFill>
              </w14:textFill>
            </w:rPr>
            <w:t>”</w:t>
          </w:r>
          <w:r>
            <w:rPr>
              <w:color w:val="000000" w:themeColor="text1"/>
              <w:sz w:val="24"/>
              <w:szCs w:val="24"/>
              <w:highlight w:val="none"/>
              <w14:textFill>
                <w14:solidFill>
                  <w14:schemeClr w14:val="tx1"/>
                </w14:solidFill>
              </w14:textFill>
            </w:rPr>
            <w:t>验收</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_Toc23086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209</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6FF5784A">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_Toc8288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8.</w:t>
          </w:r>
          <w:r>
            <w:rPr>
              <w:rFonts w:hint="eastAsia"/>
              <w:color w:val="000000" w:themeColor="text1"/>
              <w:sz w:val="24"/>
              <w:szCs w:val="24"/>
              <w:highlight w:val="none"/>
              <w:lang w:eastAsia="zh-CN"/>
              <w14:textFill>
                <w14:solidFill>
                  <w14:schemeClr w14:val="tx1"/>
                </w14:solidFill>
              </w14:textFill>
            </w:rPr>
            <w:t>4</w:t>
          </w:r>
          <w:r>
            <w:rPr>
              <w:color w:val="000000" w:themeColor="text1"/>
              <w:sz w:val="24"/>
              <w:szCs w:val="24"/>
              <w:highlight w:val="none"/>
              <w14:textFill>
                <w14:solidFill>
                  <w14:schemeClr w14:val="tx1"/>
                </w14:solidFill>
              </w14:textFill>
            </w:rPr>
            <w:t>环境影响评价制度与排污许可制度的衔接</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_Toc8288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210</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1E87D19D">
          <w:pPr>
            <w:pStyle w:val="23"/>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_Toc23388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9.结论</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_Toc23388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211</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083FC64A">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_Toc801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9.1建设项目基本情况</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_Toc801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211</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254C7B1E">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_Toc15697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9.2环境质量现状</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_Toc15697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211</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746E4D33">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_Toc1847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9.3主要环境影响</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_Toc1847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212</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1947FD20">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_Toc22872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9.4环境保护措施</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_Toc22872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212</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67A7E6AB">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_Toc18413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w:t>
          </w:r>
          <w:r>
            <w:rPr>
              <w:rFonts w:hint="eastAsia"/>
              <w:color w:val="000000" w:themeColor="text1"/>
              <w:sz w:val="24"/>
              <w:szCs w:val="24"/>
              <w:highlight w:val="none"/>
              <w:lang w:eastAsia="zh-CN"/>
              <w14:textFill>
                <w14:solidFill>
                  <w14:schemeClr w14:val="tx1"/>
                </w14:solidFill>
              </w14:textFill>
            </w:rPr>
            <w:t>5</w:t>
          </w:r>
          <w:r>
            <w:rPr>
              <w:color w:val="000000" w:themeColor="text1"/>
              <w:sz w:val="24"/>
              <w:szCs w:val="24"/>
              <w:highlight w:val="none"/>
              <w14:textFill>
                <w14:solidFill>
                  <w14:schemeClr w14:val="tx1"/>
                </w14:solidFill>
              </w14:textFill>
            </w:rPr>
            <w:t>环境影响经济损益分析</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_Toc18413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214</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6992F7AB">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_Toc12274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w:t>
          </w:r>
          <w:r>
            <w:rPr>
              <w:rFonts w:hint="eastAsia"/>
              <w:color w:val="000000" w:themeColor="text1"/>
              <w:sz w:val="24"/>
              <w:szCs w:val="24"/>
              <w:highlight w:val="none"/>
              <w:lang w:eastAsia="zh-CN"/>
              <w14:textFill>
                <w14:solidFill>
                  <w14:schemeClr w14:val="tx1"/>
                </w14:solidFill>
              </w14:textFill>
            </w:rPr>
            <w:t>6</w:t>
          </w:r>
          <w:r>
            <w:rPr>
              <w:color w:val="000000" w:themeColor="text1"/>
              <w:sz w:val="24"/>
              <w:szCs w:val="24"/>
              <w:highlight w:val="none"/>
              <w14:textFill>
                <w14:solidFill>
                  <w14:schemeClr w14:val="tx1"/>
                </w14:solidFill>
              </w14:textFill>
            </w:rPr>
            <w:t>环境管理与监测计划</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_Toc12274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214</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5F877B98">
          <w:pPr>
            <w:pStyle w:val="26"/>
            <w:tabs>
              <w:tab w:val="right" w:leader="dot" w:pos="8306"/>
            </w:tabs>
            <w:spacing w:line="360" w:lineRule="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begin"/>
          </w:r>
          <w:r>
            <w:rPr>
              <w:rFonts w:ascii="Times New Roman" w:cs="Times New Roman"/>
              <w:color w:val="000000" w:themeColor="text1"/>
              <w:sz w:val="24"/>
              <w:szCs w:val="24"/>
              <w:highlight w:val="none"/>
              <w14:textFill>
                <w14:solidFill>
                  <w14:schemeClr w14:val="tx1"/>
                </w14:solidFill>
              </w14:textFill>
            </w:rPr>
            <w:instrText xml:space="preserve"> HYPERLINK \l _Toc29827 </w:instrText>
          </w:r>
          <w:r>
            <w:rPr>
              <w:rFonts w:ascii="Times New Roman" w:cs="Times New Roman"/>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9.</w:t>
          </w:r>
          <w:r>
            <w:rPr>
              <w:rFonts w:hint="eastAsia"/>
              <w:color w:val="000000" w:themeColor="text1"/>
              <w:sz w:val="24"/>
              <w:szCs w:val="24"/>
              <w:highlight w:val="none"/>
              <w:lang w:eastAsia="zh-CN"/>
              <w14:textFill>
                <w14:solidFill>
                  <w14:schemeClr w14:val="tx1"/>
                </w14:solidFill>
              </w14:textFill>
            </w:rPr>
            <w:t>7</w:t>
          </w:r>
          <w:r>
            <w:rPr>
              <w:color w:val="000000" w:themeColor="text1"/>
              <w:sz w:val="24"/>
              <w:szCs w:val="24"/>
              <w:highlight w:val="none"/>
              <w14:textFill>
                <w14:solidFill>
                  <w14:schemeClr w14:val="tx1"/>
                </w14:solidFill>
              </w14:textFill>
            </w:rPr>
            <w:t>结论</w:t>
          </w:r>
          <w:r>
            <w:rPr>
              <w:color w:val="000000" w:themeColor="text1"/>
              <w:sz w:val="24"/>
              <w:szCs w:val="24"/>
              <w:highlight w:val="none"/>
              <w14:textFill>
                <w14:solidFill>
                  <w14:schemeClr w14:val="tx1"/>
                </w14:solidFill>
              </w14:textFill>
            </w:rPr>
            <w:tab/>
          </w:r>
          <w:r>
            <w:rPr>
              <w:color w:val="000000" w:themeColor="text1"/>
              <w:sz w:val="24"/>
              <w:szCs w:val="24"/>
              <w:highlight w:val="none"/>
              <w14:textFill>
                <w14:solidFill>
                  <w14:schemeClr w14:val="tx1"/>
                </w14:solidFill>
              </w14:textFill>
            </w:rPr>
            <w:fldChar w:fldCharType="begin"/>
          </w:r>
          <w:r>
            <w:rPr>
              <w:color w:val="000000" w:themeColor="text1"/>
              <w:sz w:val="24"/>
              <w:szCs w:val="24"/>
              <w:highlight w:val="none"/>
              <w14:textFill>
                <w14:solidFill>
                  <w14:schemeClr w14:val="tx1"/>
                </w14:solidFill>
              </w14:textFill>
            </w:rPr>
            <w:instrText xml:space="preserve"> PAGEREF _Toc29827 \h </w:instrText>
          </w:r>
          <w:r>
            <w:rPr>
              <w:color w:val="000000" w:themeColor="text1"/>
              <w:sz w:val="24"/>
              <w:szCs w:val="24"/>
              <w:highlight w:val="none"/>
              <w14:textFill>
                <w14:solidFill>
                  <w14:schemeClr w14:val="tx1"/>
                </w14:solidFill>
              </w14:textFill>
            </w:rPr>
            <w:fldChar w:fldCharType="separate"/>
          </w:r>
          <w:r>
            <w:rPr>
              <w:color w:val="000000" w:themeColor="text1"/>
              <w:sz w:val="24"/>
              <w:szCs w:val="24"/>
              <w:highlight w:val="none"/>
              <w14:textFill>
                <w14:solidFill>
                  <w14:schemeClr w14:val="tx1"/>
                </w14:solidFill>
              </w14:textFill>
            </w:rPr>
            <w:t>214</w:t>
          </w:r>
          <w:r>
            <w:rPr>
              <w:color w:val="000000" w:themeColor="text1"/>
              <w:sz w:val="24"/>
              <w:szCs w:val="24"/>
              <w:highlight w:val="none"/>
              <w14:textFill>
                <w14:solidFill>
                  <w14:schemeClr w14:val="tx1"/>
                </w14:solidFill>
              </w14:textFill>
            </w:rPr>
            <w:fldChar w:fldCharType="end"/>
          </w:r>
          <w:r>
            <w:rPr>
              <w:rFonts w:ascii="Times New Roman" w:cs="Times New Roman"/>
              <w:color w:val="000000" w:themeColor="text1"/>
              <w:sz w:val="24"/>
              <w:szCs w:val="24"/>
              <w:highlight w:val="none"/>
              <w14:textFill>
                <w14:solidFill>
                  <w14:schemeClr w14:val="tx1"/>
                </w14:solidFill>
              </w14:textFill>
            </w:rPr>
            <w:fldChar w:fldCharType="end"/>
          </w:r>
        </w:p>
        <w:p w14:paraId="3EA60FFF">
          <w:pPr>
            <w:pStyle w:val="45"/>
            <w:keepNext w:val="0"/>
            <w:keepLines w:val="0"/>
            <w:pageBreakBefore w:val="0"/>
            <w:kinsoku/>
            <w:wordWrap/>
            <w:overflowPunct/>
            <w:topLinePunct w:val="0"/>
            <w:autoSpaceDE/>
            <w:autoSpaceDN/>
            <w:bidi w:val="0"/>
            <w:adjustRightInd/>
            <w:snapToGrid/>
            <w:spacing w:after="0" w:line="360" w:lineRule="auto"/>
            <w:ind w:left="0" w:firstLine="0" w:firstLineChars="0"/>
            <w:textAlignment w:val="auto"/>
            <w:rPr>
              <w:color w:val="000000" w:themeColor="text1"/>
              <w:sz w:val="24"/>
              <w:szCs w:val="24"/>
              <w:highlight w:val="none"/>
              <w14:textFill>
                <w14:solidFill>
                  <w14:schemeClr w14:val="tx1"/>
                </w14:solidFill>
              </w14:textFill>
            </w:rPr>
          </w:pPr>
          <w:r>
            <w:rPr>
              <w:rFonts w:ascii="Times New Roman" w:cs="Times New Roman"/>
              <w:color w:val="000000" w:themeColor="text1"/>
              <w:sz w:val="24"/>
              <w:szCs w:val="24"/>
              <w:highlight w:val="none"/>
              <w14:textFill>
                <w14:solidFill>
                  <w14:schemeClr w14:val="tx1"/>
                </w14:solidFill>
              </w14:textFill>
            </w:rPr>
            <w:fldChar w:fldCharType="end"/>
          </w:r>
        </w:p>
      </w:sdtContent>
    </w:sdt>
    <w:p w14:paraId="0207D088">
      <w:pPr>
        <w:rPr>
          <w:color w:val="000000" w:themeColor="text1"/>
          <w:highlight w:val="none"/>
          <w14:textFill>
            <w14:solidFill>
              <w14:schemeClr w14:val="tx1"/>
            </w14:solidFill>
          </w14:textFill>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color w:val="000000" w:themeColor="text1"/>
          <w:highlight w:val="none"/>
          <w14:textFill>
            <w14:solidFill>
              <w14:schemeClr w14:val="tx1"/>
            </w14:solidFill>
          </w14:textFill>
        </w:rPr>
        <w:t xml:space="preserve"> </w:t>
      </w:r>
    </w:p>
    <w:p w14:paraId="29B9BFB6">
      <w:pPr>
        <w:pStyle w:val="2"/>
        <w:rPr>
          <w:color w:val="000000" w:themeColor="text1"/>
          <w:highlight w:val="none"/>
          <w14:textFill>
            <w14:solidFill>
              <w14:schemeClr w14:val="tx1"/>
            </w14:solidFill>
          </w14:textFill>
        </w:rPr>
      </w:pPr>
      <w:bookmarkStart w:id="0" w:name="_Toc9753"/>
      <w:bookmarkStart w:id="1" w:name="_Toc13755"/>
      <w:r>
        <w:rPr>
          <w:rFonts w:hint="eastAsia"/>
          <w:color w:val="000000" w:themeColor="text1"/>
          <w:highlight w:val="none"/>
          <w14:textFill>
            <w14:solidFill>
              <w14:schemeClr w14:val="tx1"/>
            </w14:solidFill>
          </w14:textFill>
        </w:rPr>
        <w:t>第1章概述</w:t>
      </w:r>
      <w:bookmarkEnd w:id="0"/>
      <w:bookmarkEnd w:id="1"/>
    </w:p>
    <w:p w14:paraId="70E8BC3F">
      <w:pPr>
        <w:pStyle w:val="3"/>
        <w:rPr>
          <w:color w:val="000000" w:themeColor="text1"/>
          <w:highlight w:val="none"/>
          <w14:textFill>
            <w14:solidFill>
              <w14:schemeClr w14:val="tx1"/>
            </w14:solidFill>
          </w14:textFill>
        </w:rPr>
      </w:pPr>
      <w:bookmarkStart w:id="2" w:name="_Toc1514"/>
      <w:bookmarkStart w:id="3" w:name="_Toc16974"/>
      <w:r>
        <w:rPr>
          <w:rFonts w:hint="eastAsia"/>
          <w:color w:val="000000" w:themeColor="text1"/>
          <w:highlight w:val="none"/>
          <w:lang w:eastAsia="zh-CN"/>
          <w14:textFill>
            <w14:solidFill>
              <w14:schemeClr w14:val="tx1"/>
            </w14:solidFill>
          </w14:textFill>
        </w:rPr>
        <w:t>1.1建设项目特点</w:t>
      </w:r>
      <w:bookmarkEnd w:id="2"/>
      <w:bookmarkEnd w:id="3"/>
    </w:p>
    <w:p w14:paraId="282202C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国是世界上最大的猪肉生产国和消费国，生猪被赋予与粮食同具“安天下”的重要作用。标准化、规模化养猪是我国现代畜牧业发展的基本方向，是稳定生猪市场、保障猪肉食品安全的长效机制，尤其是在当前面对市场价格波动、成本持续上涨、疾病与环境压力越来越大的形势下，发展规模化养猪是规避各类风险的最佳途径。规模化养殖通过理性安排生产计划，推广科学饲喂技术、配套完善防疫设施、环保设施，提高饲养效益，对于稳定生猪供应、稳定价格、保证畜产品安全具有重要意义。</w:t>
      </w:r>
    </w:p>
    <w:p w14:paraId="6ECBBB51">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新疆饲料资源丰富、气候干燥、有利于疫病防治，具有发展生猪产业的优势。在全国生猪产业向北方粮食主产区转移的大趋势下，新疆已由猪肉调入省区转变为调出省区。国家和自治区相继出台了加快生猪产业发展的一系列政策和措施，根据指示精神和要求，各地紧紧抓住发展养猪业的契机，进行标准化养殖小区建设，加大良种猪和优质商品猪养殖规模，提高生产能力。新疆是全国五大牧区之一，畜牧业在国民经济中占有重要地位，但在形成产业化生产中，发展速度和商品化程度却落后于内蒙古、山东和河北等省区。迎接西部大开发、大力发展“两高一优一无”畜牧业已成为新疆的当务之急，抓好畜牧业生产对于促进兵团经济发展，改善职工群众生活，增加出口等具有十分重要的意义。 </w:t>
      </w:r>
    </w:p>
    <w:p w14:paraId="171CAFCF">
      <w:p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胡杨河市宏信畜牧养殖有限公司</w:t>
      </w:r>
      <w:r>
        <w:rPr>
          <w:rFonts w:hint="eastAsia"/>
          <w:color w:val="000000" w:themeColor="text1"/>
          <w:highlight w:val="none"/>
          <w14:textFill>
            <w14:solidFill>
              <w14:schemeClr w14:val="tx1"/>
            </w14:solidFill>
          </w14:textFill>
        </w:rPr>
        <w:t>成立202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月2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日，注册地位于新疆</w:t>
      </w:r>
      <w:r>
        <w:rPr>
          <w:rFonts w:hint="eastAsia"/>
          <w:color w:val="000000" w:themeColor="text1"/>
          <w:highlight w:val="none"/>
          <w:lang w:eastAsia="zh-CN"/>
          <w14:textFill>
            <w14:solidFill>
              <w14:schemeClr w14:val="tx1"/>
            </w14:solidFill>
          </w14:textFill>
        </w:rPr>
        <w:t>胡杨河市125团16连</w:t>
      </w:r>
      <w:r>
        <w:rPr>
          <w:rFonts w:hint="eastAsia"/>
          <w:color w:val="000000" w:themeColor="text1"/>
          <w:highlight w:val="none"/>
          <w14:textFill>
            <w14:solidFill>
              <w14:schemeClr w14:val="tx1"/>
            </w14:solidFill>
          </w14:textFill>
        </w:rPr>
        <w:t>，法定代表人为冉小林。经营范围包括牲畜饲养；种畜禽经营；畜禽收购；牲畜销售；种畜禽生产；饲料原料销售；畜牧渔业饲料销售；畜牧机械销售；肥料销售；饲料生产；畜禽粪污处理。</w:t>
      </w:r>
    </w:p>
    <w:p w14:paraId="776CC40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本项目是</w:t>
      </w:r>
      <w:r>
        <w:rPr>
          <w:rFonts w:hint="eastAsia"/>
          <w:color w:val="000000" w:themeColor="text1"/>
          <w:highlight w:val="none"/>
          <w:lang w:eastAsia="zh-CN"/>
          <w14:textFill>
            <w14:solidFill>
              <w14:schemeClr w14:val="tx1"/>
            </w14:solidFill>
          </w14:textFill>
        </w:rPr>
        <w:t>胡杨河市宏信畜牧养殖有限公司</w:t>
      </w:r>
      <w:r>
        <w:rPr>
          <w:rFonts w:hint="eastAsia"/>
          <w:color w:val="000000" w:themeColor="text1"/>
          <w:highlight w:val="none"/>
          <w14:textFill>
            <w14:solidFill>
              <w14:schemeClr w14:val="tx1"/>
            </w14:solidFill>
          </w14:textFill>
        </w:rPr>
        <w:t>建设的养猪场，养猪场位于新疆</w:t>
      </w:r>
      <w:r>
        <w:rPr>
          <w:rFonts w:hint="eastAsia"/>
          <w:color w:val="000000" w:themeColor="text1"/>
          <w:highlight w:val="none"/>
          <w:lang w:eastAsia="zh-CN"/>
          <w14:textFill>
            <w14:solidFill>
              <w14:schemeClr w14:val="tx1"/>
            </w14:solidFill>
          </w14:textFill>
        </w:rPr>
        <w:t>胡杨河市125团16连</w:t>
      </w:r>
      <w:r>
        <w:rPr>
          <w:rFonts w:hint="eastAsia"/>
          <w:color w:val="000000" w:themeColor="text1"/>
          <w:highlight w:val="none"/>
          <w14:textFill>
            <w14:solidFill>
              <w14:schemeClr w14:val="tx1"/>
            </w14:solidFill>
          </w14:textFill>
        </w:rPr>
        <w:t>，项目</w:t>
      </w:r>
      <w:r>
        <w:rPr>
          <w:rFonts w:hint="eastAsia"/>
          <w:color w:val="000000" w:themeColor="text1"/>
          <w:highlight w:val="none"/>
          <w:lang w:eastAsia="zh-CN"/>
          <w14:textFill>
            <w14:solidFill>
              <w14:schemeClr w14:val="tx1"/>
            </w14:solidFill>
          </w14:textFill>
        </w:rPr>
        <w:t>年出栏种猪2万头、仔猪10万头</w:t>
      </w:r>
      <w:r>
        <w:rPr>
          <w:rFonts w:hint="eastAsia"/>
          <w:color w:val="000000" w:themeColor="text1"/>
          <w:highlight w:val="none"/>
          <w14:textFill>
            <w14:solidFill>
              <w14:schemeClr w14:val="tx1"/>
            </w14:solidFill>
          </w14:textFill>
        </w:rPr>
        <w:t>。</w:t>
      </w:r>
    </w:p>
    <w:p w14:paraId="79F6A79D">
      <w:pPr>
        <w:ind w:firstLine="48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运营主要污染物包括养殖废水、粪便、恶臭及噪声等，本项目圈舍排出的粪污汇入集粪池，经干湿分离车间进行固液分离，分离后的干粪输送至堆粪场收集，分离液体首先进入黑膜池处理后由农户作为有机液肥拉走全部还田利用。固体粪便进行堆肥发酵后由农户作为有机肥还田利用。养殖废水和粪便通过上述处理后全量还田资源化利用。项目产生的恶臭通过优化饲料配方，提高养殖技术，圈舍通风、喷洒生物除臭剂等措施，控制恶臭气体污染。</w:t>
      </w:r>
      <w:r>
        <w:rPr>
          <w:rFonts w:hint="eastAsia"/>
          <w:color w:val="000000" w:themeColor="text1"/>
          <w:highlight w:val="none"/>
          <w:lang w:val="en-US" w:eastAsia="zh-CN"/>
          <w14:textFill>
            <w14:solidFill>
              <w14:schemeClr w14:val="tx1"/>
            </w14:solidFill>
          </w14:textFill>
        </w:rPr>
        <w:t>饲料加工车间采取机器全封闭、洒水降尘的措施控制颗粒物排放量。</w:t>
      </w:r>
    </w:p>
    <w:p w14:paraId="5E3A12F0">
      <w:pPr>
        <w:pStyle w:val="3"/>
        <w:rPr>
          <w:color w:val="000000" w:themeColor="text1"/>
          <w:highlight w:val="none"/>
          <w14:textFill>
            <w14:solidFill>
              <w14:schemeClr w14:val="tx1"/>
            </w14:solidFill>
          </w14:textFill>
        </w:rPr>
      </w:pPr>
      <w:bookmarkStart w:id="4" w:name="_Toc30681"/>
      <w:bookmarkStart w:id="5" w:name="_Toc30079"/>
      <w:r>
        <w:rPr>
          <w:color w:val="000000" w:themeColor="text1"/>
          <w:highlight w:val="none"/>
          <w:lang w:eastAsia="zh-CN"/>
          <w14:textFill>
            <w14:solidFill>
              <w14:schemeClr w14:val="tx1"/>
            </w14:solidFill>
          </w14:textFill>
        </w:rPr>
        <w:t>1.2</w:t>
      </w:r>
      <w:r>
        <w:rPr>
          <w:rFonts w:hint="eastAsia"/>
          <w:color w:val="000000" w:themeColor="text1"/>
          <w:highlight w:val="none"/>
          <w:lang w:eastAsia="zh-CN"/>
          <w14:textFill>
            <w14:solidFill>
              <w14:schemeClr w14:val="tx1"/>
            </w14:solidFill>
          </w14:textFill>
        </w:rPr>
        <w:t>环评工作过程</w:t>
      </w:r>
      <w:bookmarkEnd w:id="4"/>
      <w:bookmarkEnd w:id="5"/>
    </w:p>
    <w:p w14:paraId="191077E1">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根据《中华人民共和国环境保护法》《中华人民共和国环境影响评价法》、国务院令第</w:t>
      </w:r>
      <w:r>
        <w:rPr>
          <w:color w:val="000000" w:themeColor="text1"/>
          <w:highlight w:val="none"/>
          <w14:textFill>
            <w14:solidFill>
              <w14:schemeClr w14:val="tx1"/>
            </w14:solidFill>
          </w14:textFill>
        </w:rPr>
        <w:t>682</w:t>
      </w:r>
      <w:r>
        <w:rPr>
          <w:rFonts w:hint="eastAsia"/>
          <w:color w:val="000000" w:themeColor="text1"/>
          <w:highlight w:val="none"/>
          <w14:textFill>
            <w14:solidFill>
              <w14:schemeClr w14:val="tx1"/>
            </w14:solidFill>
          </w14:textFill>
        </w:rPr>
        <w:t>号《国务院关于修改〈建设项目环境保护管理条例〉的决定》和《建设项目环境影响评价分类管理名录》及修改单的有关规定和要求，该建设项目应进行环境影响评价。本项目属于《建设项目环境影响评价分类管理名录》（</w:t>
      </w:r>
      <w:r>
        <w:rPr>
          <w:color w:val="000000" w:themeColor="text1"/>
          <w:highlight w:val="none"/>
          <w14:textFill>
            <w14:solidFill>
              <w14:schemeClr w14:val="tx1"/>
            </w14:solidFill>
          </w14:textFill>
        </w:rPr>
        <w:t>2021</w:t>
      </w:r>
      <w:r>
        <w:rPr>
          <w:rFonts w:hint="eastAsia"/>
          <w:color w:val="000000" w:themeColor="text1"/>
          <w:highlight w:val="none"/>
          <w14:textFill>
            <w14:solidFill>
              <w14:schemeClr w14:val="tx1"/>
            </w14:solidFill>
          </w14:textFill>
        </w:rPr>
        <w:t>版）“二、畜牧业；</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牲畜饲养</w:t>
      </w:r>
      <w:r>
        <w:rPr>
          <w:color w:val="000000" w:themeColor="text1"/>
          <w:highlight w:val="none"/>
          <w14:textFill>
            <w14:solidFill>
              <w14:schemeClr w14:val="tx1"/>
            </w14:solidFill>
          </w14:textFill>
        </w:rPr>
        <w:t>031</w:t>
      </w:r>
      <w:r>
        <w:rPr>
          <w:rFonts w:hint="eastAsia"/>
          <w:color w:val="000000" w:themeColor="text1"/>
          <w:highlight w:val="none"/>
          <w14:textFill>
            <w14:solidFill>
              <w14:schemeClr w14:val="tx1"/>
            </w14:solidFill>
          </w14:textFill>
        </w:rPr>
        <w:t>—年出栏生猪</w:t>
      </w:r>
      <w:r>
        <w:rPr>
          <w:color w:val="000000" w:themeColor="text1"/>
          <w:highlight w:val="none"/>
          <w14:textFill>
            <w14:solidFill>
              <w14:schemeClr w14:val="tx1"/>
            </w14:solidFill>
          </w14:textFill>
        </w:rPr>
        <w:t>5000</w:t>
      </w:r>
      <w:r>
        <w:rPr>
          <w:rFonts w:hint="eastAsia"/>
          <w:color w:val="000000" w:themeColor="text1"/>
          <w:highlight w:val="none"/>
          <w14:textFill>
            <w14:solidFill>
              <w14:schemeClr w14:val="tx1"/>
            </w14:solidFill>
          </w14:textFill>
        </w:rPr>
        <w:t>头（其他畜禽种类折合猪的养殖量）及以上的规模化畜禽养殖；存栏生猪</w:t>
      </w:r>
      <w:r>
        <w:rPr>
          <w:color w:val="000000" w:themeColor="text1"/>
          <w:highlight w:val="none"/>
          <w14:textFill>
            <w14:solidFill>
              <w14:schemeClr w14:val="tx1"/>
            </w14:solidFill>
          </w14:textFill>
        </w:rPr>
        <w:t>2500</w:t>
      </w:r>
      <w:r>
        <w:rPr>
          <w:rFonts w:hint="eastAsia"/>
          <w:color w:val="000000" w:themeColor="text1"/>
          <w:highlight w:val="none"/>
          <w14:textFill>
            <w14:solidFill>
              <w14:schemeClr w14:val="tx1"/>
            </w14:solidFill>
          </w14:textFill>
        </w:rPr>
        <w:t>头（其他畜禽种类折合猪的养殖规模）及以上无出栏量的规模化畜禽养殖；涉及环境敏感区的规模化畜禽养殖”，本项目年出栏种猪2万头、仔猪10万头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年出栏量</w:t>
      </w:r>
      <w:r>
        <w:rPr>
          <w:rFonts w:hint="eastAsia"/>
          <w:color w:val="000000" w:themeColor="text1"/>
          <w:highlight w:val="none"/>
          <w:lang w:val="en-US" w:eastAsia="zh-CN"/>
          <w14:textFill>
            <w14:solidFill>
              <w14:schemeClr w14:val="tx1"/>
            </w14:solidFill>
          </w14:textFill>
        </w:rPr>
        <w:t>折合生猪4</w:t>
      </w:r>
      <w:r>
        <w:rPr>
          <w:rFonts w:hint="eastAsia"/>
          <w:color w:val="000000" w:themeColor="text1"/>
          <w:highlight w:val="none"/>
          <w14:textFill>
            <w14:solidFill>
              <w14:schemeClr w14:val="tx1"/>
            </w14:solidFill>
          </w14:textFill>
        </w:rPr>
        <w:t>万头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仔猪10万头</w:t>
      </w:r>
      <w:r>
        <w:rPr>
          <w:rFonts w:hint="eastAsia"/>
          <w:color w:val="000000" w:themeColor="text1"/>
          <w:highlight w:val="none"/>
          <w:lang w:val="en-US" w:eastAsia="zh-CN"/>
          <w14:textFill>
            <w14:solidFill>
              <w14:schemeClr w14:val="tx1"/>
            </w14:solidFill>
          </w14:textFill>
        </w:rPr>
        <w:t>折合生猪2</w:t>
      </w:r>
      <w:r>
        <w:rPr>
          <w:rFonts w:hint="eastAsia"/>
          <w:color w:val="000000" w:themeColor="text1"/>
          <w:highlight w:val="none"/>
          <w14:textFill>
            <w14:solidFill>
              <w14:schemeClr w14:val="tx1"/>
            </w14:solidFill>
          </w14:textFill>
        </w:rPr>
        <w:t>万头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，应编制环境影响报告书。</w:t>
      </w:r>
    </w:p>
    <w:p w14:paraId="1B81670F">
      <w:p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胡杨河市宏信畜牧养殖有限公司</w:t>
      </w:r>
      <w:r>
        <w:rPr>
          <w:rFonts w:hint="eastAsia"/>
          <w:color w:val="000000" w:themeColor="text1"/>
          <w:highlight w:val="none"/>
          <w14:textFill>
            <w14:solidFill>
              <w14:schemeClr w14:val="tx1"/>
            </w14:solidFill>
          </w14:textFill>
        </w:rPr>
        <w:t>于202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年5月底委托乌鲁木齐市清泽蓝天环保科技有限公司进行该项目的环境影响评价工作。接受委托后，评价单位组织有关环评工作人员赴现场进行了实地踏勘，对评价区范围的自然环境、规划情况及现场生产运营情况进行了调查，收集了当地水文、地质、气象、环境现状等资料，收集了具有相似生产规模和工艺的企业的实际生产数据。评价单位在此基础上，与建设单位多次沟通，查阅大量行业资料，提出现有环境问题及整改措施。</w:t>
      </w:r>
    </w:p>
    <w:p w14:paraId="47C7EE5E">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 xml:space="preserve">本次评价根据《环境影响评价技术导则》的要求，环境现状评价主要采用资料收集、现场调查等技术方法；环境影响预测和评价主要采用数学模型和类比调查等技术方法；公众参与主要采用网络公示、登报公示、张贴公示等的公众参与方式，本项目环境影响评价公众参与责任主体为建设单位，建设单位为公众参与的结论负责，在环境影响评价工作程序中，将公众参与和环境影响评价文件编制工作分离。 </w:t>
      </w:r>
    </w:p>
    <w:p w14:paraId="369EDC7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在收集资料的基础上，通过对项目相关的资料进行分析，依据《建设项目环境影响评价技术导则 总纲》（</w:t>
      </w:r>
      <w:r>
        <w:rPr>
          <w:color w:val="000000" w:themeColor="text1"/>
          <w:highlight w:val="none"/>
          <w14:textFill>
            <w14:solidFill>
              <w14:schemeClr w14:val="tx1"/>
            </w14:solidFill>
          </w14:textFill>
        </w:rPr>
        <w:t>HJ2.1—2016</w:t>
      </w:r>
      <w:r>
        <w:rPr>
          <w:rFonts w:hint="eastAsia"/>
          <w:color w:val="000000" w:themeColor="text1"/>
          <w:highlight w:val="none"/>
          <w14:textFill>
            <w14:solidFill>
              <w14:schemeClr w14:val="tx1"/>
            </w14:solidFill>
          </w14:textFill>
        </w:rPr>
        <w:t>）对报告书总体编辑内容章节安排与要求，根据相关环境影响评价的法律法规、技术要求及专项环境影响评价技术导则的章节编写技术要求，编制完成了《</w:t>
      </w:r>
      <w:r>
        <w:rPr>
          <w:rFonts w:hint="eastAsia"/>
          <w:color w:val="000000" w:themeColor="text1"/>
          <w:highlight w:val="none"/>
          <w:lang w:eastAsia="zh-CN"/>
          <w14:textFill>
            <w14:solidFill>
              <w14:schemeClr w14:val="tx1"/>
            </w14:solidFill>
          </w14:textFill>
        </w:rPr>
        <w:t>胡杨河市宏信种猪养殖基地项目</w:t>
      </w:r>
      <w:r>
        <w:rPr>
          <w:rFonts w:hint="eastAsia"/>
          <w:color w:val="000000" w:themeColor="text1"/>
          <w:highlight w:val="none"/>
          <w14:textFill>
            <w14:solidFill>
              <w14:schemeClr w14:val="tx1"/>
            </w14:solidFill>
          </w14:textFill>
        </w:rPr>
        <w:t>环境影响评价报告书》。现报送当地环境主管部门予以审查批复。</w:t>
      </w:r>
    </w:p>
    <w:p w14:paraId="0CB208D5">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本项目环境影响评价工作程序见图</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.2-1所示。</w:t>
      </w:r>
    </w:p>
    <w:p w14:paraId="4ECD5C3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73675" cy="65335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5273675" cy="6533515"/>
                    </a:xfrm>
                    <a:prstGeom prst="rect">
                      <a:avLst/>
                    </a:prstGeom>
                    <a:noFill/>
                    <a:ln>
                      <a:noFill/>
                    </a:ln>
                  </pic:spPr>
                </pic:pic>
              </a:graphicData>
            </a:graphic>
          </wp:inline>
        </w:drawing>
      </w:r>
    </w:p>
    <w:p w14:paraId="5D421A5E">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图</w:t>
      </w:r>
      <w:r>
        <w:rPr>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14:textFill>
            <w14:solidFill>
              <w14:schemeClr w14:val="tx1"/>
            </w14:solidFill>
          </w14:textFill>
        </w:rPr>
        <w:t>.2</w:t>
      </w:r>
      <w:r>
        <w:rPr>
          <w:b/>
          <w:bCs/>
          <w:color w:val="000000" w:themeColor="text1"/>
          <w:sz w:val="21"/>
          <w:szCs w:val="21"/>
          <w:highlight w:val="none"/>
          <w14:textFill>
            <w14:solidFill>
              <w14:schemeClr w14:val="tx1"/>
            </w14:solidFill>
          </w14:textFill>
        </w:rPr>
        <w:t xml:space="preserve">-1 </w:t>
      </w:r>
      <w:r>
        <w:rPr>
          <w:rFonts w:hint="eastAsia"/>
          <w:b/>
          <w:bCs/>
          <w:color w:val="000000" w:themeColor="text1"/>
          <w:sz w:val="21"/>
          <w:szCs w:val="21"/>
          <w:highlight w:val="none"/>
          <w14:textFill>
            <w14:solidFill>
              <w14:schemeClr w14:val="tx1"/>
            </w14:solidFill>
          </w14:textFill>
        </w:rPr>
        <w:t xml:space="preserve"> 建设项目环境影响评价工作程序图</w:t>
      </w:r>
    </w:p>
    <w:p w14:paraId="229392A5">
      <w:pPr>
        <w:pStyle w:val="3"/>
        <w:rPr>
          <w:color w:val="000000" w:themeColor="text1"/>
          <w:highlight w:val="none"/>
          <w14:textFill>
            <w14:solidFill>
              <w14:schemeClr w14:val="tx1"/>
            </w14:solidFill>
          </w14:textFill>
        </w:rPr>
      </w:pPr>
      <w:bookmarkStart w:id="6" w:name="_Toc25931"/>
      <w:bookmarkStart w:id="7" w:name="_Toc490"/>
      <w:r>
        <w:rPr>
          <w:color w:val="000000" w:themeColor="text1"/>
          <w:highlight w:val="none"/>
          <w:lang w:eastAsia="zh-CN"/>
          <w14:textFill>
            <w14:solidFill>
              <w14:schemeClr w14:val="tx1"/>
            </w14:solidFill>
          </w14:textFill>
        </w:rPr>
        <w:t>1.3</w:t>
      </w:r>
      <w:r>
        <w:rPr>
          <w:rFonts w:hint="eastAsia"/>
          <w:color w:val="000000" w:themeColor="text1"/>
          <w:highlight w:val="none"/>
          <w:lang w:eastAsia="zh-CN"/>
          <w14:textFill>
            <w14:solidFill>
              <w14:schemeClr w14:val="tx1"/>
            </w14:solidFill>
          </w14:textFill>
        </w:rPr>
        <w:t>分析判断相关情况</w:t>
      </w:r>
      <w:bookmarkEnd w:id="6"/>
      <w:bookmarkEnd w:id="7"/>
    </w:p>
    <w:p w14:paraId="40E8F914">
      <w:pPr>
        <w:pStyle w:val="4"/>
        <w:rPr>
          <w:color w:val="000000" w:themeColor="text1"/>
          <w:highlight w:val="none"/>
          <w14:textFill>
            <w14:solidFill>
              <w14:schemeClr w14:val="tx1"/>
            </w14:solidFill>
          </w14:textFill>
        </w:rPr>
      </w:pPr>
      <w:bookmarkStart w:id="8" w:name="_Toc21286"/>
      <w:r>
        <w:rPr>
          <w:color w:val="000000" w:themeColor="text1"/>
          <w:highlight w:val="none"/>
          <w14:textFill>
            <w14:solidFill>
              <w14:schemeClr w14:val="tx1"/>
            </w14:solidFill>
          </w14:textFill>
        </w:rPr>
        <w:t>1.3.1</w:t>
      </w:r>
      <w:r>
        <w:rPr>
          <w:rFonts w:hint="eastAsia"/>
          <w:color w:val="000000" w:themeColor="text1"/>
          <w:highlight w:val="none"/>
          <w14:textFill>
            <w14:solidFill>
              <w14:schemeClr w14:val="tx1"/>
            </w14:solidFill>
          </w14:textFill>
        </w:rPr>
        <w:t>产业政策符合性分析</w:t>
      </w:r>
      <w:bookmarkEnd w:id="8"/>
      <w:r>
        <w:rPr>
          <w:rFonts w:hint="eastAsia"/>
          <w:color w:val="000000" w:themeColor="text1"/>
          <w:highlight w:val="none"/>
          <w14:textFill>
            <w14:solidFill>
              <w14:schemeClr w14:val="tx1"/>
            </w14:solidFill>
          </w14:textFill>
        </w:rPr>
        <w:t xml:space="preserve"> </w:t>
      </w:r>
    </w:p>
    <w:p w14:paraId="33E0AB6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本项目为生猪养殖项目，根据《产业结构调整指导目录（</w:t>
      </w:r>
      <w:r>
        <w:rPr>
          <w:rFonts w:hint="eastAsia"/>
          <w:color w:val="000000" w:themeColor="text1"/>
          <w:highlight w:val="none"/>
          <w:lang w:val="en-US" w:eastAsia="zh-CN"/>
          <w14:textFill>
            <w14:solidFill>
              <w14:schemeClr w14:val="tx1"/>
            </w14:solidFill>
          </w14:textFill>
        </w:rPr>
        <w:t>2024</w:t>
      </w:r>
      <w:r>
        <w:rPr>
          <w:color w:val="000000" w:themeColor="text1"/>
          <w:highlight w:val="none"/>
          <w14:textFill>
            <w14:solidFill>
              <w14:schemeClr w14:val="tx1"/>
            </w14:solidFill>
          </w14:textFill>
        </w:rPr>
        <w:t>年本）》，本项目属于</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第一类 鼓励类一、</w:t>
      </w:r>
      <w:r>
        <w:rPr>
          <w:rFonts w:hint="eastAsia"/>
          <w:color w:val="000000" w:themeColor="text1"/>
          <w:highlight w:val="none"/>
          <w:lang w:val="en-US" w:eastAsia="zh-CN"/>
          <w14:textFill>
            <w14:solidFill>
              <w14:schemeClr w14:val="tx1"/>
            </w14:solidFill>
          </w14:textFill>
        </w:rPr>
        <w:t>农林牧渔业</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现代畜牧业及水产生态健康养殖”</w:t>
      </w:r>
      <w:r>
        <w:rPr>
          <w:color w:val="000000" w:themeColor="text1"/>
          <w:highlight w:val="none"/>
          <w14:textFill>
            <w14:solidFill>
              <w14:schemeClr w14:val="tx1"/>
            </w14:solidFill>
          </w14:textFill>
        </w:rPr>
        <w:t>类别。因此，本项目建设符合国家产业政策。</w:t>
      </w:r>
    </w:p>
    <w:p w14:paraId="7722A9EE">
      <w:pPr>
        <w:pStyle w:val="4"/>
        <w:rPr>
          <w:color w:val="000000" w:themeColor="text1"/>
          <w:highlight w:val="none"/>
          <w14:textFill>
            <w14:solidFill>
              <w14:schemeClr w14:val="tx1"/>
            </w14:solidFill>
          </w14:textFill>
        </w:rPr>
      </w:pPr>
      <w:bookmarkStart w:id="9" w:name="_Toc10030"/>
      <w:r>
        <w:rPr>
          <w:color w:val="000000" w:themeColor="text1"/>
          <w:highlight w:val="none"/>
          <w14:textFill>
            <w14:solidFill>
              <w14:schemeClr w14:val="tx1"/>
            </w14:solidFill>
          </w14:textFill>
        </w:rPr>
        <w:t>1.3.2</w:t>
      </w:r>
      <w:r>
        <w:rPr>
          <w:rFonts w:hint="eastAsia"/>
          <w:color w:val="000000" w:themeColor="text1"/>
          <w:highlight w:val="none"/>
          <w14:textFill>
            <w14:solidFill>
              <w14:schemeClr w14:val="tx1"/>
            </w14:solidFill>
          </w14:textFill>
        </w:rPr>
        <w:t>各相关规划符合性分析</w:t>
      </w:r>
      <w:bookmarkEnd w:id="9"/>
      <w:r>
        <w:rPr>
          <w:rFonts w:hint="eastAsia"/>
          <w:color w:val="000000" w:themeColor="text1"/>
          <w:highlight w:val="none"/>
          <w14:textFill>
            <w14:solidFill>
              <w14:schemeClr w14:val="tx1"/>
            </w14:solidFill>
          </w14:textFill>
        </w:rPr>
        <w:t xml:space="preserve"> </w:t>
      </w:r>
    </w:p>
    <w:p w14:paraId="7A8746B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（1）与《新疆生产建设兵团国民经济和社会发展第十四个五年规划和二〇三五年远景目标纲要》的符合性分析</w:t>
      </w:r>
    </w:p>
    <w:p w14:paraId="463C0D6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疆生产建设兵团国民经济和社会发展第十四个五年规划和二〇三五年远景目标纲要》指出，大力发展畜牧业。坚持农牧结合，调整优化农区畜牧业，适度发展草原畜牧业。加快提升畜牧业综合生产能力，大力发展肉类和乳制品精深加工，加快标准化规模养殖基地建设，建设一批高标准现代畜牧业产业示范区。大力发展生猪、肉牛产业，实施奶业振兴行动，稳步推进肉羊增产，支持特色家禽养殖，因地制宜发展马、驴、兔、鹿等特色养殖。到2025年，力争标准化规模化养殖场比例达到80%。</w:t>
      </w:r>
    </w:p>
    <w:p w14:paraId="6D01BD2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生猪产业是畜牧业的支柱产业，本项目</w:t>
      </w:r>
      <w:r>
        <w:rPr>
          <w:rFonts w:hint="eastAsia"/>
          <w:color w:val="000000" w:themeColor="text1"/>
          <w:highlight w:val="none"/>
          <w:lang w:eastAsia="zh-CN"/>
          <w14:textFill>
            <w14:solidFill>
              <w14:schemeClr w14:val="tx1"/>
            </w14:solidFill>
          </w14:textFill>
        </w:rPr>
        <w:t>建成</w:t>
      </w:r>
      <w:r>
        <w:rPr>
          <w:color w:val="000000" w:themeColor="text1"/>
          <w:highlight w:val="none"/>
          <w14:textFill>
            <w14:solidFill>
              <w14:schemeClr w14:val="tx1"/>
            </w14:solidFill>
          </w14:textFill>
        </w:rPr>
        <w:t>商品猪养殖项目，实现标准化养殖，提高仔猪供给，本项目采用厌氧发酵技术，采取资源化方式利用畜禽养殖废弃物。因此，本项目符合《新疆生产建设兵团国民经济和社会发展第十四个五年规划和二〇三五年远景目标纲要》相关要求。</w:t>
      </w:r>
    </w:p>
    <w:p w14:paraId="6DDBB5C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）与《</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十四五</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全国畜牧兽医行业发展规划》符合性分析</w:t>
      </w:r>
    </w:p>
    <w:p w14:paraId="255A95B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到2025年，全国畜牧业现代化建设取得重大进展，奶牛、生猪、家禽养殖率先基本实现现代化。产业质量效益和竞争力不断增强，畜牧业产值稳步增长，动物疫病防控体系更加健全，畜禽产品供应能力稳步提升，现代加工流通体系加</w:t>
      </w:r>
    </w:p>
    <w:p w14:paraId="3FD46AD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快形成，绿色发展成效逐步显现。</w:t>
      </w:r>
    </w:p>
    <w:p w14:paraId="73C344A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业结构和区域布局进一步优化，畜牧业综合生产能力和供应保障能力大幅提升，猪肉自给率保持在95%左右，牛羊肉自给率保持在85%左右，奶源自给率达到70%以上，禽肉和禽蛋保持基本自给。产品结构不断优化，优质、特色差异化产品供给持续增加。</w:t>
      </w:r>
    </w:p>
    <w:p w14:paraId="114A1CF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本项目属于标准化、规模化生猪养殖项目，符合《</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十四五</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全国畜牧兽医行业发展规划》相关要求。</w:t>
      </w:r>
    </w:p>
    <w:p w14:paraId="0628FEA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）《畜禽养殖场（小区）环境守法导则》符合性分析 </w:t>
      </w:r>
    </w:p>
    <w:p w14:paraId="7090350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根据现场踏勘结果，本养殖场周围</w:t>
      </w:r>
      <w:r>
        <w:rPr>
          <w:color w:val="000000" w:themeColor="text1"/>
          <w:highlight w:val="none"/>
          <w14:textFill>
            <w14:solidFill>
              <w14:schemeClr w14:val="tx1"/>
            </w14:solidFill>
          </w14:textFill>
        </w:rPr>
        <w:t>500m</w:t>
      </w:r>
      <w:r>
        <w:rPr>
          <w:rFonts w:hint="eastAsia"/>
          <w:color w:val="000000" w:themeColor="text1"/>
          <w:highlight w:val="none"/>
          <w14:textFill>
            <w14:solidFill>
              <w14:schemeClr w14:val="tx1"/>
            </w14:solidFill>
          </w14:textFill>
        </w:rPr>
        <w:t>范围内无学校、医院、集中居住的居民区等环境敏感目标。项目区不占用农田，节约土地资源。</w:t>
      </w:r>
      <w:r>
        <w:rPr>
          <w:rFonts w:hint="eastAsia"/>
          <w:color w:val="000000" w:themeColor="text1"/>
          <w:highlight w:val="none"/>
          <w:lang w:eastAsia="zh-CN"/>
          <w14:textFill>
            <w14:solidFill>
              <w14:schemeClr w14:val="tx1"/>
            </w14:solidFill>
          </w14:textFill>
        </w:rPr>
        <w:t>本项目场址</w:t>
      </w:r>
      <w:r>
        <w:rPr>
          <w:rFonts w:hint="eastAsia"/>
          <w:color w:val="000000" w:themeColor="text1"/>
          <w:highlight w:val="none"/>
          <w14:textFill>
            <w14:solidFill>
              <w14:schemeClr w14:val="tx1"/>
            </w14:solidFill>
          </w14:textFill>
        </w:rPr>
        <w:t>离居民区及村庄较远，并且靠近农业种植区，项目污水最终经过“固液分离</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黑膜池”工艺处理后，达到肥料无害化卫生要求，可作为液体肥料还田；干粪收集入堆粪场经腐熟无害化后作为农肥还田。项目区黑膜池、集粪池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生活区及</w:t>
      </w:r>
      <w:r>
        <w:rPr>
          <w:rFonts w:hint="eastAsia"/>
          <w:color w:val="000000" w:themeColor="text1"/>
          <w:highlight w:val="none"/>
          <w:lang w:eastAsia="zh-CN"/>
          <w14:textFill>
            <w14:solidFill>
              <w14:schemeClr w14:val="tx1"/>
            </w14:solidFill>
          </w14:textFill>
        </w:rPr>
        <w:t>危废暂存间</w:t>
      </w:r>
      <w:r>
        <w:rPr>
          <w:rFonts w:hint="eastAsia"/>
          <w:color w:val="000000" w:themeColor="text1"/>
          <w:highlight w:val="none"/>
          <w14:textFill>
            <w14:solidFill>
              <w14:schemeClr w14:val="tx1"/>
            </w14:solidFill>
          </w14:textFill>
        </w:rPr>
        <w:t>均布设于项目区常年主导风向</w:t>
      </w:r>
      <w:r>
        <w:rPr>
          <w:rFonts w:hint="eastAsia"/>
          <w:color w:val="000000" w:themeColor="text1"/>
          <w:highlight w:val="none"/>
          <w:lang w:val="en-US" w:eastAsia="zh-CN"/>
          <w14:textFill>
            <w14:solidFill>
              <w14:schemeClr w14:val="tx1"/>
            </w14:solidFill>
          </w14:textFill>
        </w:rPr>
        <w:t>侧</w:t>
      </w:r>
      <w:r>
        <w:rPr>
          <w:rFonts w:hint="eastAsia"/>
          <w:color w:val="000000" w:themeColor="text1"/>
          <w:highlight w:val="none"/>
          <w14:textFill>
            <w14:solidFill>
              <w14:schemeClr w14:val="tx1"/>
            </w14:solidFill>
          </w14:textFill>
        </w:rPr>
        <w:t>风向。因此，项目的选址、平面布置及相关污粪处理方式符合《畜禽养殖场（小区）环境守法导则》相关要求。</w:t>
      </w:r>
    </w:p>
    <w:p w14:paraId="3470DFA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）《新疆生产建设兵团“十四五”生态环境保护规划》符合性分析</w:t>
      </w:r>
    </w:p>
    <w:p w14:paraId="309E19DC">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新疆生产建设兵团“十四五”生态环境保护规划”提出：推进养殖业清洁化和生态化发展。推广节水、节料等清洁养殖工艺和干清粪、微生物发酵等实用技术，实现畜禽粪污源头减量。严格规范兽药、饲料及饲料添加剂的生产和使用，严厉打击兽药生产企业违法违规生产禁用兽用药物行为。大力推进畜禽养殖废弃物资源化利用，推动规模化养殖场粪污处理基础设施设备配套建设。鼓励和引导社会资本参与畜禽粪污资源化利用，推动建立病死畜禽无害化集中处理体系。到2025年，畜禽粪污综合利用率达到80%以上。</w:t>
      </w:r>
      <w:bookmarkStart w:id="321" w:name="_GoBack"/>
      <w:bookmarkEnd w:id="321"/>
    </w:p>
    <w:p w14:paraId="1ABD0792">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本项目是规模化养殖项目，粪便全部综合利用，符合“十四五”规划中提出的清洁化发展，污染物实现综合利用和达标排放，因此本项目符合《新疆生产建设兵团“十四五”生态环境保护规划》的要求。</w:t>
      </w:r>
    </w:p>
    <w:p w14:paraId="08D47C00">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 xml:space="preserve">）《新疆维吾尔自治区畜牧业“十四五”发展规划》的符合性分析 </w:t>
      </w:r>
    </w:p>
    <w:p w14:paraId="05A2CD1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规划中提出：积极推进产业集聚发展。充分发挥地方政府和生产经营主体作用，坚持规模化方向，扎实推进自治区畜牧业“五大振兴行动”，引导支持企业采取多种形式健全企农利益联结机制，推进标准化规模养殖。支持建设一批畜禽产业强镇、产业园和优势特色产业集群，构建梯次布局、协同推进的现代畜禽产业体系，形成“县有产业园、乡有规模养殖场、村有养殖示范户”的产业集聚带。继续开展畜禽养殖标准化示范创建，创建一批“畜禽良种化、养殖设施化、生产规范化、防疫制度化、粪污无害化”的国家级畜禽养殖标准化示范场，积极打造生产布局优化、资源利用高效、生态环境良好的养殖示范县(市)，提高畜产品综合生产效益和规模化比重。</w:t>
      </w:r>
    </w:p>
    <w:p w14:paraId="1112F303">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持续推进畜禽粪污资源化利用。落实有机肥加工企业用地、用电、有机肥使用补贴及畜禽粪污资源化利用机具纳入农机购置补贴等优惠政策，构建畜禽粪肥还田利用全产业链，形成养殖、种植、粪肥加工企业等多方共赢的市场化机制。重点支持规模养殖场开展粪污全量收集还田、固体粪便堆肥还田、液体粪污肥料化和生物质能源开发利用确保全区畜禽粪污综合利用率达到国家要求。</w:t>
      </w:r>
    </w:p>
    <w:p w14:paraId="477210C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不断提高无害化集中处理能力。按照“统筹规划、属地负责，政府监管、市场运作，财政补助、保险联动</w:t>
      </w:r>
      <w:r>
        <w:rPr>
          <w:rFonts w:hint="eastAsia" w:ascii="宋体" w:hAnsi="宋体"/>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的原则，在畜禽养殖重点县、养殖集中区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推动各类养殖经营主体自行配套无害化处理设施设备，并采取高温湿化法、微生物发酵技术等工艺开展无害化处理，提高区域性无害化集中处理的综合能力。</w:t>
      </w:r>
    </w:p>
    <w:p w14:paraId="3169B83A">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本项目位于</w:t>
      </w:r>
      <w:r>
        <w:rPr>
          <w:rFonts w:hint="eastAsia"/>
          <w:color w:val="000000" w:themeColor="text1"/>
          <w:highlight w:val="none"/>
          <w:lang w:eastAsia="zh-CN"/>
          <w14:textFill>
            <w14:solidFill>
              <w14:schemeClr w14:val="tx1"/>
            </w14:solidFill>
          </w14:textFill>
        </w:rPr>
        <w:t>第七师125团</w:t>
      </w:r>
      <w:r>
        <w:rPr>
          <w:rFonts w:hint="eastAsia"/>
          <w:color w:val="000000" w:themeColor="text1"/>
          <w:highlight w:val="none"/>
          <w14:textFill>
            <w14:solidFill>
              <w14:schemeClr w14:val="tx1"/>
            </w14:solidFill>
          </w14:textFill>
        </w:rPr>
        <w:t>，本项目的建设可有效提升集约化养殖规模和水平，符合《新疆维吾尔自治区畜牧业“十四五”发展规划》相关要求。</w:t>
      </w:r>
    </w:p>
    <w:p w14:paraId="6AC3BB1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）土地利用规划的符合性分析</w:t>
      </w:r>
    </w:p>
    <w:p w14:paraId="0B1A65E2">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本项目所占地块属于</w:t>
      </w:r>
      <w:r>
        <w:rPr>
          <w:rFonts w:hint="eastAsia"/>
          <w:color w:val="000000" w:themeColor="text1"/>
          <w:highlight w:val="none"/>
          <w:lang w:eastAsia="zh-CN"/>
          <w14:textFill>
            <w14:solidFill>
              <w14:schemeClr w14:val="tx1"/>
            </w14:solidFill>
          </w14:textFill>
        </w:rPr>
        <w:t>第七师125团</w:t>
      </w:r>
      <w:r>
        <w:rPr>
          <w:rFonts w:hint="eastAsia" w:ascii="Times New Roman" w:hAnsi="Times New Roman" w:eastAsia="宋体" w:cs="宋体"/>
          <w:color w:val="000000" w:themeColor="text1"/>
          <w:highlight w:val="none"/>
          <w14:textFill>
            <w14:solidFill>
              <w14:schemeClr w14:val="tx1"/>
            </w14:solidFill>
          </w14:textFill>
        </w:rPr>
        <w:t>农用地</w:t>
      </w:r>
      <w:r>
        <w:rPr>
          <w:rFonts w:hint="eastAsia" w:ascii="Times New Roman" w:hAnsi="Times New Roman" w:eastAsia="宋体" w:cs="宋体"/>
          <w:color w:val="000000" w:themeColor="text1"/>
          <w:highlight w:val="none"/>
          <w:lang w:val="en-US" w:eastAsia="zh-CN"/>
          <w14:textFill>
            <w14:solidFill>
              <w14:schemeClr w14:val="tx1"/>
            </w14:solidFill>
          </w14:textFill>
        </w:rPr>
        <w:t>及未利用地</w:t>
      </w:r>
      <w:r>
        <w:rPr>
          <w:rFonts w:hint="eastAsia"/>
          <w:color w:val="000000" w:themeColor="text1"/>
          <w:highlight w:val="none"/>
          <w14:textFill>
            <w14:solidFill>
              <w14:schemeClr w14:val="tx1"/>
            </w14:solidFill>
          </w14:textFill>
        </w:rPr>
        <w:t>。通过现场踏勘，区域内无国家保护的野生珍稀动植物。项目用地性质符合</w:t>
      </w:r>
      <w:r>
        <w:rPr>
          <w:rFonts w:hint="eastAsia"/>
          <w:color w:val="000000" w:themeColor="text1"/>
          <w:highlight w:val="none"/>
          <w:lang w:eastAsia="zh-CN"/>
          <w14:textFill>
            <w14:solidFill>
              <w14:schemeClr w14:val="tx1"/>
            </w14:solidFill>
          </w14:textFill>
        </w:rPr>
        <w:t>第七师125团</w:t>
      </w:r>
      <w:r>
        <w:rPr>
          <w:rFonts w:hint="eastAsia"/>
          <w:color w:val="000000" w:themeColor="text1"/>
          <w:highlight w:val="none"/>
          <w14:textFill>
            <w14:solidFill>
              <w14:schemeClr w14:val="tx1"/>
            </w14:solidFill>
          </w14:textFill>
        </w:rPr>
        <w:t>土地利用规划。</w:t>
      </w:r>
    </w:p>
    <w:p w14:paraId="79AC34A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）与《新疆生产建设兵团主体功能区规划》符合性分析</w:t>
      </w:r>
    </w:p>
    <w:p w14:paraId="60075CE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兵团的重点开发区</w:t>
      </w:r>
      <w:r>
        <w:rPr>
          <w:rFonts w:hint="eastAsia"/>
          <w:color w:val="000000" w:themeColor="text1"/>
          <w:highlight w:val="none"/>
          <w14:textFill>
            <w14:solidFill>
              <w14:schemeClr w14:val="tx1"/>
            </w14:solidFill>
          </w14:textFill>
        </w:rPr>
        <w:t>分国家</w:t>
      </w:r>
      <w:r>
        <w:rPr>
          <w:color w:val="000000" w:themeColor="text1"/>
          <w:highlight w:val="none"/>
          <w14:textFill>
            <w14:solidFill>
              <w14:schemeClr w14:val="tx1"/>
            </w14:solidFill>
          </w14:textFill>
        </w:rPr>
        <w:t>层面和兵团层面。国家级重点开发区域是天山北坡垦区，总面积3406.3平方公里，主要包括：乌鲁木齐</w:t>
      </w:r>
      <w:r>
        <w:rPr>
          <w:rFonts w:hint="eastAsia" w:ascii="宋体" w:hAnsi="宋体"/>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胡杨河市</w:t>
      </w:r>
      <w:r>
        <w:rPr>
          <w:color w:val="000000" w:themeColor="text1"/>
          <w:highlight w:val="none"/>
          <w14:textFill>
            <w14:solidFill>
              <w14:schemeClr w14:val="tx1"/>
            </w14:solidFill>
          </w14:textFill>
        </w:rPr>
        <w:t>片区、石河子片区、奎屯片区、博乐</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塔斯尔海片区、伊宁</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可克达拉片区、哈密</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黄田片区。兵团级重点开发区域是阿克苏</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阿拉尔片区、库尔勒</w:t>
      </w:r>
      <w:r>
        <w:rPr>
          <w:rFonts w:hint="eastAsia" w:ascii="宋体" w:hAnsi="宋体"/>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铁门关片区以及点状分布的第三师、第十四师师部城区、喀什经济开发区兵团分区，总面积205.1平方公里。</w:t>
      </w:r>
    </w:p>
    <w:p w14:paraId="2B2FE33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兵团的限制开发包括农产品主产区和重点生态功能区。农产品主产区全部为国家级，分为天山北坡农产品主产区和天山南坡农产品主产区，总面积4.9万平方公里。</w:t>
      </w:r>
    </w:p>
    <w:p w14:paraId="78BD036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重点生态功能区也分为国家层面和兵团层面。国家级重点生态功能区是按照3个国家级重点生态功能区所覆盖的团场来划定的，总面积1.4万平方公里，主要包括：第二师（36、38团、且木支队）、第十师（183、187、188、181、182、185、186、189、190团、青河农场）、第三师（44、49、50、51、52、53、42、43、45、46、48团、莎车农场、叶城牧场、伽师总场、托云牧场、东风农场）、第十四师（47、224团、一牧场、牛山农场）。兵团级重点生态功能区是按照5个自治区级重点生态功能区所覆盖的团场来划定的，总面积0.7万平方公里，主要包括：第四师（78、79团）、第五师88团、第九师（161、170团、九师师部）、第十二师104团和静县部分区域、第十三师红星一牧场、淖毛湖农场。</w:t>
      </w:r>
    </w:p>
    <w:p w14:paraId="637A554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兵团禁止开发区域分为国家层面和兵团层面。兵团国家级禁止开发区域是按照5个国家级禁止开发区域所覆盖的团场部分区域来划定的。总面积673.7平方公里，主要包括：罗布泊野骆驼自然保护区、托木尔峰自然保护区、西天山自然保护区、艾比湖湿地自然保护区、天山天池风景名胜区。兵团省级的禁止开发区域是按照1个自治区级禁止开发区域所覆盖到的团场部分区域来划定的，总面积147.4平方公里，主要包括：北鲵温泉自然保护区。</w:t>
      </w:r>
    </w:p>
    <w:p w14:paraId="33561DF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本项目选址属于第</w:t>
      </w:r>
      <w:r>
        <w:rPr>
          <w:rFonts w:hint="eastAsia"/>
          <w:color w:val="000000" w:themeColor="text1"/>
          <w:highlight w:val="none"/>
          <w:lang w:val="en-US" w:eastAsia="zh-CN"/>
          <w14:textFill>
            <w14:solidFill>
              <w14:schemeClr w14:val="tx1"/>
            </w14:solidFill>
          </w14:textFill>
        </w:rPr>
        <w:t>七</w:t>
      </w:r>
      <w:r>
        <w:rPr>
          <w:color w:val="000000" w:themeColor="text1"/>
          <w:highlight w:val="none"/>
          <w14:textFill>
            <w14:solidFill>
              <w14:schemeClr w14:val="tx1"/>
            </w14:solidFill>
          </w14:textFill>
        </w:rPr>
        <w:t>师</w:t>
      </w:r>
      <w:r>
        <w:rPr>
          <w:rFonts w:hint="eastAsia"/>
          <w:color w:val="000000" w:themeColor="text1"/>
          <w:highlight w:val="none"/>
          <w:lang w:eastAsia="zh-CN"/>
          <w14:textFill>
            <w14:solidFill>
              <w14:schemeClr w14:val="tx1"/>
            </w14:solidFill>
          </w14:textFill>
        </w:rPr>
        <w:t>胡杨河市125团</w:t>
      </w:r>
      <w:r>
        <w:rPr>
          <w:color w:val="000000" w:themeColor="text1"/>
          <w:highlight w:val="none"/>
          <w14:textFill>
            <w14:solidFill>
              <w14:schemeClr w14:val="tx1"/>
            </w14:solidFill>
          </w14:textFill>
        </w:rPr>
        <w:t>，属于重点开发区域，符合《新疆生产建设兵团主体功能区规划》。</w:t>
      </w:r>
    </w:p>
    <w:p w14:paraId="67315E5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十四五</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土壤、地下水和农村生态环境保护规划》符合性分析</w:t>
      </w:r>
    </w:p>
    <w:p w14:paraId="375F5EA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十四五</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土壤、地下水和农村生态环境保护规划》中提出以下要求：</w:t>
      </w:r>
      <w:r>
        <w:rPr>
          <w:rFonts w:hint="eastAsia"/>
          <w:color w:val="000000" w:themeColor="text1"/>
          <w:highlight w:val="none"/>
          <w14:textFill>
            <w14:solidFill>
              <w14:schemeClr w14:val="tx1"/>
            </w14:solidFill>
          </w14:textFill>
        </w:rPr>
        <w:t>着</w:t>
      </w:r>
      <w:r>
        <w:rPr>
          <w:color w:val="000000" w:themeColor="text1"/>
          <w:highlight w:val="none"/>
          <w14:textFill>
            <w14:solidFill>
              <w14:schemeClr w14:val="tx1"/>
            </w14:solidFill>
          </w14:textFill>
        </w:rPr>
        <w:t>力推进养殖业污染防治。加强畜禽粪污资源化利用。健全畜禽养殖场（户）粪污收集贮存配套设施，建立粪污资源化利用计划和台账。加快建设田间粪肥施用设施，鼓励采用覆土施肥、沟施及注射式深施等精细化施肥方式。促进粪肥科学适量施用，推动开展粪肥还田安全检测。培育壮大一批粪肥收运和田间施用社会化服务主体。畜牧大县编制实施畜禽养殖污染防治规划。到2025年，全国畜禽粪污综合利用率达到80%以上。</w:t>
      </w:r>
    </w:p>
    <w:p w14:paraId="3D52DBD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加强畜禽养殖污染环境监管。落实畜禽规模养殖场环境影响评价及排污许可制度，依法规范畜禽养殖禁养区管理。推动畜禽规模养殖场配备视频监控设施，防止粪污偷运偷排。推动设有排污口的畜禽规模养殖场定期开展自行监测。依法严查环境违法行为。</w:t>
      </w:r>
    </w:p>
    <w:p w14:paraId="73C2113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本项目养殖场粪污最终经过</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干清粪、固液分离+厌氧发酵</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处理后用于周围农田施肥，实现零排放。符合《</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十四五</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土壤、地下水和农村生态环境保护规划》相关要求。</w:t>
      </w:r>
    </w:p>
    <w:p w14:paraId="6ED6DF4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）与《新疆维吾尔自治区加快推进畜禽养殖废弃物资源化利用实施方案》（新政办发〔2018〕29号）符合性分析</w:t>
      </w:r>
    </w:p>
    <w:p w14:paraId="10B9E60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到2020年，全区建立科学规范、权责清晰、约束有力的畜禽养殖废弃物处理和资源化利用制度，构建种养循环发展机制，全区畜禽粪污综合利用率达到75%以上，规模养殖场粪污处理设施装备配套率达到95%以上，大型规模养殖场粪污处理设施装备配套率提前一年达到100%。全面实现病死畜禽无害化、规范化、常态化处理。畜禽养殖废弃物资源化利用科技支撑能力明显提升，有机肥使用量逐年增长，对农业可持续发展的支撑能力明显增强。畜牧大县、国家和自治区现代农业示范区、现代农业产业园率先实现上述目标。</w:t>
      </w:r>
    </w:p>
    <w:p w14:paraId="3663732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本项目养殖场粪污最终经过</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干清粪、固液分离+厌氧发酵</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处理后用于周围农田施肥，实现零排放。项目建设符合《新疆维吾尔自治区加快推进畜禽养殖废弃物资源化利用实施方案》新政办发〔2018〕29号相关要求。</w:t>
      </w:r>
    </w:p>
    <w:p w14:paraId="33A7589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）《新疆维吾尔自治区大气污染防治条例》相符性分析</w:t>
      </w:r>
    </w:p>
    <w:p w14:paraId="3B1A3FE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《新疆维吾尔自治区大气污染防治条例》</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新疆维吾尔自治区第十三届人民代表大会常务委员会公告（第15号）</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：本项目属</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第五节农业和其他污染防治</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第四十七条畜禽养殖场、养殖小区应当及时对畜禽粪便和尸体等进行收集、贮存、清运和无害化处理，根据养殖规模和污染防治需要，配套相应的净化装置和其他大气污染物防治设施。县（市、区）人民政府应当加强对畜禽养殖废弃物综合利用和无害化处理的宣传，建设畜禽粪便和尸体无害化集中处理设施，引导规模以下畜禽养殖者集中处置养殖废弃物，防止排放恶臭气体</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w:t>
      </w:r>
    </w:p>
    <w:p w14:paraId="5BD77E0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本项目养殖场粪污最终经过</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干清粪、固液分离+厌氧发酵</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处理后用于周围农田施肥，实现零排放，</w:t>
      </w:r>
      <w:r>
        <w:rPr>
          <w:rFonts w:hint="eastAsia"/>
          <w:color w:val="000000" w:themeColor="text1"/>
          <w:highlight w:val="none"/>
          <w:lang w:eastAsia="zh-CN"/>
          <w14:textFill>
            <w14:solidFill>
              <w14:schemeClr w14:val="tx1"/>
            </w14:solidFill>
          </w14:textFill>
        </w:rPr>
        <w:t>病死猪、胎衣</w:t>
      </w:r>
      <w:r>
        <w:rPr>
          <w:rFonts w:hint="eastAsia"/>
          <w:color w:val="000000" w:themeColor="text1"/>
          <w:highlight w:val="none"/>
          <w14:textFill>
            <w14:solidFill>
              <w14:schemeClr w14:val="tx1"/>
            </w14:solidFill>
          </w14:textFill>
        </w:rPr>
        <w:t>委托有资质单位进行处理</w:t>
      </w:r>
      <w:r>
        <w:rPr>
          <w:color w:val="000000" w:themeColor="text1"/>
          <w:highlight w:val="none"/>
          <w14:textFill>
            <w14:solidFill>
              <w14:schemeClr w14:val="tx1"/>
            </w14:solidFill>
          </w14:textFill>
        </w:rPr>
        <w:t>，符合《新疆维吾尔自治区大气污染防治条例》要求。</w:t>
      </w:r>
    </w:p>
    <w:p w14:paraId="5B115A7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）《新疆生产建设兵团水污染防治工作方案》符合性分析</w:t>
      </w:r>
    </w:p>
    <w:p w14:paraId="5E19141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新疆维吾尔自治区人民政府2016年1月29日发布了《新疆维吾尔自治区水污染防治工作方案》（新政发〔2016〕21号），工作方案指出：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自2016年起，新建、改建、扩建规模化畜禽养殖场（小区）要实施干湿分流、粪便污水资源化利用。到2020年规模化养殖场配套建设粪污处理设施比例达到75%以上，畜禽粪便污水基本实现资源化利用。</w:t>
      </w:r>
      <w:r>
        <w:rPr>
          <w:rFonts w:hint="eastAsia"/>
          <w:color w:val="000000" w:themeColor="text1"/>
          <w:highlight w:val="none"/>
          <w14:textFill>
            <w14:solidFill>
              <w14:schemeClr w14:val="tx1"/>
            </w14:solidFill>
          </w14:textFill>
        </w:rPr>
        <w:t>”</w:t>
      </w:r>
    </w:p>
    <w:p w14:paraId="7C4DD02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本项目采用干清粪，粪污采用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固液分离+厌氧发酵</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处理工艺、粪便堆肥制作有机肥用于农田施肥，污水经处理后用于周边农田灌溉，实现了资源化利用，符合《新疆维吾尔自治区水污染防治工作方案》要求。</w:t>
      </w:r>
    </w:p>
    <w:p w14:paraId="74FA644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）《国务院办公厅关于促进畜牧业高质量发展的意见》（国办发﹝2020﹞31号）符合性分析</w:t>
      </w:r>
    </w:p>
    <w:p w14:paraId="34A800D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务院办公厅关于促进畜牧业高质量发展的意见》文件中要求：提高圈舍环境调控、精准饲喂、动物疫病监测、畜禽产品追溯等智能化水平。大力推进畜禽养殖废弃物资源化利用。支持符合条件的县推进畜禽粪污资源化利用，鼓励液体粪肥机械化施用。对畜禽粪污全部还田利用的养殖场（户）实行登记管理，不需申领排污许可证。完善畜禽粪污肥料化利用标准，支持农民合作社、家庭农场等在种植业生产中施用粪肥。统筹推进</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牛羊禽等无害化处理，完善市场化运作模式，合理制定补助标准，完善保险联动机制。</w:t>
      </w:r>
    </w:p>
    <w:p w14:paraId="512B94B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建成后可实现标准化、集约化、规模化生猪养殖。项目圈舍、堆粪场均采取防渗措施，养殖场采用干清粪工艺，粪便经清理后，制作成有机肥用于农田施肥，污水发酵为液体有机肥用于农田灌溉，圈舍、堆粪场定期喷洒除臭剂；</w:t>
      </w:r>
      <w:r>
        <w:rPr>
          <w:rFonts w:hint="eastAsia"/>
          <w:color w:val="000000" w:themeColor="text1"/>
          <w:highlight w:val="none"/>
          <w:lang w:eastAsia="zh-CN"/>
          <w14:textFill>
            <w14:solidFill>
              <w14:schemeClr w14:val="tx1"/>
            </w14:solidFill>
          </w14:textFill>
        </w:rPr>
        <w:t>病死猪、胎衣</w:t>
      </w:r>
      <w:r>
        <w:rPr>
          <w:rFonts w:hint="eastAsia"/>
          <w:color w:val="000000" w:themeColor="text1"/>
          <w:highlight w:val="none"/>
          <w14:textFill>
            <w14:solidFill>
              <w14:schemeClr w14:val="tx1"/>
            </w14:solidFill>
          </w14:textFill>
        </w:rPr>
        <w:t>委托有资质单位进行处理</w:t>
      </w:r>
      <w:r>
        <w:rPr>
          <w:color w:val="000000" w:themeColor="text1"/>
          <w:highlight w:val="none"/>
          <w14:textFill>
            <w14:solidFill>
              <w14:schemeClr w14:val="tx1"/>
            </w14:solidFill>
          </w14:textFill>
        </w:rPr>
        <w:t>；仅需实行排污登记管理，不需申领排污许可证。本项目符合《国务院办公厅关于促进畜牧业高质量发展的意见》（国办发﹝2020﹞3号）相关要求。</w:t>
      </w:r>
    </w:p>
    <w:p w14:paraId="21884D9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）《自治区党委办公厅、自治区人民政府办公厅印发</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关于促进新疆畜牧业高质量发展的意见</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的通知》（新党办发〔2020〕7号）符合性分析</w:t>
      </w:r>
    </w:p>
    <w:p w14:paraId="76E03DD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《自治区党委办公厅、自治区人民政府办公厅印发</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关于促进新疆畜牧业高质量发展的意见</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的通知》文件中要求：深化畜牧业项目环评</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放管服</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改革，对年出栏生猪5000头（其他畜禽种类折合猪的养殖规模）及以上的畜禽养殖场、养殖小区（不含涉及环境敏感区的）建设项目开展环评告知承诺制改革试点。对畜禽养殖项目使用清洁燃料的环评审批不</w:t>
      </w:r>
      <w:r>
        <w:rPr>
          <w:rFonts w:hint="eastAsia"/>
          <w:color w:val="000000" w:themeColor="text1"/>
          <w:highlight w:val="none"/>
          <w14:textFill>
            <w14:solidFill>
              <w14:schemeClr w14:val="tx1"/>
            </w14:solidFill>
          </w14:textFill>
        </w:rPr>
        <w:t>做</w:t>
      </w:r>
      <w:r>
        <w:rPr>
          <w:color w:val="000000" w:themeColor="text1"/>
          <w:highlight w:val="none"/>
          <w14:textFill>
            <w14:solidFill>
              <w14:schemeClr w14:val="tx1"/>
            </w14:solidFill>
          </w14:textFill>
        </w:rPr>
        <w:t>硬性要求，按照宜煤则煤、宜气则气、宜电则电的原则，保证规模养殖场采暖需求；对规模以下畜禽养殖项目和不设置污水排放口的规模以上养殖项目，不要求申领排污许可证和取得总量指标；粪污经无害化处理用作肥料还田的，符合法律法规以及国家相关标准要求且不造成环境污染的，不属于排放污染物，不执行相关污染物排放标准和农田灌溉水质标准。</w:t>
      </w:r>
    </w:p>
    <w:p w14:paraId="077FBCE4">
      <w:p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本项目年存栏数量折算猪当量值17531头</w:t>
      </w:r>
      <w:r>
        <w:rPr>
          <w:color w:val="000000" w:themeColor="text1"/>
          <w:highlight w:val="none"/>
          <w14:textFill>
            <w14:solidFill>
              <w14:schemeClr w14:val="tx1"/>
            </w14:solidFill>
          </w14:textFill>
        </w:rPr>
        <w:t>，养殖场粪污最终经过</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干清粪、固液分离+厌氧发酵</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处理后用于周围农田施肥，实现零排放，圈舍、堆粪场定期喷洒除臭剂；</w:t>
      </w:r>
      <w:r>
        <w:rPr>
          <w:rFonts w:hint="eastAsia"/>
          <w:color w:val="000000" w:themeColor="text1"/>
          <w:highlight w:val="none"/>
          <w:lang w:eastAsia="zh-CN"/>
          <w14:textFill>
            <w14:solidFill>
              <w14:schemeClr w14:val="tx1"/>
            </w14:solidFill>
          </w14:textFill>
        </w:rPr>
        <w:t>病死猪、胎衣</w:t>
      </w:r>
      <w:r>
        <w:rPr>
          <w:rFonts w:hint="eastAsia"/>
          <w:color w:val="000000" w:themeColor="text1"/>
          <w:highlight w:val="none"/>
          <w14:textFill>
            <w14:solidFill>
              <w14:schemeClr w14:val="tx1"/>
            </w14:solidFill>
          </w14:textFill>
        </w:rPr>
        <w:t>委托有资质单位进行处理</w:t>
      </w:r>
      <w:r>
        <w:rPr>
          <w:color w:val="000000" w:themeColor="text1"/>
          <w:highlight w:val="none"/>
          <w14:textFill>
            <w14:solidFill>
              <w14:schemeClr w14:val="tx1"/>
            </w14:solidFill>
          </w14:textFill>
        </w:rPr>
        <w:t>；仅需实行排污登记管理，不需申领排污许可证。因此本项目符合《自治区党委办公厅、自治区人民政府办公厅印发</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关于促进新疆畜牧业高质量发展的意见</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的通知》（新党办发〔2020〕7号）相关要求。</w:t>
      </w:r>
    </w:p>
    <w:p w14:paraId="072C8D4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）《关于促进生猪产业持续健康发展的意见》（农牧发〔2021〕24号）的符合性分析</w:t>
      </w:r>
    </w:p>
    <w:p w14:paraId="727E7B2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《关于促进生猪产业持续健康发展的意见》指出，用5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年时间，基本形成产出高效、产品安全、资源节约、环境友好、调控有效的生猪产业高质量发展新格局，产业竞争力大幅提升，疫病防控能力明显增强，政策保障体系基本完善，市场周期性波动得到有效缓解，猪肉供应安全保障能力持续增强，自给率保持在95%左右。保持能繁母猪合理存栏水平，</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十四五</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期间，全国能繁母猪存栏量稳定在4300万头左右、最低保有量不少于4000万头，后续根据猪肉消费和母猪繁殖率等变化动态调整。</w:t>
      </w:r>
    </w:p>
    <w:p w14:paraId="785E3B8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的建设极大提高了当地的生猪养殖量，为完善生猪养殖保障体系提供了强有力的支持，项目建成后，能够保持较高的出栏量与存栏量，能够保证生猪的市场供需平衡和繁殖能力，项目的建设符合《关于促进生猪产业持续健康发展的意见》的相关规定。</w:t>
      </w:r>
    </w:p>
    <w:p w14:paraId="5F90758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）与《畜禽规模养殖污染防治条例》（国务院令第643号）相符性分析</w:t>
      </w:r>
    </w:p>
    <w:p w14:paraId="5177271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-1  本项目与国务院令第643号符合性分析</w:t>
      </w:r>
    </w:p>
    <w:tbl>
      <w:tblPr>
        <w:tblStyle w:val="58"/>
        <w:tblW w:w="83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5"/>
        <w:gridCol w:w="4330"/>
        <w:gridCol w:w="3123"/>
        <w:gridCol w:w="590"/>
      </w:tblGrid>
      <w:tr w14:paraId="29F350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blHeader/>
        </w:trPr>
        <w:tc>
          <w:tcPr>
            <w:tcW w:w="4685" w:type="dxa"/>
            <w:gridSpan w:val="2"/>
            <w:tcBorders>
              <w:bottom w:val="single" w:color="000000" w:sz="4" w:space="0"/>
            </w:tcBorders>
            <w:vAlign w:val="center"/>
          </w:tcPr>
          <w:p w14:paraId="2C73B41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文件规定</w:t>
            </w:r>
          </w:p>
        </w:tc>
        <w:tc>
          <w:tcPr>
            <w:tcW w:w="3123" w:type="dxa"/>
            <w:tcBorders>
              <w:bottom w:val="single" w:color="000000" w:sz="4" w:space="0"/>
            </w:tcBorders>
            <w:vAlign w:val="center"/>
          </w:tcPr>
          <w:p w14:paraId="33AEC90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590" w:type="dxa"/>
            <w:tcBorders>
              <w:bottom w:val="single" w:color="000000" w:sz="4" w:space="0"/>
            </w:tcBorders>
            <w:vAlign w:val="center"/>
          </w:tcPr>
          <w:p w14:paraId="463AA6B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 情况</w:t>
            </w:r>
          </w:p>
        </w:tc>
      </w:tr>
      <w:tr w14:paraId="4F8D0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6" w:hRule="atLeast"/>
          <w:tblHeader/>
        </w:trPr>
        <w:tc>
          <w:tcPr>
            <w:tcW w:w="355" w:type="dxa"/>
            <w:tcBorders>
              <w:top w:val="single" w:color="000000" w:sz="4" w:space="0"/>
              <w:bottom w:val="single" w:color="000000" w:sz="4" w:space="0"/>
            </w:tcBorders>
            <w:textDirection w:val="tbRlV"/>
            <w:vAlign w:val="center"/>
          </w:tcPr>
          <w:p w14:paraId="485B5055">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预防</w:t>
            </w:r>
          </w:p>
        </w:tc>
        <w:tc>
          <w:tcPr>
            <w:tcW w:w="4330" w:type="dxa"/>
            <w:tcBorders>
              <w:top w:val="single" w:color="000000" w:sz="4" w:space="0"/>
              <w:bottom w:val="single" w:color="000000" w:sz="4" w:space="0"/>
            </w:tcBorders>
            <w:vAlign w:val="center"/>
          </w:tcPr>
          <w:p w14:paraId="24ED1DCF">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1、禁止在下列区域内建设畜禽养殖场、养殖小 区：（一）饮用水水源保护区，风景名胜区；（二）自然保护区的核心区和缓冲区；（三）城镇居民区、文化教育科学研究区等人口集中区域；（四）</w:t>
            </w:r>
            <w:r>
              <w:rPr>
                <w:rFonts w:hint="eastAsia"/>
                <w:color w:val="000000" w:themeColor="text1"/>
                <w:sz w:val="21"/>
                <w:szCs w:val="21"/>
                <w:highlight w:val="none"/>
                <w14:textFill>
                  <w14:solidFill>
                    <w14:schemeClr w14:val="tx1"/>
                  </w14:solidFill>
                </w14:textFill>
              </w:rPr>
              <w:t>法律法规</w:t>
            </w:r>
            <w:r>
              <w:rPr>
                <w:color w:val="000000" w:themeColor="text1"/>
                <w:sz w:val="21"/>
                <w:szCs w:val="21"/>
                <w:highlight w:val="none"/>
                <w14:textFill>
                  <w14:solidFill>
                    <w14:schemeClr w14:val="tx1"/>
                  </w14:solidFill>
                </w14:textFill>
              </w:rPr>
              <w:t>规定的其他禁止养殖区域。</w:t>
            </w:r>
          </w:p>
          <w:p w14:paraId="3F1CD19B">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2、新建、改建、扩建畜禽养殖场、养殖小区，应当符合畜牧业发展规划、畜禽养殖污染防治 规划，满足动物防疫条件，并进行环境影响评 价。对环境可能造成重大影响的大型畜禽养殖 场、养殖小区，应当编制环境影响报告书。</w:t>
            </w:r>
          </w:p>
          <w:p w14:paraId="055AF27D">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畜禽养殖场、养殖小区应当根据养殖规模和污染防治需要，建设相应的畜禽粪便、污水与雨水分流设施，畜禽粪便、污水的贮存设施，粪污厌氧消化和堆沤、有机肥加工、制取沼气、沼渣沼液分离和输送、污水处理、畜禽尸体处理等综合利用和无害化处理设施。已经委托他人对畜禽养殖废弃物代为综合利用和无害化处理的，可以不自行建设综合利用和无害化处理设施。</w:t>
            </w:r>
          </w:p>
          <w:p w14:paraId="2DA6B0F3">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4、从事畜禽养殖活动，应当采取科学的饲养方 式和废弃物处理工艺等有效措施，减少畜禽养 殖废弃物的产生量和向环境的排放量。</w:t>
            </w:r>
          </w:p>
        </w:tc>
        <w:tc>
          <w:tcPr>
            <w:tcW w:w="3123" w:type="dxa"/>
            <w:tcBorders>
              <w:top w:val="single" w:color="000000" w:sz="4" w:space="0"/>
              <w:bottom w:val="single" w:color="000000" w:sz="4" w:space="0"/>
            </w:tcBorders>
            <w:vAlign w:val="center"/>
          </w:tcPr>
          <w:p w14:paraId="700136DC">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1、（一）本项目不处于生活饮用  水水源保护区、风景名胜区；（二）不处于自然保护区的核心区及缓冲区。（三）本项目不处于城市和城镇居民区，包括文教科研区、医疗区、商业区、工业区、游览区等人口集中地区。（四）本项目不处于国家或地方</w:t>
            </w:r>
            <w:r>
              <w:rPr>
                <w:rFonts w:hint="eastAsia"/>
                <w:color w:val="000000" w:themeColor="text1"/>
                <w:sz w:val="21"/>
                <w:szCs w:val="21"/>
                <w:highlight w:val="none"/>
                <w14:textFill>
                  <w14:solidFill>
                    <w14:schemeClr w14:val="tx1"/>
                  </w14:solidFill>
                </w14:textFill>
              </w:rPr>
              <w:t>法律法规</w:t>
            </w:r>
            <w:r>
              <w:rPr>
                <w:color w:val="000000" w:themeColor="text1"/>
                <w:sz w:val="21"/>
                <w:szCs w:val="21"/>
                <w:highlight w:val="none"/>
                <w14:textFill>
                  <w14:solidFill>
                    <w14:schemeClr w14:val="tx1"/>
                  </w14:solidFill>
                </w14:textFill>
              </w:rPr>
              <w:t>规定需特殊保护的其他区域。</w:t>
            </w:r>
          </w:p>
          <w:p w14:paraId="44118858">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2、本项目已编制环境影响评价报 告书。</w:t>
            </w:r>
          </w:p>
          <w:p w14:paraId="7F15CC52">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3、本项目采用</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固液分离+</w:t>
            </w:r>
            <w:r>
              <w:rPr>
                <w:rFonts w:hint="eastAsia"/>
                <w:color w:val="000000" w:themeColor="text1"/>
                <w:sz w:val="21"/>
                <w:szCs w:val="21"/>
                <w:highlight w:val="none"/>
                <w:lang w:val="en-US" w:eastAsia="zh-CN"/>
                <w14:textFill>
                  <w14:solidFill>
                    <w14:schemeClr w14:val="tx1"/>
                  </w14:solidFill>
                </w14:textFill>
              </w:rPr>
              <w:t>黑膜池</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处理工艺、粪便堆肥贮存。污水经处理后用于周边农田灌溉，粪便堆肥</w:t>
            </w:r>
            <w:r>
              <w:rPr>
                <w:rFonts w:hint="eastAsia"/>
                <w:color w:val="000000" w:themeColor="text1"/>
                <w:sz w:val="21"/>
                <w:szCs w:val="21"/>
                <w:highlight w:val="none"/>
                <w:lang w:val="en-US" w:eastAsia="zh-CN"/>
                <w14:textFill>
                  <w14:solidFill>
                    <w14:schemeClr w14:val="tx1"/>
                  </w14:solidFill>
                </w14:textFill>
              </w:rPr>
              <w:t>处理</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病死猪、胎衣</w:t>
            </w:r>
            <w:r>
              <w:rPr>
                <w:rFonts w:hint="eastAsia"/>
                <w:color w:val="000000" w:themeColor="text1"/>
                <w:sz w:val="21"/>
                <w:szCs w:val="21"/>
                <w:highlight w:val="none"/>
                <w14:textFill>
                  <w14:solidFill>
                    <w14:schemeClr w14:val="tx1"/>
                  </w14:solidFill>
                </w14:textFill>
              </w:rPr>
              <w:t>委托有资质单位</w:t>
            </w:r>
            <w:r>
              <w:rPr>
                <w:color w:val="000000" w:themeColor="text1"/>
                <w:sz w:val="21"/>
                <w:szCs w:val="21"/>
                <w:highlight w:val="none"/>
                <w14:textFill>
                  <w14:solidFill>
                    <w14:schemeClr w14:val="tx1"/>
                  </w14:solidFill>
                </w14:textFill>
              </w:rPr>
              <w:t>进行处理。</w:t>
            </w:r>
          </w:p>
          <w:p w14:paraId="41C9FB61">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4、本项目采用科学饲养方式，清粪工艺为干清粪工艺，粪便添加除 臭剂，减少废气产生。</w:t>
            </w:r>
          </w:p>
        </w:tc>
        <w:tc>
          <w:tcPr>
            <w:tcW w:w="590" w:type="dxa"/>
            <w:tcBorders>
              <w:top w:val="single" w:color="000000" w:sz="4" w:space="0"/>
              <w:bottom w:val="single" w:color="000000" w:sz="4" w:space="0"/>
            </w:tcBorders>
            <w:vAlign w:val="center"/>
          </w:tcPr>
          <w:p w14:paraId="49188E26">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7BDD5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72" w:hRule="atLeast"/>
          <w:tblHeader/>
        </w:trPr>
        <w:tc>
          <w:tcPr>
            <w:tcW w:w="355" w:type="dxa"/>
            <w:tcBorders>
              <w:top w:val="single" w:color="000000" w:sz="4" w:space="0"/>
            </w:tcBorders>
            <w:textDirection w:val="tbRlV"/>
            <w:vAlign w:val="center"/>
          </w:tcPr>
          <w:p w14:paraId="423A2F2B">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综合利用与治理</w:t>
            </w:r>
          </w:p>
        </w:tc>
        <w:tc>
          <w:tcPr>
            <w:tcW w:w="4330" w:type="dxa"/>
            <w:tcBorders>
              <w:top w:val="single" w:color="000000" w:sz="4" w:space="0"/>
            </w:tcBorders>
            <w:vAlign w:val="center"/>
          </w:tcPr>
          <w:p w14:paraId="70954538">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1、国家鼓励和支持采取粪肥还田、制取沼气、制造有机肥等方法，对畜禽养殖废弃物进行综合利用。</w:t>
            </w:r>
          </w:p>
          <w:p w14:paraId="70D9A3E0">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2、国家鼓励和支持采取种植和养殖相结合的方 式消纳利用畜禽养殖废弃物，促进畜禽粪便、污水等废弃物就地就近利用。</w:t>
            </w:r>
          </w:p>
          <w:p w14:paraId="6669B7A6">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3、国家鼓励和支持沼气制取、有机肥生产等废 弃物综合利用以及沼渣沼液输送和施用、沼气 发电等相关配套设施建设。</w:t>
            </w:r>
          </w:p>
          <w:p w14:paraId="44C2EAA1">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4、将畜禽粪便、污水、沼渣、沼液等用作肥料的，应当与土地的消纳能力相适应，并采取有效措施，消除可能引起传染病的微生物，防止污染环境和传播疫病。</w:t>
            </w:r>
          </w:p>
          <w:p w14:paraId="6BC11691">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5、从事畜禽养殖活动和畜禽养殖废弃物处理活 动，应当及时对畜禽粪便、畜禽尸体、污水等进行收集、贮存、清运，防止恶臭和畜禽养殖废弃物渗出、泄漏。</w:t>
            </w:r>
          </w:p>
          <w:p w14:paraId="6F0E6E3F">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6、向环境排放经过处理的畜禽养殖废弃物，应 当符合国家和地方规定的污染物排放标准和总 量控制指标。畜禽养殖废弃物未经处理，不得直接向环境排放。</w:t>
            </w:r>
          </w:p>
          <w:p w14:paraId="24FB89AD">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7、染疫畜禽以及染疫畜禽排泄物、染疫畜禽产 品、病死或者死因不明的畜禽尸体等病害畜禽 养殖废弃物，应当按照有关</w:t>
            </w:r>
            <w:r>
              <w:rPr>
                <w:rFonts w:hint="eastAsia"/>
                <w:color w:val="000000" w:themeColor="text1"/>
                <w:sz w:val="21"/>
                <w:szCs w:val="21"/>
                <w:highlight w:val="none"/>
                <w14:textFill>
                  <w14:solidFill>
                    <w14:schemeClr w14:val="tx1"/>
                  </w14:solidFill>
                </w14:textFill>
              </w:rPr>
              <w:t>法律法规</w:t>
            </w:r>
            <w:r>
              <w:rPr>
                <w:color w:val="000000" w:themeColor="text1"/>
                <w:sz w:val="21"/>
                <w:szCs w:val="21"/>
                <w:highlight w:val="none"/>
                <w14:textFill>
                  <w14:solidFill>
                    <w14:schemeClr w14:val="tx1"/>
                  </w14:solidFill>
                </w14:textFill>
              </w:rPr>
              <w:t>和国务院农牧主管部门的规定，进行深埋、化制、焚烧等无害化处理，不得随意处置。</w:t>
            </w:r>
          </w:p>
          <w:p w14:paraId="4BE11503">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8、畜禽养殖场、养殖小区应当定期将畜禽养殖 品种、规模以及畜禽养殖废弃物的产生、排放和综合利用等情况，报县级人民政府环境保护主管部门备案。环境保护主管部门应当定期将备案情况抄送同级农牧主管部门。</w:t>
            </w:r>
          </w:p>
          <w:p w14:paraId="078858DC">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畜牧业发展规划、土地利用总体规划、城乡规划调整以及划定禁止养殖区域，或者因对污染严重的畜禽养殖密集区域进行综合整治，确需关闭或者搬迁现有畜禽养殖场所，致使畜禽养殖者遭受经济损失的，由县级以上地方人民政府依法予以补偿。</w:t>
            </w:r>
          </w:p>
        </w:tc>
        <w:tc>
          <w:tcPr>
            <w:tcW w:w="3123" w:type="dxa"/>
            <w:tcBorders>
              <w:top w:val="single" w:color="000000" w:sz="4" w:space="0"/>
            </w:tcBorders>
            <w:vAlign w:val="center"/>
          </w:tcPr>
          <w:p w14:paraId="13D0A40E">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1、本项目粪便采用好氧堆肥的方法，</w:t>
            </w:r>
            <w:r>
              <w:rPr>
                <w:rFonts w:hint="eastAsia"/>
                <w:color w:val="000000" w:themeColor="text1"/>
                <w:sz w:val="21"/>
                <w:szCs w:val="21"/>
                <w:highlight w:val="none"/>
                <w:lang w:val="en-US" w:eastAsia="zh-CN"/>
                <w14:textFill>
                  <w14:solidFill>
                    <w14:schemeClr w14:val="tx1"/>
                  </w14:solidFill>
                </w14:textFill>
              </w:rPr>
              <w:t>堆肥后</w:t>
            </w:r>
            <w:r>
              <w:rPr>
                <w:color w:val="000000" w:themeColor="text1"/>
                <w:sz w:val="21"/>
                <w:szCs w:val="21"/>
                <w:highlight w:val="none"/>
                <w14:textFill>
                  <w14:solidFill>
                    <w14:schemeClr w14:val="tx1"/>
                  </w14:solidFill>
                </w14:textFill>
              </w:rPr>
              <w:t>外售。</w:t>
            </w:r>
          </w:p>
          <w:p w14:paraId="7118E24C">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2、本项目考虑土地承载力，污水处理达标后，用于项目周边农田灌溉。</w:t>
            </w:r>
          </w:p>
          <w:p w14:paraId="5A20C39B">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3、本项目粪便采用好氧堆肥制成有机肥外售。</w:t>
            </w:r>
          </w:p>
          <w:p w14:paraId="44B454FC">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4、本项目综合考虑土地的消纳能力，粪污水用于周边农田灌溉，粪便制成有机肥外售。</w:t>
            </w:r>
          </w:p>
          <w:p w14:paraId="7E11DEAD">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5、本项目粪污水通过管道及时收集，进入</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固液分离+黑膜池</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处理，粪便采用漏缝板方式及时清理，各处理设施均采用了防渗、防漏措施。</w:t>
            </w:r>
          </w:p>
          <w:p w14:paraId="19420878">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6、本项目废水、废气均达标排放，总量控制指标符合</w:t>
            </w:r>
            <w:r>
              <w:rPr>
                <w:rFonts w:hint="eastAsia"/>
                <w:color w:val="000000" w:themeColor="text1"/>
                <w:sz w:val="21"/>
                <w:szCs w:val="21"/>
                <w:highlight w:val="none"/>
                <w:lang w:val="en-US" w:eastAsia="zh-CN"/>
                <w14:textFill>
                  <w14:solidFill>
                    <w14:schemeClr w14:val="tx1"/>
                  </w14:solidFill>
                </w14:textFill>
              </w:rPr>
              <w:t>胡杨河市</w:t>
            </w:r>
            <w:r>
              <w:rPr>
                <w:color w:val="000000" w:themeColor="text1"/>
                <w:sz w:val="21"/>
                <w:szCs w:val="21"/>
                <w:highlight w:val="none"/>
                <w14:textFill>
                  <w14:solidFill>
                    <w14:schemeClr w14:val="tx1"/>
                  </w14:solidFill>
                </w14:textFill>
              </w:rPr>
              <w:t>要求。</w:t>
            </w:r>
          </w:p>
          <w:p w14:paraId="62EAFAC9">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r>
              <w:rPr>
                <w:rFonts w:hint="eastAsia"/>
                <w:color w:val="000000" w:themeColor="text1"/>
                <w:sz w:val="21"/>
                <w:szCs w:val="21"/>
                <w:highlight w:val="none"/>
                <w:lang w:eastAsia="zh-CN"/>
                <w14:textFill>
                  <w14:solidFill>
                    <w14:schemeClr w14:val="tx1"/>
                  </w14:solidFill>
                </w14:textFill>
              </w:rPr>
              <w:t>病死猪、胎衣</w:t>
            </w:r>
            <w:r>
              <w:rPr>
                <w:rFonts w:hint="eastAsia"/>
                <w:color w:val="000000" w:themeColor="text1"/>
                <w:sz w:val="21"/>
                <w:szCs w:val="21"/>
                <w:highlight w:val="none"/>
                <w14:textFill>
                  <w14:solidFill>
                    <w14:schemeClr w14:val="tx1"/>
                  </w14:solidFill>
                </w14:textFill>
              </w:rPr>
              <w:t>委托有资质单位</w:t>
            </w:r>
            <w:r>
              <w:rPr>
                <w:color w:val="000000" w:themeColor="text1"/>
                <w:sz w:val="21"/>
                <w:szCs w:val="21"/>
                <w:highlight w:val="none"/>
                <w14:textFill>
                  <w14:solidFill>
                    <w14:schemeClr w14:val="tx1"/>
                  </w14:solidFill>
                </w14:textFill>
              </w:rPr>
              <w:t>进行处理。</w:t>
            </w:r>
          </w:p>
          <w:p w14:paraId="0FF77757">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8、本项目目前正编制环境影响评价文件，该文件将交由</w:t>
            </w:r>
            <w:r>
              <w:rPr>
                <w:rFonts w:hint="eastAsia"/>
                <w:color w:val="000000" w:themeColor="text1"/>
                <w:sz w:val="21"/>
                <w:szCs w:val="21"/>
                <w:highlight w:val="none"/>
                <w:lang w:val="en-US" w:eastAsia="zh-CN"/>
                <w14:textFill>
                  <w14:solidFill>
                    <w14:schemeClr w14:val="tx1"/>
                  </w14:solidFill>
                </w14:textFill>
              </w:rPr>
              <w:t>胡杨河市</w:t>
            </w:r>
            <w:r>
              <w:rPr>
                <w:color w:val="000000" w:themeColor="text1"/>
                <w:sz w:val="21"/>
                <w:szCs w:val="21"/>
                <w:highlight w:val="none"/>
                <w14:textFill>
                  <w14:solidFill>
                    <w14:schemeClr w14:val="tx1"/>
                  </w14:solidFill>
                </w14:textFill>
              </w:rPr>
              <w:t>生态环境局</w:t>
            </w:r>
            <w:r>
              <w:rPr>
                <w:rFonts w:hint="eastAsia"/>
                <w:color w:val="000000" w:themeColor="text1"/>
                <w:sz w:val="21"/>
                <w:szCs w:val="21"/>
                <w:highlight w:val="none"/>
                <w:lang w:val="en-US" w:eastAsia="zh-CN"/>
                <w14:textFill>
                  <w14:solidFill>
                    <w14:schemeClr w14:val="tx1"/>
                  </w14:solidFill>
                </w14:textFill>
              </w:rPr>
              <w:t>审批</w:t>
            </w:r>
            <w:r>
              <w:rPr>
                <w:color w:val="000000" w:themeColor="text1"/>
                <w:sz w:val="21"/>
                <w:szCs w:val="21"/>
                <w:highlight w:val="none"/>
                <w14:textFill>
                  <w14:solidFill>
                    <w14:schemeClr w14:val="tx1"/>
                  </w14:solidFill>
                </w14:textFill>
              </w:rPr>
              <w:t>，之后会开展环保验收，报环保部门备案。</w:t>
            </w:r>
          </w:p>
          <w:p w14:paraId="52A88E67">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9、本项目不在禁养区和限养区内，符合畜牧业发展规划，项目不在养殖密集区，本项目不在拆迁范围之内。</w:t>
            </w:r>
          </w:p>
        </w:tc>
        <w:tc>
          <w:tcPr>
            <w:tcW w:w="590" w:type="dxa"/>
            <w:tcBorders>
              <w:top w:val="single" w:color="000000" w:sz="4" w:space="0"/>
            </w:tcBorders>
            <w:vAlign w:val="center"/>
          </w:tcPr>
          <w:p w14:paraId="038C3D7C">
            <w:pPr>
              <w:spacing w:line="240" w:lineRule="auto"/>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6E3E229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）与《关于做好畜禽规模养殖项目环境影响评价管理工作的通知》（环办环评〔2018〕31号）的相符性分析</w:t>
      </w:r>
    </w:p>
    <w:p w14:paraId="44E7AB3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w:t>
      </w:r>
      <w:r>
        <w:rPr>
          <w:b/>
          <w:bCs/>
          <w:color w:val="000000" w:themeColor="text1"/>
          <w:sz w:val="21"/>
          <w:szCs w:val="21"/>
          <w:highlight w:val="none"/>
          <w14:textFill>
            <w14:solidFill>
              <w14:schemeClr w14:val="tx1"/>
            </w14:solidFill>
          </w14:textFill>
        </w:rPr>
        <w:t>-2  本项目与环办环评〔2018〕31号符合性分析</w:t>
      </w:r>
    </w:p>
    <w:tbl>
      <w:tblPr>
        <w:tblStyle w:val="58"/>
        <w:tblW w:w="8350"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23"/>
        <w:gridCol w:w="3109"/>
        <w:gridCol w:w="518"/>
      </w:tblGrid>
      <w:tr w14:paraId="67E53C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723" w:type="dxa"/>
            <w:vAlign w:val="center"/>
          </w:tcPr>
          <w:p w14:paraId="6552D69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文件规定</w:t>
            </w:r>
          </w:p>
        </w:tc>
        <w:tc>
          <w:tcPr>
            <w:tcW w:w="3109" w:type="dxa"/>
            <w:vAlign w:val="center"/>
          </w:tcPr>
          <w:p w14:paraId="4D2BFC3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518" w:type="dxa"/>
            <w:vAlign w:val="center"/>
          </w:tcPr>
          <w:p w14:paraId="61E4B48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符合情况</w:t>
            </w:r>
          </w:p>
        </w:tc>
      </w:tr>
      <w:tr w14:paraId="7A4D9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2" w:hRule="atLeast"/>
        </w:trPr>
        <w:tc>
          <w:tcPr>
            <w:tcW w:w="4723" w:type="dxa"/>
            <w:vAlign w:val="center"/>
          </w:tcPr>
          <w:p w14:paraId="5DC4441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环评应充分论证选址的环境合理性，选址应避开当地划定的禁止养殖区域，并与区域主体功能区规划、环境功能区划、土地利用规划、城乡规划、畜牧业发展规划、畜禽养殖污染防治规划等规划相协调。当地未划定禁止养殖区域的，应避开饮用水水源保护区、风景名胜区、自然保护区的核心区和缓冲区、村镇人口集中区域，以及</w:t>
            </w:r>
            <w:r>
              <w:rPr>
                <w:rFonts w:hint="eastAsia"/>
                <w:color w:val="000000" w:themeColor="text1"/>
                <w:sz w:val="21"/>
                <w:szCs w:val="21"/>
                <w:highlight w:val="none"/>
                <w14:textFill>
                  <w14:solidFill>
                    <w14:schemeClr w14:val="tx1"/>
                  </w14:solidFill>
                </w14:textFill>
              </w:rPr>
              <w:t>法律法规</w:t>
            </w:r>
            <w:r>
              <w:rPr>
                <w:color w:val="000000" w:themeColor="text1"/>
                <w:sz w:val="21"/>
                <w:szCs w:val="21"/>
                <w:highlight w:val="none"/>
                <w14:textFill>
                  <w14:solidFill>
                    <w14:schemeClr w14:val="tx1"/>
                  </w14:solidFill>
                </w14:textFill>
              </w:rPr>
              <w:t>规定的禁止养殖区域。</w:t>
            </w:r>
          </w:p>
        </w:tc>
        <w:tc>
          <w:tcPr>
            <w:tcW w:w="3109" w:type="dxa"/>
            <w:vAlign w:val="center"/>
          </w:tcPr>
          <w:p w14:paraId="2F976B4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项目养殖场500米范围内不涉及禁建区域，并且符合新疆生产建设兵团主体功能区规划及畜禽养殖污染防治规划</w:t>
            </w:r>
          </w:p>
        </w:tc>
        <w:tc>
          <w:tcPr>
            <w:tcW w:w="518" w:type="dxa"/>
            <w:vAlign w:val="center"/>
          </w:tcPr>
          <w:p w14:paraId="499DBCC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114BA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723" w:type="dxa"/>
            <w:vAlign w:val="center"/>
          </w:tcPr>
          <w:p w14:paraId="0D3E9D5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项目环评应以农业绿色发展为导向，优化工艺，通过采取优化饲料配方、提高饲养技术等措施，从源头减少粪污的产生量。鼓励采取干清粪方式，采取水泡粪</w:t>
            </w:r>
            <w:r>
              <w:rPr>
                <w:rFonts w:hint="eastAsia"/>
                <w:color w:val="000000" w:themeColor="text1"/>
                <w:sz w:val="21"/>
                <w:szCs w:val="21"/>
                <w:highlight w:val="none"/>
                <w14:textFill>
                  <w14:solidFill>
                    <w14:schemeClr w14:val="tx1"/>
                  </w14:solidFill>
                </w14:textFill>
              </w:rPr>
              <w:t>工艺</w:t>
            </w:r>
            <w:r>
              <w:rPr>
                <w:color w:val="000000" w:themeColor="text1"/>
                <w:sz w:val="21"/>
                <w:szCs w:val="21"/>
                <w:highlight w:val="none"/>
                <w14:textFill>
                  <w14:solidFill>
                    <w14:schemeClr w14:val="tx1"/>
                  </w14:solidFill>
                </w14:textFill>
              </w:rPr>
              <w:t>应最大限度降低用水量。场区应采取雨污分离措施，防止雨水进入粪污收集系统</w:t>
            </w:r>
          </w:p>
        </w:tc>
        <w:tc>
          <w:tcPr>
            <w:tcW w:w="3109" w:type="dxa"/>
            <w:vAlign w:val="center"/>
          </w:tcPr>
          <w:p w14:paraId="4F92781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本项目采用全价饲料，采用干清粪工艺，最大限度的减少用水量。</w:t>
            </w:r>
          </w:p>
        </w:tc>
        <w:tc>
          <w:tcPr>
            <w:tcW w:w="518" w:type="dxa"/>
            <w:vAlign w:val="center"/>
          </w:tcPr>
          <w:p w14:paraId="6A6132A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191BB1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4723" w:type="dxa"/>
            <w:vAlign w:val="center"/>
          </w:tcPr>
          <w:p w14:paraId="50C442D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环评应结合地域、畜种、规模等特点以及地方相关部门制定的畜禽粪污综合利用目标等要求，加强畜禽养殖粪污资源化利用，因地制宜选择经济高效适用的处理利用模式，采取粪污全量收集还田利用、污水肥料化利用、粪便垫料回用、异位发酵床、粪污专业化能源利用等模式处理利用畜禽粪污，促进畜禽规模养殖项目</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种养结合</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绿色发展。</w:t>
            </w:r>
          </w:p>
        </w:tc>
        <w:tc>
          <w:tcPr>
            <w:tcW w:w="3109" w:type="dxa"/>
            <w:vAlign w:val="center"/>
          </w:tcPr>
          <w:p w14:paraId="6E2797B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粪污分离出的固形物送至</w:t>
            </w:r>
            <w:r>
              <w:rPr>
                <w:rFonts w:hint="eastAsia"/>
                <w:color w:val="000000" w:themeColor="text1"/>
                <w:sz w:val="21"/>
                <w:szCs w:val="21"/>
                <w:highlight w:val="none"/>
                <w:lang w:val="en-US" w:eastAsia="zh-CN"/>
                <w14:textFill>
                  <w14:solidFill>
                    <w14:schemeClr w14:val="tx1"/>
                  </w14:solidFill>
                </w14:textFill>
              </w:rPr>
              <w:t>堆</w:t>
            </w:r>
            <w:r>
              <w:rPr>
                <w:color w:val="000000" w:themeColor="text1"/>
                <w:sz w:val="21"/>
                <w:szCs w:val="21"/>
                <w:highlight w:val="none"/>
                <w14:textFill>
                  <w14:solidFill>
                    <w14:schemeClr w14:val="tx1"/>
                  </w14:solidFill>
                </w14:textFill>
              </w:rPr>
              <w:t>粪场生产有机肥基料，分离液经污水过</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固液分离＋厌氧发酵</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工艺处理后回用于农田灌溉。</w:t>
            </w:r>
          </w:p>
        </w:tc>
        <w:tc>
          <w:tcPr>
            <w:tcW w:w="518" w:type="dxa"/>
            <w:vAlign w:val="center"/>
          </w:tcPr>
          <w:p w14:paraId="5AB312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7BD387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trPr>
        <w:tc>
          <w:tcPr>
            <w:tcW w:w="4723" w:type="dxa"/>
            <w:vAlign w:val="center"/>
          </w:tcPr>
          <w:p w14:paraId="3B7EC27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环评应明确畜禽粪污贮存、处理和利用措施。贮存池应采取有效的防雨、防渗和防溢流措施，防止畜禽粪污污染地下水。贮存池总有效容积应根据贮存期确定。进行资源化利用的畜禽粪污须处理并达到畜禽粪便还田、无害化处理等技术规范要求。畜禽规模养殖项目配套建设沼气工程的，应充分考虑沼气制备及贮存过程中的环境风险，制定环境风险防范措施及应急预案。</w:t>
            </w:r>
          </w:p>
        </w:tc>
        <w:tc>
          <w:tcPr>
            <w:tcW w:w="3109" w:type="dxa"/>
            <w:vAlign w:val="center"/>
          </w:tcPr>
          <w:p w14:paraId="3A24335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干湿分离车间</w:t>
            </w:r>
            <w:r>
              <w:rPr>
                <w:color w:val="000000" w:themeColor="text1"/>
                <w:sz w:val="21"/>
                <w:szCs w:val="21"/>
                <w:highlight w:val="none"/>
                <w14:textFill>
                  <w14:solidFill>
                    <w14:schemeClr w14:val="tx1"/>
                  </w14:solidFill>
                </w14:textFill>
              </w:rPr>
              <w:t>采用封闭运行，并做好防渗。</w:t>
            </w: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的容积足够满足本项目粪污处理需求，粪污分离出的固形物送至粪场生产有机肥基料，分离液经污水过</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固液分离＋厌氧发酵</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工艺处理后回用于农田灌溉。本项目将制定应急预案，并制定严格的环境风险防范措施</w:t>
            </w:r>
          </w:p>
        </w:tc>
        <w:tc>
          <w:tcPr>
            <w:tcW w:w="518" w:type="dxa"/>
            <w:vAlign w:val="center"/>
          </w:tcPr>
          <w:p w14:paraId="7F7E842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76335A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4" w:hRule="atLeast"/>
        </w:trPr>
        <w:tc>
          <w:tcPr>
            <w:tcW w:w="4723" w:type="dxa"/>
            <w:vAlign w:val="center"/>
          </w:tcPr>
          <w:p w14:paraId="2412AFC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依据相关法律法规和技术规范，制定明确的病死畜 禽处理、处置方案，及时处理病死畜禽。针对畜禽规模养殖项目的恶臭影响，可采取控制饲养密度、改善舍内通风、及时清粪、采用除臭剂、集中收集处理等措施，确保项目恶臭污染物达标排放。</w:t>
            </w:r>
          </w:p>
        </w:tc>
        <w:tc>
          <w:tcPr>
            <w:tcW w:w="3109" w:type="dxa"/>
            <w:vAlign w:val="center"/>
          </w:tcPr>
          <w:p w14:paraId="767C9DF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病死猪、胎衣</w:t>
            </w:r>
            <w:r>
              <w:rPr>
                <w:rFonts w:hint="eastAsia"/>
                <w:color w:val="000000" w:themeColor="text1"/>
                <w:sz w:val="21"/>
                <w:szCs w:val="21"/>
                <w:highlight w:val="none"/>
                <w14:textFill>
                  <w14:solidFill>
                    <w14:schemeClr w14:val="tx1"/>
                  </w14:solidFill>
                </w14:textFill>
              </w:rPr>
              <w:t>委托有资质单位</w:t>
            </w:r>
            <w:r>
              <w:rPr>
                <w:color w:val="000000" w:themeColor="text1"/>
                <w:sz w:val="21"/>
                <w:szCs w:val="21"/>
                <w:highlight w:val="none"/>
                <w14:textFill>
                  <w14:solidFill>
                    <w14:schemeClr w14:val="tx1"/>
                  </w14:solidFill>
                </w14:textFill>
              </w:rPr>
              <w:t>进行处理，养殖项目产生的恶臭通过增加清粪频次；加强猪舍通排风、采用除臭剂，确保项目恶臭能够达标排放</w:t>
            </w:r>
          </w:p>
        </w:tc>
        <w:tc>
          <w:tcPr>
            <w:tcW w:w="518" w:type="dxa"/>
            <w:vAlign w:val="center"/>
          </w:tcPr>
          <w:p w14:paraId="2029753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3F4A0E9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）与《</w:t>
      </w:r>
      <w:r>
        <w:rPr>
          <w:rFonts w:hint="eastAsia"/>
          <w:color w:val="000000" w:themeColor="text1"/>
          <w:highlight w:val="none"/>
          <w14:textFill>
            <w14:solidFill>
              <w14:schemeClr w14:val="tx1"/>
            </w14:solidFill>
          </w14:textFill>
        </w:rPr>
        <w:t>畜禽养殖场(户)粪污处理设施建设技术指南</w:t>
      </w:r>
      <w:r>
        <w:rPr>
          <w:color w:val="000000" w:themeColor="text1"/>
          <w:highlight w:val="none"/>
          <w14:textFill>
            <w14:solidFill>
              <w14:schemeClr w14:val="tx1"/>
            </w14:solidFill>
          </w14:textFill>
        </w:rPr>
        <w:t>》的通知（农办牧〔</w:t>
      </w:r>
      <w:r>
        <w:rPr>
          <w:rFonts w:hint="eastAsia"/>
          <w:color w:val="000000" w:themeColor="text1"/>
          <w:highlight w:val="none"/>
          <w:lang w:val="en-US" w:eastAsia="zh-CN"/>
          <w14:textFill>
            <w14:solidFill>
              <w14:schemeClr w14:val="tx1"/>
            </w14:solidFill>
          </w14:textFill>
        </w:rPr>
        <w:t>2022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19</w:t>
      </w:r>
      <w:r>
        <w:rPr>
          <w:color w:val="000000" w:themeColor="text1"/>
          <w:highlight w:val="none"/>
          <w14:textFill>
            <w14:solidFill>
              <w14:schemeClr w14:val="tx1"/>
            </w14:solidFill>
          </w14:textFill>
        </w:rPr>
        <w:t>号）的符合性分析</w:t>
      </w:r>
    </w:p>
    <w:p w14:paraId="120BEAF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 xml:space="preserve">  与农办牧〔20</w:t>
      </w:r>
      <w:r>
        <w:rPr>
          <w:rFonts w:hint="eastAsia"/>
          <w:b/>
          <w:bCs/>
          <w:color w:val="000000" w:themeColor="text1"/>
          <w:sz w:val="21"/>
          <w:szCs w:val="21"/>
          <w:highlight w:val="none"/>
          <w:lang w:val="en-US" w:eastAsia="zh-CN"/>
          <w14:textFill>
            <w14:solidFill>
              <w14:schemeClr w14:val="tx1"/>
            </w14:solidFill>
          </w14:textFill>
        </w:rPr>
        <w:t>22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19</w:t>
      </w:r>
      <w:r>
        <w:rPr>
          <w:b/>
          <w:bCs/>
          <w:color w:val="000000" w:themeColor="text1"/>
          <w:sz w:val="21"/>
          <w:szCs w:val="21"/>
          <w:highlight w:val="none"/>
          <w14:textFill>
            <w14:solidFill>
              <w14:schemeClr w14:val="tx1"/>
            </w14:solidFill>
          </w14:textFill>
        </w:rPr>
        <w:t>号的符合性分析</w:t>
      </w:r>
    </w:p>
    <w:tbl>
      <w:tblPr>
        <w:tblStyle w:val="58"/>
        <w:tblW w:w="8448" w:type="dxa"/>
        <w:tblInd w:w="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55"/>
        <w:gridCol w:w="3193"/>
        <w:gridCol w:w="600"/>
      </w:tblGrid>
      <w:tr w14:paraId="26B6E0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4655" w:type="dxa"/>
            <w:vAlign w:val="center"/>
          </w:tcPr>
          <w:p w14:paraId="2B4BB76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文件规定</w:t>
            </w:r>
          </w:p>
        </w:tc>
        <w:tc>
          <w:tcPr>
            <w:tcW w:w="3193" w:type="dxa"/>
            <w:vAlign w:val="center"/>
          </w:tcPr>
          <w:p w14:paraId="66FD88B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600" w:type="dxa"/>
            <w:vAlign w:val="center"/>
          </w:tcPr>
          <w:p w14:paraId="1D48479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符合情况</w:t>
            </w:r>
          </w:p>
        </w:tc>
      </w:tr>
      <w:tr w14:paraId="791BC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4655" w:type="dxa"/>
            <w:vAlign w:val="center"/>
          </w:tcPr>
          <w:p w14:paraId="413ECCB3">
            <w:pPr>
              <w:pStyle w:val="5"/>
              <w:numPr>
                <w:ilvl w:val="3"/>
                <w:numId w:val="0"/>
              </w:numPr>
              <w:ind w:leftChars="0" w:firstLine="420" w:firstLineChars="200"/>
              <w:rPr>
                <w:rFonts w:hint="eastAsia"/>
                <w:color w:val="000000" w:themeColor="text1"/>
                <w:highlight w:val="none"/>
                <w14:textFill>
                  <w14:solidFill>
                    <w14:schemeClr w14:val="tx1"/>
                  </w14:solidFill>
                </w14:textFill>
              </w:rPr>
            </w:pPr>
            <w:r>
              <w:rPr>
                <w:rFonts w:hint="eastAsia" w:ascii="Times New Roman" w:hAnsi="Times New Roman" w:eastAsia="宋体" w:cs="宋体"/>
                <w:b w:val="0"/>
                <w:color w:val="000000" w:themeColor="text1"/>
                <w:kern w:val="0"/>
                <w:sz w:val="21"/>
                <w:szCs w:val="21"/>
                <w:highlight w:val="none"/>
                <w:lang w:val="en-US" w:eastAsia="zh-CN" w:bidi="ar-SA"/>
                <w14:textFill>
                  <w14:solidFill>
                    <w14:schemeClr w14:val="tx1"/>
                  </w14:solidFill>
                </w14:textFill>
              </w:rPr>
              <w:t>畜禽养殖场应根据养殖污染防治要求和当地环境承载力，配备与设计生产能力、粪污处理利用方式相匹配的畜禽粪污处理设施设备</w:t>
            </w:r>
            <w:r>
              <w:rPr>
                <w:rFonts w:hint="eastAsia" w:cs="宋体"/>
                <w:b w:val="0"/>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宋体"/>
                <w:b w:val="0"/>
                <w:color w:val="000000" w:themeColor="text1"/>
                <w:kern w:val="0"/>
                <w:sz w:val="21"/>
                <w:szCs w:val="21"/>
                <w:highlight w:val="none"/>
                <w:lang w:val="en-US" w:eastAsia="zh-CN" w:bidi="ar-SA"/>
                <w14:textFill>
                  <w14:solidFill>
                    <w14:schemeClr w14:val="tx1"/>
                  </w14:solidFill>
                </w14:textFill>
              </w:rPr>
              <w:t>满足防雨、防渗、防溢流和安全防护要求</w:t>
            </w:r>
            <w:r>
              <w:rPr>
                <w:rFonts w:hint="eastAsia" w:cs="宋体"/>
                <w:b w:val="0"/>
                <w:color w:val="000000" w:themeColor="text1"/>
                <w:kern w:val="0"/>
                <w:sz w:val="21"/>
                <w:szCs w:val="21"/>
                <w:highlight w:val="none"/>
                <w:lang w:val="en-US" w:eastAsia="zh-CN" w:bidi="ar-SA"/>
                <w14:textFill>
                  <w14:solidFill>
                    <w14:schemeClr w14:val="tx1"/>
                  </w14:solidFill>
                </w14:textFill>
              </w:rPr>
              <w:t>，</w:t>
            </w:r>
            <w:r>
              <w:rPr>
                <w:rFonts w:hint="eastAsia" w:ascii="Times New Roman" w:hAnsi="Times New Roman" w:eastAsia="宋体" w:cs="宋体"/>
                <w:b w:val="0"/>
                <w:color w:val="000000" w:themeColor="text1"/>
                <w:kern w:val="0"/>
                <w:sz w:val="21"/>
                <w:szCs w:val="21"/>
                <w:highlight w:val="none"/>
                <w:lang w:val="en-US" w:eastAsia="zh-CN" w:bidi="ar-SA"/>
                <w14:textFill>
                  <w14:solidFill>
                    <w14:schemeClr w14:val="tx1"/>
                  </w14:solidFill>
                </w14:textFill>
              </w:rPr>
              <w:t>并确保正常运行。交由第三方处理机构处理畜禽粪污的，应按照转运时间间隔建设粪污暂存设施。畜禽养殖户应当采取措施，对畜禽粪污进行科学处理，防止污染环境</w:t>
            </w:r>
            <w:r>
              <w:rPr>
                <w:rFonts w:hint="eastAsia" w:ascii="Times New Roman" w:hAnsi="Times New Roman" w:cs="宋体"/>
                <w:b w:val="0"/>
                <w:color w:val="000000" w:themeColor="text1"/>
                <w:kern w:val="0"/>
                <w:sz w:val="21"/>
                <w:szCs w:val="21"/>
                <w:highlight w:val="none"/>
                <w:lang w:val="en-US" w:eastAsia="zh-CN" w:bidi="ar-SA"/>
                <w14:textFill>
                  <w14:solidFill>
                    <w14:schemeClr w14:val="tx1"/>
                  </w14:solidFill>
                </w14:textFill>
              </w:rPr>
              <w:t>。</w:t>
            </w:r>
          </w:p>
        </w:tc>
        <w:tc>
          <w:tcPr>
            <w:tcW w:w="3193" w:type="dxa"/>
            <w:vAlign w:val="center"/>
          </w:tcPr>
          <w:p w14:paraId="0FBC485C">
            <w:pPr>
              <w:spacing w:line="240" w:lineRule="auto"/>
              <w:ind w:firstLine="420" w:firstLineChars="20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w:t>
            </w:r>
            <w:r>
              <w:rPr>
                <w:color w:val="000000" w:themeColor="text1"/>
                <w:sz w:val="21"/>
                <w:szCs w:val="21"/>
                <w:highlight w:val="none"/>
                <w14:textFill>
                  <w14:solidFill>
                    <w14:schemeClr w14:val="tx1"/>
                  </w14:solidFill>
                </w14:textFill>
              </w:rPr>
              <w:t>项目产生的粪污经固液分离后，固体粪便经收集后送</w:t>
            </w:r>
            <w:r>
              <w:rPr>
                <w:rFonts w:hint="eastAsia"/>
                <w:color w:val="000000" w:themeColor="text1"/>
                <w:sz w:val="21"/>
                <w:szCs w:val="21"/>
                <w:highlight w:val="none"/>
                <w14:textFill>
                  <w14:solidFill>
                    <w14:schemeClr w14:val="tx1"/>
                  </w14:solidFill>
                </w14:textFill>
              </w:rPr>
              <w:t>堆粪场</w:t>
            </w:r>
            <w:r>
              <w:rPr>
                <w:rFonts w:hint="eastAsia"/>
                <w:color w:val="000000" w:themeColor="text1"/>
                <w:sz w:val="21"/>
                <w:szCs w:val="21"/>
                <w:highlight w:val="none"/>
                <w:lang w:val="en-US" w:eastAsia="zh-CN"/>
                <w14:textFill>
                  <w14:solidFill>
                    <w14:schemeClr w14:val="tx1"/>
                  </w14:solidFill>
                </w14:textFill>
              </w:rPr>
              <w:t>堆肥</w:t>
            </w:r>
            <w:r>
              <w:rPr>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采用</w:t>
            </w:r>
            <w:r>
              <w:rPr>
                <w:rFonts w:hint="eastAsia"/>
                <w:color w:val="000000" w:themeColor="text1"/>
                <w:sz w:val="21"/>
                <w:szCs w:val="21"/>
                <w:highlight w:val="none"/>
                <w:lang w:val="en-US" w:eastAsia="zh-CN"/>
                <w14:textFill>
                  <w14:solidFill>
                    <w14:schemeClr w14:val="tx1"/>
                  </w14:solidFill>
                </w14:textFill>
              </w:rPr>
              <w:t>半</w:t>
            </w:r>
            <w:r>
              <w:rPr>
                <w:color w:val="000000" w:themeColor="text1"/>
                <w:sz w:val="21"/>
                <w:szCs w:val="21"/>
                <w:highlight w:val="none"/>
                <w14:textFill>
                  <w14:solidFill>
                    <w14:schemeClr w14:val="tx1"/>
                  </w14:solidFill>
                </w14:textFill>
              </w:rPr>
              <w:t>封闭运行，为不露天建筑，采取防雨（水）措施</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养殖废水和生活污水</w:t>
            </w:r>
            <w:r>
              <w:rPr>
                <w:rFonts w:hint="eastAsia"/>
                <w:color w:val="000000" w:themeColor="text1"/>
                <w:sz w:val="21"/>
                <w:szCs w:val="21"/>
                <w:highlight w:val="none"/>
                <w:lang w:val="en-US" w:eastAsia="zh-CN"/>
                <w14:textFill>
                  <w14:solidFill>
                    <w14:schemeClr w14:val="tx1"/>
                  </w14:solidFill>
                </w14:textFill>
              </w:rPr>
              <w:t>经“固液分离+黑膜池”</w:t>
            </w:r>
            <w:r>
              <w:rPr>
                <w:color w:val="000000" w:themeColor="text1"/>
                <w:sz w:val="21"/>
                <w:szCs w:val="21"/>
                <w:highlight w:val="none"/>
                <w14:textFill>
                  <w14:solidFill>
                    <w14:schemeClr w14:val="tx1"/>
                  </w14:solidFill>
                </w14:textFill>
              </w:rPr>
              <w:t>处理后回用于周边农田灌溉。</w:t>
            </w:r>
          </w:p>
        </w:tc>
        <w:tc>
          <w:tcPr>
            <w:tcW w:w="600" w:type="dxa"/>
            <w:vAlign w:val="center"/>
          </w:tcPr>
          <w:p w14:paraId="5B8511B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3C91F5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655" w:type="dxa"/>
            <w:vAlign w:val="center"/>
          </w:tcPr>
          <w:p w14:paraId="431A39D7">
            <w:pPr>
              <w:spacing w:line="240" w:lineRule="auto"/>
              <w:ind w:firstLine="420" w:firstLineChars="200"/>
              <w:jc w:val="left"/>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畜禽养殖场(户)宜采用干清粪、水泡粪、地面垫料、床(网)下垫料等清粪工艺</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逐步淘汰水冲粪工艺</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合理控制清粪环节用水量。新建养殖场采用干清粪工艺的</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鼓励进行机械干清粪。鼓励畜禽养殖场采用碗式或液位控制等防溢漏饮水器</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减少饮水漏水。新建猪、鸡等养殖场宜采取圈舍封闭半封闭管理</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鼓励有条件的现有畜禽养殖场开展圈舍封闭改造，对恶臭气体进行收集处理畜禽养殖场(户)应保持合理的清粪频次，及时收集圈舍和运动场的粪污。鼓励畜禽养殖场做好运动场的防雨、防渗和防溢流降低环境污染风险，</w:t>
            </w:r>
          </w:p>
        </w:tc>
        <w:tc>
          <w:tcPr>
            <w:tcW w:w="3193" w:type="dxa"/>
            <w:vAlign w:val="center"/>
          </w:tcPr>
          <w:p w14:paraId="5CFAC78C">
            <w:pPr>
              <w:spacing w:line="240" w:lineRule="auto"/>
              <w:jc w:val="left"/>
              <w:rPr>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本项目圈舍封闭，并对猪舍、集粪池、黑膜池、堆粪场、危废间等进行分区防渗，本项目</w:t>
            </w:r>
            <w:r>
              <w:rPr>
                <w:rFonts w:hint="eastAsia" w:ascii="Times New Roman" w:hAnsi="Times New Roman"/>
                <w:color w:val="000000" w:themeColor="text1"/>
                <w:sz w:val="21"/>
                <w:szCs w:val="21"/>
                <w:highlight w:val="none"/>
                <w14:textFill>
                  <w14:solidFill>
                    <w14:schemeClr w14:val="tx1"/>
                  </w14:solidFill>
                </w14:textFill>
              </w:rPr>
              <w:t>粪便清理采用干清粪处理工艺，即粪便经漏缝地板+虹吸管</w:t>
            </w:r>
            <w:r>
              <w:rPr>
                <w:rFonts w:hint="eastAsia" w:ascii="Times New Roman" w:hAnsi="Times New Roman"/>
                <w:color w:val="000000" w:themeColor="text1"/>
                <w:sz w:val="21"/>
                <w:szCs w:val="21"/>
                <w:highlight w:val="none"/>
                <w:lang w:eastAsia="zh-CN"/>
                <w14:textFill>
                  <w14:solidFill>
                    <w14:schemeClr w14:val="tx1"/>
                  </w14:solidFill>
                </w14:textFill>
              </w:rPr>
              <w:t>集粪池</w:t>
            </w:r>
            <w:r>
              <w:rPr>
                <w:rFonts w:hint="eastAsia" w:ascii="Times New Roman" w:hAnsi="Times New Roman"/>
                <w:color w:val="000000" w:themeColor="text1"/>
                <w:sz w:val="21"/>
                <w:szCs w:val="21"/>
                <w:highlight w:val="none"/>
                <w14:textFill>
                  <w14:solidFill>
                    <w14:schemeClr w14:val="tx1"/>
                  </w14:solidFill>
                </w14:textFill>
              </w:rPr>
              <w:t>收集后（清粪的比例宜大于等于70%），采用机械（人工辅助）清除猪舍粪便。粪尿排放至集污池内，经固液分离，固体粪便进入</w:t>
            </w:r>
            <w:r>
              <w:rPr>
                <w:rFonts w:hint="eastAsia" w:ascii="Times New Roman" w:hAnsi="Times New Roman"/>
                <w:color w:val="000000" w:themeColor="text1"/>
                <w:sz w:val="21"/>
                <w:szCs w:val="21"/>
                <w:highlight w:val="none"/>
                <w:lang w:eastAsia="zh-CN"/>
                <w14:textFill>
                  <w14:solidFill>
                    <w14:schemeClr w14:val="tx1"/>
                  </w14:solidFill>
                </w14:textFill>
              </w:rPr>
              <w:t>堆粪场</w:t>
            </w:r>
            <w:r>
              <w:rPr>
                <w:rFonts w:hint="eastAsia" w:ascii="Times New Roman" w:hAnsi="Times New Roman"/>
                <w:color w:val="000000" w:themeColor="text1"/>
                <w:sz w:val="21"/>
                <w:szCs w:val="21"/>
                <w:highlight w:val="none"/>
                <w14:textFill>
                  <w14:solidFill>
                    <w14:schemeClr w14:val="tx1"/>
                  </w14:solidFill>
                </w14:textFill>
              </w:rPr>
              <w:t>堆放，生产固体肥料，液体进入场内的污水处理系统进行发酵处理制成液体肥料，用于农田施肥。</w:t>
            </w:r>
          </w:p>
        </w:tc>
        <w:tc>
          <w:tcPr>
            <w:tcW w:w="600" w:type="dxa"/>
            <w:vAlign w:val="center"/>
          </w:tcPr>
          <w:p w14:paraId="39A56BD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656D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6" w:hRule="atLeast"/>
        </w:trPr>
        <w:tc>
          <w:tcPr>
            <w:tcW w:w="4655" w:type="dxa"/>
            <w:vAlign w:val="center"/>
          </w:tcPr>
          <w:p w14:paraId="7C6A05FC">
            <w:pPr>
              <w:spacing w:line="240" w:lineRule="auto"/>
              <w:ind w:firstLine="420" w:firstLineChars="200"/>
              <w:jc w:val="left"/>
              <w:rPr>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畜禽养殖场(户)应建设雨污分流设施，液体粪污应采用暗沟或管道输送</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采取密闭措施</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做好安全防护</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14:textFill>
                  <w14:solidFill>
                    <w14:schemeClr w14:val="tx1"/>
                  </w14:solidFill>
                </w14:textFill>
              </w:rPr>
              <w:t>输送管路要合理设置检查口，检查口应加盖且一般高于地面5厘米以上，防止雨水倒灌。</w:t>
            </w:r>
          </w:p>
        </w:tc>
        <w:tc>
          <w:tcPr>
            <w:tcW w:w="3193" w:type="dxa"/>
            <w:vAlign w:val="center"/>
          </w:tcPr>
          <w:p w14:paraId="79075659">
            <w:pPr>
              <w:spacing w:line="240" w:lineRule="auto"/>
              <w:jc w:val="left"/>
              <w:rPr>
                <w:rFonts w:hint="eastAsia"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本项目液体粪肥采用</w:t>
            </w:r>
            <w:r>
              <w:rPr>
                <w:rFonts w:hint="eastAsia" w:ascii="Times New Roman" w:hAnsi="Times New Roman"/>
                <w:color w:val="000000" w:themeColor="text1"/>
                <w:sz w:val="21"/>
                <w:szCs w:val="21"/>
                <w:highlight w:val="none"/>
                <w14:textFill>
                  <w14:solidFill>
                    <w14:schemeClr w14:val="tx1"/>
                  </w14:solidFill>
                </w14:textFill>
              </w:rPr>
              <w:t>暗沟或管道</w:t>
            </w:r>
            <w:r>
              <w:rPr>
                <w:rFonts w:hint="eastAsia"/>
                <w:color w:val="000000" w:themeColor="text1"/>
                <w:sz w:val="21"/>
                <w:szCs w:val="21"/>
                <w:highlight w:val="none"/>
                <w:lang w:eastAsia="zh-CN"/>
                <w14:textFill>
                  <w14:solidFill>
                    <w14:schemeClr w14:val="tx1"/>
                  </w14:solidFill>
                </w14:textFill>
              </w:rPr>
              <w:t>输送</w:t>
            </w:r>
            <w:r>
              <w:rPr>
                <w:rFonts w:hint="eastAsia" w:ascii="Times New Roman" w:hAnsi="Times New Roman"/>
                <w:color w:val="000000" w:themeColor="text1"/>
                <w:sz w:val="21"/>
                <w:szCs w:val="21"/>
                <w:highlight w:val="none"/>
                <w:lang w:val="en-US" w:eastAsia="zh-CN"/>
                <w14:textFill>
                  <w14:solidFill>
                    <w14:schemeClr w14:val="tx1"/>
                  </w14:solidFill>
                </w14:textFill>
              </w:rPr>
              <w:t>，进料和出料时都通过配套服务池，这样能保证安全快速的进出料，</w:t>
            </w:r>
            <w:r>
              <w:rPr>
                <w:rFonts w:hint="eastAsia" w:ascii="Times New Roman" w:hAnsi="Times New Roman"/>
                <w:color w:val="000000" w:themeColor="text1"/>
                <w:sz w:val="21"/>
                <w:szCs w:val="21"/>
                <w:highlight w:val="none"/>
                <w14:textFill>
                  <w14:solidFill>
                    <w14:schemeClr w14:val="tx1"/>
                  </w14:solidFill>
                </w14:textFill>
              </w:rPr>
              <w:t>输送管路要合理设置检查口，检查口应加盖且一般高于地面5厘米以上，防止雨水倒灌</w:t>
            </w:r>
            <w:r>
              <w:rPr>
                <w:rFonts w:hint="eastAsia" w:ascii="Times New Roman" w:hAnsi="Times New Roman"/>
                <w:color w:val="000000" w:themeColor="text1"/>
                <w:sz w:val="21"/>
                <w:szCs w:val="21"/>
                <w:highlight w:val="none"/>
                <w:lang w:eastAsia="zh-CN"/>
                <w14:textFill>
                  <w14:solidFill>
                    <w14:schemeClr w14:val="tx1"/>
                  </w14:solidFill>
                </w14:textFill>
              </w:rPr>
              <w:t>。</w:t>
            </w:r>
          </w:p>
        </w:tc>
        <w:tc>
          <w:tcPr>
            <w:tcW w:w="600" w:type="dxa"/>
            <w:vAlign w:val="center"/>
          </w:tcPr>
          <w:p w14:paraId="07790BD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690A18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trPr>
        <w:tc>
          <w:tcPr>
            <w:tcW w:w="4655" w:type="dxa"/>
            <w:vAlign w:val="center"/>
          </w:tcPr>
          <w:p w14:paraId="22E5C8E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畜禽养殖场（户）建设畜禽粪污暂存池（场）的，液体粪污暂存池容积不小于单位畜禽液体粪污日产生量（立方米/天·头、只、羽）</w:t>
            </w:r>
            <w:r>
              <w:rPr>
                <w:rFonts w:hint="default" w:ascii="Times New Roman" w:hAnsi="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暂存周期（天）</w:t>
            </w:r>
            <w:r>
              <w:rPr>
                <w:rFonts w:hint="default" w:ascii="Times New Roman" w:hAnsi="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设计存栏量（头、只、羽），固体粪污暂存场容积不小于单位畜禽固体粪污日产生量（立方米/天·头、只、羽）</w:t>
            </w:r>
            <w:r>
              <w:rPr>
                <w:rFonts w:hint="default" w:ascii="Times New Roman" w:hAnsi="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暂存周期（天）</w:t>
            </w:r>
            <w:r>
              <w:rPr>
                <w:rFonts w:hint="default" w:ascii="Times New Roman" w:hAnsi="Times New Roman"/>
                <w:color w:val="000000" w:themeColor="text1"/>
                <w:sz w:val="21"/>
                <w:szCs w:val="21"/>
                <w:highlight w:val="none"/>
                <w:lang w:val="en-US"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设计存栏量（头、只、羽），暂存周期按转运处理最大时间间隔确定。鼓励采取加盖等措施</w:t>
            </w:r>
            <w:r>
              <w:rPr>
                <w:rFonts w:hint="eastAsia"/>
                <w:color w:val="000000" w:themeColor="text1"/>
                <w:sz w:val="21"/>
                <w:szCs w:val="21"/>
                <w:highlight w:val="none"/>
                <w:lang w:val="en-US"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减少恶臭气体排放和雨水进入。</w:t>
            </w:r>
          </w:p>
        </w:tc>
        <w:tc>
          <w:tcPr>
            <w:tcW w:w="3193" w:type="dxa"/>
            <w:vAlign w:val="center"/>
          </w:tcPr>
          <w:p w14:paraId="45838F5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根据水平衡分析数据，已按照规范计算本项目黑膜池能够满足沼液暂存的要求。根据标准计算，堆粪场容积满足要求。</w:t>
            </w:r>
          </w:p>
          <w:p w14:paraId="7237C18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imes New Roman" w:hAnsi="Times New Roman"/>
                <w:color w:val="000000" w:themeColor="text1"/>
                <w:sz w:val="21"/>
                <w:szCs w:val="21"/>
                <w:highlight w:val="none"/>
                <w:lang w:val="en-US" w:eastAsia="zh-CN"/>
                <w14:textFill>
                  <w14:solidFill>
                    <w14:schemeClr w14:val="tx1"/>
                  </w14:solidFill>
                </w14:textFill>
              </w:rPr>
            </w:pPr>
          </w:p>
        </w:tc>
        <w:tc>
          <w:tcPr>
            <w:tcW w:w="600" w:type="dxa"/>
            <w:vAlign w:val="center"/>
          </w:tcPr>
          <w:p w14:paraId="1EF9BC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74DC5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4655" w:type="dxa"/>
            <w:vAlign w:val="center"/>
          </w:tcPr>
          <w:p w14:paraId="40CBB123">
            <w:pPr>
              <w:spacing w:line="240" w:lineRule="auto"/>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畜禽养殖场(户)通过密闭贮存设施处理液体粪污的，应采用加盖、覆膜等方式</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减少恶臭气体排放和雨水进入</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同时配套必要的输送、搅拌、气体收集处理或燃烧火炬等设施设备。密闭贮存设施容积不小于单位畜禽液体粪污日产生量(立方米/天·头、只羽)x贮存周期(天)x设计存栏量(头、只、羽)，贮存周期依据当地气候条件与农林作物生产用肥最大间隔期确定</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推荐贮存周期最少在90天以上</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确保充分发酵腐熟</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处理后蛔虫卵、粪大肠杆菌镉、汞、砷、铅、铬、铊和缩二脲等物质应达到《肥料中有毒有害物质的限量要求》。鼓励有条件的畜禽养殖场建设两个以上密闭贮存设施交替使用。</w:t>
            </w:r>
          </w:p>
        </w:tc>
        <w:tc>
          <w:tcPr>
            <w:tcW w:w="3193" w:type="dxa"/>
            <w:vAlign w:val="center"/>
          </w:tcPr>
          <w:p w14:paraId="62338705">
            <w:pPr>
              <w:adjustRightInd w:val="0"/>
              <w:snapToGrid w:val="0"/>
              <w:spacing w:line="240" w:lineRule="auto"/>
              <w:ind w:firstLine="420" w:firstLineChars="200"/>
              <w:rPr>
                <w:rFonts w:hint="default" w:ascii="Times New Roman" w:hAnsi="Times New Roman" w:eastAsia="楷体" w:cs="Times New Roman"/>
                <w:b w:val="0"/>
                <w:bCs w:val="0"/>
                <w:color w:val="000000" w:themeColor="text1"/>
                <w:kern w:val="0"/>
                <w:sz w:val="24"/>
                <w:szCs w:val="24"/>
                <w:highlight w:val="none"/>
                <w:lang w:val="en-US" w:eastAsia="zh-CN" w:bidi="ar"/>
                <w14:textFill>
                  <w14:solidFill>
                    <w14:schemeClr w14:val="tx1"/>
                  </w14:solidFill>
                </w14:textFill>
              </w:rPr>
            </w:pPr>
            <w:r>
              <w:rPr>
                <w:color w:val="000000" w:themeColor="text1"/>
                <w:sz w:val="21"/>
                <w:szCs w:val="21"/>
                <w:highlight w:val="none"/>
                <w14:textFill>
                  <w14:solidFill>
                    <w14:schemeClr w14:val="tx1"/>
                  </w14:solidFill>
                </w14:textFill>
              </w:rPr>
              <w:t>养殖废水和生活污水</w:t>
            </w:r>
            <w:r>
              <w:rPr>
                <w:rFonts w:hint="eastAsia"/>
                <w:color w:val="000000" w:themeColor="text1"/>
                <w:sz w:val="21"/>
                <w:szCs w:val="21"/>
                <w:highlight w:val="none"/>
                <w:lang w:val="en-US" w:eastAsia="zh-CN"/>
                <w14:textFill>
                  <w14:solidFill>
                    <w14:schemeClr w14:val="tx1"/>
                  </w14:solidFill>
                </w14:textFill>
              </w:rPr>
              <w:t>经“固液分离+黑膜池”</w:t>
            </w:r>
            <w:r>
              <w:rPr>
                <w:color w:val="000000" w:themeColor="text1"/>
                <w:sz w:val="21"/>
                <w:szCs w:val="21"/>
                <w:highlight w:val="none"/>
                <w14:textFill>
                  <w14:solidFill>
                    <w14:schemeClr w14:val="tx1"/>
                  </w14:solidFill>
                </w14:textFill>
              </w:rPr>
              <w:t>处理后回用于周边农田灌溉</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olor w:val="000000" w:themeColor="text1"/>
                <w:sz w:val="21"/>
                <w:szCs w:val="21"/>
                <w:highlight w:val="none"/>
                <w:lang w:val="en-US" w:eastAsia="zh-CN"/>
                <w14:textFill>
                  <w14:solidFill>
                    <w14:schemeClr w14:val="tx1"/>
                  </w14:solidFill>
                </w14:textFill>
              </w:rPr>
              <w:t>根据水平衡分析数据，本项目黑膜池能够满足沼液暂存的要求。由于本项目区场地较小，受场地限制故未设置多个密闭贮存设施。</w:t>
            </w:r>
          </w:p>
          <w:p w14:paraId="2306006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p>
        </w:tc>
        <w:tc>
          <w:tcPr>
            <w:tcW w:w="600" w:type="dxa"/>
            <w:vAlign w:val="center"/>
          </w:tcPr>
          <w:p w14:paraId="676C4EA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3EFD7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3" w:hRule="atLeast"/>
        </w:trPr>
        <w:tc>
          <w:tcPr>
            <w:tcW w:w="4655" w:type="dxa"/>
            <w:vAlign w:val="center"/>
          </w:tcPr>
          <w:p w14:paraId="4CB6FD94">
            <w:pPr>
              <w:spacing w:line="240" w:lineRule="auto"/>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畜禽养殖场(户)可采用堆肥、沤肥、生产垫料等方式处理固体粪污。堆肥宜采用条垛式、强制通风静态垛、槽式、发酵仓、反应器或覆膜堆肥等好氧工艺</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根据不同工艺配套必要的混合、输送搅拌、供氧和除臭等设施设备。沤肥宜采用平地或半坑式糊泥静置等兼氧工艺。生产垫料宜采用密闭式滚筒好氧发酵工艺，配套必要的固液分离、进料、混合、发酵、除臭或智能控制等设施设备分离出的液体粪污应参照5.5液体粪污贮存发酵设施中的要求进行处理。堆(沤)肥设施发酵容积不小于单位畜禽固体粪污日产生量(立方米/天·头、只、羽)x发酵周期(天)x设计存栏量(头只、羽).确保充分发酵腐熟，处理后蛔虫卵、粪大肠杆菌、镉、汞砷、铅、铬、铊和缩二脲等物质应达到《肥料中有毒有害物质的限量要求》</w:t>
            </w:r>
          </w:p>
        </w:tc>
        <w:tc>
          <w:tcPr>
            <w:tcW w:w="3193" w:type="dxa"/>
            <w:vAlign w:val="center"/>
          </w:tcPr>
          <w:p w14:paraId="5EBC6BEC">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堆粪场采用自然堆肥及机械翻堆相结合的方式对粪污进行处理。</w:t>
            </w:r>
            <w:r>
              <w:rPr>
                <w:rFonts w:hint="eastAsia" w:ascii="Times New Roman" w:hAnsi="Times New Roman"/>
                <w:color w:val="000000" w:themeColor="text1"/>
                <w:sz w:val="21"/>
                <w:szCs w:val="21"/>
                <w:highlight w:val="none"/>
                <w:lang w:val="en-US" w:eastAsia="zh-CN"/>
                <w14:textFill>
                  <w14:solidFill>
                    <w14:schemeClr w14:val="tx1"/>
                  </w14:solidFill>
                </w14:textFill>
              </w:rPr>
              <w:t>根据标准计算，堆粪场容积满足要求。堆肥</w:t>
            </w:r>
            <w:r>
              <w:rPr>
                <w:rFonts w:hint="eastAsia"/>
                <w:color w:val="000000" w:themeColor="text1"/>
                <w:sz w:val="21"/>
                <w:szCs w:val="21"/>
                <w:highlight w:val="none"/>
                <w14:textFill>
                  <w14:solidFill>
                    <w14:schemeClr w14:val="tx1"/>
                  </w14:solidFill>
                </w14:textFill>
              </w:rPr>
              <w:t>处理后蛔虫卵、粪大肠杆菌、镉、汞砷、铅、铬、铊和缩二脲等物质达到《肥料中有毒有害物质的限量要求》</w:t>
            </w:r>
            <w:r>
              <w:rPr>
                <w:rFonts w:hint="eastAsia"/>
                <w:color w:val="000000" w:themeColor="text1"/>
                <w:sz w:val="21"/>
                <w:szCs w:val="21"/>
                <w:highlight w:val="none"/>
                <w:lang w:eastAsia="zh-CN"/>
                <w14:textFill>
                  <w14:solidFill>
                    <w14:schemeClr w14:val="tx1"/>
                  </w14:solidFill>
                </w14:textFill>
              </w:rPr>
              <w:t>。</w:t>
            </w:r>
          </w:p>
          <w:p w14:paraId="47E488CF">
            <w:pPr>
              <w:spacing w:line="240" w:lineRule="auto"/>
              <w:jc w:val="center"/>
              <w:rPr>
                <w:color w:val="000000" w:themeColor="text1"/>
                <w:sz w:val="21"/>
                <w:szCs w:val="21"/>
                <w:highlight w:val="none"/>
                <w14:textFill>
                  <w14:solidFill>
                    <w14:schemeClr w14:val="tx1"/>
                  </w14:solidFill>
                </w14:textFill>
              </w:rPr>
            </w:pPr>
          </w:p>
        </w:tc>
        <w:tc>
          <w:tcPr>
            <w:tcW w:w="600" w:type="dxa"/>
            <w:vAlign w:val="center"/>
          </w:tcPr>
          <w:p w14:paraId="6AFC36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517B6F7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8960" behindDoc="0" locked="0" layoutInCell="0" allowOverlap="1">
                <wp:simplePos x="0" y="0"/>
                <wp:positionH relativeFrom="page">
                  <wp:posOffset>1143000</wp:posOffset>
                </wp:positionH>
                <wp:positionV relativeFrom="page">
                  <wp:posOffset>752475</wp:posOffset>
                </wp:positionV>
                <wp:extent cx="5276215" cy="9525"/>
                <wp:effectExtent l="0" t="0" r="0" b="0"/>
                <wp:wrapNone/>
                <wp:docPr id="58" name="矩形 58"/>
                <wp:cNvGraphicFramePr/>
                <a:graphic xmlns:a="http://schemas.openxmlformats.org/drawingml/2006/main">
                  <a:graphicData uri="http://schemas.microsoft.com/office/word/2010/wordprocessingShape">
                    <wps:wsp>
                      <wps:cNvSpPr/>
                      <wps:spPr>
                        <a:xfrm>
                          <a:off x="0" y="0"/>
                          <a:ext cx="5276215" cy="9525"/>
                        </a:xfrm>
                        <a:prstGeom prst="rect">
                          <a:avLst/>
                        </a:prstGeom>
                        <a:solidFill>
                          <a:srgbClr val="622423"/>
                        </a:solidFill>
                        <a:ln>
                          <a:noFill/>
                        </a:ln>
                      </wps:spPr>
                      <wps:bodyPr upright="1"/>
                    </wps:wsp>
                  </a:graphicData>
                </a:graphic>
              </wp:anchor>
            </w:drawing>
          </mc:Choice>
          <mc:Fallback>
            <w:pict>
              <v:rect id="_x0000_s1026" o:spid="_x0000_s1026" o:spt="1" style="position:absolute;left:0pt;margin-left:90pt;margin-top:59.25pt;height:0.75pt;width:415.45pt;mso-position-horizontal-relative:page;mso-position-vertical-relative:page;z-index:251688960;mso-width-relative:page;mso-height-relative:page;" fillcolor="#622423" filled="t" stroked="f" coordsize="21600,21600" o:allowincell="f" o:gfxdata="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V/&#10;bFPXAAAADAEAAA8AAAAAAAAAAQAgAAAAIgAAAGRycy9kb3ducmV2LnhtbFBLAQIUABQAAAAIAIdO&#10;4kBfbDvLsgEAAF8DAAAOAAAAAAAAAAEAIAAAACYBAABkcnMvZTJvRG9jLnhtbFBLBQYAAAAABgAG&#10;AFkBAABKBQAAAAA=&#10;">
                <v:fill on="t" focussize="0,0"/>
                <v:stroke on="f"/>
                <v:imagedata o:title=""/>
                <o:lock v:ext="edit" aspectratio="f"/>
              </v:rect>
            </w:pict>
          </mc:Fallback>
        </mc:AlternateConten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18</w:t>
      </w:r>
      <w:r>
        <w:rPr>
          <w:color w:val="000000" w:themeColor="text1"/>
          <w:highlight w:val="none"/>
          <w14:textFill>
            <w14:solidFill>
              <w14:schemeClr w14:val="tx1"/>
            </w14:solidFill>
          </w14:textFill>
        </w:rPr>
        <w:t>）与《关于进一步加强畜禽养殖污染防治工作的通知》（环水体〔2016〕144号）的符合性分析</w:t>
      </w:r>
    </w:p>
    <w:p w14:paraId="3357837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4</w:t>
      </w:r>
      <w:r>
        <w:rPr>
          <w:b/>
          <w:bCs/>
          <w:color w:val="000000" w:themeColor="text1"/>
          <w:sz w:val="21"/>
          <w:szCs w:val="21"/>
          <w:highlight w:val="none"/>
          <w14:textFill>
            <w14:solidFill>
              <w14:schemeClr w14:val="tx1"/>
            </w14:solidFill>
          </w14:textFill>
        </w:rPr>
        <w:t xml:space="preserve">  项目与（环水体〔2016〕144号）的符合性分析</w:t>
      </w:r>
    </w:p>
    <w:tbl>
      <w:tblPr>
        <w:tblStyle w:val="58"/>
        <w:tblW w:w="845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05"/>
        <w:gridCol w:w="2972"/>
        <w:gridCol w:w="481"/>
      </w:tblGrid>
      <w:tr w14:paraId="0C9A1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5005" w:type="dxa"/>
            <w:tcBorders>
              <w:bottom w:val="single" w:color="000000" w:sz="4" w:space="0"/>
            </w:tcBorders>
            <w:vAlign w:val="center"/>
          </w:tcPr>
          <w:p w14:paraId="7332C53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文件规定</w:t>
            </w:r>
          </w:p>
        </w:tc>
        <w:tc>
          <w:tcPr>
            <w:tcW w:w="2972" w:type="dxa"/>
            <w:tcBorders>
              <w:bottom w:val="single" w:color="000000" w:sz="4" w:space="0"/>
            </w:tcBorders>
            <w:vAlign w:val="center"/>
          </w:tcPr>
          <w:p w14:paraId="1B26A85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481" w:type="dxa"/>
            <w:tcBorders>
              <w:bottom w:val="single" w:color="000000" w:sz="4" w:space="0"/>
            </w:tcBorders>
            <w:vAlign w:val="center"/>
          </w:tcPr>
          <w:p w14:paraId="5967FEF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符合情况</w:t>
            </w:r>
          </w:p>
        </w:tc>
      </w:tr>
      <w:tr w14:paraId="60FA5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3" w:hRule="atLeast"/>
        </w:trPr>
        <w:tc>
          <w:tcPr>
            <w:tcW w:w="5005" w:type="dxa"/>
            <w:tcBorders>
              <w:top w:val="single" w:color="000000" w:sz="4" w:space="0"/>
              <w:bottom w:val="single" w:color="000000" w:sz="4" w:space="0"/>
            </w:tcBorders>
            <w:vAlign w:val="center"/>
          </w:tcPr>
          <w:p w14:paraId="486B794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着力加强规划引导，各地要积极推动将养殖场用地、配套的污染防治与综合利用设施用地纳入当地土地利用规划，落实用地指标，按照农用地管理。要按照环境保护部、农业部印发的《畜禽养殖禁养区划定技术指南》的要求，科学合理划定禁止建设养殖场的区域（以下简称禁养区），防止盲目扩大禁养区范围。禁养区划定后，各地环保、农牧部门应当积极配合县级以上地方政府，依照《水污染防治法》《条例》等</w:t>
            </w:r>
            <w:r>
              <w:rPr>
                <w:rFonts w:hint="eastAsia"/>
                <w:color w:val="000000" w:themeColor="text1"/>
                <w:sz w:val="21"/>
                <w:szCs w:val="21"/>
                <w:highlight w:val="none"/>
                <w14:textFill>
                  <w14:solidFill>
                    <w14:schemeClr w14:val="tx1"/>
                  </w14:solidFill>
                </w14:textFill>
              </w:rPr>
              <w:t>法律</w:t>
            </w:r>
            <w:r>
              <w:rPr>
                <w:color w:val="000000" w:themeColor="text1"/>
                <w:sz w:val="21"/>
                <w:szCs w:val="21"/>
                <w:highlight w:val="none"/>
                <w14:textFill>
                  <w14:solidFill>
                    <w14:schemeClr w14:val="tx1"/>
                  </w14:solidFill>
                </w14:textFill>
              </w:rPr>
              <w:t>的规定，在2017年底前完成确需关闭或搬迁的养殖场、养殖小区的关闭和搬迁。</w:t>
            </w:r>
          </w:p>
        </w:tc>
        <w:tc>
          <w:tcPr>
            <w:tcW w:w="2972" w:type="dxa"/>
            <w:tcBorders>
              <w:top w:val="single" w:color="000000" w:sz="4" w:space="0"/>
              <w:bottom w:val="single" w:color="000000" w:sz="4" w:space="0"/>
            </w:tcBorders>
            <w:vAlign w:val="center"/>
          </w:tcPr>
          <w:p w14:paraId="494EAED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本项目位于</w:t>
            </w:r>
            <w:r>
              <w:rPr>
                <w:rFonts w:hint="eastAsia"/>
                <w:color w:val="000000" w:themeColor="text1"/>
                <w:sz w:val="21"/>
                <w:szCs w:val="21"/>
                <w:highlight w:val="none"/>
                <w:lang w:eastAsia="zh-CN"/>
                <w14:textFill>
                  <w14:solidFill>
                    <w14:schemeClr w14:val="tx1"/>
                  </w14:solidFill>
                </w14:textFill>
              </w:rPr>
              <w:t>胡杨河市125团</w:t>
            </w:r>
            <w:r>
              <w:rPr>
                <w:color w:val="000000" w:themeColor="text1"/>
                <w:sz w:val="21"/>
                <w:szCs w:val="21"/>
                <w:highlight w:val="none"/>
                <w14:textFill>
                  <w14:solidFill>
                    <w14:schemeClr w14:val="tx1"/>
                  </w14:solidFill>
                </w14:textFill>
              </w:rPr>
              <w:t>，不属于</w:t>
            </w:r>
            <w:r>
              <w:rPr>
                <w:rFonts w:hint="eastAsia"/>
                <w:color w:val="000000" w:themeColor="text1"/>
                <w:sz w:val="21"/>
                <w:szCs w:val="21"/>
                <w:highlight w:val="none"/>
                <w:lang w:eastAsia="zh-CN"/>
                <w14:textFill>
                  <w14:solidFill>
                    <w14:schemeClr w14:val="tx1"/>
                  </w14:solidFill>
                </w14:textFill>
              </w:rPr>
              <w:t>胡杨河市</w:t>
            </w:r>
            <w:r>
              <w:rPr>
                <w:color w:val="000000" w:themeColor="text1"/>
                <w:sz w:val="21"/>
                <w:szCs w:val="21"/>
                <w:highlight w:val="none"/>
                <w14:textFill>
                  <w14:solidFill>
                    <w14:schemeClr w14:val="tx1"/>
                  </w14:solidFill>
                </w14:textFill>
              </w:rPr>
              <w:t>畜禽养殖禁养区和限养区划定范围内，项目选址符合要求。</w:t>
            </w:r>
          </w:p>
        </w:tc>
        <w:tc>
          <w:tcPr>
            <w:tcW w:w="481" w:type="dxa"/>
            <w:tcBorders>
              <w:top w:val="single" w:color="000000" w:sz="4" w:space="0"/>
              <w:bottom w:val="single" w:color="000000" w:sz="4" w:space="0"/>
            </w:tcBorders>
            <w:vAlign w:val="center"/>
          </w:tcPr>
          <w:p w14:paraId="4134FFF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69558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7" w:hRule="atLeast"/>
        </w:trPr>
        <w:tc>
          <w:tcPr>
            <w:tcW w:w="5005" w:type="dxa"/>
            <w:tcBorders>
              <w:top w:val="single" w:color="000000" w:sz="4" w:space="0"/>
              <w:bottom w:val="single" w:color="000000" w:sz="4" w:space="0"/>
            </w:tcBorders>
            <w:vAlign w:val="center"/>
          </w:tcPr>
          <w:p w14:paraId="706062A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严格落实环境影响评价制度，各地环保部门要认真按照《建设项目环境影响评价分类管理名录》的要求，指导和督促新建、改建和扩建养殖场依法开展环境影响评价，应当根据畜禽养殖特点、环境承载能力及周边需肥状况，以废弃物综合利用为防治污染的根本途径，重点论证项目选址的科学性、养殖数量的合理性、污染防治措施的经济性和可行性，切实提高污染治理水平。</w:t>
            </w:r>
          </w:p>
        </w:tc>
        <w:tc>
          <w:tcPr>
            <w:tcW w:w="2972" w:type="dxa"/>
            <w:tcBorders>
              <w:top w:val="single" w:color="000000" w:sz="4" w:space="0"/>
              <w:bottom w:val="single" w:color="000000" w:sz="4" w:space="0"/>
            </w:tcBorders>
            <w:vAlign w:val="center"/>
          </w:tcPr>
          <w:p w14:paraId="23C925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本项目依法开展了环境影响评价工作，已编制环境影响报告书，并根据周边环境特点及环境承载能力及需肥情况，制定了废弃物综合利用途径，项目粪污水采用</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固液分离+厌氧发酵</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处理后还田，猪粪采取了好氧堆肥的方式生产有机肥，实现了资源化利用。</w:t>
            </w:r>
          </w:p>
        </w:tc>
        <w:tc>
          <w:tcPr>
            <w:tcW w:w="481" w:type="dxa"/>
            <w:tcBorders>
              <w:top w:val="single" w:color="000000" w:sz="4" w:space="0"/>
              <w:bottom w:val="single" w:color="000000" w:sz="4" w:space="0"/>
            </w:tcBorders>
            <w:vAlign w:val="center"/>
          </w:tcPr>
          <w:p w14:paraId="14D7DED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3361B0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7" w:hRule="atLeast"/>
        </w:trPr>
        <w:tc>
          <w:tcPr>
            <w:tcW w:w="5005" w:type="dxa"/>
            <w:tcBorders>
              <w:top w:val="single" w:color="000000" w:sz="4" w:space="0"/>
              <w:bottom w:val="single" w:color="000000" w:sz="4" w:space="0"/>
            </w:tcBorders>
            <w:vAlign w:val="center"/>
          </w:tcPr>
          <w:p w14:paraId="212ED78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努力做好病死畜禽无害化处理，各地要认真落实《条例》和《国务院办公厅关于建立病死畜禽无害化处理机制的意见》（国办发〔2014〕47号），逐步强化生产经营者主体责任。因地制宜、科学规划，加强病死畜禽无害化处理设施建设，健全病死畜禽收集处理体系，采取</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以奖代补、先建后补</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等方式，动员社会力量参与。处理设施应优先采用化制、发酵等既能实现无害化处理又能资源化利用的工艺技术，提高处理产物利用价值，推动实现处理产物资源化利用。</w:t>
            </w:r>
          </w:p>
        </w:tc>
        <w:tc>
          <w:tcPr>
            <w:tcW w:w="2972" w:type="dxa"/>
            <w:tcBorders>
              <w:top w:val="single" w:color="000000" w:sz="4" w:space="0"/>
              <w:bottom w:val="single" w:color="000000" w:sz="4" w:space="0"/>
            </w:tcBorders>
            <w:vAlign w:val="center"/>
          </w:tcPr>
          <w:p w14:paraId="78B872F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lang w:eastAsia="zh-CN"/>
                <w14:textFill>
                  <w14:solidFill>
                    <w14:schemeClr w14:val="tx1"/>
                  </w14:solidFill>
                </w14:textFill>
              </w:rPr>
              <w:t>病死猪、胎衣</w:t>
            </w:r>
            <w:r>
              <w:rPr>
                <w:rFonts w:hint="eastAsia"/>
                <w:color w:val="000000" w:themeColor="text1"/>
                <w:sz w:val="21"/>
                <w:szCs w:val="21"/>
                <w:highlight w:val="none"/>
                <w14:textFill>
                  <w14:solidFill>
                    <w14:schemeClr w14:val="tx1"/>
                  </w14:solidFill>
                </w14:textFill>
              </w:rPr>
              <w:t>委托有资质单位</w:t>
            </w:r>
            <w:r>
              <w:rPr>
                <w:color w:val="000000" w:themeColor="text1"/>
                <w:sz w:val="21"/>
                <w:szCs w:val="21"/>
                <w:highlight w:val="none"/>
                <w14:textFill>
                  <w14:solidFill>
                    <w14:schemeClr w14:val="tx1"/>
                  </w14:solidFill>
                </w14:textFill>
              </w:rPr>
              <w:t>进行处理</w:t>
            </w:r>
          </w:p>
        </w:tc>
        <w:tc>
          <w:tcPr>
            <w:tcW w:w="481" w:type="dxa"/>
            <w:tcBorders>
              <w:top w:val="single" w:color="000000" w:sz="4" w:space="0"/>
              <w:bottom w:val="single" w:color="000000" w:sz="4" w:space="0"/>
            </w:tcBorders>
            <w:vAlign w:val="center"/>
          </w:tcPr>
          <w:p w14:paraId="1A1F555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4AB615F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9984" behindDoc="0" locked="0" layoutInCell="0" allowOverlap="1">
                <wp:simplePos x="0" y="0"/>
                <wp:positionH relativeFrom="page">
                  <wp:posOffset>1143000</wp:posOffset>
                </wp:positionH>
                <wp:positionV relativeFrom="page">
                  <wp:posOffset>752475</wp:posOffset>
                </wp:positionV>
                <wp:extent cx="5276215" cy="9525"/>
                <wp:effectExtent l="0" t="0" r="0" b="0"/>
                <wp:wrapNone/>
                <wp:docPr id="51" name="矩形 51"/>
                <wp:cNvGraphicFramePr/>
                <a:graphic xmlns:a="http://schemas.openxmlformats.org/drawingml/2006/main">
                  <a:graphicData uri="http://schemas.microsoft.com/office/word/2010/wordprocessingShape">
                    <wps:wsp>
                      <wps:cNvSpPr/>
                      <wps:spPr>
                        <a:xfrm>
                          <a:off x="0" y="0"/>
                          <a:ext cx="5276215" cy="9525"/>
                        </a:xfrm>
                        <a:prstGeom prst="rect">
                          <a:avLst/>
                        </a:prstGeom>
                        <a:solidFill>
                          <a:srgbClr val="622423"/>
                        </a:solidFill>
                        <a:ln>
                          <a:noFill/>
                        </a:ln>
                      </wps:spPr>
                      <wps:bodyPr upright="1"/>
                    </wps:wsp>
                  </a:graphicData>
                </a:graphic>
              </wp:anchor>
            </w:drawing>
          </mc:Choice>
          <mc:Fallback>
            <w:pict>
              <v:rect id="_x0000_s1026" o:spid="_x0000_s1026" o:spt="1" style="position:absolute;left:0pt;margin-left:90pt;margin-top:59.25pt;height:0.75pt;width:415.45pt;mso-position-horizontal-relative:page;mso-position-vertical-relative:page;z-index:251689984;mso-width-relative:page;mso-height-relative:page;" fillcolor="#622423" filled="t" stroked="f" coordsize="21600,21600" o:allowincell="f" o:gfxdata="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X9s&#10;U9cAAAAMAQAADwAAAAAAAAABACAAAAAiAAAAZHJzL2Rvd25yZXYueG1sUEsBAhQAFAAAAAgAh07i&#10;QC/nfRWxAQAAXwMAAA4AAAAAAAAAAQAgAAAAJgEAAGRycy9lMm9Eb2MueG1sUEsFBgAAAAAGAAYA&#10;WQEAAEkFAAAAAA==&#10;">
                <v:fill on="t" focussize="0,0"/>
                <v:stroke on="f"/>
                <v:imagedata o:title=""/>
                <o:lock v:ext="edit" aspectratio="f"/>
              </v:rect>
            </w:pict>
          </mc:Fallback>
        </mc:AlternateConten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19</w:t>
      </w:r>
      <w:r>
        <w:rPr>
          <w:color w:val="000000" w:themeColor="text1"/>
          <w:highlight w:val="none"/>
          <w14:textFill>
            <w14:solidFill>
              <w14:schemeClr w14:val="tx1"/>
            </w14:solidFill>
          </w14:textFill>
        </w:rPr>
        <w:t>）与《畜禽粪便无害化处理技术规范》</w:t>
      </w:r>
      <w:r>
        <w:rPr>
          <w:rFonts w:hint="eastAsia"/>
          <w:color w:val="000000" w:themeColor="text1"/>
          <w:highlight w:val="none"/>
          <w14:textFill>
            <w14:solidFill>
              <w14:schemeClr w14:val="tx1"/>
            </w14:solidFill>
          </w14:textFill>
        </w:rPr>
        <w:t>（GB/T 36195-2018）符</w:t>
      </w:r>
      <w:r>
        <w:rPr>
          <w:color w:val="000000" w:themeColor="text1"/>
          <w:highlight w:val="none"/>
          <w14:textFill>
            <w14:solidFill>
              <w14:schemeClr w14:val="tx1"/>
            </w14:solidFill>
          </w14:textFill>
        </w:rPr>
        <w:t>合性分析</w:t>
      </w:r>
    </w:p>
    <w:p w14:paraId="32716C8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本项目采用好氧发酵工艺对猪粪进行无害化处理，处理后使猪粪发酵制成肥料。对照《畜禽粪便无害化处理技术规范》（GB/T 36195-2018），本项目猪粪处理工艺、效果及处理设施建设要求与该规范相符性分析详见表</w:t>
      </w:r>
      <w:r>
        <w:rPr>
          <w:rFonts w:hint="eastAsia"/>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p>
    <w:p w14:paraId="48BE044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1.3-5</w:t>
      </w:r>
      <w:r>
        <w:rPr>
          <w:b/>
          <w:bCs/>
          <w:color w:val="000000" w:themeColor="text1"/>
          <w:sz w:val="21"/>
          <w:szCs w:val="21"/>
          <w:highlight w:val="none"/>
          <w14:textFill>
            <w14:solidFill>
              <w14:schemeClr w14:val="tx1"/>
            </w14:solidFill>
          </w14:textFill>
        </w:rPr>
        <w:t xml:space="preserve">  项目与《畜禽粪便无害化处理技术规范》</w:t>
      </w:r>
      <w:r>
        <w:rPr>
          <w:rFonts w:hint="eastAsia"/>
          <w:b/>
          <w:bCs/>
          <w:color w:val="000000" w:themeColor="text1"/>
          <w:sz w:val="21"/>
          <w:szCs w:val="21"/>
          <w:highlight w:val="none"/>
          <w14:textFill>
            <w14:solidFill>
              <w14:schemeClr w14:val="tx1"/>
            </w14:solidFill>
          </w14:textFill>
        </w:rPr>
        <w:t>（GB/T 36195-2018）</w:t>
      </w:r>
      <w:r>
        <w:rPr>
          <w:b/>
          <w:bCs/>
          <w:color w:val="000000" w:themeColor="text1"/>
          <w:sz w:val="21"/>
          <w:szCs w:val="21"/>
          <w:highlight w:val="none"/>
          <w14:textFill>
            <w14:solidFill>
              <w14:schemeClr w14:val="tx1"/>
            </w14:solidFill>
          </w14:textFill>
        </w:rPr>
        <w:t>的符合性分析</w:t>
      </w:r>
    </w:p>
    <w:tbl>
      <w:tblPr>
        <w:tblStyle w:val="58"/>
        <w:tblW w:w="8420"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4"/>
        <w:gridCol w:w="3963"/>
        <w:gridCol w:w="3587"/>
        <w:gridCol w:w="516"/>
      </w:tblGrid>
      <w:tr w14:paraId="4BD13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317" w:type="dxa"/>
            <w:gridSpan w:val="2"/>
            <w:tcBorders>
              <w:bottom w:val="single" w:color="000000" w:sz="4" w:space="0"/>
            </w:tcBorders>
            <w:vAlign w:val="center"/>
          </w:tcPr>
          <w:p w14:paraId="58242D8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文件规定</w:t>
            </w:r>
          </w:p>
        </w:tc>
        <w:tc>
          <w:tcPr>
            <w:tcW w:w="3587" w:type="dxa"/>
            <w:tcBorders>
              <w:bottom w:val="single" w:color="000000" w:sz="4" w:space="0"/>
            </w:tcBorders>
            <w:vAlign w:val="center"/>
          </w:tcPr>
          <w:p w14:paraId="7654098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516" w:type="dxa"/>
            <w:tcBorders>
              <w:bottom w:val="single" w:color="000000" w:sz="4" w:space="0"/>
            </w:tcBorders>
            <w:vAlign w:val="center"/>
          </w:tcPr>
          <w:p w14:paraId="6B3C9C8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符合情况</w:t>
            </w:r>
          </w:p>
        </w:tc>
      </w:tr>
      <w:tr w14:paraId="24EAE8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5" w:hRule="atLeast"/>
        </w:trPr>
        <w:tc>
          <w:tcPr>
            <w:tcW w:w="354" w:type="dxa"/>
            <w:tcBorders>
              <w:top w:val="single" w:color="000000" w:sz="4" w:space="0"/>
            </w:tcBorders>
            <w:textDirection w:val="tbRlV"/>
            <w:vAlign w:val="center"/>
          </w:tcPr>
          <w:p w14:paraId="73DB1EF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处理原则</w:t>
            </w:r>
          </w:p>
        </w:tc>
        <w:tc>
          <w:tcPr>
            <w:tcW w:w="3963" w:type="dxa"/>
            <w:tcBorders>
              <w:top w:val="single" w:color="000000" w:sz="4" w:space="0"/>
            </w:tcBorders>
            <w:vAlign w:val="center"/>
          </w:tcPr>
          <w:p w14:paraId="7507166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畜禽养殖场或养殖小区应采用先进的工艺、技术与设备、改善管理、综合利用等措施，从源头削减污染量。2、畜禽粪便处理应坚持综合利用的原则，实现粪便的资源化。3、畜禽养殖场和养殖小区必须建立配套的粪便无害化处理设施或处理（置）机制。4、畜禽养殖场、养殖小区或畜禽粪便处理场应严格执行国家有关的</w:t>
            </w:r>
            <w:r>
              <w:rPr>
                <w:rFonts w:hint="eastAsia"/>
                <w:color w:val="000000" w:themeColor="text1"/>
                <w:sz w:val="21"/>
                <w:szCs w:val="21"/>
                <w:highlight w:val="none"/>
                <w14:textFill>
                  <w14:solidFill>
                    <w14:schemeClr w14:val="tx1"/>
                  </w14:solidFill>
                </w14:textFill>
              </w:rPr>
              <w:t>法律法规</w:t>
            </w:r>
            <w:r>
              <w:rPr>
                <w:color w:val="000000" w:themeColor="text1"/>
                <w:sz w:val="21"/>
                <w:szCs w:val="21"/>
                <w:highlight w:val="none"/>
                <w14:textFill>
                  <w14:solidFill>
                    <w14:schemeClr w14:val="tx1"/>
                  </w14:solidFill>
                </w14:textFill>
              </w:rPr>
              <w:t>和标准，畜禽粪便经过处理达到无害化指标或有关排放标准后才能施用和排放。</w:t>
            </w:r>
          </w:p>
        </w:tc>
        <w:tc>
          <w:tcPr>
            <w:tcW w:w="3587" w:type="dxa"/>
            <w:tcBorders>
              <w:top w:val="single" w:color="000000" w:sz="4" w:space="0"/>
            </w:tcBorders>
            <w:vAlign w:val="center"/>
          </w:tcPr>
          <w:p w14:paraId="1FDBD73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采用好氧发酵工艺对猪粪进行无害化处理，处理后使猪粪发酵制成肥料。符合第3条必须建立配套的粪便无害化处理设施，同时从源头消减猪粪量，实现了猪粪的资源化综合利用，同时本项目猪粪处理后可满足《</w:t>
            </w:r>
            <w:r>
              <w:rPr>
                <w:rFonts w:hint="eastAsia"/>
                <w:color w:val="000000" w:themeColor="text1"/>
                <w:sz w:val="21"/>
                <w:szCs w:val="21"/>
                <w:highlight w:val="none"/>
                <w14:textFill>
                  <w14:solidFill>
                    <w14:schemeClr w14:val="tx1"/>
                  </w14:solidFill>
                </w14:textFill>
              </w:rPr>
              <w:t>畜禽养殖业污染物排放标准</w:t>
            </w:r>
            <w:r>
              <w:rPr>
                <w:color w:val="000000" w:themeColor="text1"/>
                <w:sz w:val="21"/>
                <w:szCs w:val="21"/>
                <w:highlight w:val="none"/>
                <w14:textFill>
                  <w14:solidFill>
                    <w14:schemeClr w14:val="tx1"/>
                  </w14:solidFill>
                </w14:textFill>
              </w:rPr>
              <w:t>》（GB18596-2001）表6中畜禽养殖业废渣无害化环境标准。</w:t>
            </w:r>
          </w:p>
        </w:tc>
        <w:tc>
          <w:tcPr>
            <w:tcW w:w="516" w:type="dxa"/>
            <w:tcBorders>
              <w:top w:val="single" w:color="000000" w:sz="4" w:space="0"/>
            </w:tcBorders>
            <w:vAlign w:val="center"/>
          </w:tcPr>
          <w:p w14:paraId="02F8F6C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1D1753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54" w:type="dxa"/>
            <w:textDirection w:val="tbRlV"/>
            <w:vAlign w:val="center"/>
          </w:tcPr>
          <w:p w14:paraId="08A8C76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处理场地的要求</w:t>
            </w:r>
          </w:p>
        </w:tc>
        <w:tc>
          <w:tcPr>
            <w:tcW w:w="3963" w:type="dxa"/>
            <w:vAlign w:val="center"/>
          </w:tcPr>
          <w:p w14:paraId="4FCE3E5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禁止在下列区域内建设</w:t>
            </w:r>
            <w:r>
              <w:rPr>
                <w:rFonts w:hint="eastAsia"/>
                <w:color w:val="000000" w:themeColor="text1"/>
                <w:sz w:val="21"/>
                <w:szCs w:val="21"/>
                <w:highlight w:val="none"/>
                <w:lang w:eastAsia="zh-CN"/>
                <w14:textFill>
                  <w14:solidFill>
                    <w14:schemeClr w14:val="tx1"/>
                  </w14:solidFill>
                </w14:textFill>
              </w:rPr>
              <w:t>畜</w:t>
            </w:r>
            <w:r>
              <w:rPr>
                <w:color w:val="000000" w:themeColor="text1"/>
                <w:sz w:val="21"/>
                <w:szCs w:val="21"/>
                <w:highlight w:val="none"/>
                <w14:textFill>
                  <w14:solidFill>
                    <w14:schemeClr w14:val="tx1"/>
                  </w14:solidFill>
                </w14:textFill>
              </w:rPr>
              <w:t>禽粪便处理场：1、生活饮用水水源保护区、风景名胜区、自然保护区的核心区及缓冲区；2、城市和城镇居民区，包括文教科研区、医疗区、商业区、工业区、游览区等人口袋中地区；3、县级人民政府依法划定的禁养区域；4、国家或地方</w:t>
            </w:r>
            <w:r>
              <w:rPr>
                <w:rFonts w:hint="eastAsia"/>
                <w:color w:val="000000" w:themeColor="text1"/>
                <w:sz w:val="21"/>
                <w:szCs w:val="21"/>
                <w:highlight w:val="none"/>
                <w14:textFill>
                  <w14:solidFill>
                    <w14:schemeClr w14:val="tx1"/>
                  </w14:solidFill>
                </w14:textFill>
              </w:rPr>
              <w:t>法律法规</w:t>
            </w:r>
            <w:r>
              <w:rPr>
                <w:color w:val="000000" w:themeColor="text1"/>
                <w:sz w:val="21"/>
                <w:szCs w:val="21"/>
                <w:highlight w:val="none"/>
                <w14:textFill>
                  <w14:solidFill>
                    <w14:schemeClr w14:val="tx1"/>
                  </w14:solidFill>
                </w14:textFill>
              </w:rPr>
              <w:t>规定需特殊保护的其他区域。</w:t>
            </w:r>
          </w:p>
        </w:tc>
        <w:tc>
          <w:tcPr>
            <w:tcW w:w="3587" w:type="dxa"/>
            <w:vAlign w:val="center"/>
          </w:tcPr>
          <w:p w14:paraId="2EA54D5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本项目不处于生活饮用水水源保护区、风景名胜区、自然保护区的核心区及缓冲区。2、本项目不处于城市和城镇居民区，包括文教科研区、医疗区、商业区、工业区、游览区等人口集中地区。3、本项目选址不属于</w:t>
            </w:r>
            <w:r>
              <w:rPr>
                <w:rFonts w:hint="eastAsia"/>
                <w:color w:val="000000" w:themeColor="text1"/>
                <w:sz w:val="21"/>
                <w:szCs w:val="21"/>
                <w:highlight w:val="none"/>
                <w:lang w:eastAsia="zh-CN"/>
                <w14:textFill>
                  <w14:solidFill>
                    <w14:schemeClr w14:val="tx1"/>
                  </w14:solidFill>
                </w14:textFill>
              </w:rPr>
              <w:t>胡杨河市</w:t>
            </w:r>
            <w:r>
              <w:rPr>
                <w:color w:val="000000" w:themeColor="text1"/>
                <w:sz w:val="21"/>
                <w:szCs w:val="21"/>
                <w:highlight w:val="none"/>
                <w14:textFill>
                  <w14:solidFill>
                    <w14:schemeClr w14:val="tx1"/>
                  </w14:solidFill>
                </w14:textFill>
              </w:rPr>
              <w:t>划定的禁养区和限养区。4、本项目不处于国家或地方</w:t>
            </w:r>
            <w:r>
              <w:rPr>
                <w:rFonts w:hint="eastAsia"/>
                <w:color w:val="000000" w:themeColor="text1"/>
                <w:sz w:val="21"/>
                <w:szCs w:val="21"/>
                <w:highlight w:val="none"/>
                <w14:textFill>
                  <w14:solidFill>
                    <w14:schemeClr w14:val="tx1"/>
                  </w14:solidFill>
                </w14:textFill>
              </w:rPr>
              <w:t>法律法规</w:t>
            </w:r>
            <w:r>
              <w:rPr>
                <w:color w:val="000000" w:themeColor="text1"/>
                <w:sz w:val="21"/>
                <w:szCs w:val="21"/>
                <w:highlight w:val="none"/>
                <w14:textFill>
                  <w14:solidFill>
                    <w14:schemeClr w14:val="tx1"/>
                  </w14:solidFill>
                </w14:textFill>
              </w:rPr>
              <w:t>规定需特殊保护的其他区域。</w:t>
            </w:r>
          </w:p>
        </w:tc>
        <w:tc>
          <w:tcPr>
            <w:tcW w:w="516" w:type="dxa"/>
            <w:vAlign w:val="center"/>
          </w:tcPr>
          <w:p w14:paraId="2B3E8F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4D08C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354" w:type="dxa"/>
            <w:textDirection w:val="tbRlV"/>
            <w:vAlign w:val="center"/>
          </w:tcPr>
          <w:p w14:paraId="37D120A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粪便的收集</w:t>
            </w:r>
          </w:p>
        </w:tc>
        <w:tc>
          <w:tcPr>
            <w:tcW w:w="3963" w:type="dxa"/>
            <w:vAlign w:val="center"/>
          </w:tcPr>
          <w:p w14:paraId="34CD2B0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1、新建、扩建和改建畜禽养殖场和养殖小区应采用先进的清粪工艺，避免畜禽粪便与冲洗等其他污水混合，减少污染物排放量。2、畜禽粪便收集、运输过程中必须采取防扬散、防流失、防渗漏等环境污染</w:t>
            </w:r>
            <w:r>
              <w:rPr>
                <w:rFonts w:hint="eastAsia"/>
                <w:color w:val="000000" w:themeColor="text1"/>
                <w:sz w:val="21"/>
                <w:szCs w:val="21"/>
                <w:highlight w:val="none"/>
                <w14:textFill>
                  <w14:solidFill>
                    <w14:schemeClr w14:val="tx1"/>
                  </w14:solidFill>
                </w14:textFill>
              </w:rPr>
              <w:t>防治措施</w:t>
            </w:r>
            <w:r>
              <w:rPr>
                <w:color w:val="000000" w:themeColor="text1"/>
                <w:sz w:val="21"/>
                <w:szCs w:val="21"/>
                <w:highlight w:val="none"/>
                <w14:textFill>
                  <w14:solidFill>
                    <w14:schemeClr w14:val="tx1"/>
                  </w14:solidFill>
                </w14:textFill>
              </w:rPr>
              <w:t>。</w:t>
            </w:r>
          </w:p>
        </w:tc>
        <w:tc>
          <w:tcPr>
            <w:tcW w:w="3587" w:type="dxa"/>
            <w:vAlign w:val="center"/>
          </w:tcPr>
          <w:p w14:paraId="0C675CC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1、本项目养殖场采用干清粪工艺。2、本项目畜禽粪便收集、运输过程中均采取了防扬散、防流失、防渗漏等环境污染</w:t>
            </w:r>
            <w:r>
              <w:rPr>
                <w:rFonts w:hint="eastAsia"/>
                <w:color w:val="000000" w:themeColor="text1"/>
                <w:sz w:val="21"/>
                <w:szCs w:val="21"/>
                <w:highlight w:val="none"/>
                <w14:textFill>
                  <w14:solidFill>
                    <w14:schemeClr w14:val="tx1"/>
                  </w14:solidFill>
                </w14:textFill>
              </w:rPr>
              <w:t>防治措施</w:t>
            </w:r>
            <w:r>
              <w:rPr>
                <w:color w:val="000000" w:themeColor="text1"/>
                <w:sz w:val="21"/>
                <w:szCs w:val="21"/>
                <w:highlight w:val="none"/>
                <w14:textFill>
                  <w14:solidFill>
                    <w14:schemeClr w14:val="tx1"/>
                  </w14:solidFill>
                </w14:textFill>
              </w:rPr>
              <w:t>。</w:t>
            </w:r>
          </w:p>
        </w:tc>
        <w:tc>
          <w:tcPr>
            <w:tcW w:w="516" w:type="dxa"/>
            <w:vAlign w:val="center"/>
          </w:tcPr>
          <w:p w14:paraId="0971C69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4F88EB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354" w:type="dxa"/>
            <w:textDirection w:val="tbRlV"/>
            <w:vAlign w:val="center"/>
          </w:tcPr>
          <w:p w14:paraId="66C20C2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粪便的贮存</w:t>
            </w:r>
          </w:p>
        </w:tc>
        <w:tc>
          <w:tcPr>
            <w:tcW w:w="3963" w:type="dxa"/>
            <w:vAlign w:val="center"/>
          </w:tcPr>
          <w:p w14:paraId="2D8C3DC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畜禽养殖场产生的畜禽粪便应设置专门的贮存设施。2、畜禽粪便贮存设施位置必须距离地表水400m以上。3、畜禽粪便贮存设施应设置明显标志和围栏等防护措施，保证人畜安全。4、畜禽粪便贮存设施必须进行防渗处理，防止污染地下水。5、畜禽粪便贮存设施应采取防雨（水）措施。6、贮存过程中不应产生二次污染，其恶臭及污染物排放应符合</w:t>
            </w:r>
            <w:r>
              <w:rPr>
                <w:rFonts w:hint="eastAsia"/>
                <w:color w:val="000000" w:themeColor="text1"/>
                <w:sz w:val="21"/>
                <w:szCs w:val="21"/>
                <w:highlight w:val="none"/>
                <w14:textFill>
                  <w14:solidFill>
                    <w14:schemeClr w14:val="tx1"/>
                  </w14:solidFill>
                </w14:textFill>
              </w:rPr>
              <w:t>GB 18596-2001</w:t>
            </w:r>
            <w:r>
              <w:rPr>
                <w:color w:val="000000" w:themeColor="text1"/>
                <w:sz w:val="21"/>
                <w:szCs w:val="21"/>
                <w:highlight w:val="none"/>
                <w14:textFill>
                  <w14:solidFill>
                    <w14:schemeClr w14:val="tx1"/>
                  </w14:solidFill>
                </w14:textFill>
              </w:rPr>
              <w:t>的规定。</w:t>
            </w:r>
          </w:p>
        </w:tc>
        <w:tc>
          <w:tcPr>
            <w:tcW w:w="3587" w:type="dxa"/>
            <w:vAlign w:val="center"/>
          </w:tcPr>
          <w:p w14:paraId="1704CB0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1、本项目</w:t>
            </w:r>
            <w:r>
              <w:rPr>
                <w:rFonts w:hint="eastAsia"/>
                <w:color w:val="000000" w:themeColor="text1"/>
                <w:sz w:val="21"/>
                <w:szCs w:val="21"/>
                <w:highlight w:val="none"/>
                <w14:textFill>
                  <w14:solidFill>
                    <w14:schemeClr w14:val="tx1"/>
                  </w14:solidFill>
                </w14:textFill>
              </w:rPr>
              <w:t>采用好氧堆粪场</w:t>
            </w:r>
            <w:r>
              <w:rPr>
                <w:color w:val="000000" w:themeColor="text1"/>
                <w:sz w:val="21"/>
                <w:szCs w:val="21"/>
                <w:highlight w:val="none"/>
                <w14:textFill>
                  <w14:solidFill>
                    <w14:schemeClr w14:val="tx1"/>
                  </w14:solidFill>
                </w14:textFill>
              </w:rPr>
              <w:t>发酵成有机肥用于周边农田。2、本项目周边500m范围内无地表水。3、本项目</w:t>
            </w: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设置明显标志，采用</w:t>
            </w:r>
            <w:r>
              <w:rPr>
                <w:rFonts w:hint="eastAsia"/>
                <w:color w:val="000000" w:themeColor="text1"/>
                <w:sz w:val="21"/>
                <w:szCs w:val="21"/>
                <w:highlight w:val="none"/>
                <w:lang w:val="en-US" w:eastAsia="zh-CN"/>
                <w14:textFill>
                  <w14:solidFill>
                    <w14:schemeClr w14:val="tx1"/>
                  </w14:solidFill>
                </w14:textFill>
              </w:rPr>
              <w:t>半</w:t>
            </w:r>
            <w:r>
              <w:rPr>
                <w:color w:val="000000" w:themeColor="text1"/>
                <w:sz w:val="21"/>
                <w:szCs w:val="21"/>
                <w:highlight w:val="none"/>
                <w14:textFill>
                  <w14:solidFill>
                    <w14:schemeClr w14:val="tx1"/>
                  </w14:solidFill>
                </w14:textFill>
              </w:rPr>
              <w:t>封闭运行等防护措施，保证人畜安全。5、本项目</w:t>
            </w: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拟进行严格防渗处理，防止污染地下水。6、本项目</w:t>
            </w: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采用</w:t>
            </w:r>
            <w:r>
              <w:rPr>
                <w:rFonts w:hint="eastAsia"/>
                <w:color w:val="000000" w:themeColor="text1"/>
                <w:sz w:val="21"/>
                <w:szCs w:val="21"/>
                <w:highlight w:val="none"/>
                <w:lang w:val="en-US" w:eastAsia="zh-CN"/>
                <w14:textFill>
                  <w14:solidFill>
                    <w14:schemeClr w14:val="tx1"/>
                  </w14:solidFill>
                </w14:textFill>
              </w:rPr>
              <w:t>半</w:t>
            </w:r>
            <w:r>
              <w:rPr>
                <w:color w:val="000000" w:themeColor="text1"/>
                <w:sz w:val="21"/>
                <w:szCs w:val="21"/>
                <w:highlight w:val="none"/>
                <w14:textFill>
                  <w14:solidFill>
                    <w14:schemeClr w14:val="tx1"/>
                  </w14:solidFill>
                </w14:textFill>
              </w:rPr>
              <w:t>封闭运行，为不露天建筑，采取防雨（水）措施。7、经工程分析可知，本项目猪粪处理设施恶臭污染物排放满足</w:t>
            </w:r>
            <w:r>
              <w:rPr>
                <w:rFonts w:hint="eastAsia"/>
                <w:color w:val="000000" w:themeColor="text1"/>
                <w:sz w:val="21"/>
                <w:szCs w:val="21"/>
                <w:highlight w:val="none"/>
                <w14:textFill>
                  <w14:solidFill>
                    <w14:schemeClr w14:val="tx1"/>
                  </w14:solidFill>
                </w14:textFill>
              </w:rPr>
              <w:t>GB 18596-2001</w:t>
            </w:r>
            <w:r>
              <w:rPr>
                <w:color w:val="000000" w:themeColor="text1"/>
                <w:sz w:val="21"/>
                <w:szCs w:val="21"/>
                <w:highlight w:val="none"/>
                <w14:textFill>
                  <w14:solidFill>
                    <w14:schemeClr w14:val="tx1"/>
                  </w14:solidFill>
                </w14:textFill>
              </w:rPr>
              <w:t>的规定。</w:t>
            </w:r>
          </w:p>
        </w:tc>
        <w:tc>
          <w:tcPr>
            <w:tcW w:w="516" w:type="dxa"/>
            <w:vAlign w:val="center"/>
          </w:tcPr>
          <w:p w14:paraId="0AE7666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6833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54" w:type="dxa"/>
            <w:textDirection w:val="tbRlV"/>
            <w:vAlign w:val="center"/>
          </w:tcPr>
          <w:p w14:paraId="6D560E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粪便的处理</w:t>
            </w:r>
          </w:p>
        </w:tc>
        <w:tc>
          <w:tcPr>
            <w:tcW w:w="3963" w:type="dxa"/>
            <w:vAlign w:val="center"/>
          </w:tcPr>
          <w:p w14:paraId="69621CC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畜禽粪便经过堆肥处理后必须达到以下卫生学要求：蛔虫卵死亡率≥95%；粪大肠菌群数≤105个/kg；有效地控制苍蝇孪生，堆体周围没有活的蛆蝠、蛹或新羽化的成蝇。2、畜禽固体粪便宜采用条垛式、机械强化槽式和密闭仓式堆肥技术进行无害化处理，其堆体温度维持50℃以上的时间不少于7d，或45℃以上不少于14d。</w:t>
            </w:r>
          </w:p>
        </w:tc>
        <w:tc>
          <w:tcPr>
            <w:tcW w:w="3587" w:type="dxa"/>
            <w:vAlign w:val="center"/>
          </w:tcPr>
          <w:p w14:paraId="10E9962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1、本项目</w:t>
            </w:r>
            <w:r>
              <w:rPr>
                <w:rFonts w:ascii="Times New Roman" w:hAnsi="Times New Roman" w:eastAsia="宋体" w:cs="宋体"/>
                <w:color w:val="000000" w:themeColor="text1"/>
                <w:sz w:val="21"/>
                <w:szCs w:val="21"/>
                <w:highlight w:val="none"/>
                <w14:textFill>
                  <w14:solidFill>
                    <w14:schemeClr w14:val="tx1"/>
                  </w14:solidFill>
                </w14:textFill>
              </w:rPr>
              <w:t>猪粪无害化处理后可满足蛔虫卵死亡率≥95%、粪大肠菌群数≤105个/kg，可有效地控制苍蝇</w:t>
            </w:r>
            <w:r>
              <w:rPr>
                <w:rFonts w:hint="eastAsia" w:ascii="Times New Roman" w:hAnsi="Times New Roman" w:eastAsia="宋体" w:cs="宋体"/>
                <w:color w:val="000000" w:themeColor="text1"/>
                <w:sz w:val="21"/>
                <w:szCs w:val="21"/>
                <w:highlight w:val="none"/>
                <w14:textFill>
                  <w14:solidFill>
                    <w14:schemeClr w14:val="tx1"/>
                  </w14:solidFill>
                </w14:textFill>
              </w:rPr>
              <w:t>滋</w:t>
            </w:r>
            <w:r>
              <w:rPr>
                <w:rFonts w:ascii="Times New Roman" w:hAnsi="Times New Roman" w:eastAsia="宋体" w:cs="宋体"/>
                <w:color w:val="000000" w:themeColor="text1"/>
                <w:sz w:val="21"/>
                <w:szCs w:val="21"/>
                <w:highlight w:val="none"/>
                <w14:textFill>
                  <w14:solidFill>
                    <w14:schemeClr w14:val="tx1"/>
                  </w14:solidFill>
                </w14:textFill>
              </w:rPr>
              <w:t>生，保证堆体周围没有活的蛆蝠、蛹或新羽化的成蝇。2、本项目猪粪采用自然堆肥及机械翻堆相结合的方式对粪污进行处理，发酵时间</w:t>
            </w:r>
            <w:r>
              <w:rPr>
                <w:rFonts w:hint="eastAsia" w:cs="宋体"/>
                <w:color w:val="000000" w:themeColor="text1"/>
                <w:sz w:val="21"/>
                <w:szCs w:val="21"/>
                <w:highlight w:val="none"/>
                <w:lang w:eastAsia="zh-CN"/>
                <w14:textFill>
                  <w14:solidFill>
                    <w14:schemeClr w14:val="tx1"/>
                  </w14:solidFill>
                </w14:textFill>
              </w:rPr>
              <w:t>一般为7-15d</w:t>
            </w:r>
            <w:r>
              <w:rPr>
                <w:rFonts w:ascii="Times New Roman" w:hAnsi="Times New Roman" w:eastAsia="宋体" w:cs="宋体"/>
                <w:color w:val="000000" w:themeColor="text1"/>
                <w:sz w:val="21"/>
                <w:szCs w:val="21"/>
                <w:highlight w:val="none"/>
                <w14:textFill>
                  <w14:solidFill>
                    <w14:schemeClr w14:val="tx1"/>
                  </w14:solidFill>
                </w14:textFill>
              </w:rPr>
              <w:t>。</w:t>
            </w:r>
          </w:p>
        </w:tc>
        <w:tc>
          <w:tcPr>
            <w:tcW w:w="516" w:type="dxa"/>
            <w:vAlign w:val="center"/>
          </w:tcPr>
          <w:p w14:paraId="7D47751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48D7D59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）与《规模畜禽养殖场污染防治最佳可行技术指南（试行）》</w:t>
      </w:r>
      <w:r>
        <w:rPr>
          <w:rFonts w:hint="eastAsia"/>
          <w:color w:val="000000" w:themeColor="text1"/>
          <w:highlight w:val="none"/>
          <w14:textFill>
            <w14:solidFill>
              <w14:schemeClr w14:val="tx1"/>
            </w14:solidFill>
          </w14:textFill>
        </w:rPr>
        <w:t>（HJ-BAT-10-2013）符</w:t>
      </w:r>
      <w:r>
        <w:rPr>
          <w:color w:val="000000" w:themeColor="text1"/>
          <w:highlight w:val="none"/>
          <w14:textFill>
            <w14:solidFill>
              <w14:schemeClr w14:val="tx1"/>
            </w14:solidFill>
          </w14:textFill>
        </w:rPr>
        <w:t>合性分</w:t>
      </w:r>
      <w:bookmarkStart w:id="10" w:name="_Toc20922"/>
      <w:r>
        <w:rPr>
          <w:color w:val="000000" w:themeColor="text1"/>
          <w:highlight w:val="none"/>
          <w14:textFill>
            <w14:solidFill>
              <w14:schemeClr w14:val="tx1"/>
            </w14:solidFill>
          </w14:textFill>
        </w:rPr>
        <w:t>析</w:t>
      </w:r>
      <w:bookmarkEnd w:id="10"/>
    </w:p>
    <w:p w14:paraId="57F0B3D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1.3-6</w:t>
      </w:r>
      <w:r>
        <w:rPr>
          <w:b/>
          <w:bCs/>
          <w:color w:val="000000" w:themeColor="text1"/>
          <w:sz w:val="21"/>
          <w:szCs w:val="21"/>
          <w:highlight w:val="none"/>
          <w14:textFill>
            <w14:solidFill>
              <w14:schemeClr w14:val="tx1"/>
            </w14:solidFill>
          </w14:textFill>
        </w:rPr>
        <w:t xml:space="preserve">  项目与《规模畜禽养殖场污染防治最佳可行技术指南（试行）》</w:t>
      </w:r>
      <w:r>
        <w:rPr>
          <w:rFonts w:hint="eastAsia"/>
          <w:b/>
          <w:bCs/>
          <w:color w:val="000000" w:themeColor="text1"/>
          <w:sz w:val="21"/>
          <w:szCs w:val="21"/>
          <w:highlight w:val="none"/>
          <w14:textFill>
            <w14:solidFill>
              <w14:schemeClr w14:val="tx1"/>
            </w14:solidFill>
          </w14:textFill>
        </w:rPr>
        <w:t>（HJ-BAT-10-2013）</w:t>
      </w:r>
      <w:r>
        <w:rPr>
          <w:b/>
          <w:bCs/>
          <w:color w:val="000000" w:themeColor="text1"/>
          <w:sz w:val="21"/>
          <w:szCs w:val="21"/>
          <w:highlight w:val="none"/>
          <w14:textFill>
            <w14:solidFill>
              <w14:schemeClr w14:val="tx1"/>
            </w14:solidFill>
          </w14:textFill>
        </w:rPr>
        <w:t>符合性分析</w:t>
      </w:r>
    </w:p>
    <w:tbl>
      <w:tblPr>
        <w:tblStyle w:val="58"/>
        <w:tblW w:w="8380" w:type="dxa"/>
        <w:tblInd w:w="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0"/>
        <w:gridCol w:w="4484"/>
        <w:gridCol w:w="2434"/>
        <w:gridCol w:w="552"/>
      </w:tblGrid>
      <w:tr w14:paraId="10026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trPr>
        <w:tc>
          <w:tcPr>
            <w:tcW w:w="910" w:type="dxa"/>
            <w:vAlign w:val="center"/>
          </w:tcPr>
          <w:p w14:paraId="4BE7E58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可行技术 类别</w:t>
            </w:r>
          </w:p>
        </w:tc>
        <w:tc>
          <w:tcPr>
            <w:tcW w:w="4484" w:type="dxa"/>
            <w:vAlign w:val="center"/>
          </w:tcPr>
          <w:p w14:paraId="3CB7722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文件规定</w:t>
            </w:r>
          </w:p>
        </w:tc>
        <w:tc>
          <w:tcPr>
            <w:tcW w:w="2434" w:type="dxa"/>
            <w:vAlign w:val="center"/>
          </w:tcPr>
          <w:p w14:paraId="3352D5C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552" w:type="dxa"/>
            <w:vAlign w:val="center"/>
          </w:tcPr>
          <w:p w14:paraId="6AD6DA8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 情况</w:t>
            </w:r>
          </w:p>
        </w:tc>
      </w:tr>
      <w:tr w14:paraId="5CA5E6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3" w:hRule="atLeast"/>
        </w:trPr>
        <w:tc>
          <w:tcPr>
            <w:tcW w:w="910" w:type="dxa"/>
            <w:vAlign w:val="center"/>
          </w:tcPr>
          <w:p w14:paraId="007573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畜禽养殖污染预防技术</w:t>
            </w:r>
          </w:p>
        </w:tc>
        <w:tc>
          <w:tcPr>
            <w:tcW w:w="4484" w:type="dxa"/>
            <w:vAlign w:val="center"/>
          </w:tcPr>
          <w:p w14:paraId="72EE347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①畜禽养殖污染预防技术。畜禽科学饲喂技术采用培育优良品种、科学饲养、科学配料、</w:t>
            </w:r>
            <w:r>
              <w:rPr>
                <w:rFonts w:hint="eastAsia"/>
                <w:color w:val="000000" w:themeColor="text1"/>
                <w:sz w:val="21"/>
                <w:szCs w:val="21"/>
                <w:highlight w:val="none"/>
                <w:lang w:eastAsia="zh-CN"/>
                <w14:textFill>
                  <w14:solidFill>
                    <w14:schemeClr w14:val="tx1"/>
                  </w14:solidFill>
                </w14:textFill>
              </w:rPr>
              <w:t>采取</w:t>
            </w:r>
            <w:r>
              <w:rPr>
                <w:color w:val="000000" w:themeColor="text1"/>
                <w:sz w:val="21"/>
                <w:szCs w:val="21"/>
                <w:highlight w:val="none"/>
                <w14:textFill>
                  <w14:solidFill>
                    <w14:schemeClr w14:val="tx1"/>
                  </w14:solidFill>
                </w14:textFill>
              </w:rPr>
              <w:t>无公害绿色添加剂等措施，并利用高新技术改变饲料品质及物理形态，提高畜禽饲料的利用率，降低畜禽排泄物中氮的含量及恶臭气体的排放。②干清粪技术。③病死畜禽尸体的处理与处置，采用厌氧发酵技术的养殖场可采用高温灭菌方法，将畜禽尸体破碎后进入沼气发酵反应器。对未采用厌氧发酵技术的大型养殖场或在养殖密集区的大型养殖场应集中设置焚烧设施，同时焚烧产生的烟气应采取有效的净化措施，防止烟尘、一氧化碳、恶臭等对周围大气环境的污染。不具备上述条件的养殖场应设置安全填埋井。</w:t>
            </w:r>
          </w:p>
        </w:tc>
        <w:tc>
          <w:tcPr>
            <w:tcW w:w="2434" w:type="dxa"/>
            <w:vAlign w:val="center"/>
          </w:tcPr>
          <w:p w14:paraId="3B3D9AD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①本项目采用养殖技术成熟、科学，通过优化饲料配方、提高管理水平等减少环境污染。</w:t>
            </w:r>
          </w:p>
          <w:p w14:paraId="0731A59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②本项目采用干清粪工艺。</w:t>
            </w:r>
          </w:p>
          <w:p w14:paraId="5394F6B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③</w:t>
            </w:r>
            <w:r>
              <w:rPr>
                <w:rFonts w:hint="eastAsia"/>
                <w:color w:val="000000" w:themeColor="text1"/>
                <w:sz w:val="21"/>
                <w:szCs w:val="21"/>
                <w:highlight w:val="none"/>
                <w14:textFill>
                  <w14:solidFill>
                    <w14:schemeClr w14:val="tx1"/>
                  </w14:solidFill>
                </w14:textFill>
              </w:rPr>
              <w:t>本项目</w:t>
            </w:r>
            <w:r>
              <w:rPr>
                <w:rFonts w:hint="eastAsia"/>
                <w:color w:val="000000" w:themeColor="text1"/>
                <w:sz w:val="21"/>
                <w:szCs w:val="21"/>
                <w:highlight w:val="none"/>
                <w:lang w:eastAsia="zh-CN"/>
                <w14:textFill>
                  <w14:solidFill>
                    <w14:schemeClr w14:val="tx1"/>
                  </w14:solidFill>
                </w14:textFill>
              </w:rPr>
              <w:t>病死猪、胎衣</w:t>
            </w:r>
            <w:r>
              <w:rPr>
                <w:rFonts w:hint="eastAsia"/>
                <w:color w:val="000000" w:themeColor="text1"/>
                <w:sz w:val="21"/>
                <w:szCs w:val="21"/>
                <w:highlight w:val="none"/>
                <w14:textFill>
                  <w14:solidFill>
                    <w14:schemeClr w14:val="tx1"/>
                  </w14:solidFill>
                </w14:textFill>
              </w:rPr>
              <w:t>委托有资质单位</w:t>
            </w:r>
            <w:r>
              <w:rPr>
                <w:color w:val="000000" w:themeColor="text1"/>
                <w:sz w:val="21"/>
                <w:szCs w:val="21"/>
                <w:highlight w:val="none"/>
                <w14:textFill>
                  <w14:solidFill>
                    <w14:schemeClr w14:val="tx1"/>
                  </w14:solidFill>
                </w14:textFill>
              </w:rPr>
              <w:t>进行处理。</w:t>
            </w:r>
          </w:p>
        </w:tc>
        <w:tc>
          <w:tcPr>
            <w:tcW w:w="552" w:type="dxa"/>
            <w:vAlign w:val="center"/>
          </w:tcPr>
          <w:p w14:paraId="7B54379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548D42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10" w:type="dxa"/>
            <w:vAlign w:val="center"/>
          </w:tcPr>
          <w:p w14:paraId="12F1BB3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臭气污染控制技术</w:t>
            </w:r>
          </w:p>
        </w:tc>
        <w:tc>
          <w:tcPr>
            <w:tcW w:w="4484" w:type="dxa"/>
            <w:vAlign w:val="center"/>
          </w:tcPr>
          <w:p w14:paraId="5700494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向养殖场区和粪污处理厂（站）投加或喷洒化学除臭剂防止臭气的产生。可采用双氧水、次氯酸钠、臭氧等不含重金属的化学氧化剂。</w:t>
            </w:r>
          </w:p>
        </w:tc>
        <w:tc>
          <w:tcPr>
            <w:tcW w:w="2434" w:type="dxa"/>
            <w:vAlign w:val="center"/>
          </w:tcPr>
          <w:p w14:paraId="6ECCC59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本项目圈舍、</w:t>
            </w:r>
            <w:r>
              <w:rPr>
                <w:rFonts w:hint="eastAsia"/>
                <w:color w:val="000000" w:themeColor="text1"/>
                <w:sz w:val="21"/>
                <w:szCs w:val="21"/>
                <w:highlight w:val="none"/>
                <w14:textFill>
                  <w14:solidFill>
                    <w14:schemeClr w14:val="tx1"/>
                  </w14:solidFill>
                </w14:textFill>
              </w:rPr>
              <w:t>干湿分离车间</w:t>
            </w:r>
            <w:r>
              <w:rPr>
                <w:color w:val="000000" w:themeColor="text1"/>
                <w:sz w:val="21"/>
                <w:szCs w:val="21"/>
                <w:highlight w:val="none"/>
                <w14:textFill>
                  <w14:solidFill>
                    <w14:schemeClr w14:val="tx1"/>
                  </w14:solidFill>
                </w14:textFill>
              </w:rPr>
              <w:t>全封闭，</w:t>
            </w: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进行了</w:t>
            </w:r>
            <w:r>
              <w:rPr>
                <w:rFonts w:hint="eastAsia"/>
                <w:color w:val="000000" w:themeColor="text1"/>
                <w:sz w:val="21"/>
                <w:szCs w:val="21"/>
                <w:highlight w:val="none"/>
                <w:lang w:val="en-US" w:eastAsia="zh-CN"/>
                <w14:textFill>
                  <w14:solidFill>
                    <w14:schemeClr w14:val="tx1"/>
                  </w14:solidFill>
                </w14:textFill>
              </w:rPr>
              <w:t>半封闭，</w:t>
            </w:r>
            <w:r>
              <w:rPr>
                <w:color w:val="000000" w:themeColor="text1"/>
                <w:sz w:val="21"/>
                <w:szCs w:val="21"/>
                <w:highlight w:val="none"/>
                <w14:textFill>
                  <w14:solidFill>
                    <w14:schemeClr w14:val="tx1"/>
                  </w14:solidFill>
                </w14:textFill>
              </w:rPr>
              <w:t>并采取喷洒化学除臭剂防止臭气产生。</w:t>
            </w:r>
          </w:p>
        </w:tc>
        <w:tc>
          <w:tcPr>
            <w:tcW w:w="552" w:type="dxa"/>
            <w:vAlign w:val="center"/>
          </w:tcPr>
          <w:p w14:paraId="4527A47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42F9B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3" w:hRule="atLeast"/>
        </w:trPr>
        <w:tc>
          <w:tcPr>
            <w:tcW w:w="910" w:type="dxa"/>
            <w:vAlign w:val="center"/>
          </w:tcPr>
          <w:p w14:paraId="72B2A46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粪便堆肥 发酵技术</w:t>
            </w:r>
          </w:p>
        </w:tc>
        <w:tc>
          <w:tcPr>
            <w:tcW w:w="4484" w:type="dxa"/>
            <w:vAlign w:val="center"/>
          </w:tcPr>
          <w:p w14:paraId="50BCDEF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自然堆肥是指在自然条件下将粪便</w:t>
            </w:r>
            <w:r>
              <w:rPr>
                <w:rFonts w:hint="eastAsia"/>
                <w:color w:val="000000" w:themeColor="text1"/>
                <w:sz w:val="21"/>
                <w:szCs w:val="21"/>
                <w:highlight w:val="none"/>
                <w:lang w:eastAsia="zh-CN"/>
                <w14:textFill>
                  <w14:solidFill>
                    <w14:schemeClr w14:val="tx1"/>
                  </w14:solidFill>
                </w14:textFill>
              </w:rPr>
              <w:t>拌匀</w:t>
            </w:r>
            <w:r>
              <w:rPr>
                <w:color w:val="000000" w:themeColor="text1"/>
                <w:sz w:val="21"/>
                <w:szCs w:val="21"/>
                <w:highlight w:val="none"/>
                <w14:textFill>
                  <w14:solidFill>
                    <w14:schemeClr w14:val="tx1"/>
                  </w14:solidFill>
                </w14:textFill>
              </w:rPr>
              <w:t>摊晒，降低物料含水率，同时在好氧菌的作用下进行发酵腐熟。</w:t>
            </w:r>
          </w:p>
        </w:tc>
        <w:tc>
          <w:tcPr>
            <w:tcW w:w="2434" w:type="dxa"/>
            <w:vAlign w:val="center"/>
          </w:tcPr>
          <w:p w14:paraId="257100CC">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本项目产生的粪污经固液分离后</w:t>
            </w:r>
            <w:r>
              <w:rPr>
                <w:rFonts w:ascii="Times New Roman" w:hAnsi="Times New Roman" w:eastAsia="宋体" w:cs="宋体"/>
                <w:color w:val="000000" w:themeColor="text1"/>
                <w:sz w:val="21"/>
                <w:szCs w:val="21"/>
                <w:highlight w:val="none"/>
                <w14:textFill>
                  <w14:solidFill>
                    <w14:schemeClr w14:val="tx1"/>
                  </w14:solidFill>
                </w14:textFill>
              </w:rPr>
              <w:t>，固体粪便经收集后送</w:t>
            </w:r>
            <w:r>
              <w:rPr>
                <w:rFonts w:hint="eastAsia" w:ascii="Times New Roman" w:hAnsi="Times New Roman" w:eastAsia="宋体" w:cs="宋体"/>
                <w:color w:val="000000" w:themeColor="text1"/>
                <w:sz w:val="21"/>
                <w:szCs w:val="21"/>
                <w:highlight w:val="none"/>
                <w14:textFill>
                  <w14:solidFill>
                    <w14:schemeClr w14:val="tx1"/>
                  </w14:solidFill>
                </w14:textFill>
              </w:rPr>
              <w:t>堆粪场</w:t>
            </w:r>
            <w:r>
              <w:rPr>
                <w:rFonts w:ascii="Times New Roman" w:hAnsi="Times New Roman" w:eastAsia="宋体" w:cs="宋体"/>
                <w:color w:val="000000" w:themeColor="text1"/>
                <w:sz w:val="21"/>
                <w:szCs w:val="21"/>
                <w:highlight w:val="none"/>
                <w14:textFill>
                  <w14:solidFill>
                    <w14:schemeClr w14:val="tx1"/>
                  </w14:solidFill>
                </w14:textFill>
              </w:rPr>
              <w:t>生产有机肥基料，采用自然堆肥及机械翻堆相结合的方式对粪污进行处理，发酵时间</w:t>
            </w:r>
            <w:r>
              <w:rPr>
                <w:rFonts w:hint="eastAsia" w:cs="宋体"/>
                <w:color w:val="000000" w:themeColor="text1"/>
                <w:sz w:val="21"/>
                <w:szCs w:val="21"/>
                <w:highlight w:val="none"/>
                <w:lang w:eastAsia="zh-CN"/>
                <w14:textFill>
                  <w14:solidFill>
                    <w14:schemeClr w14:val="tx1"/>
                  </w14:solidFill>
                </w14:textFill>
              </w:rPr>
              <w:t>一般为7-15d</w:t>
            </w:r>
          </w:p>
        </w:tc>
        <w:tc>
          <w:tcPr>
            <w:tcW w:w="552" w:type="dxa"/>
            <w:vAlign w:val="center"/>
          </w:tcPr>
          <w:p w14:paraId="2FBB153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D912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4" w:hRule="atLeast"/>
        </w:trPr>
        <w:tc>
          <w:tcPr>
            <w:tcW w:w="910" w:type="dxa"/>
            <w:vAlign w:val="center"/>
          </w:tcPr>
          <w:p w14:paraId="79CEBC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禽养殖废水治理技术</w:t>
            </w:r>
          </w:p>
        </w:tc>
        <w:tc>
          <w:tcPr>
            <w:tcW w:w="4484" w:type="dxa"/>
            <w:vAlign w:val="center"/>
          </w:tcPr>
          <w:p w14:paraId="1EC0B45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畜禽废水自然处理技术包括土地处理技术和</w:t>
            </w:r>
            <w:r>
              <w:rPr>
                <w:rFonts w:hint="eastAsia"/>
                <w:color w:val="000000" w:themeColor="text1"/>
                <w:sz w:val="21"/>
                <w:szCs w:val="21"/>
                <w:highlight w:val="none"/>
                <w:lang w:eastAsia="zh-CN"/>
                <w14:textFill>
                  <w14:solidFill>
                    <w14:schemeClr w14:val="tx1"/>
                  </w14:solidFill>
                </w14:textFill>
              </w:rPr>
              <w:t>黑膜池</w:t>
            </w:r>
            <w:r>
              <w:rPr>
                <w:color w:val="000000" w:themeColor="text1"/>
                <w:sz w:val="21"/>
                <w:szCs w:val="21"/>
                <w:highlight w:val="none"/>
                <w14:textFill>
                  <w14:solidFill>
                    <w14:schemeClr w14:val="tx1"/>
                  </w14:solidFill>
                </w14:textFill>
              </w:rPr>
              <w:t>处理技术。按运行方式的不同，土地处理技术可分为慢速渗滤处理、快速渗滤处理、地表漫流处理和湿地处理等技术。</w:t>
            </w:r>
            <w:r>
              <w:rPr>
                <w:rFonts w:hint="eastAsia"/>
                <w:color w:val="000000" w:themeColor="text1"/>
                <w:sz w:val="21"/>
                <w:szCs w:val="21"/>
                <w:highlight w:val="none"/>
                <w:lang w:eastAsia="zh-CN"/>
                <w14:textFill>
                  <w14:solidFill>
                    <w14:schemeClr w14:val="tx1"/>
                  </w14:solidFill>
                </w14:textFill>
              </w:rPr>
              <w:t>黑膜池</w:t>
            </w:r>
            <w:r>
              <w:rPr>
                <w:color w:val="000000" w:themeColor="text1"/>
                <w:sz w:val="21"/>
                <w:szCs w:val="21"/>
                <w:highlight w:val="none"/>
                <w14:textFill>
                  <w14:solidFill>
                    <w14:schemeClr w14:val="tx1"/>
                  </w14:solidFill>
                </w14:textFill>
              </w:rPr>
              <w:t>按照优势微生物种属和相应的生化反应的不同，可分为好氧塘、兼性塘、曝气塘和</w:t>
            </w:r>
            <w:r>
              <w:rPr>
                <w:rFonts w:hint="eastAsia"/>
                <w:color w:val="000000" w:themeColor="text1"/>
                <w:sz w:val="21"/>
                <w:szCs w:val="21"/>
                <w:highlight w:val="none"/>
                <w:lang w:eastAsia="zh-CN"/>
                <w14:textFill>
                  <w14:solidFill>
                    <w14:schemeClr w14:val="tx1"/>
                  </w14:solidFill>
                </w14:textFill>
              </w:rPr>
              <w:t>黑膜池</w:t>
            </w:r>
            <w:r>
              <w:rPr>
                <w:color w:val="000000" w:themeColor="text1"/>
                <w:sz w:val="21"/>
                <w:szCs w:val="21"/>
                <w:highlight w:val="none"/>
                <w14:textFill>
                  <w14:solidFill>
                    <w14:schemeClr w14:val="tx1"/>
                  </w14:solidFill>
                </w14:textFill>
              </w:rPr>
              <w:t>四种类型</w:t>
            </w:r>
          </w:p>
        </w:tc>
        <w:tc>
          <w:tcPr>
            <w:tcW w:w="2434" w:type="dxa"/>
            <w:vAlign w:val="center"/>
          </w:tcPr>
          <w:p w14:paraId="336D9B5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本项目污水全部经</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固液分离+厌氧发酵</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处理后回用于周边农田灌溉，属于自然处理技术。</w:t>
            </w:r>
          </w:p>
        </w:tc>
        <w:tc>
          <w:tcPr>
            <w:tcW w:w="552" w:type="dxa"/>
            <w:vAlign w:val="center"/>
          </w:tcPr>
          <w:p w14:paraId="5CAE5A8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04E6CF8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）与《畜禽养殖业污染防治技术规范》（HJ/T81-2001）符合性分析</w:t>
      </w:r>
    </w:p>
    <w:p w14:paraId="47C9132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1.3-7</w:t>
      </w:r>
      <w:r>
        <w:rPr>
          <w:b/>
          <w:bCs/>
          <w:color w:val="000000" w:themeColor="text1"/>
          <w:sz w:val="21"/>
          <w:szCs w:val="21"/>
          <w:highlight w:val="none"/>
          <w14:textFill>
            <w14:solidFill>
              <w14:schemeClr w14:val="tx1"/>
            </w14:solidFill>
          </w14:textFill>
        </w:rPr>
        <w:t xml:space="preserve">  项目与《畜禽养殖业污染防治技术规范》</w:t>
      </w:r>
      <w:r>
        <w:rPr>
          <w:rFonts w:hint="eastAsia"/>
          <w:b/>
          <w:bCs/>
          <w:color w:val="000000" w:themeColor="text1"/>
          <w:sz w:val="21"/>
          <w:szCs w:val="21"/>
          <w:highlight w:val="none"/>
          <w14:textFill>
            <w14:solidFill>
              <w14:schemeClr w14:val="tx1"/>
            </w14:solidFill>
          </w14:textFill>
        </w:rPr>
        <w:t>（HJ/T 81-2001）符</w:t>
      </w:r>
      <w:r>
        <w:rPr>
          <w:b/>
          <w:bCs/>
          <w:color w:val="000000" w:themeColor="text1"/>
          <w:sz w:val="21"/>
          <w:szCs w:val="21"/>
          <w:highlight w:val="none"/>
          <w14:textFill>
            <w14:solidFill>
              <w14:schemeClr w14:val="tx1"/>
            </w14:solidFill>
          </w14:textFill>
        </w:rPr>
        <w:t>合性分析</w:t>
      </w:r>
    </w:p>
    <w:tbl>
      <w:tblPr>
        <w:tblStyle w:val="58"/>
        <w:tblW w:w="8360"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5"/>
        <w:gridCol w:w="4703"/>
        <w:gridCol w:w="2753"/>
        <w:gridCol w:w="509"/>
      </w:tblGrid>
      <w:tr w14:paraId="0EB32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098" w:type="dxa"/>
            <w:gridSpan w:val="2"/>
            <w:tcBorders>
              <w:bottom w:val="single" w:color="000000" w:sz="4" w:space="0"/>
            </w:tcBorders>
            <w:vAlign w:val="center"/>
          </w:tcPr>
          <w:p w14:paraId="61FB366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文件规定</w:t>
            </w:r>
          </w:p>
        </w:tc>
        <w:tc>
          <w:tcPr>
            <w:tcW w:w="2753" w:type="dxa"/>
            <w:tcBorders>
              <w:bottom w:val="single" w:color="000000" w:sz="4" w:space="0"/>
            </w:tcBorders>
            <w:vAlign w:val="center"/>
          </w:tcPr>
          <w:p w14:paraId="7CB0B71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本项目情况</w:t>
            </w:r>
          </w:p>
        </w:tc>
        <w:tc>
          <w:tcPr>
            <w:tcW w:w="509" w:type="dxa"/>
            <w:tcBorders>
              <w:bottom w:val="single" w:color="000000" w:sz="4" w:space="0"/>
            </w:tcBorders>
            <w:vAlign w:val="center"/>
          </w:tcPr>
          <w:p w14:paraId="1FF682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符合情况</w:t>
            </w:r>
          </w:p>
        </w:tc>
      </w:tr>
      <w:tr w14:paraId="0BB940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4" w:hRule="atLeast"/>
        </w:trPr>
        <w:tc>
          <w:tcPr>
            <w:tcW w:w="395" w:type="dxa"/>
            <w:vMerge w:val="restart"/>
            <w:tcBorders>
              <w:top w:val="single" w:color="000000" w:sz="4" w:space="0"/>
              <w:bottom w:val="nil"/>
            </w:tcBorders>
            <w:textDirection w:val="tbRlV"/>
            <w:vAlign w:val="center"/>
          </w:tcPr>
          <w:p w14:paraId="294647A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技术原则</w:t>
            </w:r>
          </w:p>
        </w:tc>
        <w:tc>
          <w:tcPr>
            <w:tcW w:w="4703" w:type="dxa"/>
            <w:tcBorders>
              <w:top w:val="single" w:color="000000" w:sz="4" w:space="0"/>
            </w:tcBorders>
            <w:vAlign w:val="center"/>
          </w:tcPr>
          <w:p w14:paraId="1371457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畜禽养殖场的建设应坚持农牧结合、种养平衡的原则，根据本场区土地（包括与其他法人签约承诺消纳本场区产生粪便污水的土地）对畜禽粪便的消纳能力，确定新建畜禽养殖场的养殖规模。</w:t>
            </w:r>
          </w:p>
        </w:tc>
        <w:tc>
          <w:tcPr>
            <w:tcW w:w="2753" w:type="dxa"/>
            <w:tcBorders>
              <w:top w:val="single" w:color="000000" w:sz="4" w:space="0"/>
            </w:tcBorders>
            <w:vAlign w:val="center"/>
          </w:tcPr>
          <w:p w14:paraId="005BE5CA">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公司已与125团16连签订4000亩农田的粪肥消纳协议，能够满足项目粪污水消纳的需求</w:t>
            </w:r>
          </w:p>
        </w:tc>
        <w:tc>
          <w:tcPr>
            <w:tcW w:w="509" w:type="dxa"/>
            <w:tcBorders>
              <w:top w:val="single" w:color="000000" w:sz="4" w:space="0"/>
            </w:tcBorders>
            <w:vAlign w:val="center"/>
          </w:tcPr>
          <w:p w14:paraId="4EAED6B1">
            <w:pPr>
              <w:spacing w:line="240" w:lineRule="auto"/>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FFFF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395" w:type="dxa"/>
            <w:vMerge w:val="continue"/>
            <w:tcBorders>
              <w:top w:val="nil"/>
            </w:tcBorders>
            <w:textDirection w:val="tbRlV"/>
            <w:vAlign w:val="center"/>
          </w:tcPr>
          <w:p w14:paraId="37F435F5">
            <w:pPr>
              <w:spacing w:line="240" w:lineRule="auto"/>
              <w:jc w:val="center"/>
              <w:rPr>
                <w:color w:val="000000" w:themeColor="text1"/>
                <w:sz w:val="21"/>
                <w:szCs w:val="21"/>
                <w:highlight w:val="none"/>
                <w14:textFill>
                  <w14:solidFill>
                    <w14:schemeClr w14:val="tx1"/>
                  </w14:solidFill>
                </w14:textFill>
              </w:rPr>
            </w:pPr>
          </w:p>
        </w:tc>
        <w:tc>
          <w:tcPr>
            <w:tcW w:w="4703" w:type="dxa"/>
            <w:vAlign w:val="center"/>
          </w:tcPr>
          <w:p w14:paraId="61D47E5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对于无相应消纳土地的养殖场，必须配套建立具有相应加工（处理）能力的粪便</w:t>
            </w: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或处理（置）机制。</w:t>
            </w:r>
          </w:p>
        </w:tc>
        <w:tc>
          <w:tcPr>
            <w:tcW w:w="2753" w:type="dxa"/>
            <w:vAlign w:val="center"/>
          </w:tcPr>
          <w:p w14:paraId="453F712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项目配套有粪便处理系统，产出的有机肥基料外售，污水处理后全部</w:t>
            </w:r>
            <w:r>
              <w:rPr>
                <w:rFonts w:hint="eastAsia"/>
                <w:color w:val="000000" w:themeColor="text1"/>
                <w:sz w:val="21"/>
                <w:szCs w:val="21"/>
                <w:highlight w:val="none"/>
                <w:lang w:eastAsia="zh-CN"/>
                <w14:textFill>
                  <w14:solidFill>
                    <w14:schemeClr w14:val="tx1"/>
                  </w14:solidFill>
                </w14:textFill>
              </w:rPr>
              <w:t>用于</w:t>
            </w:r>
            <w:r>
              <w:rPr>
                <w:color w:val="000000" w:themeColor="text1"/>
                <w:sz w:val="21"/>
                <w:szCs w:val="21"/>
                <w:highlight w:val="none"/>
                <w14:textFill>
                  <w14:solidFill>
                    <w14:schemeClr w14:val="tx1"/>
                  </w14:solidFill>
                </w14:textFill>
              </w:rPr>
              <w:t>项目周边农田灌溉，能够满足项目粪污水消纳的需求。</w:t>
            </w:r>
          </w:p>
        </w:tc>
        <w:tc>
          <w:tcPr>
            <w:tcW w:w="509" w:type="dxa"/>
            <w:vAlign w:val="center"/>
          </w:tcPr>
          <w:p w14:paraId="7F7E79B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542A6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395" w:type="dxa"/>
            <w:vMerge w:val="restart"/>
            <w:tcBorders>
              <w:bottom w:val="nil"/>
            </w:tcBorders>
            <w:textDirection w:val="tbRlV"/>
            <w:vAlign w:val="center"/>
          </w:tcPr>
          <w:p w14:paraId="40BFDFA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选址要求</w:t>
            </w:r>
          </w:p>
        </w:tc>
        <w:tc>
          <w:tcPr>
            <w:tcW w:w="4703" w:type="dxa"/>
            <w:vAlign w:val="center"/>
          </w:tcPr>
          <w:p w14:paraId="68769CE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禁止在下列区域内建设畜禽养殖场：①生活饮用水水源保护区、风景名胜区、自然保护区的核心区及缓冲区；②城市和城镇居民区，包括文教科研区、医疗区、商业区、工业区、游览区等人口集中地区；③县级人民政府依法划定的禁养区域；④国家或地方</w:t>
            </w:r>
            <w:r>
              <w:rPr>
                <w:rFonts w:hint="eastAsia"/>
                <w:color w:val="000000" w:themeColor="text1"/>
                <w:sz w:val="21"/>
                <w:szCs w:val="21"/>
                <w:highlight w:val="none"/>
                <w14:textFill>
                  <w14:solidFill>
                    <w14:schemeClr w14:val="tx1"/>
                  </w14:solidFill>
                </w14:textFill>
              </w:rPr>
              <w:t>法律法规</w:t>
            </w:r>
            <w:r>
              <w:rPr>
                <w:color w:val="000000" w:themeColor="text1"/>
                <w:sz w:val="21"/>
                <w:szCs w:val="21"/>
                <w:highlight w:val="none"/>
                <w14:textFill>
                  <w14:solidFill>
                    <w14:schemeClr w14:val="tx1"/>
                  </w14:solidFill>
                </w14:textFill>
              </w:rPr>
              <w:t>规定需特殊保护的其它区域。</w:t>
            </w:r>
          </w:p>
        </w:tc>
        <w:tc>
          <w:tcPr>
            <w:tcW w:w="2753" w:type="dxa"/>
            <w:vAlign w:val="center"/>
          </w:tcPr>
          <w:p w14:paraId="3EE4836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项目不位于生活饮用水水源保护区、风景名胜区、自然保护区的核心区及缓冲区，不位于城市和城镇居民区，不位于禁养区域、限养区域</w:t>
            </w:r>
            <w:r>
              <w:rPr>
                <w:rFonts w:hint="eastAsia"/>
                <w:color w:val="000000" w:themeColor="text1"/>
                <w:sz w:val="21"/>
                <w:szCs w:val="21"/>
                <w:highlight w:val="none"/>
                <w14:textFill>
                  <w14:solidFill>
                    <w14:schemeClr w14:val="tx1"/>
                  </w14:solidFill>
                </w14:textFill>
              </w:rPr>
              <w:t>和其他</w:t>
            </w:r>
            <w:r>
              <w:rPr>
                <w:color w:val="000000" w:themeColor="text1"/>
                <w:sz w:val="21"/>
                <w:szCs w:val="21"/>
                <w:highlight w:val="none"/>
                <w14:textFill>
                  <w14:solidFill>
                    <w14:schemeClr w14:val="tx1"/>
                  </w14:solidFill>
                </w14:textFill>
              </w:rPr>
              <w:t>需要特殊保护的区域。</w:t>
            </w:r>
          </w:p>
        </w:tc>
        <w:tc>
          <w:tcPr>
            <w:tcW w:w="509" w:type="dxa"/>
            <w:vAlign w:val="center"/>
          </w:tcPr>
          <w:p w14:paraId="67AED93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15798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395" w:type="dxa"/>
            <w:vMerge w:val="continue"/>
            <w:tcBorders>
              <w:top w:val="nil"/>
            </w:tcBorders>
            <w:textDirection w:val="tbRlV"/>
            <w:vAlign w:val="center"/>
          </w:tcPr>
          <w:p w14:paraId="0B902F3E">
            <w:pPr>
              <w:spacing w:line="240" w:lineRule="auto"/>
              <w:jc w:val="center"/>
              <w:rPr>
                <w:color w:val="000000" w:themeColor="text1"/>
                <w:sz w:val="21"/>
                <w:szCs w:val="21"/>
                <w:highlight w:val="none"/>
                <w14:textFill>
                  <w14:solidFill>
                    <w14:schemeClr w14:val="tx1"/>
                  </w14:solidFill>
                </w14:textFill>
              </w:rPr>
            </w:pPr>
          </w:p>
        </w:tc>
        <w:tc>
          <w:tcPr>
            <w:tcW w:w="4703" w:type="dxa"/>
            <w:vAlign w:val="center"/>
          </w:tcPr>
          <w:p w14:paraId="5CE26C6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新建改建、扩建的畜禽养殖场选址应避开3．1规定的禁建区域，在禁建区域附近建设的，应设在3．1规定的禁建区域常年主导风向的下风向或侧风向处，场界与禁建区域边界的最小距离不得小于500m。</w:t>
            </w:r>
          </w:p>
        </w:tc>
        <w:tc>
          <w:tcPr>
            <w:tcW w:w="2753" w:type="dxa"/>
            <w:vAlign w:val="center"/>
          </w:tcPr>
          <w:p w14:paraId="2DEF763A">
            <w:pPr>
              <w:spacing w:line="240" w:lineRule="auto"/>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项目养殖场500米范围内不涉及禁建区域。</w:t>
            </w:r>
          </w:p>
        </w:tc>
        <w:tc>
          <w:tcPr>
            <w:tcW w:w="509" w:type="dxa"/>
            <w:vAlign w:val="center"/>
          </w:tcPr>
          <w:p w14:paraId="0469A13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87E1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395" w:type="dxa"/>
            <w:vMerge w:val="restart"/>
            <w:tcBorders>
              <w:bottom w:val="nil"/>
            </w:tcBorders>
            <w:textDirection w:val="tbRlV"/>
            <w:vAlign w:val="center"/>
          </w:tcPr>
          <w:p w14:paraId="1F059EC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厂区布局与清粪工艺</w:t>
            </w:r>
          </w:p>
        </w:tc>
        <w:tc>
          <w:tcPr>
            <w:tcW w:w="4703" w:type="dxa"/>
            <w:vAlign w:val="center"/>
          </w:tcPr>
          <w:p w14:paraId="397E04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新建、改建、扩建的畜禽养殖场应实现生产区、生活管理区的隔离，粪便</w:t>
            </w: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和禽畜尸体焚烧炉应设在养殖场的生产区、生活管理区的常年主导风向的下风向或侧风向处。</w:t>
            </w:r>
          </w:p>
        </w:tc>
        <w:tc>
          <w:tcPr>
            <w:tcW w:w="2753" w:type="dxa"/>
            <w:vAlign w:val="center"/>
          </w:tcPr>
          <w:p w14:paraId="32D1719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项目场区平面布局实现了生产区、生活区、粪污区的隔离；粪污处理系统设置在生产区和生活区的侧风向。</w:t>
            </w:r>
          </w:p>
        </w:tc>
        <w:tc>
          <w:tcPr>
            <w:tcW w:w="509" w:type="dxa"/>
            <w:vAlign w:val="center"/>
          </w:tcPr>
          <w:p w14:paraId="6BFBEB2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FC0B1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8" w:hRule="atLeast"/>
        </w:trPr>
        <w:tc>
          <w:tcPr>
            <w:tcW w:w="395" w:type="dxa"/>
            <w:vMerge w:val="continue"/>
            <w:tcBorders>
              <w:top w:val="nil"/>
            </w:tcBorders>
            <w:textDirection w:val="tbRlV"/>
            <w:vAlign w:val="center"/>
          </w:tcPr>
          <w:p w14:paraId="3C11317B">
            <w:pPr>
              <w:spacing w:line="240" w:lineRule="auto"/>
              <w:jc w:val="center"/>
              <w:rPr>
                <w:color w:val="000000" w:themeColor="text1"/>
                <w:sz w:val="21"/>
                <w:szCs w:val="21"/>
                <w:highlight w:val="none"/>
                <w14:textFill>
                  <w14:solidFill>
                    <w14:schemeClr w14:val="tx1"/>
                  </w14:solidFill>
                </w14:textFill>
              </w:rPr>
            </w:pPr>
          </w:p>
        </w:tc>
        <w:tc>
          <w:tcPr>
            <w:tcW w:w="4703" w:type="dxa"/>
            <w:vAlign w:val="center"/>
          </w:tcPr>
          <w:p w14:paraId="4C569C8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新、改、扩建的畜禽养殖场应采取干清粪工艺，采取有效措施将粪及时、单独清出，不可与尿、污水混合排出，并将产生的粪渣及时运至贮存或处理场所，实现日产日清。采用水冲粪、水泡粪等湿法清粪工艺的养殖场，要逐步改为干法清粪工艺。</w:t>
            </w:r>
          </w:p>
        </w:tc>
        <w:tc>
          <w:tcPr>
            <w:tcW w:w="2753" w:type="dxa"/>
            <w:tcBorders>
              <w:bottom w:val="single" w:color="auto" w:sz="4" w:space="0"/>
            </w:tcBorders>
            <w:vAlign w:val="center"/>
          </w:tcPr>
          <w:p w14:paraId="234B9F8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项目采用干清粪的清粪工艺。</w:t>
            </w:r>
          </w:p>
        </w:tc>
        <w:tc>
          <w:tcPr>
            <w:tcW w:w="509" w:type="dxa"/>
            <w:tcBorders>
              <w:bottom w:val="single" w:color="auto" w:sz="4" w:space="0"/>
            </w:tcBorders>
            <w:vAlign w:val="center"/>
          </w:tcPr>
          <w:p w14:paraId="520A569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1763E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395" w:type="dxa"/>
            <w:vMerge w:val="restart"/>
            <w:tcBorders>
              <w:bottom w:val="nil"/>
            </w:tcBorders>
            <w:textDirection w:val="tbRlV"/>
            <w:vAlign w:val="center"/>
          </w:tcPr>
          <w:p w14:paraId="494FB4C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畜禽粪便贮存</w:t>
            </w:r>
          </w:p>
        </w:tc>
        <w:tc>
          <w:tcPr>
            <w:tcW w:w="4703" w:type="dxa"/>
            <w:tcBorders>
              <w:right w:val="single" w:color="auto" w:sz="4" w:space="0"/>
            </w:tcBorders>
            <w:vAlign w:val="center"/>
          </w:tcPr>
          <w:p w14:paraId="1D976CC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畜禽养殖场产生的畜禽粪便应设置专门的贮存设施，其恶臭及污染物排放应符合《畜禽养殖业污染物排放标准》（GB 18596-2001）。</w:t>
            </w:r>
          </w:p>
        </w:tc>
        <w:tc>
          <w:tcPr>
            <w:tcW w:w="2753" w:type="dxa"/>
            <w:vMerge w:val="restart"/>
            <w:tcBorders>
              <w:top w:val="single" w:color="auto" w:sz="4" w:space="0"/>
              <w:left w:val="single" w:color="auto" w:sz="4" w:space="0"/>
              <w:bottom w:val="single" w:color="auto" w:sz="4" w:space="0"/>
              <w:right w:val="single" w:color="auto" w:sz="4" w:space="0"/>
            </w:tcBorders>
            <w:vAlign w:val="center"/>
          </w:tcPr>
          <w:p w14:paraId="541D1B8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项目设有粪场用于储存固液分离粪便，恶臭污染物排放符合《畜禽养殖业污染物排放标准》（GB</w:t>
            </w:r>
            <w:r>
              <w:rPr>
                <w:rFonts w:hint="eastAsia"/>
                <w:color w:val="000000" w:themeColor="text1"/>
                <w:sz w:val="21"/>
                <w:szCs w:val="21"/>
                <w:highlight w:val="none"/>
                <w14:textFill>
                  <w14:solidFill>
                    <w14:schemeClr w14:val="tx1"/>
                  </w14:solidFill>
                </w14:textFill>
              </w:rPr>
              <w:t xml:space="preserve"> </w:t>
            </w:r>
            <w:r>
              <w:rPr>
                <w:color w:val="000000" w:themeColor="text1"/>
                <w:sz w:val="21"/>
                <w:szCs w:val="21"/>
                <w:highlight w:val="none"/>
                <w14:textFill>
                  <w14:solidFill>
                    <w14:schemeClr w14:val="tx1"/>
                  </w14:solidFill>
                </w14:textFill>
              </w:rPr>
              <w:t>18596-2001）中表7标准要求限值；粪场500米范围内没有功能地表水体，并且不位于生产区和生活区上风向；粪场采取了有效的防渗措施；项目粪便堆肥发酵生产的有机肥基料直接运走外售，不在场区贮存，储存量满足施肥间隔时间的要求；项目</w:t>
            </w: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为</w:t>
            </w:r>
            <w:r>
              <w:rPr>
                <w:rFonts w:hint="eastAsia"/>
                <w:color w:val="000000" w:themeColor="text1"/>
                <w:sz w:val="21"/>
                <w:szCs w:val="21"/>
                <w:highlight w:val="none"/>
                <w:lang w:val="en-US" w:eastAsia="zh-CN"/>
                <w14:textFill>
                  <w14:solidFill>
                    <w14:schemeClr w14:val="tx1"/>
                  </w14:solidFill>
                </w14:textFill>
              </w:rPr>
              <w:t>半</w:t>
            </w:r>
            <w:r>
              <w:rPr>
                <w:color w:val="000000" w:themeColor="text1"/>
                <w:sz w:val="21"/>
                <w:szCs w:val="21"/>
                <w:highlight w:val="none"/>
                <w14:textFill>
                  <w14:solidFill>
                    <w14:schemeClr w14:val="tx1"/>
                  </w14:solidFill>
                </w14:textFill>
              </w:rPr>
              <w:t>封闭运行，可以防止雨水进入。</w:t>
            </w:r>
          </w:p>
        </w:tc>
        <w:tc>
          <w:tcPr>
            <w:tcW w:w="509" w:type="dxa"/>
            <w:vMerge w:val="restart"/>
            <w:tcBorders>
              <w:top w:val="single" w:color="auto" w:sz="4" w:space="0"/>
              <w:left w:val="single" w:color="auto" w:sz="4" w:space="0"/>
              <w:bottom w:val="single" w:color="auto" w:sz="4" w:space="0"/>
              <w:right w:val="single" w:color="auto" w:sz="4" w:space="0"/>
            </w:tcBorders>
            <w:vAlign w:val="center"/>
          </w:tcPr>
          <w:p w14:paraId="117C954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6D9BB7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395" w:type="dxa"/>
            <w:vMerge w:val="continue"/>
            <w:tcBorders>
              <w:top w:val="nil"/>
              <w:bottom w:val="nil"/>
            </w:tcBorders>
            <w:textDirection w:val="tbRlV"/>
            <w:vAlign w:val="center"/>
          </w:tcPr>
          <w:p w14:paraId="6E9DBD3D">
            <w:pPr>
              <w:spacing w:line="240" w:lineRule="auto"/>
              <w:jc w:val="center"/>
              <w:rPr>
                <w:color w:val="000000" w:themeColor="text1"/>
                <w:sz w:val="21"/>
                <w:szCs w:val="21"/>
                <w:highlight w:val="none"/>
                <w14:textFill>
                  <w14:solidFill>
                    <w14:schemeClr w14:val="tx1"/>
                  </w14:solidFill>
                </w14:textFill>
              </w:rPr>
            </w:pPr>
          </w:p>
        </w:tc>
        <w:tc>
          <w:tcPr>
            <w:tcW w:w="4703" w:type="dxa"/>
            <w:tcBorders>
              <w:right w:val="single" w:color="auto" w:sz="4" w:space="0"/>
            </w:tcBorders>
            <w:vAlign w:val="center"/>
          </w:tcPr>
          <w:p w14:paraId="0648C44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粪便贮存设施的位置必须远离各类功能地表水体（距离不得小于400m），并应设在养殖场生产及生活管理区的常年主导风向的下风向或侧风向处。</w:t>
            </w:r>
          </w:p>
        </w:tc>
        <w:tc>
          <w:tcPr>
            <w:tcW w:w="2753" w:type="dxa"/>
            <w:vMerge w:val="continue"/>
            <w:tcBorders>
              <w:top w:val="single" w:color="auto" w:sz="4" w:space="0"/>
              <w:left w:val="single" w:color="auto" w:sz="4" w:space="0"/>
              <w:bottom w:val="single" w:color="auto" w:sz="4" w:space="0"/>
              <w:right w:val="single" w:color="auto" w:sz="4" w:space="0"/>
            </w:tcBorders>
            <w:vAlign w:val="center"/>
          </w:tcPr>
          <w:p w14:paraId="1C2F428A">
            <w:pPr>
              <w:spacing w:line="240" w:lineRule="auto"/>
              <w:jc w:val="center"/>
              <w:rPr>
                <w:color w:val="000000" w:themeColor="text1"/>
                <w:sz w:val="21"/>
                <w:szCs w:val="21"/>
                <w:highlight w:val="none"/>
                <w14:textFill>
                  <w14:solidFill>
                    <w14:schemeClr w14:val="tx1"/>
                  </w14:solidFill>
                </w14:textFill>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14:paraId="3FAD6139">
            <w:pPr>
              <w:spacing w:line="240" w:lineRule="auto"/>
              <w:jc w:val="center"/>
              <w:rPr>
                <w:color w:val="000000" w:themeColor="text1"/>
                <w:sz w:val="21"/>
                <w:szCs w:val="21"/>
                <w:highlight w:val="none"/>
                <w14:textFill>
                  <w14:solidFill>
                    <w14:schemeClr w14:val="tx1"/>
                  </w14:solidFill>
                </w14:textFill>
              </w:rPr>
            </w:pPr>
          </w:p>
        </w:tc>
      </w:tr>
      <w:tr w14:paraId="112A1C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95" w:type="dxa"/>
            <w:vMerge w:val="continue"/>
            <w:tcBorders>
              <w:top w:val="nil"/>
              <w:bottom w:val="nil"/>
            </w:tcBorders>
            <w:textDirection w:val="tbRlV"/>
            <w:vAlign w:val="center"/>
          </w:tcPr>
          <w:p w14:paraId="7CB73051">
            <w:pPr>
              <w:spacing w:line="240" w:lineRule="auto"/>
              <w:jc w:val="center"/>
              <w:rPr>
                <w:color w:val="000000" w:themeColor="text1"/>
                <w:sz w:val="21"/>
                <w:szCs w:val="21"/>
                <w:highlight w:val="none"/>
                <w14:textFill>
                  <w14:solidFill>
                    <w14:schemeClr w14:val="tx1"/>
                  </w14:solidFill>
                </w14:textFill>
              </w:rPr>
            </w:pPr>
          </w:p>
        </w:tc>
        <w:tc>
          <w:tcPr>
            <w:tcW w:w="4703" w:type="dxa"/>
            <w:tcBorders>
              <w:right w:val="single" w:color="auto" w:sz="4" w:space="0"/>
            </w:tcBorders>
            <w:vAlign w:val="center"/>
          </w:tcPr>
          <w:p w14:paraId="0C751D9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贮存设施应采取有效的防渗处理工艺，防止畜禽粪便污染地下水。粪便贮存设施应采取设置顶盖等防止降雨（水）进入的措施。</w:t>
            </w:r>
          </w:p>
        </w:tc>
        <w:tc>
          <w:tcPr>
            <w:tcW w:w="2753" w:type="dxa"/>
            <w:vMerge w:val="continue"/>
            <w:tcBorders>
              <w:top w:val="single" w:color="auto" w:sz="4" w:space="0"/>
              <w:left w:val="single" w:color="auto" w:sz="4" w:space="0"/>
              <w:bottom w:val="single" w:color="auto" w:sz="4" w:space="0"/>
              <w:right w:val="single" w:color="auto" w:sz="4" w:space="0"/>
            </w:tcBorders>
            <w:vAlign w:val="center"/>
          </w:tcPr>
          <w:p w14:paraId="37BE92FE">
            <w:pPr>
              <w:spacing w:line="240" w:lineRule="auto"/>
              <w:jc w:val="center"/>
              <w:rPr>
                <w:color w:val="000000" w:themeColor="text1"/>
                <w:sz w:val="21"/>
                <w:szCs w:val="21"/>
                <w:highlight w:val="none"/>
                <w14:textFill>
                  <w14:solidFill>
                    <w14:schemeClr w14:val="tx1"/>
                  </w14:solidFill>
                </w14:textFill>
              </w:rPr>
            </w:pPr>
          </w:p>
        </w:tc>
        <w:tc>
          <w:tcPr>
            <w:tcW w:w="509" w:type="dxa"/>
            <w:vMerge w:val="continue"/>
            <w:tcBorders>
              <w:top w:val="single" w:color="auto" w:sz="4" w:space="0"/>
              <w:left w:val="single" w:color="auto" w:sz="4" w:space="0"/>
              <w:bottom w:val="single" w:color="auto" w:sz="4" w:space="0"/>
              <w:right w:val="single" w:color="auto" w:sz="4" w:space="0"/>
            </w:tcBorders>
            <w:vAlign w:val="center"/>
          </w:tcPr>
          <w:p w14:paraId="50FA0E8C">
            <w:pPr>
              <w:spacing w:line="240" w:lineRule="auto"/>
              <w:jc w:val="center"/>
              <w:rPr>
                <w:color w:val="000000" w:themeColor="text1"/>
                <w:sz w:val="21"/>
                <w:szCs w:val="21"/>
                <w:highlight w:val="none"/>
                <w14:textFill>
                  <w14:solidFill>
                    <w14:schemeClr w14:val="tx1"/>
                  </w14:solidFill>
                </w14:textFill>
              </w:rPr>
            </w:pPr>
          </w:p>
        </w:tc>
      </w:tr>
      <w:tr w14:paraId="2B270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95" w:type="dxa"/>
            <w:vMerge w:val="restart"/>
            <w:tcBorders>
              <w:top w:val="nil"/>
              <w:bottom w:val="nil"/>
            </w:tcBorders>
            <w:textDirection w:val="tbRlV"/>
            <w:vAlign w:val="center"/>
          </w:tcPr>
          <w:p w14:paraId="26A9B10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污水的处理</w:t>
            </w:r>
          </w:p>
        </w:tc>
        <w:tc>
          <w:tcPr>
            <w:tcW w:w="4703" w:type="dxa"/>
            <w:tcBorders>
              <w:right w:val="single" w:color="auto" w:sz="4" w:space="0"/>
            </w:tcBorders>
            <w:vAlign w:val="center"/>
          </w:tcPr>
          <w:p w14:paraId="3F8A20D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畜禽养殖过程中产生的污水应坚持种养结合的原则，经无害化处理后尽量充分还田，实现污水资源化利用。</w:t>
            </w:r>
          </w:p>
        </w:tc>
        <w:tc>
          <w:tcPr>
            <w:tcW w:w="2753" w:type="dxa"/>
            <w:tcBorders>
              <w:top w:val="single" w:color="auto" w:sz="4" w:space="0"/>
              <w:left w:val="single" w:color="auto" w:sz="4" w:space="0"/>
              <w:bottom w:val="single" w:color="auto" w:sz="4" w:space="0"/>
              <w:right w:val="single" w:color="auto" w:sz="4" w:space="0"/>
            </w:tcBorders>
            <w:vAlign w:val="center"/>
          </w:tcPr>
          <w:p w14:paraId="72E2768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项目污水全部经</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固液分离+厌氧发酵</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处理后回用于农田灌溉，不外排。</w:t>
            </w:r>
          </w:p>
        </w:tc>
        <w:tc>
          <w:tcPr>
            <w:tcW w:w="509" w:type="dxa"/>
            <w:tcBorders>
              <w:top w:val="single" w:color="auto" w:sz="4" w:space="0"/>
              <w:left w:val="single" w:color="auto" w:sz="4" w:space="0"/>
              <w:bottom w:val="single" w:color="auto" w:sz="4" w:space="0"/>
              <w:right w:val="single" w:color="auto" w:sz="4" w:space="0"/>
            </w:tcBorders>
            <w:vAlign w:val="center"/>
          </w:tcPr>
          <w:p w14:paraId="4877B76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7EBEB7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95" w:type="dxa"/>
            <w:vMerge w:val="continue"/>
            <w:tcBorders>
              <w:top w:val="nil"/>
              <w:bottom w:val="nil"/>
            </w:tcBorders>
            <w:textDirection w:val="tbRlV"/>
            <w:vAlign w:val="center"/>
          </w:tcPr>
          <w:p w14:paraId="3768CB36">
            <w:pPr>
              <w:spacing w:line="240" w:lineRule="auto"/>
              <w:jc w:val="center"/>
              <w:rPr>
                <w:color w:val="000000" w:themeColor="text1"/>
                <w:sz w:val="21"/>
                <w:szCs w:val="21"/>
                <w:highlight w:val="none"/>
                <w14:textFill>
                  <w14:solidFill>
                    <w14:schemeClr w14:val="tx1"/>
                  </w14:solidFill>
                </w14:textFill>
              </w:rPr>
            </w:pPr>
          </w:p>
        </w:tc>
        <w:tc>
          <w:tcPr>
            <w:tcW w:w="4703" w:type="dxa"/>
            <w:tcBorders>
              <w:right w:val="single" w:color="auto" w:sz="4" w:space="0"/>
            </w:tcBorders>
            <w:vAlign w:val="center"/>
          </w:tcPr>
          <w:p w14:paraId="0B04343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在畜禽养殖场与还田利用的农田之间应建立有效的污水输送网络，通过车载或管道形式将处理（置）后的污水输送至农田，要加强管理，严格控制污水输送沿途的弃、撒和跑、冒、滴、漏。</w:t>
            </w:r>
          </w:p>
        </w:tc>
        <w:tc>
          <w:tcPr>
            <w:tcW w:w="2753" w:type="dxa"/>
            <w:tcBorders>
              <w:top w:val="single" w:color="auto" w:sz="4" w:space="0"/>
              <w:left w:val="single" w:color="auto" w:sz="4" w:space="0"/>
              <w:bottom w:val="single" w:color="auto" w:sz="4" w:space="0"/>
              <w:right w:val="single" w:color="auto" w:sz="4" w:space="0"/>
            </w:tcBorders>
            <w:vAlign w:val="center"/>
          </w:tcPr>
          <w:p w14:paraId="43218B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项目粪污水经</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固液分离+厌氧</w:t>
            </w:r>
            <w:r>
              <w:rPr>
                <w:rFonts w:hint="eastAsia"/>
                <w:color w:val="000000" w:themeColor="text1"/>
                <w:sz w:val="21"/>
                <w:szCs w:val="21"/>
                <w:highlight w:val="none"/>
                <w:lang w:eastAsia="zh-CN"/>
                <w14:textFill>
                  <w14:solidFill>
                    <w14:schemeClr w14:val="tx1"/>
                  </w14:solidFill>
                </w14:textFill>
              </w:rPr>
              <w:t>黑膜池</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处理后通过PE防渗轻质管道送至周边农田灌溉。</w:t>
            </w:r>
          </w:p>
        </w:tc>
        <w:tc>
          <w:tcPr>
            <w:tcW w:w="509" w:type="dxa"/>
            <w:tcBorders>
              <w:top w:val="single" w:color="auto" w:sz="4" w:space="0"/>
              <w:left w:val="single" w:color="auto" w:sz="4" w:space="0"/>
              <w:bottom w:val="single" w:color="auto" w:sz="4" w:space="0"/>
              <w:right w:val="single" w:color="auto" w:sz="4" w:space="0"/>
            </w:tcBorders>
            <w:vAlign w:val="center"/>
          </w:tcPr>
          <w:p w14:paraId="20145EE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7E5C9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95" w:type="dxa"/>
            <w:vMerge w:val="continue"/>
            <w:tcBorders>
              <w:top w:val="nil"/>
            </w:tcBorders>
            <w:textDirection w:val="tbRlV"/>
            <w:vAlign w:val="center"/>
          </w:tcPr>
          <w:p w14:paraId="09FB089E">
            <w:pPr>
              <w:spacing w:line="240" w:lineRule="auto"/>
              <w:jc w:val="center"/>
              <w:rPr>
                <w:color w:val="000000" w:themeColor="text1"/>
                <w:sz w:val="21"/>
                <w:szCs w:val="21"/>
                <w:highlight w:val="none"/>
                <w14:textFill>
                  <w14:solidFill>
                    <w14:schemeClr w14:val="tx1"/>
                  </w14:solidFill>
                </w14:textFill>
              </w:rPr>
            </w:pPr>
          </w:p>
        </w:tc>
        <w:tc>
          <w:tcPr>
            <w:tcW w:w="4703" w:type="dxa"/>
            <w:tcBorders>
              <w:right w:val="single" w:color="auto" w:sz="4" w:space="0"/>
            </w:tcBorders>
            <w:vAlign w:val="center"/>
          </w:tcPr>
          <w:p w14:paraId="4110656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污水的净化处理应根据养殖种养、养殖规模、清粪方式和当地的自然地理条件，选择合理、适用的污水处理工艺和路线，尽可能采用自然生物处理方法，达到回用标准或排放标准。</w:t>
            </w:r>
          </w:p>
        </w:tc>
        <w:tc>
          <w:tcPr>
            <w:tcW w:w="2753" w:type="dxa"/>
            <w:tcBorders>
              <w:top w:val="single" w:color="auto" w:sz="4" w:space="0"/>
              <w:left w:val="single" w:color="auto" w:sz="4" w:space="0"/>
              <w:bottom w:val="single" w:color="auto" w:sz="4" w:space="0"/>
              <w:right w:val="single" w:color="auto" w:sz="4" w:space="0"/>
            </w:tcBorders>
            <w:vAlign w:val="center"/>
          </w:tcPr>
          <w:p w14:paraId="0987D3A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本项目采用</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固液分离+厌氧发酵</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处理工艺，与养殖规模、清粪工艺、当地自然地理条件相适应，能够达到回田标准。</w:t>
            </w:r>
          </w:p>
        </w:tc>
        <w:tc>
          <w:tcPr>
            <w:tcW w:w="509" w:type="dxa"/>
            <w:tcBorders>
              <w:top w:val="single" w:color="auto" w:sz="4" w:space="0"/>
              <w:left w:val="single" w:color="auto" w:sz="4" w:space="0"/>
              <w:bottom w:val="single" w:color="auto" w:sz="4" w:space="0"/>
              <w:right w:val="single" w:color="auto" w:sz="4" w:space="0"/>
            </w:tcBorders>
            <w:vAlign w:val="center"/>
          </w:tcPr>
          <w:p w14:paraId="127A4C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6F1B7F8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）与《畜禽养殖业污染治理工程技术规范》（HJ497-2009）符合性分析</w:t>
      </w:r>
    </w:p>
    <w:p w14:paraId="14EE83A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1.3-8</w:t>
      </w:r>
      <w:r>
        <w:rPr>
          <w:b/>
          <w:bCs/>
          <w:color w:val="000000" w:themeColor="text1"/>
          <w:sz w:val="21"/>
          <w:szCs w:val="21"/>
          <w:highlight w:val="none"/>
          <w14:textFill>
            <w14:solidFill>
              <w14:schemeClr w14:val="tx1"/>
            </w14:solidFill>
          </w14:textFill>
        </w:rPr>
        <w:t xml:space="preserve">  项目与《畜禽养殖业污染治理工程技术规范》</w:t>
      </w:r>
      <w:r>
        <w:rPr>
          <w:rFonts w:hint="eastAsia"/>
          <w:b/>
          <w:bCs/>
          <w:color w:val="000000" w:themeColor="text1"/>
          <w:sz w:val="21"/>
          <w:szCs w:val="21"/>
          <w:highlight w:val="none"/>
          <w14:textFill>
            <w14:solidFill>
              <w14:schemeClr w14:val="tx1"/>
            </w14:solidFill>
          </w14:textFill>
        </w:rPr>
        <w:t>（HJ 497-2009）</w:t>
      </w:r>
      <w:r>
        <w:rPr>
          <w:b/>
          <w:bCs/>
          <w:color w:val="000000" w:themeColor="text1"/>
          <w:sz w:val="21"/>
          <w:szCs w:val="21"/>
          <w:highlight w:val="none"/>
          <w14:textFill>
            <w14:solidFill>
              <w14:schemeClr w14:val="tx1"/>
            </w14:solidFill>
          </w14:textFill>
        </w:rPr>
        <w:t>符合性分析</w:t>
      </w:r>
    </w:p>
    <w:tbl>
      <w:tblPr>
        <w:tblStyle w:val="58"/>
        <w:tblW w:w="84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8"/>
        <w:gridCol w:w="2563"/>
        <w:gridCol w:w="867"/>
      </w:tblGrid>
      <w:tr w14:paraId="3E8CD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5018" w:type="dxa"/>
            <w:tcBorders>
              <w:bottom w:val="single" w:color="000000" w:sz="4" w:space="0"/>
            </w:tcBorders>
            <w:vAlign w:val="center"/>
          </w:tcPr>
          <w:p w14:paraId="041ED00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文件规定</w:t>
            </w:r>
          </w:p>
        </w:tc>
        <w:tc>
          <w:tcPr>
            <w:tcW w:w="2563" w:type="dxa"/>
            <w:tcBorders>
              <w:bottom w:val="single" w:color="000000" w:sz="4" w:space="0"/>
            </w:tcBorders>
            <w:vAlign w:val="center"/>
          </w:tcPr>
          <w:p w14:paraId="1F2B93F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867" w:type="dxa"/>
            <w:tcBorders>
              <w:bottom w:val="single" w:color="000000" w:sz="4" w:space="0"/>
            </w:tcBorders>
            <w:vAlign w:val="center"/>
          </w:tcPr>
          <w:p w14:paraId="7EB0826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符合情况</w:t>
            </w:r>
          </w:p>
        </w:tc>
      </w:tr>
      <w:tr w14:paraId="751C8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5018" w:type="dxa"/>
            <w:tcBorders>
              <w:top w:val="single" w:color="000000" w:sz="4" w:space="0"/>
            </w:tcBorders>
            <w:vAlign w:val="center"/>
          </w:tcPr>
          <w:p w14:paraId="1047C7F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畜禽养殖业污染治理应从源头控制，严格执行雨污分离，通过优化饲料配方、提高饲养技术、提高管理水平、改善畜舍结构和通风供暖工艺、改进清粪工艺等措施减少养殖场环境污染。</w:t>
            </w:r>
          </w:p>
        </w:tc>
        <w:tc>
          <w:tcPr>
            <w:tcW w:w="2563" w:type="dxa"/>
            <w:tcBorders>
              <w:top w:val="single" w:color="000000" w:sz="4" w:space="0"/>
            </w:tcBorders>
            <w:vAlign w:val="center"/>
          </w:tcPr>
          <w:p w14:paraId="6199713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本项目通过优化饲料配方、提高管理水平、干清粪工艺等减少环境污染。</w:t>
            </w:r>
          </w:p>
        </w:tc>
        <w:tc>
          <w:tcPr>
            <w:tcW w:w="867" w:type="dxa"/>
            <w:tcBorders>
              <w:top w:val="single" w:color="000000" w:sz="4" w:space="0"/>
            </w:tcBorders>
            <w:vAlign w:val="center"/>
          </w:tcPr>
          <w:p w14:paraId="5E8CDCA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7A97D6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5018" w:type="dxa"/>
            <w:vAlign w:val="center"/>
          </w:tcPr>
          <w:p w14:paraId="7805FAD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养殖业污染治理应按照资源化、减量化、无害化的原则，以综合利用为出发点，提高资源化利用率。畜禽粪污资源化时应经无害化处理后方可还田利用，无害化处理应满足下列要求：①液态畜禽粪污宜采用厌氧工艺进行无害化处理。②固体畜禽粪便宜采用好氧堆肥技术进行无害化处理。③无害化处理后的卫生学指标应符合</w:t>
            </w:r>
            <w:r>
              <w:rPr>
                <w:rFonts w:hint="eastAsia"/>
                <w:color w:val="000000" w:themeColor="text1"/>
                <w:sz w:val="21"/>
                <w:szCs w:val="21"/>
                <w:highlight w:val="none"/>
                <w14:textFill>
                  <w14:solidFill>
                    <w14:schemeClr w14:val="tx1"/>
                  </w14:solidFill>
                </w14:textFill>
              </w:rPr>
              <w:t>GB 7959-2012</w:t>
            </w:r>
            <w:r>
              <w:rPr>
                <w:color w:val="000000" w:themeColor="text1"/>
                <w:sz w:val="21"/>
                <w:szCs w:val="21"/>
                <w:highlight w:val="none"/>
                <w14:textFill>
                  <w14:solidFill>
                    <w14:schemeClr w14:val="tx1"/>
                  </w14:solidFill>
                </w14:textFill>
              </w:rPr>
              <w:t>的有关规定。</w:t>
            </w:r>
          </w:p>
        </w:tc>
        <w:tc>
          <w:tcPr>
            <w:tcW w:w="2563" w:type="dxa"/>
            <w:vAlign w:val="center"/>
          </w:tcPr>
          <w:p w14:paraId="597524B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本项目粪污经</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固液分离+厌氧发酵</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处理后用于周边农田灌溉；</w:t>
            </w:r>
            <w:r>
              <w:rPr>
                <w:rFonts w:hint="eastAsia"/>
                <w:color w:val="000000" w:themeColor="text1"/>
                <w:sz w:val="21"/>
                <w:szCs w:val="21"/>
                <w:highlight w:val="none"/>
                <w:lang w:eastAsia="zh-CN"/>
                <w14:textFill>
                  <w14:solidFill>
                    <w14:schemeClr w14:val="tx1"/>
                  </w14:solidFill>
                </w14:textFill>
              </w:rPr>
              <w:t>病死猪、胎衣</w:t>
            </w:r>
            <w:r>
              <w:rPr>
                <w:rFonts w:hint="eastAsia"/>
                <w:color w:val="000000" w:themeColor="text1"/>
                <w:sz w:val="21"/>
                <w:szCs w:val="21"/>
                <w:highlight w:val="none"/>
                <w14:textFill>
                  <w14:solidFill>
                    <w14:schemeClr w14:val="tx1"/>
                  </w14:solidFill>
                </w14:textFill>
              </w:rPr>
              <w:t>委托有资质单位</w:t>
            </w:r>
            <w:r>
              <w:rPr>
                <w:color w:val="000000" w:themeColor="text1"/>
                <w:sz w:val="21"/>
                <w:szCs w:val="21"/>
                <w:highlight w:val="none"/>
                <w14:textFill>
                  <w14:solidFill>
                    <w14:schemeClr w14:val="tx1"/>
                  </w14:solidFill>
                </w14:textFill>
              </w:rPr>
              <w:t>进行处理。</w:t>
            </w:r>
          </w:p>
        </w:tc>
        <w:tc>
          <w:tcPr>
            <w:tcW w:w="867" w:type="dxa"/>
            <w:vAlign w:val="center"/>
          </w:tcPr>
          <w:p w14:paraId="08663CD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197ED0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9" w:hRule="atLeast"/>
        </w:trPr>
        <w:tc>
          <w:tcPr>
            <w:tcW w:w="5018" w:type="dxa"/>
            <w:vAlign w:val="center"/>
          </w:tcPr>
          <w:p w14:paraId="615D3EB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畜禽养殖业污染治理工程应采取</w:t>
            </w:r>
            <w:r>
              <w:rPr>
                <w:rFonts w:hint="eastAsia"/>
                <w:color w:val="000000" w:themeColor="text1"/>
                <w:sz w:val="21"/>
                <w:szCs w:val="21"/>
                <w:highlight w:val="none"/>
                <w:lang w:eastAsia="zh-CN"/>
                <w14:textFill>
                  <w14:solidFill>
                    <w14:schemeClr w14:val="tx1"/>
                  </w14:solidFill>
                </w14:textFill>
              </w:rPr>
              <w:t>防止</w:t>
            </w:r>
            <w:r>
              <w:rPr>
                <w:color w:val="000000" w:themeColor="text1"/>
                <w:sz w:val="21"/>
                <w:szCs w:val="21"/>
                <w:highlight w:val="none"/>
                <w14:textFill>
                  <w14:solidFill>
                    <w14:schemeClr w14:val="tx1"/>
                  </w14:solidFill>
                </w14:textFill>
              </w:rPr>
              <w:t>二次污染措施</w:t>
            </w:r>
          </w:p>
          <w:p w14:paraId="7E8D379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的措施，废水、废气、废渣、噪声及其他污染物的排放应符合相应的国家或地方排放标准。</w:t>
            </w:r>
          </w:p>
        </w:tc>
        <w:tc>
          <w:tcPr>
            <w:tcW w:w="2563" w:type="dxa"/>
            <w:vAlign w:val="center"/>
          </w:tcPr>
          <w:p w14:paraId="272BC82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在落实报告书提出的污染治理措施的情况下，项目废水、废气、废渣、噪声及其他污染物的排放可达到相应的国家或地方排放标准。</w:t>
            </w:r>
          </w:p>
        </w:tc>
        <w:tc>
          <w:tcPr>
            <w:tcW w:w="867" w:type="dxa"/>
            <w:vAlign w:val="center"/>
          </w:tcPr>
          <w:p w14:paraId="3F5C8D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76DA61C4">
      <w:pPr>
        <w:rPr>
          <w:color w:val="000000" w:themeColor="text1"/>
          <w:highlight w:val="none"/>
          <w14:textFill>
            <w14:solidFill>
              <w14:schemeClr w14:val="tx1"/>
            </w14:solidFill>
          </w14:textFill>
        </w:rPr>
      </w:pPr>
      <w:bookmarkStart w:id="11" w:name="_Toc8152"/>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）与《</w:t>
      </w:r>
      <w:r>
        <w:rPr>
          <w:rFonts w:hint="eastAsia"/>
          <w:color w:val="000000" w:themeColor="text1"/>
          <w:highlight w:val="none"/>
          <w14:textFill>
            <w14:solidFill>
              <w14:schemeClr w14:val="tx1"/>
            </w14:solidFill>
          </w14:textFill>
        </w:rPr>
        <w:t>动物防疫条件审查办法</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（农业农村部令</w:t>
      </w:r>
      <w:r>
        <w:rPr>
          <w:color w:val="000000" w:themeColor="text1"/>
          <w:highlight w:val="none"/>
          <w14:textFill>
            <w14:solidFill>
              <w14:schemeClr w14:val="tx1"/>
            </w14:solidFill>
          </w14:textFill>
        </w:rPr>
        <w:t>2022</w:t>
      </w:r>
      <w:r>
        <w:rPr>
          <w:rFonts w:hint="eastAsia"/>
          <w:color w:val="000000" w:themeColor="text1"/>
          <w:highlight w:val="none"/>
          <w14:textFill>
            <w14:solidFill>
              <w14:schemeClr w14:val="tx1"/>
            </w14:solidFill>
          </w14:textFill>
        </w:rPr>
        <w:t>年第</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号）</w:t>
      </w:r>
      <w:r>
        <w:rPr>
          <w:color w:val="000000" w:themeColor="text1"/>
          <w:highlight w:val="none"/>
          <w14:textFill>
            <w14:solidFill>
              <w14:schemeClr w14:val="tx1"/>
            </w14:solidFill>
          </w14:textFill>
        </w:rPr>
        <w:t>符合性分析</w:t>
      </w:r>
    </w:p>
    <w:p w14:paraId="07B850D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w:t>
      </w:r>
      <w:r>
        <w:rPr>
          <w:rFonts w:hint="eastAsia"/>
          <w:b/>
          <w:bCs/>
          <w:color w:val="000000" w:themeColor="text1"/>
          <w:sz w:val="21"/>
          <w:szCs w:val="21"/>
          <w:highlight w:val="none"/>
          <w:lang w:val="en-US" w:eastAsia="zh-CN"/>
          <w14:textFill>
            <w14:solidFill>
              <w14:schemeClr w14:val="tx1"/>
            </w14:solidFill>
          </w14:textFill>
        </w:rPr>
        <w:t>9</w:t>
      </w:r>
      <w:r>
        <w:rPr>
          <w:b/>
          <w:bCs/>
          <w:color w:val="000000" w:themeColor="text1"/>
          <w:sz w:val="21"/>
          <w:szCs w:val="21"/>
          <w:highlight w:val="none"/>
          <w14:textFill>
            <w14:solidFill>
              <w14:schemeClr w14:val="tx1"/>
            </w14:solidFill>
          </w14:textFill>
        </w:rPr>
        <w:t xml:space="preserve">  项目与</w:t>
      </w:r>
      <w:r>
        <w:rPr>
          <w:rFonts w:hint="eastAsia"/>
          <w:b/>
          <w:bCs/>
          <w:color w:val="000000" w:themeColor="text1"/>
          <w:sz w:val="21"/>
          <w:szCs w:val="21"/>
          <w:highlight w:val="none"/>
          <w14:textFill>
            <w14:solidFill>
              <w14:schemeClr w14:val="tx1"/>
            </w14:solidFill>
          </w14:textFill>
        </w:rPr>
        <w:t>《动物防疫条件审查办法》（农业农村部令2022年第3号）</w:t>
      </w:r>
      <w:r>
        <w:rPr>
          <w:b/>
          <w:bCs/>
          <w:color w:val="000000" w:themeColor="text1"/>
          <w:sz w:val="21"/>
          <w:szCs w:val="21"/>
          <w:highlight w:val="none"/>
          <w14:textFill>
            <w14:solidFill>
              <w14:schemeClr w14:val="tx1"/>
            </w14:solidFill>
          </w14:textFill>
        </w:rPr>
        <w:t>符合性分析</w:t>
      </w:r>
    </w:p>
    <w:tbl>
      <w:tblPr>
        <w:tblStyle w:val="58"/>
        <w:tblW w:w="84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806"/>
        <w:gridCol w:w="2775"/>
        <w:gridCol w:w="867"/>
      </w:tblGrid>
      <w:tr w14:paraId="77D1A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806" w:type="dxa"/>
            <w:tcBorders>
              <w:bottom w:val="single" w:color="000000" w:sz="4" w:space="0"/>
            </w:tcBorders>
            <w:vAlign w:val="center"/>
          </w:tcPr>
          <w:p w14:paraId="1D78459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文件规定</w:t>
            </w:r>
          </w:p>
        </w:tc>
        <w:tc>
          <w:tcPr>
            <w:tcW w:w="2775" w:type="dxa"/>
            <w:tcBorders>
              <w:bottom w:val="single" w:color="000000" w:sz="4" w:space="0"/>
            </w:tcBorders>
            <w:vAlign w:val="center"/>
          </w:tcPr>
          <w:p w14:paraId="1618ABB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867" w:type="dxa"/>
            <w:tcBorders>
              <w:bottom w:val="single" w:color="000000" w:sz="4" w:space="0"/>
            </w:tcBorders>
            <w:vAlign w:val="center"/>
          </w:tcPr>
          <w:p w14:paraId="6FA9918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符合情况</w:t>
            </w:r>
          </w:p>
        </w:tc>
      </w:tr>
      <w:tr w14:paraId="11BD6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806" w:type="dxa"/>
            <w:tcBorders>
              <w:top w:val="single" w:color="000000" w:sz="4" w:space="0"/>
              <w:bottom w:val="single" w:color="000000" w:sz="4" w:space="0"/>
            </w:tcBorders>
            <w:vAlign w:val="center"/>
          </w:tcPr>
          <w:p w14:paraId="60D85D39">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动物饲养场、动物隔离场所、动物屠宰加工场所以及动物和动物产品无害化处理场所，应当符合本办法规定的动物防疫条件，并取得动物防疫条件合格证。</w:t>
            </w:r>
          </w:p>
        </w:tc>
        <w:tc>
          <w:tcPr>
            <w:tcW w:w="2775" w:type="dxa"/>
            <w:tcBorders>
              <w:top w:val="single" w:color="000000" w:sz="4" w:space="0"/>
              <w:bottom w:val="single" w:color="000000" w:sz="4" w:space="0"/>
            </w:tcBorders>
            <w:vAlign w:val="center"/>
          </w:tcPr>
          <w:p w14:paraId="336D3A5E">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本项目设计符合</w:t>
            </w:r>
            <w:r>
              <w:rPr>
                <w:rFonts w:hint="eastAsia"/>
                <w:color w:val="000000" w:themeColor="text1"/>
                <w:sz w:val="21"/>
                <w:szCs w:val="21"/>
                <w:highlight w:val="none"/>
                <w14:textFill>
                  <w14:solidFill>
                    <w14:schemeClr w14:val="tx1"/>
                  </w14:solidFill>
                </w14:textFill>
              </w:rPr>
              <w:t>本办法规定的动物防疫条件</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待</w:t>
            </w:r>
            <w:r>
              <w:rPr>
                <w:rFonts w:hint="eastAsia"/>
                <w:color w:val="000000" w:themeColor="text1"/>
                <w:sz w:val="21"/>
                <w:szCs w:val="21"/>
                <w:highlight w:val="none"/>
                <w14:textFill>
                  <w14:solidFill>
                    <w14:schemeClr w14:val="tx1"/>
                  </w14:solidFill>
                </w14:textFill>
              </w:rPr>
              <w:t>建设竣工后，向县级地方人民政府兽医主管部门提出申请</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取得动物防疫条件合格证</w:t>
            </w:r>
          </w:p>
        </w:tc>
        <w:tc>
          <w:tcPr>
            <w:tcW w:w="867" w:type="dxa"/>
            <w:tcBorders>
              <w:top w:val="single" w:color="000000" w:sz="4" w:space="0"/>
              <w:bottom w:val="single" w:color="000000" w:sz="4" w:space="0"/>
            </w:tcBorders>
            <w:vAlign w:val="center"/>
          </w:tcPr>
          <w:p w14:paraId="6AA749B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2E41C4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806" w:type="dxa"/>
            <w:tcBorders>
              <w:top w:val="single" w:color="000000" w:sz="4" w:space="0"/>
              <w:bottom w:val="single" w:color="000000" w:sz="4" w:space="0"/>
            </w:tcBorders>
            <w:vAlign w:val="center"/>
          </w:tcPr>
          <w:p w14:paraId="5E607EBC">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动物饲养场、动物隔离场所、动物屠宰加工场所以及动物和动物产品无害化处理场所应当符合下列条件：</w:t>
            </w:r>
          </w:p>
          <w:p w14:paraId="196F6B9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各场所之间，各场所与动物诊疗场所、居民生活区、生活饮用水水源地、学校、医院等公共场所之间保持必要的距离；（二）场区周围建有围墙等隔离设施；场区出入口处设置运输车辆消毒通道或者消毒池，并单独设置人员消毒通道；生产经营区与生活办公区分开，并有隔离设施；生产经营区入口处设置人员更衣消毒室；（三）配备与其生产经营规模相适应的执业兽医或者动物防疫技术人员；（四）配备与其生产经营规模相适应的污水、污物处理设施，清洗消毒设施设备，以及必要的防鼠、防鸟、防虫设施设备；（五）建立隔离消毒、购销台账、日常巡查等动物防疫制度。</w:t>
            </w:r>
          </w:p>
        </w:tc>
        <w:tc>
          <w:tcPr>
            <w:tcW w:w="2775" w:type="dxa"/>
            <w:tcBorders>
              <w:top w:val="single" w:color="000000" w:sz="4" w:space="0"/>
              <w:bottom w:val="single" w:color="000000" w:sz="4" w:space="0"/>
            </w:tcBorders>
            <w:vAlign w:val="center"/>
          </w:tcPr>
          <w:p w14:paraId="01DFA61D">
            <w:pPr>
              <w:bidi w:val="0"/>
              <w:spacing w:line="240" w:lineRule="auto"/>
              <w:rPr>
                <w:color w:val="000000" w:themeColor="text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各场所之间，各场所与动物诊疗场所、居民生活区、生活饮用水水源地、学校、医院等公共场所之间保持</w:t>
            </w:r>
            <w:r>
              <w:rPr>
                <w:rFonts w:hint="eastAsia"/>
                <w:color w:val="000000" w:themeColor="text1"/>
                <w:sz w:val="21"/>
                <w:szCs w:val="21"/>
                <w:highlight w:val="none"/>
                <w:lang w:eastAsia="zh-CN"/>
                <w14:textFill>
                  <w14:solidFill>
                    <w14:schemeClr w14:val="tx1"/>
                  </w14:solidFill>
                </w14:textFill>
              </w:rPr>
              <w:t>了</w:t>
            </w:r>
            <w:r>
              <w:rPr>
                <w:rFonts w:hint="eastAsia"/>
                <w:color w:val="000000" w:themeColor="text1"/>
                <w:sz w:val="21"/>
                <w:szCs w:val="21"/>
                <w:highlight w:val="none"/>
                <w14:textFill>
                  <w14:solidFill>
                    <w14:schemeClr w14:val="tx1"/>
                  </w14:solidFill>
                </w14:textFill>
              </w:rPr>
              <w:t>必要的距离；场区周围建有围墙等隔离设施；场区出入口处设置</w:t>
            </w:r>
            <w:r>
              <w:rPr>
                <w:rFonts w:hint="eastAsia"/>
                <w:color w:val="000000" w:themeColor="text1"/>
                <w:sz w:val="21"/>
                <w:szCs w:val="21"/>
                <w:highlight w:val="none"/>
                <w:lang w:eastAsia="zh-CN"/>
                <w14:textFill>
                  <w14:solidFill>
                    <w14:schemeClr w14:val="tx1"/>
                  </w14:solidFill>
                </w14:textFill>
              </w:rPr>
              <w:t>了</w:t>
            </w:r>
            <w:r>
              <w:rPr>
                <w:rFonts w:hint="eastAsia"/>
                <w:color w:val="000000" w:themeColor="text1"/>
                <w:sz w:val="21"/>
                <w:szCs w:val="21"/>
                <w:highlight w:val="none"/>
                <w14:textFill>
                  <w14:solidFill>
                    <w14:schemeClr w14:val="tx1"/>
                  </w14:solidFill>
                </w14:textFill>
              </w:rPr>
              <w:t>运输车辆消毒通道或者消毒池，并设置</w:t>
            </w:r>
            <w:r>
              <w:rPr>
                <w:rFonts w:hint="eastAsia"/>
                <w:color w:val="000000" w:themeColor="text1"/>
                <w:sz w:val="21"/>
                <w:szCs w:val="21"/>
                <w:highlight w:val="none"/>
                <w:lang w:eastAsia="zh-CN"/>
                <w14:textFill>
                  <w14:solidFill>
                    <w14:schemeClr w14:val="tx1"/>
                  </w14:solidFill>
                </w14:textFill>
              </w:rPr>
              <w:t>了</w:t>
            </w:r>
            <w:r>
              <w:rPr>
                <w:rFonts w:hint="eastAsia"/>
                <w:color w:val="000000" w:themeColor="text1"/>
                <w:sz w:val="21"/>
                <w:szCs w:val="21"/>
                <w:highlight w:val="none"/>
                <w14:textFill>
                  <w14:solidFill>
                    <w14:schemeClr w14:val="tx1"/>
                  </w14:solidFill>
                </w14:textFill>
              </w:rPr>
              <w:t>人员消毒通道；生产经营区与生活办公区分开，并有隔离设施；生产经营区入口处设置人员更衣消毒室；配备与其生产经营规模相适应的</w:t>
            </w:r>
            <w:r>
              <w:rPr>
                <w:rFonts w:hint="eastAsia"/>
                <w:color w:val="000000" w:themeColor="text1"/>
                <w:sz w:val="21"/>
                <w:szCs w:val="21"/>
                <w:highlight w:val="none"/>
                <w:lang w:val="en-US" w:eastAsia="zh-CN"/>
                <w14:textFill>
                  <w14:solidFill>
                    <w14:schemeClr w14:val="tx1"/>
                  </w14:solidFill>
                </w14:textFill>
              </w:rPr>
              <w:t>黑膜池</w:t>
            </w:r>
            <w:r>
              <w:rPr>
                <w:rFonts w:hint="eastAsia"/>
                <w:color w:val="000000" w:themeColor="text1"/>
                <w:sz w:val="21"/>
                <w:szCs w:val="21"/>
                <w:highlight w:val="none"/>
                <w14:textFill>
                  <w14:solidFill>
                    <w14:schemeClr w14:val="tx1"/>
                  </w14:solidFill>
                </w14:textFill>
              </w:rPr>
              <w:t>，清洗消毒设施设备，以及必要的防鼠、防鸟、防虫设施设备；</w:t>
            </w:r>
            <w:r>
              <w:rPr>
                <w:rFonts w:hint="eastAsia"/>
                <w:color w:val="000000" w:themeColor="text1"/>
                <w:sz w:val="21"/>
                <w:szCs w:val="21"/>
                <w:highlight w:val="none"/>
                <w:lang w:val="en-US" w:eastAsia="zh-CN"/>
                <w14:textFill>
                  <w14:solidFill>
                    <w14:schemeClr w14:val="tx1"/>
                  </w14:solidFill>
                </w14:textFill>
              </w:rPr>
              <w:t>预计</w:t>
            </w:r>
            <w:r>
              <w:rPr>
                <w:rFonts w:hint="eastAsia"/>
                <w:color w:val="000000" w:themeColor="text1"/>
                <w:sz w:val="21"/>
                <w:szCs w:val="21"/>
                <w:highlight w:val="none"/>
                <w14:textFill>
                  <w14:solidFill>
                    <w14:schemeClr w14:val="tx1"/>
                  </w14:solidFill>
                </w14:textFill>
              </w:rPr>
              <w:t>建立隔离消毒、购销台账、日常巡查等动物防疫制度。</w:t>
            </w:r>
          </w:p>
        </w:tc>
        <w:tc>
          <w:tcPr>
            <w:tcW w:w="867" w:type="dxa"/>
            <w:tcBorders>
              <w:top w:val="single" w:color="000000" w:sz="4" w:space="0"/>
              <w:bottom w:val="single" w:color="000000" w:sz="4" w:space="0"/>
            </w:tcBorders>
            <w:vAlign w:val="center"/>
          </w:tcPr>
          <w:p w14:paraId="5877C47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354DC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806" w:type="dxa"/>
            <w:tcBorders>
              <w:top w:val="single" w:color="000000" w:sz="4" w:space="0"/>
              <w:bottom w:val="single" w:color="000000" w:sz="4" w:space="0"/>
            </w:tcBorders>
            <w:vAlign w:val="center"/>
          </w:tcPr>
          <w:p w14:paraId="78EA23F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动物饲养场除符合本办法第六条规定外，还应当符合下列条件：（一）设置配备疫苗冷藏冷冻设备、消毒和诊疗等防疫设备的兽医室；（二）生产区清洁道、污染道分设；具有相对独立的动物隔离舍；（三）配备符合国家规定的病死动物和病害动物产品无害化处理设施设备或者冷藏冷冻等暂存设施设备；（四）建立免疫、用药、检疫申报、疫情报告、无害化处理、畜禽标识及养殖档案管理等动物防疫制度。</w:t>
            </w:r>
          </w:p>
          <w:p w14:paraId="6601203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禽类饲养场内的孵化间与养殖区之间应当设置隔离设施，并配备种蛋熏蒸消毒设施，孵化间的流程应当单向，不得交叉或者回流。畜禽场除符合本条第一款、第二款规定外，还应当有国家规定的动物疫病的净化制度；有动物精液、卵、胚胎采集等生产需要的，应当设置独立的区域。</w:t>
            </w:r>
          </w:p>
        </w:tc>
        <w:tc>
          <w:tcPr>
            <w:tcW w:w="2775" w:type="dxa"/>
            <w:tcBorders>
              <w:top w:val="single" w:color="000000" w:sz="4" w:space="0"/>
              <w:bottom w:val="single" w:color="000000" w:sz="4" w:space="0"/>
            </w:tcBorders>
            <w:vAlign w:val="center"/>
          </w:tcPr>
          <w:p w14:paraId="4C935F2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w:t>
            </w:r>
            <w:r>
              <w:rPr>
                <w:rFonts w:hint="eastAsia"/>
                <w:color w:val="000000" w:themeColor="text1"/>
                <w:sz w:val="21"/>
                <w:szCs w:val="21"/>
                <w:highlight w:val="none"/>
                <w14:textFill>
                  <w14:solidFill>
                    <w14:schemeClr w14:val="tx1"/>
                  </w14:solidFill>
                </w14:textFill>
              </w:rPr>
              <w:t>配备</w:t>
            </w:r>
            <w:r>
              <w:rPr>
                <w:rFonts w:hint="eastAsia"/>
                <w:color w:val="000000" w:themeColor="text1"/>
                <w:sz w:val="21"/>
                <w:szCs w:val="21"/>
                <w:highlight w:val="none"/>
                <w:lang w:val="en-US" w:eastAsia="zh-CN"/>
                <w14:textFill>
                  <w14:solidFill>
                    <w14:schemeClr w14:val="tx1"/>
                  </w14:solidFill>
                </w14:textFill>
              </w:rPr>
              <w:t>了</w:t>
            </w:r>
            <w:r>
              <w:rPr>
                <w:rFonts w:hint="eastAsia"/>
                <w:color w:val="000000" w:themeColor="text1"/>
                <w:sz w:val="21"/>
                <w:szCs w:val="21"/>
                <w:highlight w:val="none"/>
                <w14:textFill>
                  <w14:solidFill>
                    <w14:schemeClr w14:val="tx1"/>
                  </w14:solidFill>
                </w14:textFill>
              </w:rPr>
              <w:t>疫苗冷藏冷冻设备、消毒和诊疗等防疫设备的兽医室；具有相对独立的动物隔离舍</w:t>
            </w:r>
            <w:r>
              <w:rPr>
                <w:rFonts w:hint="eastAsia"/>
                <w:color w:val="000000" w:themeColor="text1"/>
                <w:sz w:val="21"/>
                <w:szCs w:val="21"/>
                <w:highlight w:val="none"/>
                <w:lang w:eastAsia="zh-CN"/>
                <w14:textFill>
                  <w14:solidFill>
                    <w14:schemeClr w14:val="tx1"/>
                  </w14:solidFill>
                </w14:textFill>
              </w:rPr>
              <w:t>，病死猪、胎衣</w:t>
            </w:r>
            <w:r>
              <w:rPr>
                <w:rFonts w:hint="eastAsia"/>
                <w:color w:val="000000" w:themeColor="text1"/>
                <w:sz w:val="21"/>
                <w:szCs w:val="21"/>
                <w:highlight w:val="none"/>
                <w14:textFill>
                  <w14:solidFill>
                    <w14:schemeClr w14:val="tx1"/>
                  </w14:solidFill>
                </w14:textFill>
              </w:rPr>
              <w:t>委托有资质单位进行处理。</w:t>
            </w:r>
          </w:p>
        </w:tc>
        <w:tc>
          <w:tcPr>
            <w:tcW w:w="867" w:type="dxa"/>
            <w:tcBorders>
              <w:top w:val="single" w:color="000000" w:sz="4" w:space="0"/>
              <w:bottom w:val="single" w:color="000000" w:sz="4" w:space="0"/>
            </w:tcBorders>
            <w:vAlign w:val="center"/>
          </w:tcPr>
          <w:p w14:paraId="69FEABC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7F1B1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806" w:type="dxa"/>
            <w:tcBorders>
              <w:top w:val="single" w:color="000000" w:sz="4" w:space="0"/>
              <w:bottom w:val="single" w:color="000000" w:sz="4" w:space="0"/>
            </w:tcBorders>
            <w:vAlign w:val="center"/>
          </w:tcPr>
          <w:p w14:paraId="0D936C4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开办动物饲养场、动物隔离场所、动物屠宰加工场所以及动物和动物产品无害化处理场所，应当向县级人民政府农业农村主管部门提交选址需求。县级人民政府农业农村主管部门依据评估办法，结合场所周边的天然屏障、人工屏障、饲养环境、动物分布等情况，以及动物疫病发生、流行和控制等因素，实施综合评估，确定本办法第六条第一项要求的距离，确认选址。前款规定的评估办法由省级人民政府农业农村主管部门依据《中华人民共和国畜牧法</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中华人民共和国动物防疫法》等法律法规和本办法制定。</w:t>
            </w:r>
          </w:p>
        </w:tc>
        <w:tc>
          <w:tcPr>
            <w:tcW w:w="2775" w:type="dxa"/>
            <w:tcBorders>
              <w:top w:val="single" w:color="000000" w:sz="4" w:space="0"/>
              <w:bottom w:val="single" w:color="000000" w:sz="4" w:space="0"/>
            </w:tcBorders>
            <w:vAlign w:val="center"/>
          </w:tcPr>
          <w:p w14:paraId="59C5D422">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本项目用地为租赁新疆生产建设兵团第七师125团16连国有土地16.0391公顷(其中其他农用地0.2239公顷、未利用地15.8152公顷)，并取得了125团设施农用地备字[2021]10号文件</w:t>
            </w:r>
          </w:p>
        </w:tc>
        <w:tc>
          <w:tcPr>
            <w:tcW w:w="867" w:type="dxa"/>
            <w:tcBorders>
              <w:top w:val="single" w:color="000000" w:sz="4" w:space="0"/>
              <w:bottom w:val="single" w:color="000000" w:sz="4" w:space="0"/>
            </w:tcBorders>
            <w:vAlign w:val="center"/>
          </w:tcPr>
          <w:p w14:paraId="5E3412F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48E0B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806" w:type="dxa"/>
            <w:tcBorders>
              <w:top w:val="single" w:color="000000" w:sz="4" w:space="0"/>
            </w:tcBorders>
            <w:vAlign w:val="center"/>
          </w:tcPr>
          <w:p w14:paraId="7C4E30B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患有人畜共患传染病的人员不得在本办法第二条所列场所直接从事动物疫病检测、检验、协助检疫、诊疗以及易感染动物的饲养、屠宰、经营、隔离等活动。</w:t>
            </w:r>
          </w:p>
        </w:tc>
        <w:tc>
          <w:tcPr>
            <w:tcW w:w="2775" w:type="dxa"/>
            <w:tcBorders>
              <w:top w:val="single" w:color="000000" w:sz="4" w:space="0"/>
            </w:tcBorders>
            <w:vAlign w:val="center"/>
          </w:tcPr>
          <w:p w14:paraId="33918B19">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本项目招收工作人员时招收持有健康证或体检没有</w:t>
            </w:r>
            <w:r>
              <w:rPr>
                <w:rFonts w:hint="eastAsia"/>
                <w:color w:val="000000" w:themeColor="text1"/>
                <w:sz w:val="21"/>
                <w:szCs w:val="21"/>
                <w:highlight w:val="none"/>
                <w14:textFill>
                  <w14:solidFill>
                    <w14:schemeClr w14:val="tx1"/>
                  </w14:solidFill>
                </w14:textFill>
              </w:rPr>
              <w:t>患有人畜共患传染病的人员</w:t>
            </w:r>
          </w:p>
        </w:tc>
        <w:tc>
          <w:tcPr>
            <w:tcW w:w="867" w:type="dxa"/>
            <w:tcBorders>
              <w:top w:val="single" w:color="000000" w:sz="4" w:space="0"/>
            </w:tcBorders>
            <w:vAlign w:val="center"/>
          </w:tcPr>
          <w:p w14:paraId="3C7B100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4F3D0FB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）与《</w:t>
      </w:r>
      <w:r>
        <w:rPr>
          <w:rFonts w:hint="eastAsia"/>
          <w:color w:val="000000" w:themeColor="text1"/>
          <w:kern w:val="0"/>
          <w:sz w:val="24"/>
          <w:szCs w:val="24"/>
          <w:highlight w:val="none"/>
          <w14:textFill>
            <w14:solidFill>
              <w14:schemeClr w14:val="tx1"/>
            </w14:solidFill>
          </w14:textFill>
        </w:rPr>
        <w:t>新疆维吾尔自治区环境保护条例</w:t>
      </w:r>
      <w:r>
        <w:rPr>
          <w:color w:val="000000" w:themeColor="text1"/>
          <w:highlight w:val="none"/>
          <w14:textFill>
            <w14:solidFill>
              <w14:schemeClr w14:val="tx1"/>
            </w14:solidFill>
          </w14:textFill>
        </w:rPr>
        <w:t>》符合性分析</w:t>
      </w:r>
    </w:p>
    <w:p w14:paraId="42877AF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w:t>
      </w:r>
      <w:r>
        <w:rPr>
          <w:rFonts w:hint="eastAsia"/>
          <w:b/>
          <w:bCs/>
          <w:color w:val="000000" w:themeColor="text1"/>
          <w:sz w:val="21"/>
          <w:szCs w:val="21"/>
          <w:highlight w:val="none"/>
          <w:lang w:val="en-US" w:eastAsia="zh-CN"/>
          <w14:textFill>
            <w14:solidFill>
              <w14:schemeClr w14:val="tx1"/>
            </w14:solidFill>
          </w14:textFill>
        </w:rPr>
        <w:t>10</w:t>
      </w:r>
      <w:r>
        <w:rPr>
          <w:b/>
          <w:bCs/>
          <w:color w:val="000000" w:themeColor="text1"/>
          <w:sz w:val="21"/>
          <w:szCs w:val="21"/>
          <w:highlight w:val="none"/>
          <w14:textFill>
            <w14:solidFill>
              <w14:schemeClr w14:val="tx1"/>
            </w14:solidFill>
          </w14:textFill>
        </w:rPr>
        <w:t xml:space="preserve">  项目与</w:t>
      </w:r>
      <w:r>
        <w:rPr>
          <w:rFonts w:hint="eastAsia"/>
          <w:b/>
          <w:bCs/>
          <w:color w:val="000000" w:themeColor="text1"/>
          <w:sz w:val="21"/>
          <w:szCs w:val="21"/>
          <w:highlight w:val="none"/>
          <w14:textFill>
            <w14:solidFill>
              <w14:schemeClr w14:val="tx1"/>
            </w14:solidFill>
          </w14:textFill>
        </w:rPr>
        <w:t>《新疆维吾尔自治区环境保护条例》</w:t>
      </w:r>
      <w:r>
        <w:rPr>
          <w:b/>
          <w:bCs/>
          <w:color w:val="000000" w:themeColor="text1"/>
          <w:sz w:val="21"/>
          <w:szCs w:val="21"/>
          <w:highlight w:val="none"/>
          <w14:textFill>
            <w14:solidFill>
              <w14:schemeClr w14:val="tx1"/>
            </w14:solidFill>
          </w14:textFill>
        </w:rPr>
        <w:t>符合性分析</w:t>
      </w:r>
    </w:p>
    <w:tbl>
      <w:tblPr>
        <w:tblStyle w:val="58"/>
        <w:tblW w:w="84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42"/>
        <w:gridCol w:w="3239"/>
        <w:gridCol w:w="867"/>
      </w:tblGrid>
      <w:tr w14:paraId="41E415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342" w:type="dxa"/>
            <w:tcBorders>
              <w:bottom w:val="single" w:color="000000" w:sz="4" w:space="0"/>
            </w:tcBorders>
            <w:vAlign w:val="center"/>
          </w:tcPr>
          <w:p w14:paraId="4BAA19E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文件规定</w:t>
            </w:r>
          </w:p>
        </w:tc>
        <w:tc>
          <w:tcPr>
            <w:tcW w:w="3239" w:type="dxa"/>
            <w:tcBorders>
              <w:bottom w:val="single" w:color="000000" w:sz="4" w:space="0"/>
            </w:tcBorders>
            <w:vAlign w:val="center"/>
          </w:tcPr>
          <w:p w14:paraId="52DAE81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867" w:type="dxa"/>
            <w:tcBorders>
              <w:bottom w:val="single" w:color="000000" w:sz="4" w:space="0"/>
            </w:tcBorders>
            <w:vAlign w:val="center"/>
          </w:tcPr>
          <w:p w14:paraId="184BBEC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符合情况</w:t>
            </w:r>
          </w:p>
        </w:tc>
      </w:tr>
      <w:tr w14:paraId="20FC2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342" w:type="dxa"/>
            <w:tcBorders>
              <w:top w:val="single" w:color="000000" w:sz="4" w:space="0"/>
              <w:bottom w:val="single" w:color="000000" w:sz="4" w:space="0"/>
            </w:tcBorders>
            <w:vAlign w:val="center"/>
          </w:tcPr>
          <w:p w14:paraId="527CFA3A">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建设对环境有影响的项目，应当依法进行环境影响评价。建设单位应当在开工建设前向有审批权的环境保护主管部门报批建设项目环境影响评价报告书、报告表。</w:t>
            </w:r>
          </w:p>
        </w:tc>
        <w:tc>
          <w:tcPr>
            <w:tcW w:w="3239" w:type="dxa"/>
            <w:tcBorders>
              <w:top w:val="single" w:color="000000" w:sz="4" w:space="0"/>
              <w:bottom w:val="single" w:color="000000" w:sz="4" w:space="0"/>
            </w:tcBorders>
            <w:vAlign w:val="center"/>
          </w:tcPr>
          <w:p w14:paraId="67EDC35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本项目依法开展了环境影响评价工作，已编制环境影响报告书</w:t>
            </w:r>
          </w:p>
        </w:tc>
        <w:tc>
          <w:tcPr>
            <w:tcW w:w="867" w:type="dxa"/>
            <w:tcBorders>
              <w:top w:val="single" w:color="000000" w:sz="4" w:space="0"/>
              <w:bottom w:val="single" w:color="000000" w:sz="4" w:space="0"/>
            </w:tcBorders>
            <w:vAlign w:val="center"/>
          </w:tcPr>
          <w:p w14:paraId="075D939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7C851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342" w:type="dxa"/>
            <w:tcBorders>
              <w:top w:val="single" w:color="000000" w:sz="4" w:space="0"/>
              <w:bottom w:val="single" w:color="000000" w:sz="4" w:space="0"/>
            </w:tcBorders>
            <w:vAlign w:val="center"/>
          </w:tcPr>
          <w:p w14:paraId="5BA9A6EE">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畜禽养殖场、养殖小区应当根据养殖规模和污染防治需要，建设相应的畜禽粪便、污水贮存、污水处理和畜禽尸体处理等综合利用和无害化处理设施</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采取科学饲养方式和废弃物处理工艺等有效措施，防止环境污染。禁止在饮用水水源保护区、风景名胜区、自然保护区的核心区和缓冲区、城镇居民区、文化教育科学研究区等人口集中区域以及法律、法规规定的其他禁止养殖区域建设畜禽养殖场、养殖小区。</w:t>
            </w:r>
          </w:p>
        </w:tc>
        <w:tc>
          <w:tcPr>
            <w:tcW w:w="3239" w:type="dxa"/>
            <w:tcBorders>
              <w:top w:val="single" w:color="000000" w:sz="4" w:space="0"/>
              <w:bottom w:val="single" w:color="000000" w:sz="4" w:space="0"/>
            </w:tcBorders>
            <w:vAlign w:val="center"/>
          </w:tcPr>
          <w:p w14:paraId="703376D6">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本项目粪污经“固液分离+厌氧发酵”处理后用于周边农田灌溉；</w:t>
            </w:r>
            <w:r>
              <w:rPr>
                <w:rFonts w:hint="eastAsia"/>
                <w:color w:val="000000" w:themeColor="text1"/>
                <w:sz w:val="21"/>
                <w:szCs w:val="21"/>
                <w:highlight w:val="none"/>
                <w:lang w:eastAsia="zh-CN"/>
                <w14:textFill>
                  <w14:solidFill>
                    <w14:schemeClr w14:val="tx1"/>
                  </w14:solidFill>
                </w14:textFill>
              </w:rPr>
              <w:t>病死猪、胎衣</w:t>
            </w:r>
            <w:r>
              <w:rPr>
                <w:rFonts w:hint="eastAsia"/>
                <w:color w:val="000000" w:themeColor="text1"/>
                <w:sz w:val="21"/>
                <w:szCs w:val="21"/>
                <w:highlight w:val="none"/>
                <w14:textFill>
                  <w14:solidFill>
                    <w14:schemeClr w14:val="tx1"/>
                  </w14:solidFill>
                </w14:textFill>
              </w:rPr>
              <w:t>委托有资质单位进行处理。采用养殖技术成熟、科学，通过优化饲料配方、提高管理水平等减少环境污染。不位于生活饮用水水源保护区、风景名胜区、自然保护区的核心区及缓冲区，不位于城市和城镇居民区，不位于禁养区域、限养区域和其他需要特殊保护的区域</w:t>
            </w:r>
            <w:r>
              <w:rPr>
                <w:rFonts w:hint="eastAsia"/>
                <w:color w:val="000000" w:themeColor="text1"/>
                <w:sz w:val="21"/>
                <w:szCs w:val="21"/>
                <w:highlight w:val="none"/>
                <w:lang w:eastAsia="zh-CN"/>
                <w14:textFill>
                  <w14:solidFill>
                    <w14:schemeClr w14:val="tx1"/>
                  </w14:solidFill>
                </w14:textFill>
              </w:rPr>
              <w:t>。</w:t>
            </w:r>
          </w:p>
        </w:tc>
        <w:tc>
          <w:tcPr>
            <w:tcW w:w="867" w:type="dxa"/>
            <w:tcBorders>
              <w:top w:val="single" w:color="000000" w:sz="4" w:space="0"/>
              <w:bottom w:val="single" w:color="000000" w:sz="4" w:space="0"/>
            </w:tcBorders>
            <w:vAlign w:val="center"/>
          </w:tcPr>
          <w:p w14:paraId="49A83D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756BBD34">
      <w:pPr>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（2</w:t>
      </w:r>
      <w:r>
        <w:rPr>
          <w:rFonts w:hint="eastAsia" w:cs="宋体"/>
          <w:color w:val="000000" w:themeColor="text1"/>
          <w:highlight w:val="none"/>
          <w:lang w:val="en-US" w:eastAsia="zh-CN"/>
          <w14:textFill>
            <w14:solidFill>
              <w14:schemeClr w14:val="tx1"/>
            </w14:solidFill>
          </w14:textFill>
        </w:rPr>
        <w:t>5</w:t>
      </w:r>
      <w:r>
        <w:rPr>
          <w:rFonts w:hint="eastAsia" w:ascii="Times New Roman" w:hAnsi="Times New Roman" w:eastAsia="宋体" w:cs="宋体"/>
          <w:color w:val="000000" w:themeColor="text1"/>
          <w:highlight w:val="none"/>
          <w14:textFill>
            <w14:solidFill>
              <w14:schemeClr w14:val="tx1"/>
            </w14:solidFill>
          </w14:textFill>
        </w:rPr>
        <w:t>）与《关于进一步明确畜禽粪污还田利用要求强化养殖污染监管的通知》（农办牧〔2020〕23号）符合性分析</w:t>
      </w:r>
    </w:p>
    <w:p w14:paraId="6C6423E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w:t>
      </w:r>
      <w:r>
        <w:rPr>
          <w:rFonts w:hint="eastAsia"/>
          <w:b/>
          <w:bCs/>
          <w:color w:val="000000" w:themeColor="text1"/>
          <w:sz w:val="21"/>
          <w:szCs w:val="21"/>
          <w:highlight w:val="none"/>
          <w:lang w:val="en-US" w:eastAsia="zh-CN"/>
          <w14:textFill>
            <w14:solidFill>
              <w14:schemeClr w14:val="tx1"/>
            </w14:solidFill>
          </w14:textFill>
        </w:rPr>
        <w:t>11</w:t>
      </w:r>
      <w:r>
        <w:rPr>
          <w:b/>
          <w:bCs/>
          <w:color w:val="000000" w:themeColor="text1"/>
          <w:sz w:val="21"/>
          <w:szCs w:val="21"/>
          <w:highlight w:val="none"/>
          <w14:textFill>
            <w14:solidFill>
              <w14:schemeClr w14:val="tx1"/>
            </w14:solidFill>
          </w14:textFill>
        </w:rPr>
        <w:t xml:space="preserve">  项目</w:t>
      </w:r>
      <w:r>
        <w:rPr>
          <w:rFonts w:hint="eastAsia" w:ascii="Times New Roman" w:hAnsi="Times New Roman" w:eastAsia="宋体" w:cs="宋体"/>
          <w:b/>
          <w:bCs/>
          <w:color w:val="000000" w:themeColor="text1"/>
          <w:sz w:val="21"/>
          <w:szCs w:val="21"/>
          <w:highlight w:val="none"/>
          <w:lang w:val="en-US" w:eastAsia="zh-CN"/>
          <w14:textFill>
            <w14:solidFill>
              <w14:schemeClr w14:val="tx1"/>
            </w14:solidFill>
          </w14:textFill>
        </w:rPr>
        <w:t>与《关于进一步明确畜禽粪污还田利用要求强化养殖污染监管的通知》（农办牧〔2020〕23号）符合</w:t>
      </w:r>
      <w:r>
        <w:rPr>
          <w:b/>
          <w:bCs/>
          <w:color w:val="000000" w:themeColor="text1"/>
          <w:sz w:val="21"/>
          <w:szCs w:val="21"/>
          <w:highlight w:val="none"/>
          <w14:textFill>
            <w14:solidFill>
              <w14:schemeClr w14:val="tx1"/>
            </w14:solidFill>
          </w14:textFill>
        </w:rPr>
        <w:t>性分析</w:t>
      </w:r>
    </w:p>
    <w:tbl>
      <w:tblPr>
        <w:tblStyle w:val="58"/>
        <w:tblW w:w="844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42"/>
        <w:gridCol w:w="3239"/>
        <w:gridCol w:w="867"/>
      </w:tblGrid>
      <w:tr w14:paraId="5DD14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trPr>
        <w:tc>
          <w:tcPr>
            <w:tcW w:w="4342" w:type="dxa"/>
            <w:tcBorders>
              <w:bottom w:val="single" w:color="000000" w:sz="4" w:space="0"/>
            </w:tcBorders>
            <w:vAlign w:val="center"/>
          </w:tcPr>
          <w:p w14:paraId="3CD7F32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文件规定</w:t>
            </w:r>
          </w:p>
        </w:tc>
        <w:tc>
          <w:tcPr>
            <w:tcW w:w="3239" w:type="dxa"/>
            <w:tcBorders>
              <w:bottom w:val="single" w:color="000000" w:sz="4" w:space="0"/>
            </w:tcBorders>
            <w:vAlign w:val="center"/>
          </w:tcPr>
          <w:p w14:paraId="38F6746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本项目情况</w:t>
            </w:r>
          </w:p>
        </w:tc>
        <w:tc>
          <w:tcPr>
            <w:tcW w:w="867" w:type="dxa"/>
            <w:tcBorders>
              <w:bottom w:val="single" w:color="000000" w:sz="4" w:space="0"/>
            </w:tcBorders>
            <w:vAlign w:val="center"/>
          </w:tcPr>
          <w:p w14:paraId="41242EB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符合情况</w:t>
            </w:r>
          </w:p>
        </w:tc>
      </w:tr>
      <w:tr w14:paraId="25ADF2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342" w:type="dxa"/>
            <w:tcBorders>
              <w:top w:val="single" w:color="000000" w:sz="4" w:space="0"/>
              <w:bottom w:val="single" w:color="000000" w:sz="4" w:space="0"/>
            </w:tcBorders>
            <w:vAlign w:val="center"/>
          </w:tcPr>
          <w:p w14:paraId="7845B66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鼓励畜禽粪污还田利用。国家支持畜禽养殖场户建设畜禽粪污无害化处理和资源化利用设施，鼓励采取粪肥还田、制取沼气、生产有机肥等方式进行资源化利用。</w:t>
            </w:r>
          </w:p>
        </w:tc>
        <w:tc>
          <w:tcPr>
            <w:tcW w:w="3239" w:type="dxa"/>
            <w:tcBorders>
              <w:top w:val="single" w:color="000000" w:sz="4" w:space="0"/>
              <w:bottom w:val="single" w:color="000000" w:sz="4" w:space="0"/>
            </w:tcBorders>
            <w:vAlign w:val="center"/>
          </w:tcPr>
          <w:p w14:paraId="39D8B72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宋体"/>
                <w:color w:val="000000" w:themeColor="text1"/>
                <w:sz w:val="21"/>
                <w:szCs w:val="21"/>
                <w:highlight w:val="none"/>
                <w14:textFill>
                  <w14:solidFill>
                    <w14:schemeClr w14:val="tx1"/>
                  </w14:solidFill>
                </w14:textFill>
              </w:rPr>
              <w:t>粪肥还田</w:t>
            </w:r>
          </w:p>
        </w:tc>
        <w:tc>
          <w:tcPr>
            <w:tcW w:w="867" w:type="dxa"/>
            <w:tcBorders>
              <w:top w:val="single" w:color="000000" w:sz="4" w:space="0"/>
              <w:bottom w:val="single" w:color="000000" w:sz="4" w:space="0"/>
            </w:tcBorders>
            <w:vAlign w:val="center"/>
          </w:tcPr>
          <w:p w14:paraId="16C0256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符合</w:t>
            </w:r>
          </w:p>
        </w:tc>
      </w:tr>
      <w:tr w14:paraId="14620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342" w:type="dxa"/>
            <w:tcBorders>
              <w:top w:val="single" w:color="000000" w:sz="4" w:space="0"/>
              <w:bottom w:val="single" w:color="000000" w:sz="4" w:space="0"/>
            </w:tcBorders>
            <w:vAlign w:val="center"/>
          </w:tcPr>
          <w:p w14:paraId="1FD3DD49">
            <w:pPr>
              <w:spacing w:line="240" w:lineRule="auto"/>
              <w:jc w:val="cente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t>明确还田利用标准规范。畜禽粪污的处理应根据排放去向或利用方式的不同执行相应的标准规范。对配套土地充足的养殖场户，粪污经无害化处理后还田利用具体要求及限量应符合《畜禽粪便无害化处理技术规范》（GB/T 36195）和《畜禽粪便还田技术规范》（GB/T 25246），配套土地面积应达到《畜禽粪污土地承载力测算技术指南》（以下简称《指南》）要求的最小面积。对配套土地不足的养殖场户，粪污经处理后向环境排放的，应符合《畜禽养殖业污染物排放标准》（GB 18596）和地方有关排放标准。用于农田灌溉的，应符合《农田灌溉水质标准》（GB5084）。</w:t>
            </w:r>
          </w:p>
        </w:tc>
        <w:tc>
          <w:tcPr>
            <w:tcW w:w="3239" w:type="dxa"/>
            <w:tcBorders>
              <w:top w:val="single" w:color="000000" w:sz="4" w:space="0"/>
              <w:bottom w:val="single" w:color="000000" w:sz="4" w:space="0"/>
            </w:tcBorders>
            <w:vAlign w:val="center"/>
          </w:tcPr>
          <w:p w14:paraId="31E73D7C">
            <w:pPr>
              <w:spacing w:line="240" w:lineRule="auto"/>
              <w:jc w:val="cente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t>本项目粪污经无害化处理后符合《畜禽粪便无害化处理技术规范》（GB/T 36195）和《畜禽粪便还田技术规范》（GB/T 25246）后还田，根据《畜禽粪污土地承载力测算技术指南》，本项目约需要</w:t>
            </w:r>
            <w:r>
              <w:rPr>
                <w:rFonts w:hint="eastAsia" w:cs="宋体"/>
                <w:color w:val="000000" w:themeColor="text1"/>
                <w:kern w:val="0"/>
                <w:sz w:val="21"/>
                <w:szCs w:val="21"/>
                <w:highlight w:val="none"/>
                <w:lang w:val="en-US" w:eastAsia="zh-CN" w:bidi="ar-SA"/>
                <w14:textFill>
                  <w14:solidFill>
                    <w14:schemeClr w14:val="tx1"/>
                  </w14:solidFill>
                </w14:textFill>
              </w:rPr>
              <w:t>3584</w:t>
            </w:r>
            <w: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t>亩农田进行消纳和资源化利用，</w:t>
            </w:r>
            <w:r>
              <w:rPr>
                <w:rFonts w:hint="eastAsia"/>
                <w:color w:val="000000" w:themeColor="text1"/>
                <w:sz w:val="21"/>
                <w:szCs w:val="21"/>
                <w:highlight w:val="none"/>
                <w:lang w:eastAsia="zh-CN"/>
                <w14:textFill>
                  <w14:solidFill>
                    <w14:schemeClr w14:val="tx1"/>
                  </w14:solidFill>
                </w14:textFill>
              </w:rPr>
              <w:t>公司已与125团16连签订4000亩农田的粪肥消纳协议，能够满足项目粪污水消纳的需求</w:t>
            </w:r>
          </w:p>
        </w:tc>
        <w:tc>
          <w:tcPr>
            <w:tcW w:w="867" w:type="dxa"/>
            <w:tcBorders>
              <w:top w:val="single" w:color="000000" w:sz="4" w:space="0"/>
              <w:bottom w:val="single" w:color="000000" w:sz="4" w:space="0"/>
            </w:tcBorders>
            <w:vAlign w:val="center"/>
          </w:tcPr>
          <w:p w14:paraId="6A3B7C6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符合</w:t>
            </w:r>
          </w:p>
        </w:tc>
      </w:tr>
      <w:tr w14:paraId="7DA7E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342" w:type="dxa"/>
            <w:tcBorders>
              <w:top w:val="single" w:color="000000" w:sz="4" w:space="0"/>
              <w:bottom w:val="single" w:color="000000" w:sz="4" w:space="0"/>
            </w:tcBorders>
            <w:vAlign w:val="center"/>
          </w:tcPr>
          <w:p w14:paraId="4BAEE20C">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强化粪污还田利用过程监管。养殖场户应依法配置粪污贮存设施，设施总容积不得低于当地农林作物生产用肥的最大间隔时间内产生粪污的总量，配套土地面积不得小于《指南》要求的最小面积；配套土地面积不足的，应委托第三方代为实现粪污资源化。达不到前述要求且无法证明粪污去向的，视同超出土地消纳能力。</w:t>
            </w:r>
          </w:p>
        </w:tc>
        <w:tc>
          <w:tcPr>
            <w:tcW w:w="3239" w:type="dxa"/>
            <w:tcBorders>
              <w:top w:val="single" w:color="000000" w:sz="4" w:space="0"/>
              <w:bottom w:val="single" w:color="000000" w:sz="4" w:space="0"/>
            </w:tcBorders>
            <w:vAlign w:val="center"/>
          </w:tcPr>
          <w:p w14:paraId="2C978985">
            <w:pPr>
              <w:spacing w:line="240" w:lineRule="auto"/>
              <w:jc w:val="cente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t>本项目堆粪场设计平面占地25.2m×12m，按粪堆高度4.5m计算，可堆放900m</w:t>
            </w:r>
            <w:r>
              <w:rPr>
                <w:rFonts w:hint="eastAsia" w:ascii="Times New Roman" w:hAnsi="Times New Roman" w:eastAsia="宋体" w:cs="宋体"/>
                <w:color w:val="000000" w:themeColor="text1"/>
                <w:kern w:val="0"/>
                <w:sz w:val="21"/>
                <w:szCs w:val="21"/>
                <w:highlight w:val="none"/>
                <w:vertAlign w:val="superscript"/>
                <w:lang w:val="en-US" w:eastAsia="zh-CN" w:bidi="ar-SA"/>
                <w14:textFill>
                  <w14:solidFill>
                    <w14:schemeClr w14:val="tx1"/>
                  </w14:solidFill>
                </w14:textFill>
              </w:rPr>
              <w:t>3</w:t>
            </w:r>
            <w: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t>的粪污。可满足本项目粪便、沼渣的储存容纳。根据《畜禽粪污土地承载力测算技术指南》，本项目约需要</w:t>
            </w:r>
            <w:r>
              <w:rPr>
                <w:rFonts w:hint="eastAsia" w:cs="宋体"/>
                <w:color w:val="000000" w:themeColor="text1"/>
                <w:kern w:val="0"/>
                <w:sz w:val="21"/>
                <w:szCs w:val="21"/>
                <w:highlight w:val="none"/>
                <w:lang w:val="en-US" w:eastAsia="zh-CN" w:bidi="ar-SA"/>
                <w14:textFill>
                  <w14:solidFill>
                    <w14:schemeClr w14:val="tx1"/>
                  </w14:solidFill>
                </w14:textFill>
              </w:rPr>
              <w:t>3584</w:t>
            </w:r>
            <w: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t>亩农田进行消纳和资源化利用，</w:t>
            </w:r>
            <w:r>
              <w:rPr>
                <w:rFonts w:hint="eastAsia"/>
                <w:color w:val="000000" w:themeColor="text1"/>
                <w:sz w:val="21"/>
                <w:szCs w:val="21"/>
                <w:highlight w:val="none"/>
                <w:lang w:eastAsia="zh-CN"/>
                <w14:textFill>
                  <w14:solidFill>
                    <w14:schemeClr w14:val="tx1"/>
                  </w14:solidFill>
                </w14:textFill>
              </w:rPr>
              <w:t>公司已与125团16连签订4000亩农田的粪肥消纳协议，能够满足项目粪污水消纳的需求</w:t>
            </w:r>
          </w:p>
        </w:tc>
        <w:tc>
          <w:tcPr>
            <w:tcW w:w="867" w:type="dxa"/>
            <w:tcBorders>
              <w:top w:val="single" w:color="000000" w:sz="4" w:space="0"/>
              <w:bottom w:val="single" w:color="000000" w:sz="4" w:space="0"/>
            </w:tcBorders>
            <w:vAlign w:val="center"/>
          </w:tcPr>
          <w:p w14:paraId="558FD2D0">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符合</w:t>
            </w:r>
          </w:p>
        </w:tc>
      </w:tr>
      <w:tr w14:paraId="6D778D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0" w:hRule="atLeast"/>
        </w:trPr>
        <w:tc>
          <w:tcPr>
            <w:tcW w:w="4342" w:type="dxa"/>
            <w:tcBorders>
              <w:top w:val="single" w:color="000000" w:sz="4" w:space="0"/>
              <w:bottom w:val="single" w:color="000000" w:sz="4" w:space="0"/>
            </w:tcBorders>
            <w:vAlign w:val="center"/>
          </w:tcPr>
          <w:p w14:paraId="422EBDA6">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完善粪肥还田管理制度。督促指导规模养殖场制定畜禽粪肥还田利用计划，根据养殖规模明确配套农田面积、农田类型、种植制度、粪肥使用时间及使用量等。推动建立畜禽粪污处理和粪肥利用台账，避免施用超量或时间不合理，并作为监督执法的重要依据。加强日常监测，及时掌握粪污养分和有害物质含量，严防还田环境风险。</w:t>
            </w:r>
          </w:p>
        </w:tc>
        <w:tc>
          <w:tcPr>
            <w:tcW w:w="3239" w:type="dxa"/>
            <w:tcBorders>
              <w:top w:val="single" w:color="000000" w:sz="4" w:space="0"/>
              <w:bottom w:val="single" w:color="000000" w:sz="4" w:space="0"/>
            </w:tcBorders>
            <w:vAlign w:val="center"/>
          </w:tcPr>
          <w:p w14:paraId="0B65FC8B">
            <w:pPr>
              <w:spacing w:line="240" w:lineRule="auto"/>
              <w:jc w:val="center"/>
              <w:rPr>
                <w:rFonts w:hint="eastAsia" w:ascii="Times New Roman" w:hAnsi="Times New Roman" w:eastAsia="宋体" w:cs="宋体"/>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t>根据《畜禽粪污土地承载力测算技术指南》，本项目约需要</w:t>
            </w:r>
            <w:r>
              <w:rPr>
                <w:rFonts w:hint="eastAsia" w:cs="宋体"/>
                <w:color w:val="000000" w:themeColor="text1"/>
                <w:kern w:val="0"/>
                <w:sz w:val="21"/>
                <w:szCs w:val="21"/>
                <w:highlight w:val="none"/>
                <w:lang w:val="en-US" w:eastAsia="zh-CN" w:bidi="ar-SA"/>
                <w14:textFill>
                  <w14:solidFill>
                    <w14:schemeClr w14:val="tx1"/>
                  </w14:solidFill>
                </w14:textFill>
              </w:rPr>
              <w:t>3584</w:t>
            </w:r>
            <w:r>
              <w:rPr>
                <w:rFonts w:hint="eastAsia" w:ascii="Times New Roman" w:hAnsi="Times New Roman" w:eastAsia="宋体" w:cs="宋体"/>
                <w:color w:val="000000" w:themeColor="text1"/>
                <w:kern w:val="0"/>
                <w:sz w:val="21"/>
                <w:szCs w:val="21"/>
                <w:highlight w:val="none"/>
                <w:lang w:val="en-US" w:eastAsia="zh-CN" w:bidi="ar-SA"/>
                <w14:textFill>
                  <w14:solidFill>
                    <w14:schemeClr w14:val="tx1"/>
                  </w14:solidFill>
                </w14:textFill>
              </w:rPr>
              <w:t>亩农田进行消纳和资源化利用，</w:t>
            </w:r>
            <w:r>
              <w:rPr>
                <w:rFonts w:hint="eastAsia"/>
                <w:color w:val="000000" w:themeColor="text1"/>
                <w:sz w:val="21"/>
                <w:szCs w:val="21"/>
                <w:highlight w:val="none"/>
                <w:lang w:eastAsia="zh-CN"/>
                <w14:textFill>
                  <w14:solidFill>
                    <w14:schemeClr w14:val="tx1"/>
                  </w14:solidFill>
                </w14:textFill>
              </w:rPr>
              <w:t>公司已与125团16连签订4000亩农田的粪肥消纳协议，能够满足项目粪污水消纳的需求</w:t>
            </w:r>
          </w:p>
        </w:tc>
        <w:tc>
          <w:tcPr>
            <w:tcW w:w="867" w:type="dxa"/>
            <w:tcBorders>
              <w:top w:val="single" w:color="000000" w:sz="4" w:space="0"/>
              <w:bottom w:val="single" w:color="000000" w:sz="4" w:space="0"/>
            </w:tcBorders>
            <w:vAlign w:val="center"/>
          </w:tcPr>
          <w:p w14:paraId="40CA2114">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符合</w:t>
            </w:r>
          </w:p>
        </w:tc>
      </w:tr>
    </w:tbl>
    <w:p w14:paraId="3FD3BB87">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1.3.3</w:t>
      </w:r>
      <w:r>
        <w:rPr>
          <w:rFonts w:hint="eastAsia"/>
          <w:color w:val="000000" w:themeColor="text1"/>
          <w:highlight w:val="none"/>
          <w14:textFill>
            <w14:solidFill>
              <w14:schemeClr w14:val="tx1"/>
            </w14:solidFill>
          </w14:textFill>
        </w:rPr>
        <w:t>选址合理性分析</w:t>
      </w:r>
      <w:bookmarkEnd w:id="11"/>
    </w:p>
    <w:p w14:paraId="0E89753B">
      <w:pPr>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项目位于新疆生产建设兵团</w:t>
      </w:r>
      <w:r>
        <w:rPr>
          <w:rFonts w:hint="eastAsia"/>
          <w:color w:val="000000" w:themeColor="text1"/>
          <w:highlight w:val="none"/>
          <w:lang w:eastAsia="zh-CN"/>
          <w14:textFill>
            <w14:solidFill>
              <w14:schemeClr w14:val="tx1"/>
            </w14:solidFill>
          </w14:textFill>
        </w:rPr>
        <w:t>胡杨河市125团16连</w:t>
      </w:r>
      <w:r>
        <w:rPr>
          <w:color w:val="000000" w:themeColor="text1"/>
          <w:highlight w:val="none"/>
          <w14:textFill>
            <w14:solidFill>
              <w14:schemeClr w14:val="tx1"/>
            </w14:solidFill>
          </w14:textFill>
        </w:rPr>
        <w:t>，项目区中心坐标：</w:t>
      </w:r>
      <w:r>
        <w:rPr>
          <w:rFonts w:hint="eastAsia"/>
          <w:color w:val="000000" w:themeColor="text1"/>
          <w:highlight w:val="none"/>
          <w:lang w:eastAsia="zh-CN"/>
          <w14:textFill>
            <w14:solidFill>
              <w14:schemeClr w14:val="tx1"/>
            </w14:solidFill>
          </w14:textFill>
        </w:rPr>
        <w:t>E：84°32′1.246″,N：44°50′21.945″</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项目区西南侧60m为废弃厂房，西南侧0.8km为125团16连，西南侧2.3km为125团18连，东侧2.6km处为车排子水库，东侧、西侧、南侧和北侧均为农田，交通十分便利。</w:t>
      </w:r>
    </w:p>
    <w:p w14:paraId="5DD1B963">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项目区周边</w:t>
      </w:r>
      <w:r>
        <w:rPr>
          <w:color w:val="000000" w:themeColor="text1"/>
          <w:highlight w:val="none"/>
          <w14:textFill>
            <w14:solidFill>
              <w14:schemeClr w14:val="tx1"/>
            </w14:solidFill>
          </w14:textFill>
        </w:rPr>
        <w:t>500m</w:t>
      </w:r>
      <w:r>
        <w:rPr>
          <w:rFonts w:hint="eastAsia"/>
          <w:color w:val="000000" w:themeColor="text1"/>
          <w:highlight w:val="none"/>
          <w14:textFill>
            <w14:solidFill>
              <w14:schemeClr w14:val="tx1"/>
            </w14:solidFill>
          </w14:textFill>
        </w:rPr>
        <w:t>范围内无自然保护区、风景名胜区、饮用水源保护区，亦无学校、医院、集中居住的居民区等环境敏感目标，也无重污染生产企业；满足《畜禽养殖业污染防治技术规范》（</w:t>
      </w:r>
      <w:r>
        <w:rPr>
          <w:color w:val="000000" w:themeColor="text1"/>
          <w:highlight w:val="none"/>
          <w14:textFill>
            <w14:solidFill>
              <w14:schemeClr w14:val="tx1"/>
            </w14:solidFill>
          </w14:textFill>
        </w:rPr>
        <w:t>HJ/T81-2001</w:t>
      </w:r>
      <w:r>
        <w:rPr>
          <w:rFonts w:hint="eastAsia"/>
          <w:color w:val="000000" w:themeColor="text1"/>
          <w:highlight w:val="none"/>
          <w14:textFill>
            <w14:solidFill>
              <w14:schemeClr w14:val="tx1"/>
            </w14:solidFill>
          </w14:textFill>
        </w:rPr>
        <w:t>）的相关要求。本规模化养殖场选址合理。</w:t>
      </w:r>
    </w:p>
    <w:p w14:paraId="4F2AEFA3">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"3.6.3.1" </w:instrText>
      </w:r>
      <w:r>
        <w:rPr>
          <w:color w:val="000000" w:themeColor="text1"/>
          <w:highlight w:val="none"/>
          <w14:textFill>
            <w14:solidFill>
              <w14:schemeClr w14:val="tx1"/>
            </w14:solidFill>
          </w14:textFill>
        </w:rPr>
        <w:fldChar w:fldCharType="separate"/>
      </w:r>
      <w:r>
        <w:rPr>
          <w:rFonts w:hint="eastAsia"/>
          <w:b/>
          <w:bCs/>
          <w:color w:val="000000" w:themeColor="text1"/>
          <w:highlight w:val="none"/>
          <w14:textFill>
            <w14:solidFill>
              <w14:schemeClr w14:val="tx1"/>
            </w14:solidFill>
          </w14:textFill>
        </w:rPr>
        <w:t>1.3.3</w:t>
      </w:r>
      <w:r>
        <w:rPr>
          <w:b/>
          <w:bCs/>
          <w:color w:val="000000" w:themeColor="text1"/>
          <w:highlight w:val="none"/>
          <w14:textFill>
            <w14:solidFill>
              <w14:schemeClr w14:val="tx1"/>
            </w14:solidFill>
          </w14:textFill>
        </w:rPr>
        <w:t>.1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项目选址与《畜禽规模养殖污染防治条例》（国务院令第643号）、《畜禽养殖业污染防治技术规范》（HJ/T81-2001）、《畜禽养殖业污染防治技术政策》（环发〔2010〕151号）的符合性分析</w:t>
      </w:r>
    </w:p>
    <w:p w14:paraId="60290A1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本项目选址与《畜禽规模养殖污染防治条例》（国务院令第643号）、《畜禽养殖业污染防治技术规范》（HJ/T81-2001）的符合性分析见表</w:t>
      </w:r>
      <w:r>
        <w:rPr>
          <w:rFonts w:hint="eastAsia"/>
          <w:color w:val="000000" w:themeColor="text1"/>
          <w:highlight w:val="none"/>
          <w14:textFill>
            <w14:solidFill>
              <w14:schemeClr w14:val="tx1"/>
            </w14:solidFill>
          </w14:textFill>
        </w:rPr>
        <w:t>1.3-</w:t>
      </w:r>
      <w:r>
        <w:rPr>
          <w:rFonts w:hint="eastAsia"/>
          <w:color w:val="000000" w:themeColor="text1"/>
          <w:highlight w:val="none"/>
          <w:lang w:val="en-US" w:eastAsia="zh-CN"/>
          <w14:textFill>
            <w14:solidFill>
              <w14:schemeClr w14:val="tx1"/>
            </w14:solidFill>
          </w14:textFill>
        </w:rPr>
        <w:t>12</w:t>
      </w:r>
      <w:r>
        <w:rPr>
          <w:color w:val="000000" w:themeColor="text1"/>
          <w:highlight w:val="none"/>
          <w14:textFill>
            <w14:solidFill>
              <w14:schemeClr w14:val="tx1"/>
            </w14:solidFill>
          </w14:textFill>
        </w:rPr>
        <w:t>。</w:t>
      </w:r>
    </w:p>
    <w:p w14:paraId="3702F84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w:t>
      </w:r>
      <w:r>
        <w:rPr>
          <w:rFonts w:hint="eastAsia"/>
          <w:b/>
          <w:bCs/>
          <w:color w:val="000000" w:themeColor="text1"/>
          <w:sz w:val="21"/>
          <w:szCs w:val="21"/>
          <w:highlight w:val="none"/>
          <w:lang w:val="en-US" w:eastAsia="zh-CN"/>
          <w14:textFill>
            <w14:solidFill>
              <w14:schemeClr w14:val="tx1"/>
            </w14:solidFill>
          </w14:textFill>
        </w:rPr>
        <w:t xml:space="preserve">12 </w:t>
      </w:r>
      <w:r>
        <w:rPr>
          <w:b/>
          <w:bCs/>
          <w:color w:val="000000" w:themeColor="text1"/>
          <w:sz w:val="21"/>
          <w:szCs w:val="21"/>
          <w:highlight w:val="none"/>
          <w14:textFill>
            <w14:solidFill>
              <w14:schemeClr w14:val="tx1"/>
            </w14:solidFill>
          </w14:textFill>
        </w:rPr>
        <w:t xml:space="preserve"> 选址合理性分析</w:t>
      </w:r>
    </w:p>
    <w:tbl>
      <w:tblPr>
        <w:tblStyle w:val="58"/>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19"/>
        <w:gridCol w:w="3686"/>
        <w:gridCol w:w="3027"/>
        <w:gridCol w:w="494"/>
      </w:tblGrid>
      <w:tr w14:paraId="6777E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1319" w:type="dxa"/>
            <w:vAlign w:val="center"/>
          </w:tcPr>
          <w:p w14:paraId="3EE3316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3686" w:type="dxa"/>
            <w:vAlign w:val="center"/>
          </w:tcPr>
          <w:p w14:paraId="5591A83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要求</w:t>
            </w:r>
          </w:p>
        </w:tc>
        <w:tc>
          <w:tcPr>
            <w:tcW w:w="3027" w:type="dxa"/>
            <w:vAlign w:val="center"/>
          </w:tcPr>
          <w:p w14:paraId="66B2BAD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符合性分析</w:t>
            </w:r>
          </w:p>
        </w:tc>
        <w:tc>
          <w:tcPr>
            <w:tcW w:w="494" w:type="dxa"/>
            <w:vAlign w:val="center"/>
          </w:tcPr>
          <w:p w14:paraId="6E1E91D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符合性</w:t>
            </w:r>
          </w:p>
        </w:tc>
      </w:tr>
      <w:tr w14:paraId="527368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1319" w:type="dxa"/>
            <w:vAlign w:val="center"/>
          </w:tcPr>
          <w:p w14:paraId="386891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《畜禽规模养殖污染防治条例》（国务院令第643号）第二章第十一条</w:t>
            </w:r>
          </w:p>
        </w:tc>
        <w:tc>
          <w:tcPr>
            <w:tcW w:w="3686" w:type="dxa"/>
            <w:vAlign w:val="center"/>
          </w:tcPr>
          <w:p w14:paraId="5AA119D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禁止在下列区域内建设畜禽养殖场、养 殖小区：①饮用水水源保护区，风景名胜区；②自然保护区的核心区和缓冲区；③城镇居民区、文化教育科学研究区等人口集中区域；④</w:t>
            </w:r>
            <w:r>
              <w:rPr>
                <w:rFonts w:hint="eastAsia"/>
                <w:color w:val="000000" w:themeColor="text1"/>
                <w:sz w:val="21"/>
                <w:szCs w:val="21"/>
                <w:highlight w:val="none"/>
                <w14:textFill>
                  <w14:solidFill>
                    <w14:schemeClr w14:val="tx1"/>
                  </w14:solidFill>
                </w14:textFill>
              </w:rPr>
              <w:t>法律法规</w:t>
            </w:r>
            <w:r>
              <w:rPr>
                <w:color w:val="000000" w:themeColor="text1"/>
                <w:sz w:val="21"/>
                <w:szCs w:val="21"/>
                <w:highlight w:val="none"/>
                <w14:textFill>
                  <w14:solidFill>
                    <w14:schemeClr w14:val="tx1"/>
                  </w14:solidFill>
                </w14:textFill>
              </w:rPr>
              <w:t>规定的其他禁止养殖区域。</w:t>
            </w:r>
          </w:p>
        </w:tc>
        <w:tc>
          <w:tcPr>
            <w:tcW w:w="3027" w:type="dxa"/>
            <w:vAlign w:val="center"/>
          </w:tcPr>
          <w:p w14:paraId="4F10BD3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本项目的选址不属于当地政府划定的</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敏感区</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和</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禁养区</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，不涉及自然保护区、风景名胜区等环境敏感区域。拟建本项目建设布局在设计阶段进行了合理规划，项目的建设符合《畜禽规模养殖污染防治条例》的相关规定。</w:t>
            </w:r>
          </w:p>
        </w:tc>
        <w:tc>
          <w:tcPr>
            <w:tcW w:w="494" w:type="dxa"/>
            <w:vAlign w:val="center"/>
          </w:tcPr>
          <w:p w14:paraId="342BEF9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1BFF87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1" w:hRule="atLeast"/>
        </w:trPr>
        <w:tc>
          <w:tcPr>
            <w:tcW w:w="1319" w:type="dxa"/>
            <w:vAlign w:val="center"/>
          </w:tcPr>
          <w:p w14:paraId="628CF51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《畜禽养殖业污染防治技术规范》（</w:t>
            </w:r>
            <w:r>
              <w:rPr>
                <w:rFonts w:hint="eastAsia"/>
                <w:color w:val="000000" w:themeColor="text1"/>
                <w:sz w:val="21"/>
                <w:szCs w:val="21"/>
                <w:highlight w:val="none"/>
                <w14:textFill>
                  <w14:solidFill>
                    <w14:schemeClr w14:val="tx1"/>
                  </w14:solidFill>
                </w14:textFill>
              </w:rPr>
              <w:t xml:space="preserve">HJ </w:t>
            </w:r>
            <w:r>
              <w:rPr>
                <w:rFonts w:hint="eastAsia"/>
                <w:color w:val="000000" w:themeColor="text1"/>
                <w:sz w:val="21"/>
                <w:szCs w:val="21"/>
                <w:highlight w:val="none"/>
                <w:lang w:val="en-US" w:eastAsia="zh-CN"/>
                <w14:textFill>
                  <w14:solidFill>
                    <w14:schemeClr w14:val="tx1"/>
                  </w14:solidFill>
                </w14:textFill>
              </w:rPr>
              <w:t xml:space="preserve">/T </w:t>
            </w:r>
            <w:r>
              <w:rPr>
                <w:rFonts w:hint="eastAsia"/>
                <w:color w:val="000000" w:themeColor="text1"/>
                <w:sz w:val="21"/>
                <w:szCs w:val="21"/>
                <w:highlight w:val="none"/>
                <w14:textFill>
                  <w14:solidFill>
                    <w14:schemeClr w14:val="tx1"/>
                  </w14:solidFill>
                </w14:textFill>
              </w:rPr>
              <w:t>81-20</w:t>
            </w:r>
            <w:r>
              <w:rPr>
                <w:rFonts w:hint="eastAsia"/>
                <w:color w:val="000000" w:themeColor="text1"/>
                <w:sz w:val="21"/>
                <w:szCs w:val="21"/>
                <w:highlight w:val="none"/>
                <w:lang w:val="en-US" w:eastAsia="zh-CN"/>
                <w14:textFill>
                  <w14:solidFill>
                    <w14:schemeClr w14:val="tx1"/>
                  </w14:solidFill>
                </w14:textFill>
              </w:rPr>
              <w:t>01</w:t>
            </w:r>
            <w:r>
              <w:rPr>
                <w:color w:val="000000" w:themeColor="text1"/>
                <w:sz w:val="21"/>
                <w:szCs w:val="21"/>
                <w:highlight w:val="none"/>
                <w14:textFill>
                  <w14:solidFill>
                    <w14:schemeClr w14:val="tx1"/>
                  </w14:solidFill>
                </w14:textFill>
              </w:rPr>
              <w:t>）</w:t>
            </w:r>
          </w:p>
        </w:tc>
        <w:tc>
          <w:tcPr>
            <w:tcW w:w="3686" w:type="dxa"/>
            <w:vAlign w:val="center"/>
          </w:tcPr>
          <w:p w14:paraId="443F909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禁止在下列区域内建设畜禽养殖场：a.生活饮用水水源保护区，风景名胜区、自然保护区的核心区和缓冲区；b.城市和城镇居民区，包括文教科研区、医疗区、商业区、工业区、游览区等人口集中地区；c.县级人民政府依法划定的禁养区域；d.国家或地方</w:t>
            </w:r>
            <w:r>
              <w:rPr>
                <w:rFonts w:hint="eastAsia"/>
                <w:color w:val="000000" w:themeColor="text1"/>
                <w:sz w:val="21"/>
                <w:szCs w:val="21"/>
                <w:highlight w:val="none"/>
                <w14:textFill>
                  <w14:solidFill>
                    <w14:schemeClr w14:val="tx1"/>
                  </w14:solidFill>
                </w14:textFill>
              </w:rPr>
              <w:t>法律法规</w:t>
            </w:r>
            <w:r>
              <w:rPr>
                <w:color w:val="000000" w:themeColor="text1"/>
                <w:sz w:val="21"/>
                <w:szCs w:val="21"/>
                <w:highlight w:val="none"/>
                <w14:textFill>
                  <w14:solidFill>
                    <w14:schemeClr w14:val="tx1"/>
                  </w14:solidFill>
                </w14:textFill>
              </w:rPr>
              <w:t>规定需特殊保护的其他区域。新建改建、扩建的畜禽养殖场选址应避开以上禁建区域。在禁建区域附近建设的，应设在禁建区域常年主导风向的下风向或侧风向处，场界与禁建区域边界的最小距离不得小于500m。</w:t>
            </w:r>
          </w:p>
        </w:tc>
        <w:tc>
          <w:tcPr>
            <w:tcW w:w="3027" w:type="dxa"/>
            <w:vAlign w:val="center"/>
          </w:tcPr>
          <w:p w14:paraId="4C392BD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项目位于新疆生产建设兵团</w:t>
            </w:r>
            <w:r>
              <w:rPr>
                <w:rFonts w:hint="eastAsia"/>
                <w:color w:val="000000" w:themeColor="text1"/>
                <w:sz w:val="21"/>
                <w:szCs w:val="21"/>
                <w:highlight w:val="none"/>
                <w:lang w:eastAsia="zh-CN"/>
                <w14:textFill>
                  <w14:solidFill>
                    <w14:schemeClr w14:val="tx1"/>
                  </w14:solidFill>
                </w14:textFill>
              </w:rPr>
              <w:t>胡杨河市125团16连</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项目区东侧、西侧、南侧和北侧均为农田</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远离居民区，远离人员流动较大的道路和村庄；项目周边有足够田地，便于养殖废水处理后就近施肥，粪便堆肥处理后还田，有利于该项目污水资源化利用，实现种养结合，发展生态农业。</w:t>
            </w:r>
          </w:p>
        </w:tc>
        <w:tc>
          <w:tcPr>
            <w:tcW w:w="494" w:type="dxa"/>
            <w:vAlign w:val="center"/>
          </w:tcPr>
          <w:p w14:paraId="153D2D6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5B0164F9">
      <w:pPr>
        <w:rPr>
          <w:rFonts w:ascii="宋体" w:hAnsi="宋体" w:eastAsia="宋体" w:cs="宋体"/>
          <w:color w:val="000000" w:themeColor="text1"/>
          <w:sz w:val="24"/>
          <w:szCs w:val="24"/>
          <w:highlight w:val="none"/>
          <w14:textFill>
            <w14:solidFill>
              <w14:schemeClr w14:val="tx1"/>
            </w14:solidFill>
          </w14:textFill>
        </w:rPr>
      </w:pPr>
      <w:r>
        <w:rPr>
          <w:rFonts w:hint="eastAsia"/>
          <w:b/>
          <w:bCs/>
          <w:color w:val="000000" w:themeColor="text1"/>
          <w:highlight w:val="none"/>
          <w14:textFill>
            <w14:solidFill>
              <w14:schemeClr w14:val="tx1"/>
            </w14:solidFill>
          </w14:textFill>
        </w:rPr>
        <w:t>1.3.3.2</w:t>
      </w:r>
      <w:r>
        <w:rPr>
          <w:b/>
          <w:bCs/>
          <w:color w:val="000000" w:themeColor="text1"/>
          <w:highlight w:val="none"/>
          <w14:textFill>
            <w14:solidFill>
              <w14:schemeClr w14:val="tx1"/>
            </w14:solidFill>
          </w14:textFill>
        </w:rPr>
        <w:t>与</w:t>
      </w:r>
      <w:r>
        <w:rPr>
          <w:rFonts w:ascii="宋体" w:hAnsi="宋体" w:eastAsia="宋体" w:cs="宋体"/>
          <w:b/>
          <w:bCs/>
          <w:color w:val="000000" w:themeColor="text1"/>
          <w:spacing w:val="-13"/>
          <w:sz w:val="24"/>
          <w:szCs w:val="24"/>
          <w:highlight w:val="none"/>
          <w14:textFill>
            <w14:solidFill>
              <w14:schemeClr w14:val="tx1"/>
            </w14:solidFill>
          </w14:textFill>
        </w:rPr>
        <w:t>《第七师畜禽养殖禁养区和限养区划定工作实施方</w:t>
      </w:r>
      <w:r>
        <w:rPr>
          <w:rFonts w:ascii="宋体" w:hAnsi="宋体" w:eastAsia="宋体" w:cs="宋体"/>
          <w:b/>
          <w:bCs/>
          <w:color w:val="000000" w:themeColor="text1"/>
          <w:spacing w:val="-14"/>
          <w:sz w:val="24"/>
          <w:szCs w:val="24"/>
          <w:highlight w:val="none"/>
          <w14:textFill>
            <w14:solidFill>
              <w14:schemeClr w14:val="tx1"/>
            </w14:solidFill>
          </w14:textFill>
        </w:rPr>
        <w:t>案》的相符性分析</w:t>
      </w:r>
    </w:p>
    <w:p w14:paraId="1C7EED7F">
      <w:pPr>
        <w:ind w:firstLine="480" w:firstLineChars="20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经查阅《第七师畜禽养殖禁养区和限养区划定工作实施方案》，区域划分</w:t>
      </w:r>
      <w:r>
        <w:rPr>
          <w:rFonts w:hint="eastAsia"/>
          <w:color w:val="000000" w:themeColor="text1"/>
          <w:highlight w:val="none"/>
          <w:lang w:val="en-US" w:eastAsia="zh-CN"/>
          <w14:textFill>
            <w14:solidFill>
              <w14:schemeClr w14:val="tx1"/>
            </w14:solidFill>
          </w14:textFill>
        </w:rPr>
        <w:t>如下：</w:t>
      </w:r>
    </w:p>
    <w:p w14:paraId="02E0E9F5">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（一）禁养区域</w:t>
      </w:r>
    </w:p>
    <w:p w14:paraId="6B21D443">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1.饮用水源保护区</w:t>
      </w:r>
    </w:p>
    <w:p w14:paraId="5676634C">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依据《饮用水水源保护区划分技术规范》（</w:t>
      </w:r>
      <w:r>
        <w:rPr>
          <w:rFonts w:hint="eastAsia"/>
          <w:color w:val="000000" w:themeColor="text1"/>
          <w:highlight w:val="none"/>
          <w:lang w:eastAsia="zh-CN"/>
          <w14:textFill>
            <w14:solidFill>
              <w14:schemeClr w14:val="tx1"/>
            </w14:solidFill>
          </w14:textFill>
        </w:rPr>
        <w:t>HJ 338-2018</w:t>
      </w:r>
      <w:r>
        <w:rPr>
          <w:rFonts w:hint="eastAsia"/>
          <w:color w:val="000000" w:themeColor="text1"/>
          <w:highlight w:val="none"/>
          <w14:textFill>
            <w14:solidFill>
              <w14:schemeClr w14:val="tx1"/>
            </w14:solidFill>
          </w14:textFill>
        </w:rPr>
        <w:t>）要求划分。其中，饮水水源保护一级保护区内禁止建设养殖场。饮用水水源二级保护区禁止建设有污染物排放的养殖场(注：畜禽粪便、养殖废水、沼渣、沼液等经过无害化处理用作肥料还田，符合法律法规要求以及国家和地方相关标准不造成环境污染的，不属于排放污染物)。</w:t>
      </w:r>
    </w:p>
    <w:p w14:paraId="7AA3F298">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七师饮用水水源地保护区划分2个禁养区，一是125团达子庙水源地，约11.7平方千米；二是124团高泉饮用水水源地，约0.027平方千米。</w:t>
      </w:r>
    </w:p>
    <w:p w14:paraId="79185E9A">
      <w:pPr>
        <w:ind w:firstLine="48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根据新兵函</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2017</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（36）号，</w:t>
      </w:r>
      <w:r>
        <w:rPr>
          <w:rFonts w:hint="eastAsia"/>
          <w:color w:val="000000" w:themeColor="text1"/>
          <w:highlight w:val="none"/>
          <w14:textFill>
            <w14:solidFill>
              <w14:schemeClr w14:val="tx1"/>
            </w14:solidFill>
          </w14:textFill>
        </w:rPr>
        <w:t>125团达子庙水源地禁养区四至坐标</w:t>
      </w:r>
      <w:r>
        <w:rPr>
          <w:rFonts w:hint="eastAsia"/>
          <w:color w:val="000000" w:themeColor="text1"/>
          <w:highlight w:val="none"/>
          <w:lang w:eastAsia="zh-CN"/>
          <w14:textFill>
            <w14:solidFill>
              <w14:schemeClr w14:val="tx1"/>
            </w14:solidFill>
          </w14:textFill>
        </w:rPr>
        <w:t>：西北角N44°34</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43</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E84°28</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25</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；西南角N44°30</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59</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E84°27</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27</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；东北角N44°34</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38</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E84</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29</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26</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；东南角N44</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31</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43</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E84</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29</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12</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水源地保护区范围11.7km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p>
    <w:p w14:paraId="74B64594">
      <w:pPr>
        <w:ind w:firstLine="480" w:firstLineChars="20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2.自然保护区</w:t>
      </w:r>
    </w:p>
    <w:p w14:paraId="7F68BBCE">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按照各级人民政府公布的自然保护区范围执行，自然保护区核心区和缓冲区、实验区范围内，禁止建设养殖场。</w:t>
      </w:r>
    </w:p>
    <w:p w14:paraId="204C4A07">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七师奎屯河湿地自然保护区范围为禁养区范围。</w:t>
      </w:r>
    </w:p>
    <w:p w14:paraId="0C070DC0">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3.城镇居民区</w:t>
      </w:r>
    </w:p>
    <w:p w14:paraId="440FAEC0">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结合七师天北新区城镇总体规划（2004-2030年）和123团、124团、125团、126团、127团、128团、129团、胡杨河市、137团、1团共10个团场的城镇总体规划，确定七师城镇居民区禁养区总面积约145.295平方千米，其中天北新区38平方千米、123团11.59平方千米、124团2.37平方千米、125团8.84平方千米、126团3.87平方千米、127团2.82平方千米、128团2.36平方千米、129团3.045平方千米、胡杨河市57.15平方千米、137团3.25平方千米、1团12.0平方千米。</w:t>
      </w:r>
    </w:p>
    <w:p w14:paraId="3E3A8A44">
      <w:pPr>
        <w:ind w:firstLine="48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根据师建发</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2014</w:t>
      </w: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（101）号，125团</w:t>
      </w:r>
      <w:r>
        <w:rPr>
          <w:rFonts w:hint="eastAsia"/>
          <w:color w:val="000000" w:themeColor="text1"/>
          <w:highlight w:val="none"/>
          <w14:textFill>
            <w14:solidFill>
              <w14:schemeClr w14:val="tx1"/>
            </w14:solidFill>
          </w14:textFill>
        </w:rPr>
        <w:t>城镇居民区</w:t>
      </w:r>
      <w:r>
        <w:rPr>
          <w:rFonts w:hint="eastAsia"/>
          <w:color w:val="000000" w:themeColor="text1"/>
          <w:highlight w:val="none"/>
          <w:lang w:val="en-US" w:eastAsia="zh-CN"/>
          <w14:textFill>
            <w14:solidFill>
              <w14:schemeClr w14:val="tx1"/>
            </w14:solidFill>
          </w14:textFill>
        </w:rPr>
        <w:t>禁养区位置为团部东至东环路西侧，南至现状轧花厂370米处，西至十二连职工点小康路东侧，北至气化塘以北420米处。禁养区面积8.84km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p>
    <w:p w14:paraId="3D444503">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4.法律法规规定的其他禁止建设养殖场的区域</w:t>
      </w:r>
    </w:p>
    <w:p w14:paraId="721E4EA9">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途径七师各团场城镇居民区范围的省级以上道路</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217国道、312国道、314国道、青北公路、前高公路、奎伊铁路等道路两侧外延500米范围均为禁养区。</w:t>
      </w:r>
    </w:p>
    <w:p w14:paraId="78CA2EFE">
      <w:pPr>
        <w:ind w:firstLine="480" w:firstLineChars="20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（二）限养区域</w:t>
      </w:r>
    </w:p>
    <w:p w14:paraId="7A10C7F9">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将七师123团、124团、125团、126团、127团、128团、129团、胡杨河市、137团、1团共10个城镇居民区禁养区外延500米范围内的区域划为限养区。</w:t>
      </w:r>
    </w:p>
    <w:p w14:paraId="72E253F6">
      <w:pPr>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本项目区位于第七师125团</w:t>
      </w:r>
      <w:r>
        <w:rPr>
          <w:rFonts w:hint="eastAsia"/>
          <w:color w:val="000000" w:themeColor="text1"/>
          <w:highlight w:val="none"/>
          <w:lang w:val="en-US" w:eastAsia="zh-CN"/>
          <w14:textFill>
            <w14:solidFill>
              <w14:schemeClr w14:val="tx1"/>
            </w14:solidFill>
          </w14:textFill>
        </w:rPr>
        <w:t>16连</w:t>
      </w:r>
      <w:r>
        <w:rPr>
          <w:rFonts w:hint="eastAsia"/>
          <w:color w:val="000000" w:themeColor="text1"/>
          <w:highlight w:val="none"/>
          <w14:textFill>
            <w14:solidFill>
              <w14:schemeClr w14:val="tx1"/>
            </w14:solidFill>
          </w14:textFill>
        </w:rPr>
        <w:t>，地理位置坐标为：</w:t>
      </w:r>
      <w:r>
        <w:rPr>
          <w:rFonts w:hint="eastAsia"/>
          <w:color w:val="000000" w:themeColor="text1"/>
          <w:highlight w:val="none"/>
          <w:lang w:eastAsia="zh-CN"/>
          <w14:textFill>
            <w14:solidFill>
              <w14:schemeClr w14:val="tx1"/>
            </w14:solidFill>
          </w14:textFill>
        </w:rPr>
        <w:t>E：84°32′1.246″,N：44°50′21.945″</w:t>
      </w:r>
      <w:r>
        <w:rPr>
          <w:rFonts w:hint="eastAsia"/>
          <w:color w:val="000000" w:themeColor="text1"/>
          <w:highlight w:val="none"/>
          <w14:textFill>
            <w14:solidFill>
              <w14:schemeClr w14:val="tx1"/>
            </w14:solidFill>
          </w14:textFill>
        </w:rPr>
        <w:t>，项目区不在125团禁养区和限养区内。项目区符合《第七师畜禽养殖禁养区和限养区划定工作实施方案》。</w:t>
      </w:r>
    </w:p>
    <w:p w14:paraId="2AD04A3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综上所述，本项目的选址合理。</w:t>
      </w:r>
    </w:p>
    <w:p w14:paraId="4906E547">
      <w:pPr>
        <w:pStyle w:val="4"/>
        <w:rPr>
          <w:color w:val="000000" w:themeColor="text1"/>
          <w:highlight w:val="none"/>
          <w14:textFill>
            <w14:solidFill>
              <w14:schemeClr w14:val="tx1"/>
            </w14:solidFill>
          </w14:textFill>
        </w:rPr>
      </w:pPr>
      <w:bookmarkStart w:id="12" w:name="_Toc18218"/>
      <w:r>
        <w:rPr>
          <w:color w:val="000000" w:themeColor="text1"/>
          <w:highlight w:val="none"/>
          <w14:textFill>
            <w14:solidFill>
              <w14:schemeClr w14:val="tx1"/>
            </w14:solidFill>
          </w14:textFill>
        </w:rPr>
        <w:t>1.3.4</w:t>
      </w:r>
      <w:r>
        <w:rPr>
          <w:rFonts w:hint="eastAsia"/>
          <w:color w:val="000000" w:themeColor="text1"/>
          <w:highlight w:val="none"/>
          <w14:textFill>
            <w14:solidFill>
              <w14:schemeClr w14:val="tx1"/>
            </w14:solidFill>
          </w14:textFill>
        </w:rPr>
        <w:t>环境承载力分析</w:t>
      </w:r>
      <w:bookmarkEnd w:id="12"/>
    </w:p>
    <w:p w14:paraId="0B70A33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项目的废气主要为</w:t>
      </w:r>
      <w:r>
        <w:rPr>
          <w:rFonts w:hint="eastAsia"/>
          <w:color w:val="000000" w:themeColor="text1"/>
          <w:highlight w:val="none"/>
          <w:lang w:val="en-US" w:eastAsia="zh-CN"/>
          <w14:textFill>
            <w14:solidFill>
              <w14:schemeClr w14:val="tx1"/>
            </w14:solidFill>
          </w14:textFill>
        </w:rPr>
        <w:t>饲料加工、</w:t>
      </w:r>
      <w:r>
        <w:rPr>
          <w:rFonts w:hint="eastAsia"/>
          <w:color w:val="000000" w:themeColor="text1"/>
          <w:highlight w:val="none"/>
          <w14:textFill>
            <w14:solidFill>
              <w14:schemeClr w14:val="tx1"/>
            </w14:solidFill>
          </w14:textFill>
        </w:rPr>
        <w:t>圈舍、黑膜池、干湿分离车间、堆粪场等产生的恶臭，主要污染因子为</w:t>
      </w:r>
      <w:r>
        <w:rPr>
          <w:rFonts w:hint="eastAsia"/>
          <w:color w:val="000000" w:themeColor="text1"/>
          <w:highlight w:val="none"/>
          <w:lang w:val="en-US" w:eastAsia="zh-CN"/>
          <w14:textFill>
            <w14:solidFill>
              <w14:schemeClr w14:val="tx1"/>
            </w14:solidFill>
          </w14:textFill>
        </w:rPr>
        <w:t>TSP、</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、臭</w:t>
      </w:r>
      <w:r>
        <w:rPr>
          <w:rFonts w:hint="eastAsia"/>
          <w:color w:val="000000" w:themeColor="text1"/>
          <w:highlight w:val="none"/>
          <w:lang w:val="en-US" w:eastAsia="zh-CN"/>
          <w14:textFill>
            <w14:solidFill>
              <w14:schemeClr w14:val="tx1"/>
            </w14:solidFill>
          </w14:textFill>
        </w:rPr>
        <w:t>气</w:t>
      </w:r>
      <w:r>
        <w:rPr>
          <w:rFonts w:hint="eastAsia"/>
          <w:color w:val="000000" w:themeColor="text1"/>
          <w:highlight w:val="none"/>
          <w14:textFill>
            <w14:solidFill>
              <w14:schemeClr w14:val="tx1"/>
            </w14:solidFill>
          </w14:textFill>
        </w:rPr>
        <w:t>浓度；经预测，正常工况下本项目排放的废气污染物对项目区域环境空气质量影响不大。</w:t>
      </w:r>
    </w:p>
    <w:p w14:paraId="5E8E5337">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产生的废水由场区黑膜池处理，出水为优质有机液肥，全部用于项目区周边农田施肥灌溉利用。本项目选取低噪声设备，采取机械设备基础减振、吸声、隔声、消声及进出风口接软头等措施，圈舍墙体隔音、高噪声设备采取有效隔声措施；合理布局车道行驶路线，控制车速、禁鸣喇叭等，厂界噪声可达标排放。</w:t>
      </w:r>
    </w:p>
    <w:p w14:paraId="6A809954">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本项目由干湿分离车间分离出的干粪便在</w:t>
      </w:r>
      <w:r>
        <w:rPr>
          <w:rFonts w:hint="eastAsia"/>
          <w:color w:val="000000" w:themeColor="text1"/>
          <w:highlight w:val="none"/>
          <w:lang w:eastAsia="zh-CN"/>
          <w14:textFill>
            <w14:solidFill>
              <w14:schemeClr w14:val="tx1"/>
            </w14:solidFill>
          </w14:textFill>
        </w:rPr>
        <w:t>堆粪池</w:t>
      </w:r>
      <w:r>
        <w:rPr>
          <w:rFonts w:hint="eastAsia"/>
          <w:color w:val="000000" w:themeColor="text1"/>
          <w:highlight w:val="none"/>
          <w14:textFill>
            <w14:solidFill>
              <w14:schemeClr w14:val="tx1"/>
            </w14:solidFill>
          </w14:textFill>
        </w:rPr>
        <w:t>进行堆肥腐熟后与黑膜池清理</w:t>
      </w:r>
      <w:r>
        <w:rPr>
          <w:rFonts w:hint="eastAsia"/>
          <w:color w:val="000000" w:themeColor="text1"/>
          <w:highlight w:val="none"/>
          <w:lang w:eastAsia="zh-CN"/>
          <w14:textFill>
            <w14:solidFill>
              <w14:schemeClr w14:val="tx1"/>
            </w14:solidFill>
          </w14:textFill>
        </w:rPr>
        <w:t>沼渣</w:t>
      </w:r>
      <w:r>
        <w:rPr>
          <w:rFonts w:hint="eastAsia"/>
          <w:color w:val="000000" w:themeColor="text1"/>
          <w:highlight w:val="none"/>
          <w14:textFill>
            <w14:solidFill>
              <w14:schemeClr w14:val="tx1"/>
            </w14:solidFill>
          </w14:textFill>
        </w:rPr>
        <w:t>一同作为优质农肥还田；生活垃圾由当地环卫部门清运处理；</w:t>
      </w:r>
      <w:r>
        <w:rPr>
          <w:rFonts w:hint="eastAsia"/>
          <w:color w:val="000000" w:themeColor="text1"/>
          <w:highlight w:val="none"/>
          <w:lang w:eastAsia="zh-CN"/>
          <w14:textFill>
            <w14:solidFill>
              <w14:schemeClr w14:val="tx1"/>
            </w14:solidFill>
          </w14:textFill>
        </w:rPr>
        <w:t>病死猪、胎衣</w:t>
      </w:r>
      <w:r>
        <w:rPr>
          <w:rFonts w:hint="eastAsia"/>
          <w:color w:val="000000" w:themeColor="text1"/>
          <w:highlight w:val="none"/>
          <w:lang w:val="en-US" w:eastAsia="zh-CN"/>
          <w14:textFill>
            <w14:solidFill>
              <w14:schemeClr w14:val="tx1"/>
            </w14:solidFill>
          </w14:textFill>
        </w:rPr>
        <w:t>委托有资质单位</w:t>
      </w:r>
      <w:r>
        <w:rPr>
          <w:rFonts w:hint="eastAsia"/>
          <w:color w:val="000000" w:themeColor="text1"/>
          <w:highlight w:val="none"/>
          <w14:textFill>
            <w14:solidFill>
              <w14:schemeClr w14:val="tx1"/>
            </w14:solidFill>
          </w14:textFill>
        </w:rPr>
        <w:t>进行无害化处理。本项目产生少量的废弃卫生检疫用品暂存于场区内</w:t>
      </w:r>
      <w:r>
        <w:rPr>
          <w:rFonts w:hint="eastAsia"/>
          <w:color w:val="000000" w:themeColor="text1"/>
          <w:highlight w:val="none"/>
          <w:lang w:eastAsia="zh-CN"/>
          <w14:textFill>
            <w14:solidFill>
              <w14:schemeClr w14:val="tx1"/>
            </w14:solidFill>
          </w14:textFill>
        </w:rPr>
        <w:t>危废暂存间</w:t>
      </w:r>
      <w:r>
        <w:rPr>
          <w:rFonts w:hint="eastAsia"/>
          <w:color w:val="000000" w:themeColor="text1"/>
          <w:highlight w:val="none"/>
          <w14:textFill>
            <w14:solidFill>
              <w14:schemeClr w14:val="tx1"/>
            </w14:solidFill>
          </w14:textFill>
        </w:rPr>
        <w:t>，委托有危废处理资质的单位定期清运处置。</w:t>
      </w:r>
    </w:p>
    <w:p w14:paraId="5941798F">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经预测，在保证生产工况正常，环保设施正常运行的情况下，项目生产对周边环境质量影响较小，区域环境仍可保持现有功能水平，符合区域资源承载力，生态资源承载力及环境保护目标要求。</w:t>
      </w:r>
    </w:p>
    <w:p w14:paraId="3EC342B0">
      <w:pPr>
        <w:pStyle w:val="4"/>
        <w:rPr>
          <w:color w:val="000000" w:themeColor="text1"/>
          <w:highlight w:val="none"/>
          <w14:textFill>
            <w14:solidFill>
              <w14:schemeClr w14:val="tx1"/>
            </w14:solidFill>
          </w14:textFill>
        </w:rPr>
      </w:pPr>
      <w:bookmarkStart w:id="13" w:name="_Toc27494"/>
      <w:r>
        <w:rPr>
          <w:color w:val="000000" w:themeColor="text1"/>
          <w:highlight w:val="none"/>
          <w14:textFill>
            <w14:solidFill>
              <w14:schemeClr w14:val="tx1"/>
            </w14:solidFill>
          </w14:textFill>
        </w:rPr>
        <w:t>1.3.5</w:t>
      </w:r>
      <w:r>
        <w:rPr>
          <w:rFonts w:hint="eastAsia"/>
          <w:color w:val="000000" w:themeColor="text1"/>
          <w:highlight w:val="none"/>
          <w14:textFill>
            <w14:solidFill>
              <w14:schemeClr w14:val="tx1"/>
            </w14:solidFill>
          </w14:textFill>
        </w:rPr>
        <w:t>三线一单符合性</w:t>
      </w:r>
      <w:bookmarkEnd w:id="13"/>
    </w:p>
    <w:p w14:paraId="211216BB">
      <w:pPr>
        <w:ind w:left="240" w:leftChars="100" w:firstLine="240" w:firstLineChars="1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根据《关于以改善环境质量为核心加强环境影响评价管理的通知》（环评〔</w:t>
      </w:r>
      <w:r>
        <w:rPr>
          <w:color w:val="000000" w:themeColor="text1"/>
          <w:highlight w:val="none"/>
          <w14:textFill>
            <w14:solidFill>
              <w14:schemeClr w14:val="tx1"/>
            </w14:solidFill>
          </w14:textFill>
        </w:rPr>
        <w:t>2016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150</w:t>
      </w:r>
      <w:r>
        <w:rPr>
          <w:rFonts w:hint="eastAsia"/>
          <w:color w:val="000000" w:themeColor="text1"/>
          <w:highlight w:val="none"/>
          <w14:textFill>
            <w14:solidFill>
              <w14:schemeClr w14:val="tx1"/>
            </w14:solidFill>
          </w14:textFill>
        </w:rPr>
        <w:t>号）：为适应以改善环境质量为核心的环境管理要求，切实加强环境影响评价（以下简称环评）管理，落实“生态保护红线、环境质量底线、资源利用上线和环境准入负面清单”（以下简称“三线一单”）约束。</w:t>
      </w:r>
    </w:p>
    <w:p w14:paraId="2C48299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）生态保护红线</w:t>
      </w:r>
    </w:p>
    <w:p w14:paraId="45DDD5B5">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项目位于新疆</w:t>
      </w:r>
      <w:r>
        <w:rPr>
          <w:rFonts w:hint="eastAsia"/>
          <w:color w:val="000000" w:themeColor="text1"/>
          <w:highlight w:val="none"/>
          <w:lang w:eastAsia="zh-CN"/>
          <w14:textFill>
            <w14:solidFill>
              <w14:schemeClr w14:val="tx1"/>
            </w14:solidFill>
          </w14:textFill>
        </w:rPr>
        <w:t>第七师胡杨河市125团</w:t>
      </w:r>
      <w:r>
        <w:rPr>
          <w:rFonts w:hint="eastAsia"/>
          <w:color w:val="000000" w:themeColor="text1"/>
          <w:highlight w:val="none"/>
          <w14:textFill>
            <w14:solidFill>
              <w14:schemeClr w14:val="tx1"/>
            </w14:solidFill>
          </w14:textFill>
        </w:rPr>
        <w:t>管控区内，环境管控单元编码为</w:t>
      </w:r>
      <w:r>
        <w:rPr>
          <w:rFonts w:hint="eastAsia"/>
          <w:color w:val="000000" w:themeColor="text1"/>
          <w:highlight w:val="none"/>
          <w:lang w:eastAsia="zh-CN"/>
          <w14:textFill>
            <w14:solidFill>
              <w14:schemeClr w14:val="tx1"/>
            </w14:solidFill>
          </w14:textFill>
        </w:rPr>
        <w:t>ZH65770330001</w:t>
      </w:r>
      <w:r>
        <w:rPr>
          <w:rFonts w:hint="eastAsia"/>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一般</w:t>
      </w:r>
      <w:r>
        <w:rPr>
          <w:rFonts w:hint="eastAsia"/>
          <w:color w:val="000000" w:themeColor="text1"/>
          <w:highlight w:val="none"/>
          <w14:textFill>
            <w14:solidFill>
              <w14:schemeClr w14:val="tx1"/>
            </w14:solidFill>
          </w14:textFill>
        </w:rPr>
        <w:t>管控单元。经核实，项目区周围无自然保护区、饮用水源保护区等生态保护目标，符合生态红线保护要求，</w:t>
      </w:r>
      <w:r>
        <w:rPr>
          <w:rFonts w:hint="eastAsia"/>
          <w:color w:val="000000" w:themeColor="text1"/>
          <w:highlight w:val="none"/>
          <w:lang w:val="en-US" w:eastAsia="zh-CN"/>
          <w14:textFill>
            <w14:solidFill>
              <w14:schemeClr w14:val="tx1"/>
            </w14:solidFill>
          </w14:textFill>
        </w:rPr>
        <w:t>不在</w:t>
      </w:r>
      <w:r>
        <w:rPr>
          <w:rFonts w:hint="eastAsia"/>
          <w:color w:val="000000" w:themeColor="text1"/>
          <w:highlight w:val="none"/>
          <w14:textFill>
            <w14:solidFill>
              <w14:schemeClr w14:val="tx1"/>
            </w14:solidFill>
          </w14:textFill>
        </w:rPr>
        <w:t>禁养区和限养区划分范围内，不会导致辖区内生态服务功能下降。</w:t>
      </w:r>
    </w:p>
    <w:p w14:paraId="5602CE8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 xml:space="preserve">）环境质量底线 </w:t>
      </w:r>
    </w:p>
    <w:p w14:paraId="1331731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环境质量底线是国家和地方设置的大气、水和土壤环境质量目标，也是改善环境质量的基准线。根据目前区域环境质量状况及生态环境保护总体目标提出本项目环境空气目标、水环境质量目标、环境噪声质量目标。</w:t>
      </w:r>
    </w:p>
    <w:p w14:paraId="1056FA6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①环境空气：根据大气环境现状调查，项目区属于大气达标区，根据环境空气现状监测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本项目特征污染物</w:t>
      </w:r>
      <w:r>
        <w:rPr>
          <w:rFonts w:hint="eastAsia"/>
          <w:color w:val="000000" w:themeColor="text1"/>
          <w:highlight w:val="none"/>
          <w:lang w:val="en-US" w:eastAsia="zh-CN"/>
          <w14:textFill>
            <w14:solidFill>
              <w14:schemeClr w14:val="tx1"/>
            </w14:solidFill>
          </w14:textFill>
        </w:rPr>
        <w:t>TSP、</w:t>
      </w:r>
      <w:r>
        <w:rPr>
          <w:rFonts w:hint="eastAsia"/>
          <w:color w:val="000000" w:themeColor="text1"/>
          <w:highlight w:val="none"/>
          <w14:textFill>
            <w14:solidFill>
              <w14:schemeClr w14:val="tx1"/>
            </w14:solidFill>
          </w14:textFill>
        </w:rPr>
        <w:t>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硫化氢</w:t>
      </w:r>
      <w:r>
        <w:rPr>
          <w:rFonts w:hint="eastAsia"/>
          <w:color w:val="000000" w:themeColor="text1"/>
          <w:highlight w:val="none"/>
          <w:lang w:val="en-US" w:eastAsia="zh-CN"/>
          <w14:textFill>
            <w14:solidFill>
              <w14:schemeClr w14:val="tx1"/>
            </w14:solidFill>
          </w14:textFill>
        </w:rPr>
        <w:t>和臭气浓度</w:t>
      </w:r>
      <w:r>
        <w:rPr>
          <w:rFonts w:hint="eastAsia"/>
          <w:color w:val="000000" w:themeColor="text1"/>
          <w:highlight w:val="none"/>
          <w14:textFill>
            <w14:solidFill>
              <w14:schemeClr w14:val="tx1"/>
            </w14:solidFill>
          </w14:textFill>
        </w:rPr>
        <w:t>均达标。</w:t>
      </w:r>
    </w:p>
    <w:p w14:paraId="3899D622">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②水环境：项目生产及生活污水经场区内黑膜池处理后作为优质有机液态肥全部还田，项目废水与地表水无直接联系。根据地下水环境现状监测，项目地下水符合《地下水质量标准》（</w:t>
      </w:r>
      <w:r>
        <w:rPr>
          <w:color w:val="000000" w:themeColor="text1"/>
          <w:highlight w:val="none"/>
          <w14:textFill>
            <w14:solidFill>
              <w14:schemeClr w14:val="tx1"/>
            </w14:solidFill>
          </w14:textFill>
        </w:rPr>
        <w:t>GB/T14848-2017</w:t>
      </w:r>
      <w:r>
        <w:rPr>
          <w:rFonts w:hint="eastAsia"/>
          <w:color w:val="000000" w:themeColor="text1"/>
          <w:highlight w:val="none"/>
          <w14:textFill>
            <w14:solidFill>
              <w14:schemeClr w14:val="tx1"/>
            </w14:solidFill>
          </w14:textFill>
        </w:rPr>
        <w:t xml:space="preserve">）中Ⅲ类标准。 </w:t>
      </w:r>
    </w:p>
    <w:p w14:paraId="03D2750B">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③噪声：根据声环境现状监测，项目周边声环境满足《声环境质量标准》 （</w:t>
      </w:r>
      <w:r>
        <w:rPr>
          <w:color w:val="000000" w:themeColor="text1"/>
          <w:highlight w:val="none"/>
          <w14:textFill>
            <w14:solidFill>
              <w14:schemeClr w14:val="tx1"/>
            </w14:solidFill>
          </w14:textFill>
        </w:rPr>
        <w:t>GB3096-2008</w:t>
      </w:r>
      <w:r>
        <w:rPr>
          <w:rFonts w:hint="eastAsia"/>
          <w:color w:val="000000" w:themeColor="text1"/>
          <w:highlight w:val="none"/>
          <w14:textFill>
            <w14:solidFill>
              <w14:schemeClr w14:val="tx1"/>
            </w14:solidFill>
          </w14:textFill>
        </w:rPr>
        <w:t>）中</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 xml:space="preserve">类标准。 </w:t>
      </w:r>
    </w:p>
    <w:p w14:paraId="2EC9E5F5">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本项目恶臭经过除臭措施处理，对周边环境影响很小；废水、猪粪和猪尿在场区处理后资源利用；</w:t>
      </w:r>
      <w:r>
        <w:rPr>
          <w:rFonts w:hint="eastAsia"/>
          <w:color w:val="000000" w:themeColor="text1"/>
          <w:highlight w:val="none"/>
          <w:lang w:eastAsia="zh-CN"/>
          <w14:textFill>
            <w14:solidFill>
              <w14:schemeClr w14:val="tx1"/>
            </w14:solidFill>
          </w14:textFill>
        </w:rPr>
        <w:t>病死猪、胎衣</w:t>
      </w:r>
      <w:r>
        <w:rPr>
          <w:rFonts w:hint="eastAsia"/>
          <w:color w:val="000000" w:themeColor="text1"/>
          <w:highlight w:val="none"/>
          <w14:textFill>
            <w14:solidFill>
              <w14:schemeClr w14:val="tx1"/>
            </w14:solidFill>
          </w14:textFill>
        </w:rPr>
        <w:t xml:space="preserve">委托有资质单位处理，少量卫生检疫医疗垃圾暂存于项目区危废间，定期交由有危废处理资质的单位处理，项目对产生的污染物采取相应的措施后，对周边环境影响很小，满足环境质量底线要求。 </w:t>
      </w:r>
    </w:p>
    <w:p w14:paraId="5E25D37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 xml:space="preserve">）资源利用上线 </w:t>
      </w:r>
    </w:p>
    <w:p w14:paraId="0F995F87">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本项目运营中会消耗一定量的水、电等。项目用水由</w:t>
      </w:r>
      <w:r>
        <w:rPr>
          <w:rFonts w:hint="eastAsia"/>
          <w:color w:val="000000" w:themeColor="text1"/>
          <w:highlight w:val="none"/>
          <w:lang w:val="en-US" w:eastAsia="zh-CN"/>
          <w14:textFill>
            <w14:solidFill>
              <w14:schemeClr w14:val="tx1"/>
            </w14:solidFill>
          </w14:textFill>
        </w:rPr>
        <w:t>地下水井</w:t>
      </w:r>
      <w:r>
        <w:rPr>
          <w:rFonts w:hint="eastAsia"/>
          <w:color w:val="000000" w:themeColor="text1"/>
          <w:highlight w:val="none"/>
          <w14:textFill>
            <w14:solidFill>
              <w14:schemeClr w14:val="tx1"/>
            </w14:solidFill>
          </w14:textFill>
        </w:rPr>
        <w:t>供应，可满足本项目的用水要求。用电由当地供电电网供应，能够满足本项目的用电要求。项目黑膜池出水达标后，作为优质液体肥全部还田，项目资源消耗量相对区域资源利用总量不大，符合资源利用上线要求。</w:t>
      </w:r>
    </w:p>
    <w:p w14:paraId="7D09FDB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4）生态环境准入清单</w:t>
      </w:r>
    </w:p>
    <w:p w14:paraId="19E0282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本项目为牲畜养殖项目，根据《新疆维吾尔自治区28个国家重点生态功能区县（市）产业准入负面清单（试行）</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新疆维吾尔自治区17个新增纳入国家重点生态功能区县（市）产业准入负面清单（试行）》，本项目不属于限制类和禁止类产业，项目建设符合要求。对比《</w:t>
      </w:r>
      <w:r>
        <w:rPr>
          <w:rFonts w:hint="eastAsia"/>
          <w:color w:val="000000" w:themeColor="text1"/>
          <w:highlight w:val="none"/>
          <w:lang w:eastAsia="zh-CN"/>
          <w14:textFill>
            <w14:solidFill>
              <w14:schemeClr w14:val="tx1"/>
            </w14:solidFill>
          </w14:textFill>
        </w:rPr>
        <w:t>第七师胡杨河市</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生态环境分区管控方案》，本项目位于一般管控单元。本项目在</w:t>
      </w:r>
      <w:r>
        <w:rPr>
          <w:rFonts w:hint="eastAsia"/>
          <w:color w:val="000000" w:themeColor="text1"/>
          <w:highlight w:val="none"/>
          <w:lang w:eastAsia="zh-CN"/>
          <w14:textFill>
            <w14:solidFill>
              <w14:schemeClr w14:val="tx1"/>
            </w14:solidFill>
          </w14:textFill>
        </w:rPr>
        <w:t>第七师胡杨河市</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生态环境分区管控图中的位置见</w:t>
      </w:r>
      <w:r>
        <w:rPr>
          <w:rFonts w:hint="eastAsia"/>
          <w:color w:val="000000" w:themeColor="text1"/>
          <w:highlight w:val="none"/>
          <w:lang w:val="en-US" w:eastAsia="zh-CN"/>
          <w14:textFill>
            <w14:solidFill>
              <w14:schemeClr w14:val="tx1"/>
            </w14:solidFill>
          </w14:textFill>
        </w:rPr>
        <w:t>附</w:t>
      </w:r>
      <w:r>
        <w:rPr>
          <w:color w:val="000000" w:themeColor="text1"/>
          <w:highlight w:val="none"/>
          <w14:textFill>
            <w14:solidFill>
              <w14:schemeClr w14:val="tx1"/>
            </w14:solidFill>
          </w14:textFill>
        </w:rPr>
        <w:t>图1.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-1。</w:t>
      </w:r>
    </w:p>
    <w:p w14:paraId="6991F44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本项目与《</w:t>
      </w:r>
      <w:r>
        <w:rPr>
          <w:rFonts w:hint="eastAsia"/>
          <w:color w:val="000000" w:themeColor="text1"/>
          <w:highlight w:val="none"/>
          <w:lang w:eastAsia="zh-CN"/>
          <w14:textFill>
            <w14:solidFill>
              <w14:schemeClr w14:val="tx1"/>
            </w14:solidFill>
          </w14:textFill>
        </w:rPr>
        <w:t>第七师胡杨河市</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三线一单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生态环境分区管控方案》生态环境准入清单相符性见表</w:t>
      </w:r>
      <w:r>
        <w:rPr>
          <w:rFonts w:hint="eastAsia"/>
          <w:color w:val="000000" w:themeColor="text1"/>
          <w:highlight w:val="none"/>
          <w14:textFill>
            <w14:solidFill>
              <w14:schemeClr w14:val="tx1"/>
            </w14:solidFill>
          </w14:textFill>
        </w:rPr>
        <w:t>1.3-1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mc:AlternateContent>
          <mc:Choice Requires="wps">
            <w:drawing>
              <wp:anchor distT="0" distB="0" distL="114300" distR="114300" simplePos="0" relativeHeight="251691008" behindDoc="0" locked="0" layoutInCell="0" allowOverlap="1">
                <wp:simplePos x="0" y="0"/>
                <wp:positionH relativeFrom="page">
                  <wp:posOffset>914400</wp:posOffset>
                </wp:positionH>
                <wp:positionV relativeFrom="page">
                  <wp:posOffset>752475</wp:posOffset>
                </wp:positionV>
                <wp:extent cx="8861425" cy="9525"/>
                <wp:effectExtent l="0" t="0" r="0" b="0"/>
                <wp:wrapNone/>
                <wp:docPr id="92" name="任意多边形 92"/>
                <wp:cNvGraphicFramePr/>
                <a:graphic xmlns:a="http://schemas.openxmlformats.org/drawingml/2006/main">
                  <a:graphicData uri="http://schemas.microsoft.com/office/word/2010/wordprocessingShape">
                    <wps:wsp>
                      <wps:cNvSpPr/>
                      <wps:spPr>
                        <a:xfrm>
                          <a:off x="0" y="0"/>
                          <a:ext cx="8861425" cy="9525"/>
                        </a:xfrm>
                        <a:custGeom>
                          <a:avLst/>
                          <a:gdLst/>
                          <a:ahLst/>
                          <a:cxnLst/>
                          <a:rect l="0" t="0" r="0" b="0"/>
                          <a:pathLst>
                            <a:path w="13955" h="15">
                              <a:moveTo>
                                <a:pt x="0" y="0"/>
                              </a:moveTo>
                              <a:lnTo>
                                <a:pt x="13954" y="0"/>
                              </a:lnTo>
                              <a:lnTo>
                                <a:pt x="13954" y="14"/>
                              </a:lnTo>
                              <a:lnTo>
                                <a:pt x="0" y="14"/>
                              </a:lnTo>
                              <a:lnTo>
                                <a:pt x="0" y="0"/>
                              </a:lnTo>
                              <a:close/>
                            </a:path>
                          </a:pathLst>
                        </a:custGeom>
                        <a:solidFill>
                          <a:srgbClr val="622423"/>
                        </a:solidFill>
                        <a:ln>
                          <a:noFill/>
                        </a:ln>
                      </wps:spPr>
                      <wps:bodyPr upright="1"/>
                    </wps:wsp>
                  </a:graphicData>
                </a:graphic>
              </wp:anchor>
            </w:drawing>
          </mc:Choice>
          <mc:Fallback>
            <w:pict>
              <v:shape id="_x0000_s1026" o:spid="_x0000_s1026" o:spt="100" style="position:absolute;left:0pt;margin-left:72pt;margin-top:59.25pt;height:0.75pt;width:697.75pt;mso-position-horizontal-relative:page;mso-position-vertical-relative:page;z-index:251691008;mso-width-relative:page;mso-height-relative:page;" fillcolor="#622423" filled="t" stroked="f" coordsize="13955,15" o:allowincell="f" o:gfxdata="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6gxI31gAA&#10;AAwBAAAPAAAAAAAAAAEAIAAAACIAAABkcnMvZG93bnJldi54bWxQSwECFAAUAAAACACHTuJAJWDk&#10;rCACAAChBAAADgAAAAAAAAABACAAAAAlAQAAZHJzL2Uyb0RvYy54bWxQSwUGAAAAAAYABgBZAQAA&#10;twUAAAAA&#10;" path="m0,0l13954,0,13954,14,0,14,0,0xe">
                <v:fill on="t" focussize="0,0"/>
                <v:stroke on="f"/>
                <v:imagedata o:title=""/>
                <o:lock v:ext="edit" aspectratio="f"/>
              </v:shape>
            </w:pict>
          </mc:Fallback>
        </mc:AlternateContent>
      </w:r>
    </w:p>
    <w:p w14:paraId="27F41D0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1.3-1</w:t>
      </w:r>
      <w:r>
        <w:rPr>
          <w:rFonts w:hint="eastAsia"/>
          <w:b/>
          <w:bCs/>
          <w:color w:val="000000" w:themeColor="text1"/>
          <w:sz w:val="21"/>
          <w:szCs w:val="21"/>
          <w:highlight w:val="none"/>
          <w:lang w:val="en-US" w:eastAsia="zh-CN"/>
          <w14:textFill>
            <w14:solidFill>
              <w14:schemeClr w14:val="tx1"/>
            </w14:solidFill>
          </w14:textFill>
        </w:rPr>
        <w:t>3</w:t>
      </w:r>
      <w:r>
        <w:rPr>
          <w:b/>
          <w:bCs/>
          <w:color w:val="000000" w:themeColor="text1"/>
          <w:sz w:val="21"/>
          <w:szCs w:val="21"/>
          <w:highlight w:val="none"/>
          <w14:textFill>
            <w14:solidFill>
              <w14:schemeClr w14:val="tx1"/>
            </w14:solidFill>
          </w14:textFill>
        </w:rPr>
        <w:t xml:space="preserve">  与</w:t>
      </w:r>
      <w:r>
        <w:rPr>
          <w:rFonts w:hint="eastAsia"/>
          <w:b/>
          <w:bCs/>
          <w:color w:val="000000" w:themeColor="text1"/>
          <w:sz w:val="21"/>
          <w:szCs w:val="21"/>
          <w:highlight w:val="none"/>
          <w:lang w:eastAsia="zh-CN"/>
          <w14:textFill>
            <w14:solidFill>
              <w14:schemeClr w14:val="tx1"/>
            </w14:solidFill>
          </w14:textFill>
        </w:rPr>
        <w:t>第七师胡杨河市</w:t>
      </w:r>
      <w:r>
        <w:rPr>
          <w:b/>
          <w:bCs/>
          <w:color w:val="000000" w:themeColor="text1"/>
          <w:sz w:val="21"/>
          <w:szCs w:val="21"/>
          <w:highlight w:val="none"/>
          <w14:textFill>
            <w14:solidFill>
              <w14:schemeClr w14:val="tx1"/>
            </w14:solidFill>
          </w14:textFill>
        </w:rPr>
        <w:t>环境管控单元准入清单符合性分析</w:t>
      </w:r>
    </w:p>
    <w:tbl>
      <w:tblPr>
        <w:tblStyle w:val="58"/>
        <w:tblW w:w="86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9"/>
        <w:gridCol w:w="525"/>
        <w:gridCol w:w="472"/>
        <w:gridCol w:w="696"/>
        <w:gridCol w:w="3834"/>
        <w:gridCol w:w="2370"/>
        <w:gridCol w:w="271"/>
      </w:tblGrid>
      <w:tr w14:paraId="215FF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6" w:hRule="atLeast"/>
        </w:trPr>
        <w:tc>
          <w:tcPr>
            <w:tcW w:w="459" w:type="dxa"/>
            <w:vAlign w:val="center"/>
          </w:tcPr>
          <w:p w14:paraId="53DD77E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环境管控单元编码</w:t>
            </w:r>
          </w:p>
        </w:tc>
        <w:tc>
          <w:tcPr>
            <w:tcW w:w="525" w:type="dxa"/>
            <w:vAlign w:val="center"/>
          </w:tcPr>
          <w:p w14:paraId="4D80002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环境管控单元名称</w:t>
            </w:r>
          </w:p>
        </w:tc>
        <w:tc>
          <w:tcPr>
            <w:tcW w:w="472" w:type="dxa"/>
            <w:vAlign w:val="center"/>
          </w:tcPr>
          <w:p w14:paraId="5FAC848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环境管控单元类别</w:t>
            </w:r>
          </w:p>
        </w:tc>
        <w:tc>
          <w:tcPr>
            <w:tcW w:w="4530" w:type="dxa"/>
            <w:gridSpan w:val="2"/>
            <w:vAlign w:val="center"/>
          </w:tcPr>
          <w:p w14:paraId="32DF572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管控要求</w:t>
            </w:r>
          </w:p>
        </w:tc>
        <w:tc>
          <w:tcPr>
            <w:tcW w:w="2370" w:type="dxa"/>
            <w:vAlign w:val="center"/>
          </w:tcPr>
          <w:p w14:paraId="394DF0A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本项目</w:t>
            </w:r>
          </w:p>
        </w:tc>
        <w:tc>
          <w:tcPr>
            <w:tcW w:w="271" w:type="dxa"/>
            <w:vAlign w:val="center"/>
          </w:tcPr>
          <w:p w14:paraId="742AC70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符合性</w:t>
            </w:r>
          </w:p>
        </w:tc>
      </w:tr>
      <w:tr w14:paraId="017BE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59" w:type="dxa"/>
            <w:vMerge w:val="restart"/>
            <w:tcBorders>
              <w:bottom w:val="nil"/>
            </w:tcBorders>
            <w:vAlign w:val="center"/>
          </w:tcPr>
          <w:p w14:paraId="24C37E77">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ZH65770330001</w:t>
            </w:r>
          </w:p>
        </w:tc>
        <w:tc>
          <w:tcPr>
            <w:tcW w:w="525" w:type="dxa"/>
            <w:vMerge w:val="restart"/>
            <w:tcBorders>
              <w:bottom w:val="nil"/>
            </w:tcBorders>
            <w:vAlign w:val="center"/>
          </w:tcPr>
          <w:p w14:paraId="363D718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125团</w:t>
            </w:r>
            <w:r>
              <w:rPr>
                <w:color w:val="000000" w:themeColor="text1"/>
                <w:sz w:val="21"/>
                <w:szCs w:val="21"/>
                <w:highlight w:val="none"/>
                <w14:textFill>
                  <w14:solidFill>
                    <w14:schemeClr w14:val="tx1"/>
                  </w14:solidFill>
                </w14:textFill>
              </w:rPr>
              <w:t>一般管控单元</w:t>
            </w:r>
          </w:p>
        </w:tc>
        <w:tc>
          <w:tcPr>
            <w:tcW w:w="472" w:type="dxa"/>
            <w:vMerge w:val="restart"/>
            <w:tcBorders>
              <w:bottom w:val="nil"/>
            </w:tcBorders>
            <w:vAlign w:val="center"/>
          </w:tcPr>
          <w:p w14:paraId="782C66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一般管控单元</w:t>
            </w:r>
          </w:p>
        </w:tc>
        <w:tc>
          <w:tcPr>
            <w:tcW w:w="696" w:type="dxa"/>
            <w:vAlign w:val="center"/>
          </w:tcPr>
          <w:p w14:paraId="78A4DF0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空间布局约束</w:t>
            </w:r>
          </w:p>
        </w:tc>
        <w:tc>
          <w:tcPr>
            <w:tcW w:w="3834" w:type="dxa"/>
            <w:vAlign w:val="center"/>
          </w:tcPr>
          <w:p w14:paraId="461D12E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(1)加强农田防护林网体系建设，保护基本农田，改造中低产农田和盐碱地，发展设施农业，并改进农业种植技术。</w:t>
            </w:r>
          </w:p>
        </w:tc>
        <w:tc>
          <w:tcPr>
            <w:tcW w:w="2370" w:type="dxa"/>
            <w:vAlign w:val="center"/>
          </w:tcPr>
          <w:p w14:paraId="601BD850">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本项目不涉及</w:t>
            </w:r>
            <w:r>
              <w:rPr>
                <w:rFonts w:hint="eastAsia"/>
                <w:color w:val="000000" w:themeColor="text1"/>
                <w:sz w:val="21"/>
                <w:szCs w:val="21"/>
                <w:highlight w:val="none"/>
                <w:lang w:val="en-US" w:eastAsia="zh-CN"/>
                <w14:textFill>
                  <w14:solidFill>
                    <w14:schemeClr w14:val="tx1"/>
                  </w14:solidFill>
                </w14:textFill>
              </w:rPr>
              <w:t>农田</w:t>
            </w:r>
          </w:p>
        </w:tc>
        <w:tc>
          <w:tcPr>
            <w:tcW w:w="271" w:type="dxa"/>
            <w:vAlign w:val="center"/>
          </w:tcPr>
          <w:p w14:paraId="5AF2A7D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0092E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4" w:hRule="atLeast"/>
        </w:trPr>
        <w:tc>
          <w:tcPr>
            <w:tcW w:w="459" w:type="dxa"/>
            <w:vMerge w:val="continue"/>
            <w:tcBorders>
              <w:top w:val="nil"/>
              <w:bottom w:val="nil"/>
            </w:tcBorders>
            <w:vAlign w:val="center"/>
          </w:tcPr>
          <w:p w14:paraId="2655008D">
            <w:pPr>
              <w:spacing w:line="240" w:lineRule="auto"/>
              <w:jc w:val="center"/>
              <w:rPr>
                <w:color w:val="000000" w:themeColor="text1"/>
                <w:sz w:val="21"/>
                <w:szCs w:val="21"/>
                <w:highlight w:val="none"/>
                <w14:textFill>
                  <w14:solidFill>
                    <w14:schemeClr w14:val="tx1"/>
                  </w14:solidFill>
                </w14:textFill>
              </w:rPr>
            </w:pPr>
          </w:p>
        </w:tc>
        <w:tc>
          <w:tcPr>
            <w:tcW w:w="525" w:type="dxa"/>
            <w:vMerge w:val="continue"/>
            <w:tcBorders>
              <w:top w:val="nil"/>
              <w:bottom w:val="nil"/>
            </w:tcBorders>
            <w:vAlign w:val="center"/>
          </w:tcPr>
          <w:p w14:paraId="62100941">
            <w:pPr>
              <w:spacing w:line="240" w:lineRule="auto"/>
              <w:jc w:val="center"/>
              <w:rPr>
                <w:color w:val="000000" w:themeColor="text1"/>
                <w:sz w:val="21"/>
                <w:szCs w:val="21"/>
                <w:highlight w:val="none"/>
                <w14:textFill>
                  <w14:solidFill>
                    <w14:schemeClr w14:val="tx1"/>
                  </w14:solidFill>
                </w14:textFill>
              </w:rPr>
            </w:pPr>
          </w:p>
        </w:tc>
        <w:tc>
          <w:tcPr>
            <w:tcW w:w="472" w:type="dxa"/>
            <w:vMerge w:val="continue"/>
            <w:tcBorders>
              <w:top w:val="nil"/>
              <w:bottom w:val="nil"/>
            </w:tcBorders>
            <w:vAlign w:val="center"/>
          </w:tcPr>
          <w:p w14:paraId="0CFCACFE">
            <w:pPr>
              <w:spacing w:line="240" w:lineRule="auto"/>
              <w:jc w:val="center"/>
              <w:rPr>
                <w:color w:val="000000" w:themeColor="text1"/>
                <w:sz w:val="21"/>
                <w:szCs w:val="21"/>
                <w:highlight w:val="none"/>
                <w14:textFill>
                  <w14:solidFill>
                    <w14:schemeClr w14:val="tx1"/>
                  </w14:solidFill>
                </w14:textFill>
              </w:rPr>
            </w:pPr>
          </w:p>
        </w:tc>
        <w:tc>
          <w:tcPr>
            <w:tcW w:w="696" w:type="dxa"/>
            <w:vAlign w:val="center"/>
          </w:tcPr>
          <w:p w14:paraId="6A50D25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污染物排放管控</w:t>
            </w:r>
          </w:p>
        </w:tc>
        <w:tc>
          <w:tcPr>
            <w:tcW w:w="3834" w:type="dxa"/>
            <w:vAlign w:val="center"/>
          </w:tcPr>
          <w:p w14:paraId="28255D5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严格落实环境保护目标责任制，强化污染物总量控制目标考核，健全重大环境事件和污染事故责任追究制度，加大问责力度。强化环境执法监督，严格污染物排放标准、环境影响评价和污染物排放许可制度，进一步健全环境监管体制。</w:t>
            </w:r>
          </w:p>
        </w:tc>
        <w:tc>
          <w:tcPr>
            <w:tcW w:w="2370" w:type="dxa"/>
            <w:vAlign w:val="center"/>
          </w:tcPr>
          <w:p w14:paraId="00E13E8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本项目粪污最终经过</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干清粪、固液分离+厌氧发酵</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处理后用于周围农田施肥，实现零排放</w:t>
            </w:r>
          </w:p>
        </w:tc>
        <w:tc>
          <w:tcPr>
            <w:tcW w:w="271" w:type="dxa"/>
            <w:vAlign w:val="center"/>
          </w:tcPr>
          <w:p w14:paraId="5881556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5F908B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7" w:hRule="atLeast"/>
        </w:trPr>
        <w:tc>
          <w:tcPr>
            <w:tcW w:w="459" w:type="dxa"/>
            <w:vMerge w:val="continue"/>
            <w:tcBorders>
              <w:top w:val="nil"/>
              <w:bottom w:val="nil"/>
            </w:tcBorders>
            <w:vAlign w:val="center"/>
          </w:tcPr>
          <w:p w14:paraId="2653128B">
            <w:pPr>
              <w:spacing w:line="240" w:lineRule="auto"/>
              <w:jc w:val="center"/>
              <w:rPr>
                <w:color w:val="000000" w:themeColor="text1"/>
                <w:sz w:val="21"/>
                <w:szCs w:val="21"/>
                <w:highlight w:val="none"/>
                <w14:textFill>
                  <w14:solidFill>
                    <w14:schemeClr w14:val="tx1"/>
                  </w14:solidFill>
                </w14:textFill>
              </w:rPr>
            </w:pPr>
          </w:p>
        </w:tc>
        <w:tc>
          <w:tcPr>
            <w:tcW w:w="525" w:type="dxa"/>
            <w:vMerge w:val="continue"/>
            <w:tcBorders>
              <w:top w:val="nil"/>
              <w:bottom w:val="nil"/>
            </w:tcBorders>
            <w:vAlign w:val="center"/>
          </w:tcPr>
          <w:p w14:paraId="1BD52F10">
            <w:pPr>
              <w:spacing w:line="240" w:lineRule="auto"/>
              <w:jc w:val="center"/>
              <w:rPr>
                <w:color w:val="000000" w:themeColor="text1"/>
                <w:sz w:val="21"/>
                <w:szCs w:val="21"/>
                <w:highlight w:val="none"/>
                <w14:textFill>
                  <w14:solidFill>
                    <w14:schemeClr w14:val="tx1"/>
                  </w14:solidFill>
                </w14:textFill>
              </w:rPr>
            </w:pPr>
          </w:p>
        </w:tc>
        <w:tc>
          <w:tcPr>
            <w:tcW w:w="472" w:type="dxa"/>
            <w:vMerge w:val="continue"/>
            <w:tcBorders>
              <w:top w:val="nil"/>
              <w:bottom w:val="nil"/>
            </w:tcBorders>
            <w:vAlign w:val="center"/>
          </w:tcPr>
          <w:p w14:paraId="33AC9E40">
            <w:pPr>
              <w:spacing w:line="240" w:lineRule="auto"/>
              <w:jc w:val="center"/>
              <w:rPr>
                <w:color w:val="000000" w:themeColor="text1"/>
                <w:sz w:val="21"/>
                <w:szCs w:val="21"/>
                <w:highlight w:val="none"/>
                <w14:textFill>
                  <w14:solidFill>
                    <w14:schemeClr w14:val="tx1"/>
                  </w14:solidFill>
                </w14:textFill>
              </w:rPr>
            </w:pPr>
          </w:p>
        </w:tc>
        <w:tc>
          <w:tcPr>
            <w:tcW w:w="696" w:type="dxa"/>
            <w:vAlign w:val="center"/>
          </w:tcPr>
          <w:p w14:paraId="6175382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环境风险管控</w:t>
            </w:r>
          </w:p>
        </w:tc>
        <w:tc>
          <w:tcPr>
            <w:tcW w:w="3834" w:type="dxa"/>
            <w:vAlign w:val="center"/>
          </w:tcPr>
          <w:p w14:paraId="05521AB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(1)对</w:t>
            </w:r>
            <w:r>
              <w:rPr>
                <w:rFonts w:hint="eastAsia"/>
                <w:color w:val="000000" w:themeColor="text1"/>
                <w:sz w:val="21"/>
                <w:szCs w:val="21"/>
                <w:highlight w:val="none"/>
                <w:lang w:eastAsia="zh-CN"/>
                <w14:textFill>
                  <w14:solidFill>
                    <w14:schemeClr w14:val="tx1"/>
                  </w14:solidFill>
                </w14:textFill>
              </w:rPr>
              <w:t>农田</w:t>
            </w:r>
            <w:r>
              <w:rPr>
                <w:rFonts w:hint="eastAsia"/>
                <w:color w:val="000000" w:themeColor="text1"/>
                <w:sz w:val="21"/>
                <w:szCs w:val="21"/>
                <w:highlight w:val="none"/>
                <w14:textFill>
                  <w14:solidFill>
                    <w14:schemeClr w14:val="tx1"/>
                  </w14:solidFill>
                </w14:textFill>
              </w:rPr>
              <w:t>面积减少或土壤环境质量下降的团场要进行预警提醒，并依法采取环评限批等限制性措施。</w:t>
            </w:r>
          </w:p>
        </w:tc>
        <w:tc>
          <w:tcPr>
            <w:tcW w:w="2370" w:type="dxa"/>
            <w:vAlign w:val="center"/>
          </w:tcPr>
          <w:p w14:paraId="5D998D1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本项目不涉及水源地、不占用</w:t>
            </w:r>
            <w:r>
              <w:rPr>
                <w:rFonts w:hint="eastAsia"/>
                <w:color w:val="000000" w:themeColor="text1"/>
                <w:sz w:val="21"/>
                <w:szCs w:val="21"/>
                <w:highlight w:val="none"/>
                <w:lang w:eastAsia="zh-CN"/>
                <w14:textFill>
                  <w14:solidFill>
                    <w14:schemeClr w14:val="tx1"/>
                  </w14:solidFill>
                </w14:textFill>
              </w:rPr>
              <w:t>农田</w:t>
            </w:r>
            <w:r>
              <w:rPr>
                <w:color w:val="000000" w:themeColor="text1"/>
                <w:sz w:val="21"/>
                <w:szCs w:val="21"/>
                <w:highlight w:val="none"/>
                <w14:textFill>
                  <w14:solidFill>
                    <w14:schemeClr w14:val="tx1"/>
                  </w14:solidFill>
                </w14:textFill>
              </w:rPr>
              <w:t>、不会对区</w:t>
            </w:r>
            <w:r>
              <w:rPr>
                <w:rFonts w:hint="eastAsia"/>
                <w:color w:val="000000" w:themeColor="text1"/>
                <w:sz w:val="21"/>
                <w:szCs w:val="21"/>
                <w:highlight w:val="none"/>
                <w:lang w:val="en-US" w:eastAsia="zh-CN"/>
                <w14:textFill>
                  <w14:solidFill>
                    <w14:schemeClr w14:val="tx1"/>
                  </w14:solidFill>
                </w14:textFill>
              </w:rPr>
              <w:t>域</w:t>
            </w:r>
            <w:r>
              <w:rPr>
                <w:color w:val="000000" w:themeColor="text1"/>
                <w:sz w:val="21"/>
                <w:szCs w:val="21"/>
                <w:highlight w:val="none"/>
                <w14:textFill>
                  <w14:solidFill>
                    <w14:schemeClr w14:val="tx1"/>
                  </w14:solidFill>
                </w14:textFill>
              </w:rPr>
              <w:t>土壤造成污染，符合环境风险防控要求</w:t>
            </w:r>
          </w:p>
        </w:tc>
        <w:tc>
          <w:tcPr>
            <w:tcW w:w="271" w:type="dxa"/>
            <w:vAlign w:val="center"/>
          </w:tcPr>
          <w:p w14:paraId="059C6CC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r w14:paraId="5748E9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459" w:type="dxa"/>
            <w:vMerge w:val="continue"/>
            <w:tcBorders>
              <w:top w:val="nil"/>
            </w:tcBorders>
            <w:vAlign w:val="center"/>
          </w:tcPr>
          <w:p w14:paraId="19EBDCAA">
            <w:pPr>
              <w:spacing w:line="240" w:lineRule="auto"/>
              <w:jc w:val="center"/>
              <w:rPr>
                <w:color w:val="000000" w:themeColor="text1"/>
                <w:sz w:val="21"/>
                <w:szCs w:val="21"/>
                <w:highlight w:val="none"/>
                <w14:textFill>
                  <w14:solidFill>
                    <w14:schemeClr w14:val="tx1"/>
                  </w14:solidFill>
                </w14:textFill>
              </w:rPr>
            </w:pPr>
          </w:p>
        </w:tc>
        <w:tc>
          <w:tcPr>
            <w:tcW w:w="525" w:type="dxa"/>
            <w:vMerge w:val="continue"/>
            <w:tcBorders>
              <w:top w:val="nil"/>
            </w:tcBorders>
            <w:vAlign w:val="center"/>
          </w:tcPr>
          <w:p w14:paraId="1412AB87">
            <w:pPr>
              <w:spacing w:line="240" w:lineRule="auto"/>
              <w:jc w:val="center"/>
              <w:rPr>
                <w:color w:val="000000" w:themeColor="text1"/>
                <w:sz w:val="21"/>
                <w:szCs w:val="21"/>
                <w:highlight w:val="none"/>
                <w14:textFill>
                  <w14:solidFill>
                    <w14:schemeClr w14:val="tx1"/>
                  </w14:solidFill>
                </w14:textFill>
              </w:rPr>
            </w:pPr>
          </w:p>
        </w:tc>
        <w:tc>
          <w:tcPr>
            <w:tcW w:w="472" w:type="dxa"/>
            <w:vMerge w:val="continue"/>
            <w:tcBorders>
              <w:top w:val="nil"/>
            </w:tcBorders>
            <w:vAlign w:val="center"/>
          </w:tcPr>
          <w:p w14:paraId="2FB4E95E">
            <w:pPr>
              <w:spacing w:line="240" w:lineRule="auto"/>
              <w:jc w:val="center"/>
              <w:rPr>
                <w:color w:val="000000" w:themeColor="text1"/>
                <w:sz w:val="21"/>
                <w:szCs w:val="21"/>
                <w:highlight w:val="none"/>
                <w14:textFill>
                  <w14:solidFill>
                    <w14:schemeClr w14:val="tx1"/>
                  </w14:solidFill>
                </w14:textFill>
              </w:rPr>
            </w:pPr>
          </w:p>
        </w:tc>
        <w:tc>
          <w:tcPr>
            <w:tcW w:w="696" w:type="dxa"/>
            <w:vAlign w:val="center"/>
          </w:tcPr>
          <w:p w14:paraId="2E1C97E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资源利用效率</w:t>
            </w:r>
          </w:p>
        </w:tc>
        <w:tc>
          <w:tcPr>
            <w:tcW w:w="3834" w:type="dxa"/>
            <w:vAlign w:val="center"/>
          </w:tcPr>
          <w:p w14:paraId="0CF836D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(1)推行秸秆还田、增施有机肥、少耕免耕、粮豆轮作、化肥农药减量、农膜减量与回收利用等措施，切实保护</w:t>
            </w:r>
            <w:r>
              <w:rPr>
                <w:rFonts w:hint="eastAsia"/>
                <w:color w:val="000000" w:themeColor="text1"/>
                <w:sz w:val="21"/>
                <w:szCs w:val="21"/>
                <w:highlight w:val="none"/>
                <w:lang w:eastAsia="zh-CN"/>
                <w14:textFill>
                  <w14:solidFill>
                    <w14:schemeClr w14:val="tx1"/>
                  </w14:solidFill>
                </w14:textFill>
              </w:rPr>
              <w:t>农田</w:t>
            </w:r>
            <w:r>
              <w:rPr>
                <w:rFonts w:hint="eastAsia"/>
                <w:color w:val="000000" w:themeColor="text1"/>
                <w:sz w:val="21"/>
                <w:szCs w:val="21"/>
                <w:highlight w:val="none"/>
                <w14:textFill>
                  <w14:solidFill>
                    <w14:schemeClr w14:val="tx1"/>
                  </w14:solidFill>
                </w14:textFill>
              </w:rPr>
              <w:t>土壤环境质量。(2)推进规模化高效节水灌溉，推广农作物节水抗旱技术。发展以喷滴灌和渠道防渗为中心的节水农业。</w:t>
            </w:r>
          </w:p>
        </w:tc>
        <w:tc>
          <w:tcPr>
            <w:tcW w:w="2370" w:type="dxa"/>
            <w:vAlign w:val="center"/>
          </w:tcPr>
          <w:p w14:paraId="6314D69D">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本项目粪污最终经过</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干清粪、固液分离+厌氧发酵</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处理后用于周围农田施肥</w:t>
            </w:r>
          </w:p>
        </w:tc>
        <w:tc>
          <w:tcPr>
            <w:tcW w:w="271" w:type="dxa"/>
            <w:vAlign w:val="center"/>
          </w:tcPr>
          <w:p w14:paraId="4B64DFB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符合</w:t>
            </w:r>
          </w:p>
        </w:tc>
      </w:tr>
    </w:tbl>
    <w:p w14:paraId="3CD8482B">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综上所述，本项目建设符合相关规划及“三线一单”控制条件要求。</w:t>
      </w:r>
    </w:p>
    <w:p w14:paraId="018B9F23">
      <w:pPr>
        <w:pStyle w:val="3"/>
        <w:rPr>
          <w:color w:val="000000" w:themeColor="text1"/>
          <w:highlight w:val="none"/>
          <w14:textFill>
            <w14:solidFill>
              <w14:schemeClr w14:val="tx1"/>
            </w14:solidFill>
          </w14:textFill>
        </w:rPr>
      </w:pPr>
      <w:bookmarkStart w:id="14" w:name="_Toc29280"/>
      <w:bookmarkStart w:id="15" w:name="_Toc651"/>
      <w:r>
        <w:rPr>
          <w:color w:val="000000" w:themeColor="text1"/>
          <w:highlight w:val="none"/>
          <w:lang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4环评报告书的主要结论</w:t>
      </w:r>
      <w:bookmarkEnd w:id="14"/>
      <w:bookmarkEnd w:id="15"/>
      <w:r>
        <w:rPr>
          <w:rFonts w:hint="eastAsia"/>
          <w:color w:val="000000" w:themeColor="text1"/>
          <w:highlight w:val="none"/>
          <w:lang w:eastAsia="zh-CN"/>
          <w14:textFill>
            <w14:solidFill>
              <w14:schemeClr w14:val="tx1"/>
            </w14:solidFill>
          </w14:textFill>
        </w:rPr>
        <w:t xml:space="preserve"> </w:t>
      </w:r>
    </w:p>
    <w:p w14:paraId="44C368F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综合分析表明，项目建设符合国家产业政策；项目周边环境不敏感，公众参与调查无群众反对意见，无明显限制性因素。项目用地符合</w:t>
      </w:r>
      <w:r>
        <w:rPr>
          <w:rFonts w:hint="eastAsia"/>
          <w:color w:val="000000" w:themeColor="text1"/>
          <w:highlight w:val="none"/>
          <w:lang w:eastAsia="zh-CN"/>
          <w14:textFill>
            <w14:solidFill>
              <w14:schemeClr w14:val="tx1"/>
            </w14:solidFill>
          </w14:textFill>
        </w:rPr>
        <w:t>第七师125团</w:t>
      </w:r>
      <w:r>
        <w:rPr>
          <w:rFonts w:hint="eastAsia"/>
          <w:color w:val="000000" w:themeColor="text1"/>
          <w:highlight w:val="none"/>
          <w14:textFill>
            <w14:solidFill>
              <w14:schemeClr w14:val="tx1"/>
            </w14:solidFill>
          </w14:textFill>
        </w:rPr>
        <w:t>相关规划要求；项目废水、废气和噪声均可实现达标排放，固体废物能全部得到妥善处置，污染物对环境影响不大；污染防治措施技术上可靠、有效，经济上合理、可行；设备选型、节能及其他指标符合清洁生产的原则；环境风险水平可接受。项目应严格落实环评文件提出的污染防治措施和环境保护措施，并加强环保设施的运行维护和管理，保证各种环保设施的正常运行和污染物长期稳定达标排放。</w:t>
      </w:r>
    </w:p>
    <w:p w14:paraId="0AB91DDC">
      <w:pPr>
        <w:rPr>
          <w:color w:val="000000" w:themeColor="text1"/>
          <w:highlight w:val="none"/>
          <w14:textFill>
            <w14:solidFill>
              <w14:schemeClr w14:val="tx1"/>
            </w14:solidFill>
          </w14:textFill>
        </w:rPr>
        <w:sectPr>
          <w:headerReference r:id="rId7" w:type="defaul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EBB57EA">
      <w:pPr>
        <w:pStyle w:val="2"/>
        <w:rPr>
          <w:color w:val="000000" w:themeColor="text1"/>
          <w:highlight w:val="none"/>
          <w14:textFill>
            <w14:solidFill>
              <w14:schemeClr w14:val="tx1"/>
            </w14:solidFill>
          </w14:textFill>
        </w:rPr>
      </w:pPr>
      <w:bookmarkStart w:id="16" w:name="_Toc31293"/>
      <w:bookmarkStart w:id="17" w:name="_Toc2254"/>
      <w:r>
        <w:rPr>
          <w:rFonts w:hint="eastAsia"/>
          <w:color w:val="000000" w:themeColor="text1"/>
          <w:highlight w:val="none"/>
          <w14:textFill>
            <w14:solidFill>
              <w14:schemeClr w14:val="tx1"/>
            </w14:solidFill>
          </w14:textFill>
        </w:rPr>
        <w:t>第</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章总则</w:t>
      </w:r>
      <w:bookmarkEnd w:id="16"/>
      <w:bookmarkEnd w:id="17"/>
    </w:p>
    <w:p w14:paraId="1B6E472A">
      <w:pPr>
        <w:pStyle w:val="3"/>
        <w:rPr>
          <w:color w:val="000000" w:themeColor="text1"/>
          <w:highlight w:val="none"/>
          <w:lang w:eastAsia="zh-CN"/>
          <w14:textFill>
            <w14:solidFill>
              <w14:schemeClr w14:val="tx1"/>
            </w14:solidFill>
          </w14:textFill>
        </w:rPr>
      </w:pPr>
      <w:bookmarkStart w:id="18" w:name="_Toc21316"/>
      <w:bookmarkStart w:id="19" w:name="_Toc16821"/>
      <w:r>
        <w:rPr>
          <w:color w:val="000000" w:themeColor="text1"/>
          <w:highlight w:val="none"/>
          <w:lang w:eastAsia="zh-CN"/>
          <w14:textFill>
            <w14:solidFill>
              <w14:schemeClr w14:val="tx1"/>
            </w14:solidFill>
          </w14:textFill>
        </w:rPr>
        <w:t>2.1</w:t>
      </w:r>
      <w:r>
        <w:rPr>
          <w:rFonts w:hint="eastAsia"/>
          <w:color w:val="000000" w:themeColor="text1"/>
          <w:highlight w:val="none"/>
          <w:lang w:eastAsia="zh-CN"/>
          <w14:textFill>
            <w14:solidFill>
              <w14:schemeClr w14:val="tx1"/>
            </w14:solidFill>
          </w14:textFill>
        </w:rPr>
        <w:t>编制依据</w:t>
      </w:r>
      <w:bookmarkEnd w:id="18"/>
      <w:bookmarkEnd w:id="19"/>
      <w:r>
        <w:rPr>
          <w:rFonts w:hint="eastAsia"/>
          <w:color w:val="000000" w:themeColor="text1"/>
          <w:highlight w:val="none"/>
          <w:lang w:eastAsia="zh-CN"/>
          <w14:textFill>
            <w14:solidFill>
              <w14:schemeClr w14:val="tx1"/>
            </w14:solidFill>
          </w14:textFill>
        </w:rPr>
        <w:t xml:space="preserve"> </w:t>
      </w:r>
    </w:p>
    <w:p w14:paraId="159472A5">
      <w:pPr>
        <w:pStyle w:val="4"/>
        <w:rPr>
          <w:color w:val="000000" w:themeColor="text1"/>
          <w:highlight w:val="none"/>
          <w14:textFill>
            <w14:solidFill>
              <w14:schemeClr w14:val="tx1"/>
            </w14:solidFill>
          </w14:textFill>
        </w:rPr>
      </w:pPr>
      <w:bookmarkStart w:id="20" w:name="_Toc28115"/>
      <w:r>
        <w:rPr>
          <w:color w:val="000000" w:themeColor="text1"/>
          <w:highlight w:val="none"/>
          <w14:textFill>
            <w14:solidFill>
              <w14:schemeClr w14:val="tx1"/>
            </w14:solidFill>
          </w14:textFill>
        </w:rPr>
        <w:t>2.1.1</w:t>
      </w:r>
      <w:r>
        <w:rPr>
          <w:rFonts w:hint="eastAsia"/>
          <w:color w:val="000000" w:themeColor="text1"/>
          <w:highlight w:val="none"/>
          <w14:textFill>
            <w14:solidFill>
              <w14:schemeClr w14:val="tx1"/>
            </w14:solidFill>
          </w14:textFill>
        </w:rPr>
        <w:t>法律法规依据</w:t>
      </w:r>
      <w:bookmarkEnd w:id="20"/>
      <w:r>
        <w:rPr>
          <w:rFonts w:hint="eastAsia"/>
          <w:color w:val="000000" w:themeColor="text1"/>
          <w:highlight w:val="none"/>
          <w14:textFill>
            <w14:solidFill>
              <w14:schemeClr w14:val="tx1"/>
            </w14:solidFill>
          </w14:textFill>
        </w:rPr>
        <w:t xml:space="preserve"> </w:t>
      </w:r>
    </w:p>
    <w:p w14:paraId="2594FFF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）《中华人民共和国环境保护法》（自</w:t>
      </w:r>
      <w:r>
        <w:rPr>
          <w:color w:val="000000" w:themeColor="text1"/>
          <w:highlight w:val="none"/>
          <w14:textFill>
            <w14:solidFill>
              <w14:schemeClr w14:val="tx1"/>
            </w14:solidFill>
          </w14:textFill>
        </w:rPr>
        <w:t>2015</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5F5CE94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）《中华人民共和国环境影响评价法》（</w:t>
      </w:r>
      <w:r>
        <w:rPr>
          <w:color w:val="000000" w:themeColor="text1"/>
          <w:highlight w:val="none"/>
          <w14:textFill>
            <w14:solidFill>
              <w14:schemeClr w14:val="tx1"/>
            </w14:solidFill>
          </w14:textFill>
        </w:rPr>
        <w:t>2018</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12</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29</w:t>
      </w:r>
      <w:r>
        <w:rPr>
          <w:rFonts w:hint="eastAsia"/>
          <w:color w:val="000000" w:themeColor="text1"/>
          <w:highlight w:val="none"/>
          <w14:textFill>
            <w14:solidFill>
              <w14:schemeClr w14:val="tx1"/>
            </w14:solidFill>
          </w14:textFill>
        </w:rPr>
        <w:t>日修订，自</w:t>
      </w:r>
      <w:r>
        <w:rPr>
          <w:color w:val="000000" w:themeColor="text1"/>
          <w:highlight w:val="none"/>
          <w14:textFill>
            <w14:solidFill>
              <w14:schemeClr w14:val="tx1"/>
            </w14:solidFill>
          </w14:textFill>
        </w:rPr>
        <w:t>2018</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12</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29</w:t>
      </w:r>
      <w:r>
        <w:rPr>
          <w:rFonts w:hint="eastAsia"/>
          <w:color w:val="000000" w:themeColor="text1"/>
          <w:highlight w:val="none"/>
          <w14:textFill>
            <w14:solidFill>
              <w14:schemeClr w14:val="tx1"/>
            </w14:solidFill>
          </w14:textFill>
        </w:rPr>
        <w:t>日起施行）；</w:t>
      </w:r>
    </w:p>
    <w:p w14:paraId="3B8C7C1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）《中华人民共和国大气污染防治法》（</w:t>
      </w:r>
      <w:r>
        <w:rPr>
          <w:color w:val="000000" w:themeColor="text1"/>
          <w:highlight w:val="none"/>
          <w14:textFill>
            <w14:solidFill>
              <w14:schemeClr w14:val="tx1"/>
            </w14:solidFill>
          </w14:textFill>
        </w:rPr>
        <w:t>2018</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26</w:t>
      </w:r>
      <w:r>
        <w:rPr>
          <w:rFonts w:hint="eastAsia"/>
          <w:color w:val="000000" w:themeColor="text1"/>
          <w:highlight w:val="none"/>
          <w14:textFill>
            <w14:solidFill>
              <w14:schemeClr w14:val="tx1"/>
            </w14:solidFill>
          </w14:textFill>
        </w:rPr>
        <w:t xml:space="preserve">日修订）； </w:t>
      </w:r>
    </w:p>
    <w:p w14:paraId="42B6E03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）《中华人民共和国水污染防治法》，（</w:t>
      </w:r>
      <w:r>
        <w:rPr>
          <w:color w:val="000000" w:themeColor="text1"/>
          <w:highlight w:val="none"/>
          <w14:textFill>
            <w14:solidFill>
              <w14:schemeClr w14:val="tx1"/>
            </w14:solidFill>
          </w14:textFill>
        </w:rPr>
        <w:t>2017</w:t>
      </w:r>
      <w:r>
        <w:rPr>
          <w:rFonts w:hint="eastAsia"/>
          <w:color w:val="000000" w:themeColor="text1"/>
          <w:highlight w:val="none"/>
          <w:lang w:eastAsia="zh-CN"/>
          <w14:textFill>
            <w14:solidFill>
              <w14:schemeClr w14:val="tx1"/>
            </w14:solidFill>
          </w14:textFill>
        </w:rPr>
        <w:t>年第</w:t>
      </w:r>
      <w:r>
        <w:rPr>
          <w:rFonts w:hint="eastAsia"/>
          <w:color w:val="000000" w:themeColor="text1"/>
          <w:highlight w:val="none"/>
          <w14:textFill>
            <w14:solidFill>
              <w14:schemeClr w14:val="tx1"/>
            </w14:solidFill>
          </w14:textFill>
        </w:rPr>
        <w:t>二次修订，自2</w:t>
      </w:r>
      <w:r>
        <w:rPr>
          <w:color w:val="000000" w:themeColor="text1"/>
          <w:highlight w:val="none"/>
          <w14:textFill>
            <w14:solidFill>
              <w14:schemeClr w14:val="tx1"/>
            </w14:solidFill>
          </w14:textFill>
        </w:rPr>
        <w:t>018</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650E568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）《中华人民共和国固体废物污染环境防治法》（</w:t>
      </w:r>
      <w:r>
        <w:rPr>
          <w:color w:val="000000" w:themeColor="text1"/>
          <w:highlight w:val="none"/>
          <w14:textFill>
            <w14:solidFill>
              <w14:schemeClr w14:val="tx1"/>
            </w14:solidFill>
          </w14:textFill>
        </w:rPr>
        <w:t>2020</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29</w:t>
      </w:r>
      <w:r>
        <w:rPr>
          <w:rFonts w:hint="eastAsia"/>
          <w:color w:val="000000" w:themeColor="text1"/>
          <w:highlight w:val="none"/>
          <w14:textFill>
            <w14:solidFill>
              <w14:schemeClr w14:val="tx1"/>
            </w14:solidFill>
          </w14:textFill>
        </w:rPr>
        <w:t>日修订，自</w:t>
      </w:r>
      <w:r>
        <w:rPr>
          <w:color w:val="000000" w:themeColor="text1"/>
          <w:highlight w:val="none"/>
          <w14:textFill>
            <w14:solidFill>
              <w14:schemeClr w14:val="tx1"/>
            </w14:solidFill>
          </w14:textFill>
        </w:rPr>
        <w:t>2020</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9</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6DF397F6">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）《中华人民共和国土壤污染防治法》（</w:t>
      </w:r>
      <w:r>
        <w:rPr>
          <w:color w:val="000000" w:themeColor="text1"/>
          <w:highlight w:val="none"/>
          <w14:textFill>
            <w14:solidFill>
              <w14:schemeClr w14:val="tx1"/>
            </w14:solidFill>
          </w14:textFill>
        </w:rPr>
        <w:t>2019</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日起实施）；</w:t>
      </w:r>
    </w:p>
    <w:p w14:paraId="0F2B08D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）《中华人民共和国噪声污染防治法》（</w:t>
      </w:r>
      <w:r>
        <w:rPr>
          <w:color w:val="000000" w:themeColor="text1"/>
          <w:highlight w:val="none"/>
          <w14:textFill>
            <w14:solidFill>
              <w14:schemeClr w14:val="tx1"/>
            </w14:solidFill>
          </w14:textFill>
        </w:rPr>
        <w:t>2022</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日起施行）；</w:t>
      </w:r>
    </w:p>
    <w:p w14:paraId="230DDED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）《中华人民共和国畜牧法》（</w:t>
      </w:r>
      <w:r>
        <w:rPr>
          <w:color w:val="000000" w:themeColor="text1"/>
          <w:highlight w:val="none"/>
          <w14:textFill>
            <w14:solidFill>
              <w14:schemeClr w14:val="tx1"/>
            </w14:solidFill>
          </w14:textFill>
        </w:rPr>
        <w:t>2022</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日修订，自</w:t>
      </w:r>
      <w:r>
        <w:rPr>
          <w:color w:val="000000" w:themeColor="text1"/>
          <w:highlight w:val="none"/>
          <w14:textFill>
            <w14:solidFill>
              <w14:schemeClr w14:val="tx1"/>
            </w14:solidFill>
          </w14:textFill>
        </w:rPr>
        <w:t>2023</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43F1E57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9</w:t>
      </w:r>
      <w:r>
        <w:rPr>
          <w:rFonts w:hint="eastAsia"/>
          <w:color w:val="000000" w:themeColor="text1"/>
          <w:highlight w:val="none"/>
          <w14:textFill>
            <w14:solidFill>
              <w14:schemeClr w14:val="tx1"/>
            </w14:solidFill>
          </w14:textFill>
        </w:rPr>
        <w:t>）《中华人民共和国动物防疫法》（自</w:t>
      </w:r>
      <w:r>
        <w:rPr>
          <w:color w:val="000000" w:themeColor="text1"/>
          <w:highlight w:val="none"/>
          <w14:textFill>
            <w14:solidFill>
              <w14:schemeClr w14:val="tx1"/>
            </w14:solidFill>
          </w14:textFill>
        </w:rPr>
        <w:t>2021</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22</w:t>
      </w:r>
      <w:r>
        <w:rPr>
          <w:rFonts w:hint="eastAsia"/>
          <w:color w:val="000000" w:themeColor="text1"/>
          <w:highlight w:val="none"/>
          <w14:textFill>
            <w14:solidFill>
              <w14:schemeClr w14:val="tx1"/>
            </w14:solidFill>
          </w14:textFill>
        </w:rPr>
        <w:t>日修订，自</w:t>
      </w:r>
      <w:r>
        <w:rPr>
          <w:color w:val="000000" w:themeColor="text1"/>
          <w:highlight w:val="none"/>
          <w14:textFill>
            <w14:solidFill>
              <w14:schemeClr w14:val="tx1"/>
            </w14:solidFill>
          </w14:textFill>
        </w:rPr>
        <w:t>2021</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70C90F6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）《中华人民共和国水土保持法》（自</w:t>
      </w:r>
      <w:r>
        <w:rPr>
          <w:color w:val="000000" w:themeColor="text1"/>
          <w:highlight w:val="none"/>
          <w14:textFill>
            <w14:solidFill>
              <w14:schemeClr w14:val="tx1"/>
            </w14:solidFill>
          </w14:textFill>
        </w:rPr>
        <w:t>2011</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6CAD90A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11</w:t>
      </w:r>
      <w:r>
        <w:rPr>
          <w:rFonts w:hint="eastAsia"/>
          <w:color w:val="000000" w:themeColor="text1"/>
          <w:highlight w:val="none"/>
          <w14:textFill>
            <w14:solidFill>
              <w14:schemeClr w14:val="tx1"/>
            </w14:solidFill>
          </w14:textFill>
        </w:rPr>
        <w:t>）《中华人民共和国城乡规划法》（</w:t>
      </w:r>
      <w:r>
        <w:rPr>
          <w:color w:val="000000" w:themeColor="text1"/>
          <w:highlight w:val="none"/>
          <w14:textFill>
            <w14:solidFill>
              <w14:schemeClr w14:val="tx1"/>
            </w14:solidFill>
          </w14:textFill>
        </w:rPr>
        <w:t>2019</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23</w:t>
      </w:r>
      <w:r>
        <w:rPr>
          <w:rFonts w:hint="eastAsia"/>
          <w:color w:val="000000" w:themeColor="text1"/>
          <w:highlight w:val="none"/>
          <w14:textFill>
            <w14:solidFill>
              <w14:schemeClr w14:val="tx1"/>
            </w14:solidFill>
          </w14:textFill>
        </w:rPr>
        <w:t>日修订）；</w:t>
      </w:r>
    </w:p>
    <w:p w14:paraId="19D146F6">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12</w:t>
      </w:r>
      <w:r>
        <w:rPr>
          <w:rFonts w:hint="eastAsia"/>
          <w:color w:val="000000" w:themeColor="text1"/>
          <w:highlight w:val="none"/>
          <w14:textFill>
            <w14:solidFill>
              <w14:schemeClr w14:val="tx1"/>
            </w14:solidFill>
          </w14:textFill>
        </w:rPr>
        <w:t>）《中华人民共和国清洁生产促进法》（自</w:t>
      </w:r>
      <w:r>
        <w:rPr>
          <w:color w:val="000000" w:themeColor="text1"/>
          <w:highlight w:val="none"/>
          <w14:textFill>
            <w14:solidFill>
              <w14:schemeClr w14:val="tx1"/>
            </w14:solidFill>
          </w14:textFill>
        </w:rPr>
        <w:t>2012</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78323D1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13</w:t>
      </w:r>
      <w:r>
        <w:rPr>
          <w:rFonts w:hint="eastAsia"/>
          <w:color w:val="000000" w:themeColor="text1"/>
          <w:highlight w:val="none"/>
          <w14:textFill>
            <w14:solidFill>
              <w14:schemeClr w14:val="tx1"/>
            </w14:solidFill>
          </w14:textFill>
        </w:rPr>
        <w:t>）《中华人民共和国循环经济促进法》（</w:t>
      </w:r>
      <w:r>
        <w:rPr>
          <w:color w:val="000000" w:themeColor="text1"/>
          <w:highlight w:val="none"/>
          <w14:textFill>
            <w14:solidFill>
              <w14:schemeClr w14:val="tx1"/>
            </w14:solidFill>
          </w14:textFill>
        </w:rPr>
        <w:t>2018</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26</w:t>
      </w:r>
      <w:r>
        <w:rPr>
          <w:rFonts w:hint="eastAsia"/>
          <w:color w:val="000000" w:themeColor="text1"/>
          <w:highlight w:val="none"/>
          <w14:textFill>
            <w14:solidFill>
              <w14:schemeClr w14:val="tx1"/>
            </w14:solidFill>
          </w14:textFill>
        </w:rPr>
        <w:t>日修订，自</w:t>
      </w:r>
      <w:r>
        <w:rPr>
          <w:color w:val="000000" w:themeColor="text1"/>
          <w:highlight w:val="none"/>
          <w14:textFill>
            <w14:solidFill>
              <w14:schemeClr w14:val="tx1"/>
            </w14:solidFill>
          </w14:textFill>
        </w:rPr>
        <w:t>2019</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535CE15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14</w:t>
      </w:r>
      <w:r>
        <w:rPr>
          <w:rFonts w:hint="eastAsia"/>
          <w:color w:val="000000" w:themeColor="text1"/>
          <w:highlight w:val="none"/>
          <w14:textFill>
            <w14:solidFill>
              <w14:schemeClr w14:val="tx1"/>
            </w14:solidFill>
          </w14:textFill>
        </w:rPr>
        <w:t>）《中华人民共和国农业法》（</w:t>
      </w:r>
      <w:r>
        <w:rPr>
          <w:color w:val="000000" w:themeColor="text1"/>
          <w:highlight w:val="none"/>
          <w14:textFill>
            <w14:solidFill>
              <w14:schemeClr w14:val="tx1"/>
            </w14:solidFill>
          </w14:textFill>
        </w:rPr>
        <w:t>2012</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12</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28</w:t>
      </w:r>
      <w:r>
        <w:rPr>
          <w:rFonts w:hint="eastAsia"/>
          <w:color w:val="000000" w:themeColor="text1"/>
          <w:highlight w:val="none"/>
          <w14:textFill>
            <w14:solidFill>
              <w14:schemeClr w14:val="tx1"/>
            </w14:solidFill>
          </w14:textFill>
        </w:rPr>
        <w:t>日修订，自</w:t>
      </w:r>
      <w:r>
        <w:rPr>
          <w:color w:val="000000" w:themeColor="text1"/>
          <w:highlight w:val="none"/>
          <w14:textFill>
            <w14:solidFill>
              <w14:schemeClr w14:val="tx1"/>
            </w14:solidFill>
          </w14:textFill>
        </w:rPr>
        <w:t>2013</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6EF045AB">
      <w:pPr>
        <w:pStyle w:val="4"/>
        <w:rPr>
          <w:color w:val="000000" w:themeColor="text1"/>
          <w:highlight w:val="none"/>
          <w14:textFill>
            <w14:solidFill>
              <w14:schemeClr w14:val="tx1"/>
            </w14:solidFill>
          </w14:textFill>
        </w:rPr>
      </w:pPr>
      <w:bookmarkStart w:id="21" w:name="_Toc30550"/>
      <w:r>
        <w:rPr>
          <w:color w:val="000000" w:themeColor="text1"/>
          <w:highlight w:val="none"/>
          <w14:textFill>
            <w14:solidFill>
              <w14:schemeClr w14:val="tx1"/>
            </w14:solidFill>
          </w14:textFill>
        </w:rPr>
        <w:t>2.1.2</w:t>
      </w:r>
      <w:r>
        <w:rPr>
          <w:rFonts w:hint="eastAsia"/>
          <w:color w:val="000000" w:themeColor="text1"/>
          <w:highlight w:val="none"/>
          <w14:textFill>
            <w14:solidFill>
              <w14:schemeClr w14:val="tx1"/>
            </w14:solidFill>
          </w14:textFill>
        </w:rPr>
        <w:t>部门相关规章依据</w:t>
      </w:r>
      <w:bookmarkEnd w:id="21"/>
      <w:r>
        <w:rPr>
          <w:rFonts w:hint="eastAsia"/>
          <w:color w:val="000000" w:themeColor="text1"/>
          <w:highlight w:val="none"/>
          <w14:textFill>
            <w14:solidFill>
              <w14:schemeClr w14:val="tx1"/>
            </w14:solidFill>
          </w14:textFill>
        </w:rPr>
        <w:t xml:space="preserve"> </w:t>
      </w:r>
    </w:p>
    <w:p w14:paraId="202F7D2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）《建设项目环境影响评价分类管理名录》（</w:t>
      </w:r>
      <w:r>
        <w:rPr>
          <w:color w:val="000000" w:themeColor="text1"/>
          <w:highlight w:val="none"/>
          <w14:textFill>
            <w14:solidFill>
              <w14:schemeClr w14:val="tx1"/>
            </w14:solidFill>
          </w14:textFill>
        </w:rPr>
        <w:t>2021</w:t>
      </w:r>
      <w:r>
        <w:rPr>
          <w:rFonts w:hint="eastAsia"/>
          <w:color w:val="000000" w:themeColor="text1"/>
          <w:highlight w:val="none"/>
          <w14:textFill>
            <w14:solidFill>
              <w14:schemeClr w14:val="tx1"/>
            </w14:solidFill>
          </w14:textFill>
        </w:rPr>
        <w:t>版）（部令第</w:t>
      </w:r>
      <w:r>
        <w:rPr>
          <w:color w:val="000000" w:themeColor="text1"/>
          <w:highlight w:val="none"/>
          <w14:textFill>
            <w14:solidFill>
              <w14:schemeClr w14:val="tx1"/>
            </w14:solidFill>
          </w14:textFill>
        </w:rPr>
        <w:t>16</w:t>
      </w:r>
      <w:r>
        <w:rPr>
          <w:rFonts w:hint="eastAsia"/>
          <w:color w:val="000000" w:themeColor="text1"/>
          <w:highlight w:val="none"/>
          <w14:textFill>
            <w14:solidFill>
              <w14:schemeClr w14:val="tx1"/>
            </w14:solidFill>
          </w14:textFill>
        </w:rPr>
        <w:t>号）；</w:t>
      </w:r>
    </w:p>
    <w:p w14:paraId="73A3C38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）《建设项目环境保护管理条例》（国务院第</w:t>
      </w:r>
      <w:r>
        <w:rPr>
          <w:color w:val="000000" w:themeColor="text1"/>
          <w:highlight w:val="none"/>
          <w14:textFill>
            <w14:solidFill>
              <w14:schemeClr w14:val="tx1"/>
            </w14:solidFill>
          </w14:textFill>
        </w:rPr>
        <w:t>682</w:t>
      </w:r>
      <w:r>
        <w:rPr>
          <w:rFonts w:hint="eastAsia"/>
          <w:color w:val="000000" w:themeColor="text1"/>
          <w:highlight w:val="none"/>
          <w14:textFill>
            <w14:solidFill>
              <w14:schemeClr w14:val="tx1"/>
            </w14:solidFill>
          </w14:textFill>
        </w:rPr>
        <w:t>号，自</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2550625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）《环境影响评价公众参与办法》（生态环境部令第</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号，</w:t>
      </w:r>
      <w:r>
        <w:rPr>
          <w:color w:val="000000" w:themeColor="text1"/>
          <w:highlight w:val="none"/>
          <w14:textFill>
            <w14:solidFill>
              <w14:schemeClr w14:val="tx1"/>
            </w14:solidFill>
          </w14:textFill>
        </w:rPr>
        <w:t>2019</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w:t>
      </w:r>
    </w:p>
    <w:p w14:paraId="5B1A200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）《产业结构调整指导目录（</w:t>
      </w:r>
      <w:r>
        <w:rPr>
          <w:rFonts w:hint="eastAsia"/>
          <w:color w:val="000000" w:themeColor="text1"/>
          <w:highlight w:val="none"/>
          <w:lang w:val="en-US" w:eastAsia="zh-CN"/>
          <w14:textFill>
            <w14:solidFill>
              <w14:schemeClr w14:val="tx1"/>
            </w14:solidFill>
          </w14:textFill>
        </w:rPr>
        <w:t>2024</w:t>
      </w:r>
      <w:r>
        <w:rPr>
          <w:rFonts w:hint="eastAsia"/>
          <w:color w:val="000000" w:themeColor="text1"/>
          <w:highlight w:val="none"/>
          <w14:textFill>
            <w14:solidFill>
              <w14:schemeClr w14:val="tx1"/>
            </w14:solidFill>
          </w14:textFill>
        </w:rPr>
        <w:t>年本）》；</w:t>
      </w:r>
    </w:p>
    <w:p w14:paraId="62AA438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）《饲料和饲料添加剂管理条例》（</w:t>
      </w:r>
      <w:r>
        <w:rPr>
          <w:color w:val="000000" w:themeColor="text1"/>
          <w:highlight w:val="none"/>
          <w14:textFill>
            <w14:solidFill>
              <w14:schemeClr w14:val="tx1"/>
            </w14:solidFill>
          </w14:textFill>
        </w:rPr>
        <w:t>2012</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日，国务院令第</w:t>
      </w:r>
      <w:r>
        <w:rPr>
          <w:color w:val="000000" w:themeColor="text1"/>
          <w:highlight w:val="none"/>
          <w14:textFill>
            <w14:solidFill>
              <w14:schemeClr w14:val="tx1"/>
            </w14:solidFill>
          </w14:textFill>
        </w:rPr>
        <w:t>645</w:t>
      </w:r>
      <w:r>
        <w:rPr>
          <w:rFonts w:hint="eastAsia"/>
          <w:color w:val="000000" w:themeColor="text1"/>
          <w:highlight w:val="none"/>
          <w14:textFill>
            <w14:solidFill>
              <w14:schemeClr w14:val="tx1"/>
            </w14:solidFill>
          </w14:textFill>
        </w:rPr>
        <w:t>号）；</w:t>
      </w:r>
    </w:p>
    <w:p w14:paraId="5031C9D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）《重大动物疫情应急条例》（</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日，国务院令第</w:t>
      </w:r>
      <w:r>
        <w:rPr>
          <w:color w:val="000000" w:themeColor="text1"/>
          <w:highlight w:val="none"/>
          <w14:textFill>
            <w14:solidFill>
              <w14:schemeClr w14:val="tx1"/>
            </w14:solidFill>
          </w14:textFill>
        </w:rPr>
        <w:t>687</w:t>
      </w:r>
      <w:r>
        <w:rPr>
          <w:rFonts w:hint="eastAsia"/>
          <w:color w:val="000000" w:themeColor="text1"/>
          <w:highlight w:val="none"/>
          <w14:textFill>
            <w14:solidFill>
              <w14:schemeClr w14:val="tx1"/>
            </w14:solidFill>
          </w14:textFill>
        </w:rPr>
        <w:t>号令重新修改）；</w:t>
      </w:r>
    </w:p>
    <w:p w14:paraId="6E845CB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）《畜禽规模养殖污染防治条例》（国务院令第</w:t>
      </w:r>
      <w:r>
        <w:rPr>
          <w:color w:val="000000" w:themeColor="text1"/>
          <w:highlight w:val="none"/>
          <w14:textFill>
            <w14:solidFill>
              <w14:schemeClr w14:val="tx1"/>
            </w14:solidFill>
          </w14:textFill>
        </w:rPr>
        <w:t>643</w:t>
      </w:r>
      <w:r>
        <w:rPr>
          <w:rFonts w:hint="eastAsia"/>
          <w:color w:val="000000" w:themeColor="text1"/>
          <w:highlight w:val="none"/>
          <w14:textFill>
            <w14:solidFill>
              <w14:schemeClr w14:val="tx1"/>
            </w14:solidFill>
          </w14:textFill>
        </w:rPr>
        <w:t>号，自</w:t>
      </w:r>
      <w:r>
        <w:rPr>
          <w:color w:val="000000" w:themeColor="text1"/>
          <w:highlight w:val="none"/>
          <w14:textFill>
            <w14:solidFill>
              <w14:schemeClr w14:val="tx1"/>
            </w14:solidFill>
          </w14:textFill>
        </w:rPr>
        <w:t>2014</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日起施行）；</w:t>
      </w:r>
    </w:p>
    <w:p w14:paraId="271D2EA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）《关于进一步加强环境影响评价管理防范环境风险的通知》（环发〔</w:t>
      </w:r>
    </w:p>
    <w:p w14:paraId="4A703C2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2012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77</w:t>
      </w:r>
      <w:r>
        <w:rPr>
          <w:rFonts w:hint="eastAsia"/>
          <w:color w:val="000000" w:themeColor="text1"/>
          <w:highlight w:val="none"/>
          <w14:textFill>
            <w14:solidFill>
              <w14:schemeClr w14:val="tx1"/>
            </w14:solidFill>
          </w14:textFill>
        </w:rPr>
        <w:t>号，自</w:t>
      </w:r>
      <w:r>
        <w:rPr>
          <w:color w:val="000000" w:themeColor="text1"/>
          <w:highlight w:val="none"/>
          <w14:textFill>
            <w14:solidFill>
              <w14:schemeClr w14:val="tx1"/>
            </w14:solidFill>
          </w14:textFill>
        </w:rPr>
        <w:t>2012</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日起施行）；</w:t>
      </w:r>
    </w:p>
    <w:p w14:paraId="4CC729F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9</w:t>
      </w:r>
      <w:r>
        <w:rPr>
          <w:rFonts w:hint="eastAsia"/>
          <w:color w:val="000000" w:themeColor="text1"/>
          <w:highlight w:val="none"/>
          <w14:textFill>
            <w14:solidFill>
              <w14:schemeClr w14:val="tx1"/>
            </w14:solidFill>
          </w14:textFill>
        </w:rPr>
        <w:t>）《环境保护部农业部关于进一步加强畜禽养殖污染防治工作的通知》（环水体〔</w:t>
      </w:r>
      <w:r>
        <w:rPr>
          <w:color w:val="000000" w:themeColor="text1"/>
          <w:highlight w:val="none"/>
          <w14:textFill>
            <w14:solidFill>
              <w14:schemeClr w14:val="tx1"/>
            </w14:solidFill>
          </w14:textFill>
        </w:rPr>
        <w:t>2016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144</w:t>
      </w:r>
      <w:r>
        <w:rPr>
          <w:rFonts w:hint="eastAsia"/>
          <w:color w:val="000000" w:themeColor="text1"/>
          <w:highlight w:val="none"/>
          <w14:textFill>
            <w14:solidFill>
              <w14:schemeClr w14:val="tx1"/>
            </w14:solidFill>
          </w14:textFill>
        </w:rPr>
        <w:t>号）；</w:t>
      </w:r>
    </w:p>
    <w:p w14:paraId="489487C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）《关于加强西部地区环境影响评价工作的通知》（环发〔</w:t>
      </w:r>
      <w:r>
        <w:rPr>
          <w:color w:val="000000" w:themeColor="text1"/>
          <w:highlight w:val="none"/>
          <w14:textFill>
            <w14:solidFill>
              <w14:schemeClr w14:val="tx1"/>
            </w14:solidFill>
          </w14:textFill>
        </w:rPr>
        <w:t>2011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150</w:t>
      </w:r>
      <w:r>
        <w:rPr>
          <w:rFonts w:hint="eastAsia"/>
          <w:color w:val="000000" w:themeColor="text1"/>
          <w:highlight w:val="none"/>
          <w14:textFill>
            <w14:solidFill>
              <w14:schemeClr w14:val="tx1"/>
            </w14:solidFill>
          </w14:textFill>
        </w:rPr>
        <w:t>号，</w:t>
      </w:r>
      <w:r>
        <w:rPr>
          <w:color w:val="000000" w:themeColor="text1"/>
          <w:highlight w:val="none"/>
          <w14:textFill>
            <w14:solidFill>
              <w14:schemeClr w14:val="tx1"/>
            </w14:solidFill>
          </w14:textFill>
        </w:rPr>
        <w:t>2011</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12</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29</w:t>
      </w:r>
      <w:r>
        <w:rPr>
          <w:rFonts w:hint="eastAsia"/>
          <w:color w:val="000000" w:themeColor="text1"/>
          <w:highlight w:val="none"/>
          <w14:textFill>
            <w14:solidFill>
              <w14:schemeClr w14:val="tx1"/>
            </w14:solidFill>
          </w14:textFill>
        </w:rPr>
        <w:t xml:space="preserve">日）； </w:t>
      </w:r>
    </w:p>
    <w:p w14:paraId="6ABA668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11</w:t>
      </w:r>
      <w:r>
        <w:rPr>
          <w:rFonts w:hint="eastAsia"/>
          <w:color w:val="000000" w:themeColor="text1"/>
          <w:highlight w:val="none"/>
          <w14:textFill>
            <w14:solidFill>
              <w14:schemeClr w14:val="tx1"/>
            </w14:solidFill>
          </w14:textFill>
        </w:rPr>
        <w:t>）《关于做好畜禽规模养殖项目环境影响评价管理工作的通知》（环办环评〔</w:t>
      </w:r>
      <w:r>
        <w:rPr>
          <w:color w:val="000000" w:themeColor="text1"/>
          <w:highlight w:val="none"/>
          <w14:textFill>
            <w14:solidFill>
              <w14:schemeClr w14:val="tx1"/>
            </w14:solidFill>
          </w14:textFill>
        </w:rPr>
        <w:t>2018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31</w:t>
      </w:r>
      <w:r>
        <w:rPr>
          <w:rFonts w:hint="eastAsia"/>
          <w:color w:val="000000" w:themeColor="text1"/>
          <w:highlight w:val="none"/>
          <w14:textFill>
            <w14:solidFill>
              <w14:schemeClr w14:val="tx1"/>
            </w14:solidFill>
          </w14:textFill>
        </w:rPr>
        <w:t xml:space="preserve">号）； </w:t>
      </w:r>
    </w:p>
    <w:p w14:paraId="5A23478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12</w:t>
      </w:r>
      <w:r>
        <w:rPr>
          <w:rFonts w:hint="eastAsia"/>
          <w:color w:val="000000" w:themeColor="text1"/>
          <w:highlight w:val="none"/>
          <w14:textFill>
            <w14:solidFill>
              <w14:schemeClr w14:val="tx1"/>
            </w14:solidFill>
          </w14:textFill>
        </w:rPr>
        <w:t>）《国务院办公厅关于加快推进畜禽养殖废弃物资源化利用的意见》（国办发〔</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48</w:t>
      </w:r>
      <w:r>
        <w:rPr>
          <w:rFonts w:hint="eastAsia"/>
          <w:color w:val="000000" w:themeColor="text1"/>
          <w:highlight w:val="none"/>
          <w14:textFill>
            <w14:solidFill>
              <w14:schemeClr w14:val="tx1"/>
            </w14:solidFill>
          </w14:textFill>
        </w:rPr>
        <w:t xml:space="preserve">号）； </w:t>
      </w:r>
    </w:p>
    <w:p w14:paraId="2A7F5E8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13</w:t>
      </w:r>
      <w:r>
        <w:rPr>
          <w:rFonts w:hint="eastAsia"/>
          <w:color w:val="000000" w:themeColor="text1"/>
          <w:highlight w:val="none"/>
          <w14:textFill>
            <w14:solidFill>
              <w14:schemeClr w14:val="tx1"/>
            </w14:solidFill>
          </w14:textFill>
        </w:rPr>
        <w:t>）《病死及病害动物无害化处理技术规范》（农医发〔</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25</w:t>
      </w:r>
      <w:r>
        <w:rPr>
          <w:rFonts w:hint="eastAsia"/>
          <w:color w:val="000000" w:themeColor="text1"/>
          <w:highlight w:val="none"/>
          <w14:textFill>
            <w14:solidFill>
              <w14:schemeClr w14:val="tx1"/>
            </w14:solidFill>
          </w14:textFill>
        </w:rPr>
        <w:t>号）；</w:t>
      </w:r>
    </w:p>
    <w:p w14:paraId="30953E4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14</w:t>
      </w:r>
      <w:r>
        <w:rPr>
          <w:rFonts w:hint="eastAsia"/>
          <w:color w:val="000000" w:themeColor="text1"/>
          <w:highlight w:val="none"/>
          <w14:textFill>
            <w14:solidFill>
              <w14:schemeClr w14:val="tx1"/>
            </w14:solidFill>
          </w14:textFill>
        </w:rPr>
        <w:t>）《畜禽规模养殖场粪污资源化利用设施建设规范（试行）》（农办牧〔</w:t>
      </w:r>
      <w:r>
        <w:rPr>
          <w:color w:val="000000" w:themeColor="text1"/>
          <w:highlight w:val="none"/>
          <w14:textFill>
            <w14:solidFill>
              <w14:schemeClr w14:val="tx1"/>
            </w14:solidFill>
          </w14:textFill>
        </w:rPr>
        <w:t>2018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 xml:space="preserve">号）； </w:t>
      </w:r>
    </w:p>
    <w:p w14:paraId="5364479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）《关于以改善环境质量为核心加强环境影响评价管理的通知》（环环评〔</w:t>
      </w:r>
      <w:r>
        <w:rPr>
          <w:color w:val="000000" w:themeColor="text1"/>
          <w:highlight w:val="none"/>
          <w14:textFill>
            <w14:solidFill>
              <w14:schemeClr w14:val="tx1"/>
            </w14:solidFill>
          </w14:textFill>
        </w:rPr>
        <w:t>2016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150</w:t>
      </w:r>
      <w:r>
        <w:rPr>
          <w:rFonts w:hint="eastAsia"/>
          <w:color w:val="000000" w:themeColor="text1"/>
          <w:highlight w:val="none"/>
          <w14:textFill>
            <w14:solidFill>
              <w14:schemeClr w14:val="tx1"/>
            </w14:solidFill>
          </w14:textFill>
        </w:rPr>
        <w:t>号）；</w:t>
      </w:r>
    </w:p>
    <w:p w14:paraId="16ADCAA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）农业农村部办公厅生态环境部办公厅《关于进一步明确畜禽粪污还田利用要求强化养殖污染监管的通知》（农办牧〔</w:t>
      </w:r>
      <w:r>
        <w:rPr>
          <w:color w:val="000000" w:themeColor="text1"/>
          <w:highlight w:val="none"/>
          <w14:textFill>
            <w14:solidFill>
              <w14:schemeClr w14:val="tx1"/>
            </w14:solidFill>
          </w14:textFill>
        </w:rPr>
        <w:t>2020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23</w:t>
      </w:r>
      <w:r>
        <w:rPr>
          <w:rFonts w:hint="eastAsia"/>
          <w:color w:val="000000" w:themeColor="text1"/>
          <w:highlight w:val="none"/>
          <w14:textFill>
            <w14:solidFill>
              <w14:schemeClr w14:val="tx1"/>
            </w14:solidFill>
          </w14:textFill>
        </w:rPr>
        <w:t>号）；</w:t>
      </w:r>
    </w:p>
    <w:p w14:paraId="6D0EAA6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）关于印发《企业事业单位突发环境事件应急预案备案管理办法（试 </w:t>
      </w:r>
    </w:p>
    <w:p w14:paraId="312F2F7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行）》的通知（环发〔</w:t>
      </w:r>
      <w:r>
        <w:rPr>
          <w:color w:val="000000" w:themeColor="text1"/>
          <w:highlight w:val="none"/>
          <w14:textFill>
            <w14:solidFill>
              <w14:schemeClr w14:val="tx1"/>
            </w14:solidFill>
          </w14:textFill>
        </w:rPr>
        <w:t>2015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号）；</w:t>
      </w:r>
    </w:p>
    <w:p w14:paraId="27919F8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18</w:t>
      </w:r>
      <w:r>
        <w:rPr>
          <w:rFonts w:hint="eastAsia"/>
          <w:color w:val="000000" w:themeColor="text1"/>
          <w:highlight w:val="none"/>
          <w14:textFill>
            <w14:solidFill>
              <w14:schemeClr w14:val="tx1"/>
            </w14:solidFill>
          </w14:textFill>
        </w:rPr>
        <w:t>）《关于切实加强风险防范严格环境影响评价管理的通知》（环发〔</w:t>
      </w:r>
      <w:r>
        <w:rPr>
          <w:color w:val="000000" w:themeColor="text1"/>
          <w:highlight w:val="none"/>
          <w14:textFill>
            <w14:solidFill>
              <w14:schemeClr w14:val="tx1"/>
            </w14:solidFill>
          </w14:textFill>
        </w:rPr>
        <w:t>2012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98</w:t>
      </w:r>
      <w:r>
        <w:rPr>
          <w:rFonts w:hint="eastAsia"/>
          <w:color w:val="000000" w:themeColor="text1"/>
          <w:highlight w:val="none"/>
          <w14:textFill>
            <w14:solidFill>
              <w14:schemeClr w14:val="tx1"/>
            </w14:solidFill>
          </w14:textFill>
        </w:rPr>
        <w:t>号）；</w:t>
      </w:r>
    </w:p>
    <w:p w14:paraId="20FB328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19</w:t>
      </w:r>
      <w:r>
        <w:rPr>
          <w:rFonts w:hint="eastAsia"/>
          <w:color w:val="000000" w:themeColor="text1"/>
          <w:highlight w:val="none"/>
          <w14:textFill>
            <w14:solidFill>
              <w14:schemeClr w14:val="tx1"/>
            </w14:solidFill>
          </w14:textFill>
        </w:rPr>
        <w:t>）《国务院关于印发水污染防治行动计划的通知》（国发〔</w:t>
      </w:r>
      <w:r>
        <w:rPr>
          <w:color w:val="000000" w:themeColor="text1"/>
          <w:highlight w:val="none"/>
          <w14:textFill>
            <w14:solidFill>
              <w14:schemeClr w14:val="tx1"/>
            </w14:solidFill>
          </w14:textFill>
        </w:rPr>
        <w:t>2015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17</w:t>
      </w:r>
      <w:r>
        <w:rPr>
          <w:rFonts w:hint="eastAsia"/>
          <w:color w:val="000000" w:themeColor="text1"/>
          <w:highlight w:val="none"/>
          <w14:textFill>
            <w14:solidFill>
              <w14:schemeClr w14:val="tx1"/>
            </w14:solidFill>
          </w14:textFill>
        </w:rPr>
        <w:t>号）；</w:t>
      </w:r>
    </w:p>
    <w:p w14:paraId="1362DF5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）《国务院关于印发土壤污染防治行动计划的通知》（国发〔</w:t>
      </w:r>
      <w:r>
        <w:rPr>
          <w:color w:val="000000" w:themeColor="text1"/>
          <w:highlight w:val="none"/>
          <w14:textFill>
            <w14:solidFill>
              <w14:schemeClr w14:val="tx1"/>
            </w14:solidFill>
          </w14:textFill>
        </w:rPr>
        <w:t>2016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31</w:t>
      </w:r>
      <w:r>
        <w:rPr>
          <w:rFonts w:hint="eastAsia"/>
          <w:color w:val="000000" w:themeColor="text1"/>
          <w:highlight w:val="none"/>
          <w14:textFill>
            <w14:solidFill>
              <w14:schemeClr w14:val="tx1"/>
            </w14:solidFill>
          </w14:textFill>
        </w:rPr>
        <w:t>号）；</w:t>
      </w:r>
    </w:p>
    <w:p w14:paraId="738F450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）《关于切实加强环境影响评价监督管理工作的通知》（环办〔</w:t>
      </w:r>
      <w:r>
        <w:rPr>
          <w:color w:val="000000" w:themeColor="text1"/>
          <w:highlight w:val="none"/>
          <w14:textFill>
            <w14:solidFill>
              <w14:schemeClr w14:val="tx1"/>
            </w14:solidFill>
          </w14:textFill>
        </w:rPr>
        <w:t>2013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104</w:t>
      </w:r>
      <w:r>
        <w:rPr>
          <w:rFonts w:hint="eastAsia"/>
          <w:color w:val="000000" w:themeColor="text1"/>
          <w:highlight w:val="none"/>
          <w14:textFill>
            <w14:solidFill>
              <w14:schemeClr w14:val="tx1"/>
            </w14:solidFill>
          </w14:textFill>
        </w:rPr>
        <w:t>号）；</w:t>
      </w:r>
    </w:p>
    <w:p w14:paraId="3FA043E6">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）《关于落实大气污染防治行动计划严格环境影响评价准入的通知》，（环办〔</w:t>
      </w:r>
      <w:r>
        <w:rPr>
          <w:color w:val="000000" w:themeColor="text1"/>
          <w:highlight w:val="none"/>
          <w14:textFill>
            <w14:solidFill>
              <w14:schemeClr w14:val="tx1"/>
            </w14:solidFill>
          </w14:textFill>
        </w:rPr>
        <w:t>2014</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30</w:t>
      </w:r>
      <w:r>
        <w:rPr>
          <w:rFonts w:hint="eastAsia"/>
          <w:color w:val="000000" w:themeColor="text1"/>
          <w:highlight w:val="none"/>
          <w14:textFill>
            <w14:solidFill>
              <w14:schemeClr w14:val="tx1"/>
            </w14:solidFill>
          </w14:textFill>
        </w:rPr>
        <w:t xml:space="preserve">号）； </w:t>
      </w:r>
    </w:p>
    <w:p w14:paraId="2A0AA7D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）《关于执行大气污染物特别排放限值的公告》环保部公告</w:t>
      </w:r>
      <w:r>
        <w:rPr>
          <w:color w:val="000000" w:themeColor="text1"/>
          <w:highlight w:val="none"/>
          <w14:textFill>
            <w14:solidFill>
              <w14:schemeClr w14:val="tx1"/>
            </w14:solidFill>
          </w14:textFill>
        </w:rPr>
        <w:t>2013</w:t>
      </w:r>
      <w:r>
        <w:rPr>
          <w:rFonts w:hint="eastAsia"/>
          <w:color w:val="000000" w:themeColor="text1"/>
          <w:highlight w:val="none"/>
          <w14:textFill>
            <w14:solidFill>
              <w14:schemeClr w14:val="tx1"/>
            </w14:solidFill>
          </w14:textFill>
        </w:rPr>
        <w:t>年第</w:t>
      </w:r>
      <w:r>
        <w:rPr>
          <w:color w:val="000000" w:themeColor="text1"/>
          <w:highlight w:val="none"/>
          <w14:textFill>
            <w14:solidFill>
              <w14:schemeClr w14:val="tx1"/>
            </w14:solidFill>
          </w14:textFill>
        </w:rPr>
        <w:t>14</w:t>
      </w:r>
      <w:r>
        <w:rPr>
          <w:rFonts w:hint="eastAsia"/>
          <w:color w:val="000000" w:themeColor="text1"/>
          <w:highlight w:val="none"/>
          <w14:textFill>
            <w14:solidFill>
              <w14:schemeClr w14:val="tx1"/>
            </w14:solidFill>
          </w14:textFill>
        </w:rPr>
        <w:t>号；</w:t>
      </w:r>
    </w:p>
    <w:p w14:paraId="1B2A2CE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）《关于以改善环境质量为核心加强环境影响评价管理的通知》环境保护部文件，环评〔</w:t>
      </w:r>
      <w:r>
        <w:rPr>
          <w:color w:val="000000" w:themeColor="text1"/>
          <w:highlight w:val="none"/>
          <w14:textFill>
            <w14:solidFill>
              <w14:schemeClr w14:val="tx1"/>
            </w14:solidFill>
          </w14:textFill>
        </w:rPr>
        <w:t>2016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150</w:t>
      </w:r>
      <w:r>
        <w:rPr>
          <w:rFonts w:hint="eastAsia"/>
          <w:color w:val="000000" w:themeColor="text1"/>
          <w:highlight w:val="none"/>
          <w14:textFill>
            <w14:solidFill>
              <w14:schemeClr w14:val="tx1"/>
            </w14:solidFill>
          </w14:textFill>
        </w:rPr>
        <w:t>号，</w:t>
      </w:r>
      <w:r>
        <w:rPr>
          <w:color w:val="000000" w:themeColor="text1"/>
          <w:highlight w:val="none"/>
          <w14:textFill>
            <w14:solidFill>
              <w14:schemeClr w14:val="tx1"/>
            </w14:solidFill>
          </w14:textFill>
        </w:rPr>
        <w:t>2016</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26</w:t>
      </w:r>
      <w:r>
        <w:rPr>
          <w:rFonts w:hint="eastAsia"/>
          <w:color w:val="000000" w:themeColor="text1"/>
          <w:highlight w:val="none"/>
          <w14:textFill>
            <w14:solidFill>
              <w14:schemeClr w14:val="tx1"/>
            </w14:solidFill>
          </w14:textFill>
        </w:rPr>
        <w:t>日；</w:t>
      </w:r>
    </w:p>
    <w:p w14:paraId="1003352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）《控制污染物排放许可制实施方案》（国办发〔</w:t>
      </w:r>
      <w:r>
        <w:rPr>
          <w:color w:val="000000" w:themeColor="text1"/>
          <w:highlight w:val="none"/>
          <w14:textFill>
            <w14:solidFill>
              <w14:schemeClr w14:val="tx1"/>
            </w14:solidFill>
          </w14:textFill>
        </w:rPr>
        <w:t>2016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81</w:t>
      </w:r>
      <w:r>
        <w:rPr>
          <w:rFonts w:hint="eastAsia"/>
          <w:color w:val="000000" w:themeColor="text1"/>
          <w:highlight w:val="none"/>
          <w14:textFill>
            <w14:solidFill>
              <w14:schemeClr w14:val="tx1"/>
            </w14:solidFill>
          </w14:textFill>
        </w:rPr>
        <w:t>号）；</w:t>
      </w:r>
    </w:p>
    <w:p w14:paraId="37F23DB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26</w:t>
      </w:r>
      <w:r>
        <w:rPr>
          <w:rFonts w:hint="eastAsia"/>
          <w:color w:val="000000" w:themeColor="text1"/>
          <w:highlight w:val="none"/>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排污许可证申请与核发技术规范 总则（HJ942-2018）</w:t>
      </w:r>
      <w:r>
        <w:rPr>
          <w:rFonts w:hint="eastAsia"/>
          <w:color w:val="000000" w:themeColor="text1"/>
          <w:highlight w:val="none"/>
          <w14:textFill>
            <w14:solidFill>
              <w14:schemeClr w14:val="tx1"/>
            </w14:solidFill>
          </w14:textFill>
        </w:rPr>
        <w:t>；</w:t>
      </w:r>
    </w:p>
    <w:p w14:paraId="1E47908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27</w:t>
      </w:r>
      <w:r>
        <w:rPr>
          <w:rFonts w:hint="eastAsia"/>
          <w:color w:val="000000" w:themeColor="text1"/>
          <w:highlight w:val="none"/>
          <w14:textFill>
            <w14:solidFill>
              <w14:schemeClr w14:val="tx1"/>
            </w14:solidFill>
          </w14:textFill>
        </w:rPr>
        <w:t>）《国家危险废物名录》（</w:t>
      </w:r>
      <w:r>
        <w:rPr>
          <w:color w:val="000000" w:themeColor="text1"/>
          <w:highlight w:val="none"/>
          <w14:textFill>
            <w14:solidFill>
              <w14:schemeClr w14:val="tx1"/>
            </w14:solidFill>
          </w14:textFill>
        </w:rPr>
        <w:t>2021</w:t>
      </w:r>
      <w:r>
        <w:rPr>
          <w:rFonts w:hint="eastAsia"/>
          <w:color w:val="000000" w:themeColor="text1"/>
          <w:highlight w:val="none"/>
          <w14:textFill>
            <w14:solidFill>
              <w14:schemeClr w14:val="tx1"/>
            </w14:solidFill>
          </w14:textFill>
        </w:rPr>
        <w:t>版）；</w:t>
      </w:r>
    </w:p>
    <w:p w14:paraId="0448B13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28</w:t>
      </w:r>
      <w:r>
        <w:rPr>
          <w:rFonts w:hint="eastAsia"/>
          <w:color w:val="000000" w:themeColor="text1"/>
          <w:highlight w:val="none"/>
          <w14:textFill>
            <w14:solidFill>
              <w14:schemeClr w14:val="tx1"/>
            </w14:solidFill>
          </w14:textFill>
        </w:rPr>
        <w:t>）《病死畜禽和病害畜禽产品无害化处理管理办法》（农业农村部令 2022年第3号）</w:t>
      </w:r>
      <w:r>
        <w:rPr>
          <w:rFonts w:hint="eastAsia"/>
          <w:color w:val="000000" w:themeColor="text1"/>
          <w:highlight w:val="none"/>
          <w:lang w:eastAsia="zh-CN"/>
          <w14:textFill>
            <w14:solidFill>
              <w14:schemeClr w14:val="tx1"/>
            </w14:solidFill>
          </w14:textFill>
        </w:rPr>
        <w:t>。</w:t>
      </w:r>
    </w:p>
    <w:p w14:paraId="4AB7E2F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29</w:t>
      </w:r>
      <w:r>
        <w:rPr>
          <w:rFonts w:hint="eastAsia"/>
          <w:color w:val="000000" w:themeColor="text1"/>
          <w:highlight w:val="none"/>
          <w14:textFill>
            <w14:solidFill>
              <w14:schemeClr w14:val="tx1"/>
            </w14:solidFill>
          </w14:textFill>
        </w:rPr>
        <w:t>）《危险废物转移管理方法》（部令第</w:t>
      </w:r>
      <w:r>
        <w:rPr>
          <w:color w:val="000000" w:themeColor="text1"/>
          <w:highlight w:val="none"/>
          <w14:textFill>
            <w14:solidFill>
              <w14:schemeClr w14:val="tx1"/>
            </w14:solidFill>
          </w14:textFill>
        </w:rPr>
        <w:t>23</w:t>
      </w:r>
      <w:r>
        <w:rPr>
          <w:rFonts w:hint="eastAsia"/>
          <w:color w:val="000000" w:themeColor="text1"/>
          <w:highlight w:val="none"/>
          <w14:textFill>
            <w14:solidFill>
              <w14:schemeClr w14:val="tx1"/>
            </w14:solidFill>
          </w14:textFill>
        </w:rPr>
        <w:t>号，</w:t>
      </w:r>
      <w:r>
        <w:rPr>
          <w:color w:val="000000" w:themeColor="text1"/>
          <w:highlight w:val="none"/>
          <w14:textFill>
            <w14:solidFill>
              <w14:schemeClr w14:val="tx1"/>
            </w14:solidFill>
          </w14:textFill>
        </w:rPr>
        <w:t>2021.9.18</w:t>
      </w:r>
      <w:r>
        <w:rPr>
          <w:rFonts w:hint="eastAsia"/>
          <w:color w:val="000000" w:themeColor="text1"/>
          <w:highlight w:val="none"/>
          <w14:textFill>
            <w14:solidFill>
              <w14:schemeClr w14:val="tx1"/>
            </w14:solidFill>
          </w14:textFill>
        </w:rPr>
        <w:t>通过，</w:t>
      </w:r>
      <w:r>
        <w:rPr>
          <w:color w:val="000000" w:themeColor="text1"/>
          <w:highlight w:val="none"/>
          <w14:textFill>
            <w14:solidFill>
              <w14:schemeClr w14:val="tx1"/>
            </w14:solidFill>
          </w14:textFill>
        </w:rPr>
        <w:t>2022.1.1</w:t>
      </w:r>
      <w:r>
        <w:rPr>
          <w:rFonts w:hint="eastAsia"/>
          <w:color w:val="000000" w:themeColor="text1"/>
          <w:highlight w:val="none"/>
          <w14:textFill>
            <w14:solidFill>
              <w14:schemeClr w14:val="tx1"/>
            </w14:solidFill>
          </w14:textFill>
        </w:rPr>
        <w:t>施行）；</w:t>
      </w:r>
    </w:p>
    <w:p w14:paraId="220B7CA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30</w:t>
      </w:r>
      <w:r>
        <w:rPr>
          <w:rFonts w:hint="eastAsia"/>
          <w:color w:val="000000" w:themeColor="text1"/>
          <w:highlight w:val="none"/>
          <w14:textFill>
            <w14:solidFill>
              <w14:schemeClr w14:val="tx1"/>
            </w14:solidFill>
          </w14:textFill>
        </w:rPr>
        <w:t>）《建设项目危险废物环境影响评价指南》（环保部公告</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年第</w:t>
      </w:r>
      <w:r>
        <w:rPr>
          <w:color w:val="000000" w:themeColor="text1"/>
          <w:highlight w:val="none"/>
          <w14:textFill>
            <w14:solidFill>
              <w14:schemeClr w14:val="tx1"/>
            </w14:solidFill>
          </w14:textFill>
        </w:rPr>
        <w:t>43</w:t>
      </w:r>
      <w:r>
        <w:rPr>
          <w:rFonts w:hint="eastAsia"/>
          <w:color w:val="000000" w:themeColor="text1"/>
          <w:highlight w:val="none"/>
          <w14:textFill>
            <w14:solidFill>
              <w14:schemeClr w14:val="tx1"/>
            </w14:solidFill>
          </w14:textFill>
        </w:rPr>
        <w:t>号，</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年</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月</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日起实施）；</w:t>
      </w:r>
    </w:p>
    <w:p w14:paraId="4D06E08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31</w:t>
      </w:r>
      <w:r>
        <w:rPr>
          <w:rFonts w:hint="eastAsia"/>
          <w:color w:val="000000" w:themeColor="text1"/>
          <w:highlight w:val="none"/>
          <w14:textFill>
            <w14:solidFill>
              <w14:schemeClr w14:val="tx1"/>
            </w14:solidFill>
          </w14:textFill>
        </w:rPr>
        <w:t>）《关于印发〈建设项目主要污染物排放总量指标审核及管理暂行办法〉的通知》（环发〔</w:t>
      </w:r>
      <w:r>
        <w:rPr>
          <w:color w:val="000000" w:themeColor="text1"/>
          <w:highlight w:val="none"/>
          <w14:textFill>
            <w14:solidFill>
              <w14:schemeClr w14:val="tx1"/>
            </w14:solidFill>
          </w14:textFill>
        </w:rPr>
        <w:t>2014</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197</w:t>
      </w:r>
      <w:r>
        <w:rPr>
          <w:rFonts w:hint="eastAsia"/>
          <w:color w:val="000000" w:themeColor="text1"/>
          <w:highlight w:val="none"/>
          <w14:textFill>
            <w14:solidFill>
              <w14:schemeClr w14:val="tx1"/>
            </w14:solidFill>
          </w14:textFill>
        </w:rPr>
        <w:t>）；</w:t>
      </w:r>
    </w:p>
    <w:p w14:paraId="5EF30E44">
      <w:pP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32</w:t>
      </w:r>
      <w:r>
        <w:rPr>
          <w:rFonts w:hint="eastAsia"/>
          <w:color w:val="000000" w:themeColor="text1"/>
          <w:highlight w:val="none"/>
          <w14:textFill>
            <w14:solidFill>
              <w14:schemeClr w14:val="tx1"/>
            </w14:solidFill>
          </w14:textFill>
        </w:rPr>
        <w:t>）《强化建设项目环评事中事后监管的实施意见》（环环评〔</w:t>
      </w:r>
      <w:r>
        <w:rPr>
          <w:color w:val="000000" w:themeColor="text1"/>
          <w:highlight w:val="none"/>
          <w14:textFill>
            <w14:solidFill>
              <w14:schemeClr w14:val="tx1"/>
            </w14:solidFill>
          </w14:textFill>
        </w:rPr>
        <w:t>2018</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11</w:t>
      </w:r>
      <w:r>
        <w:rPr>
          <w:rFonts w:hint="eastAsia"/>
          <w:color w:val="000000" w:themeColor="text1"/>
          <w:highlight w:val="none"/>
          <w14:textFill>
            <w14:solidFill>
              <w14:schemeClr w14:val="tx1"/>
            </w14:solidFill>
          </w14:textFill>
        </w:rPr>
        <w:t>号）</w:t>
      </w:r>
      <w:r>
        <w:rPr>
          <w:rFonts w:hint="eastAsia"/>
          <w:color w:val="000000" w:themeColor="text1"/>
          <w:highlight w:val="none"/>
          <w:lang w:eastAsia="zh-CN"/>
          <w14:textFill>
            <w14:solidFill>
              <w14:schemeClr w14:val="tx1"/>
            </w14:solidFill>
          </w14:textFill>
        </w:rPr>
        <w:t>；</w:t>
      </w:r>
    </w:p>
    <w:p w14:paraId="656B78C3">
      <w:pPr>
        <w:rPr>
          <w:rFonts w:hint="eastAsia" w:eastAsia="宋体"/>
          <w:color w:val="000000" w:themeColor="text1"/>
          <w:highlight w:val="none"/>
          <w:lang w:eastAsia="zh-CN"/>
          <w14:textFill>
            <w14:solidFill>
              <w14:schemeClr w14:val="tx1"/>
            </w14:solidFill>
          </w14:textFill>
        </w:rPr>
      </w:pPr>
      <w:bookmarkStart w:id="22" w:name="_Toc12519"/>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33</w:t>
      </w:r>
      <w:r>
        <w:rPr>
          <w:rFonts w:hint="eastAsia"/>
          <w:color w:val="000000" w:themeColor="text1"/>
          <w:highlight w:val="none"/>
          <w14:textFill>
            <w14:solidFill>
              <w14:schemeClr w14:val="tx1"/>
            </w14:solidFill>
          </w14:textFill>
        </w:rPr>
        <w:t>）《关于进一步加强病死畜禽无害化处理工作的通知》（农牧发〔2020〕6号）</w:t>
      </w:r>
      <w:r>
        <w:rPr>
          <w:rFonts w:hint="eastAsia"/>
          <w:color w:val="000000" w:themeColor="text1"/>
          <w:highlight w:val="none"/>
          <w:lang w:eastAsia="zh-CN"/>
          <w14:textFill>
            <w14:solidFill>
              <w14:schemeClr w14:val="tx1"/>
            </w14:solidFill>
          </w14:textFill>
        </w:rPr>
        <w:t>；</w:t>
      </w:r>
    </w:p>
    <w:p w14:paraId="5A801D87">
      <w:pP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34</w:t>
      </w:r>
      <w:r>
        <w:rPr>
          <w:rFonts w:hint="eastAsia"/>
          <w:color w:val="000000" w:themeColor="text1"/>
          <w:highlight w:val="none"/>
          <w14:textFill>
            <w14:solidFill>
              <w14:schemeClr w14:val="tx1"/>
            </w14:solidFill>
          </w14:textFill>
        </w:rPr>
        <w:t>）《关于促进畜禽粪污还田利用依法加强养殖污染治理的指导意见》（农办牧〔2019〕84号）</w:t>
      </w:r>
      <w:r>
        <w:rPr>
          <w:rFonts w:hint="eastAsia"/>
          <w:color w:val="000000" w:themeColor="text1"/>
          <w:highlight w:val="none"/>
          <w:lang w:eastAsia="zh-CN"/>
          <w14:textFill>
            <w14:solidFill>
              <w14:schemeClr w14:val="tx1"/>
            </w14:solidFill>
          </w14:textFill>
        </w:rPr>
        <w:t>；</w:t>
      </w:r>
    </w:p>
    <w:p w14:paraId="740B1CDD">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2.1.3</w:t>
      </w:r>
      <w:r>
        <w:rPr>
          <w:rFonts w:hint="eastAsia"/>
          <w:color w:val="000000" w:themeColor="text1"/>
          <w:highlight w:val="none"/>
          <w14:textFill>
            <w14:solidFill>
              <w14:schemeClr w14:val="tx1"/>
            </w14:solidFill>
          </w14:textFill>
        </w:rPr>
        <w:t>地方性法规及政策</w:t>
      </w:r>
      <w:bookmarkEnd w:id="22"/>
    </w:p>
    <w:p w14:paraId="3C1E874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）《新疆维吾尔自治区环境保护条例》，</w:t>
      </w:r>
      <w:r>
        <w:rPr>
          <w:color w:val="000000" w:themeColor="text1"/>
          <w:highlight w:val="none"/>
          <w14:textFill>
            <w14:solidFill>
              <w14:schemeClr w14:val="tx1"/>
            </w14:solidFill>
          </w14:textFill>
        </w:rPr>
        <w:t>2019.01.01</w:t>
      </w:r>
      <w:r>
        <w:rPr>
          <w:rFonts w:hint="eastAsia"/>
          <w:color w:val="000000" w:themeColor="text1"/>
          <w:highlight w:val="none"/>
          <w14:textFill>
            <w14:solidFill>
              <w14:schemeClr w14:val="tx1"/>
            </w14:solidFill>
          </w14:textFill>
        </w:rPr>
        <w:t>；</w:t>
      </w:r>
    </w:p>
    <w:p w14:paraId="40CE237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）《新疆维吾尔自治区危险废物污染环境防治办法》（第</w:t>
      </w:r>
      <w:r>
        <w:rPr>
          <w:color w:val="000000" w:themeColor="text1"/>
          <w:highlight w:val="none"/>
          <w14:textFill>
            <w14:solidFill>
              <w14:schemeClr w14:val="tx1"/>
            </w14:solidFill>
          </w14:textFill>
        </w:rPr>
        <w:t>11</w:t>
      </w:r>
      <w:r>
        <w:rPr>
          <w:rFonts w:hint="eastAsia"/>
          <w:color w:val="000000" w:themeColor="text1"/>
          <w:highlight w:val="none"/>
          <w14:textFill>
            <w14:solidFill>
              <w14:schemeClr w14:val="tx1"/>
            </w14:solidFill>
          </w14:textFill>
        </w:rPr>
        <w:t>届人大第</w:t>
      </w:r>
      <w:r>
        <w:rPr>
          <w:color w:val="000000" w:themeColor="text1"/>
          <w:highlight w:val="none"/>
          <w14:textFill>
            <w14:solidFill>
              <w14:schemeClr w14:val="tx1"/>
            </w14:solidFill>
          </w14:textFill>
        </w:rPr>
        <w:t>9</w:t>
      </w:r>
      <w:r>
        <w:rPr>
          <w:rFonts w:hint="eastAsia"/>
          <w:color w:val="000000" w:themeColor="text1"/>
          <w:highlight w:val="none"/>
          <w14:textFill>
            <w14:solidFill>
              <w14:schemeClr w14:val="tx1"/>
            </w14:solidFill>
          </w14:textFill>
        </w:rPr>
        <w:t>次会议，</w:t>
      </w:r>
      <w:r>
        <w:rPr>
          <w:color w:val="000000" w:themeColor="text1"/>
          <w:highlight w:val="none"/>
          <w14:textFill>
            <w14:solidFill>
              <w14:schemeClr w14:val="tx1"/>
            </w14:solidFill>
          </w14:textFill>
        </w:rPr>
        <w:t>2010.05.01</w:t>
      </w:r>
      <w:r>
        <w:rPr>
          <w:rFonts w:hint="eastAsia"/>
          <w:color w:val="000000" w:themeColor="text1"/>
          <w:highlight w:val="none"/>
          <w14:textFill>
            <w14:solidFill>
              <w14:schemeClr w14:val="tx1"/>
            </w14:solidFill>
          </w14:textFill>
        </w:rPr>
        <w:t>）；</w:t>
      </w:r>
    </w:p>
    <w:p w14:paraId="7C49384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）《认真贯彻落实国务院关于做好建设节约型社会近期重点工作通知的实施意见》（新政发〔</w:t>
      </w:r>
      <w:r>
        <w:rPr>
          <w:color w:val="000000" w:themeColor="text1"/>
          <w:highlight w:val="none"/>
          <w14:textFill>
            <w14:solidFill>
              <w14:schemeClr w14:val="tx1"/>
            </w14:solidFill>
          </w14:textFill>
        </w:rPr>
        <w:t>2005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87</w:t>
      </w:r>
      <w:r>
        <w:rPr>
          <w:rFonts w:hint="eastAsia"/>
          <w:color w:val="000000" w:themeColor="text1"/>
          <w:highlight w:val="none"/>
          <w14:textFill>
            <w14:solidFill>
              <w14:schemeClr w14:val="tx1"/>
            </w14:solidFill>
          </w14:textFill>
        </w:rPr>
        <w:t>号）；</w:t>
      </w:r>
    </w:p>
    <w:p w14:paraId="7DFE9E1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）转发贯彻落实《全国生态环境保护纲要》实施意见的通知（自治区人民政府办公厅，</w:t>
      </w:r>
      <w:r>
        <w:rPr>
          <w:color w:val="000000" w:themeColor="text1"/>
          <w:highlight w:val="none"/>
          <w14:textFill>
            <w14:solidFill>
              <w14:schemeClr w14:val="tx1"/>
            </w14:solidFill>
          </w14:textFill>
        </w:rPr>
        <w:t>2009.09.30</w:t>
      </w:r>
      <w:r>
        <w:rPr>
          <w:rFonts w:hint="eastAsia"/>
          <w:color w:val="000000" w:themeColor="text1"/>
          <w:highlight w:val="none"/>
          <w14:textFill>
            <w14:solidFill>
              <w14:schemeClr w14:val="tx1"/>
            </w14:solidFill>
          </w14:textFill>
        </w:rPr>
        <w:t>）；</w:t>
      </w:r>
    </w:p>
    <w:p w14:paraId="0CB4CE0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）《关于印发新疆维吾尔自治区工业和生活用水定额的通知》（新政办发〔</w:t>
      </w:r>
      <w:r>
        <w:rPr>
          <w:color w:val="000000" w:themeColor="text1"/>
          <w:highlight w:val="none"/>
          <w14:textFill>
            <w14:solidFill>
              <w14:schemeClr w14:val="tx1"/>
            </w14:solidFill>
          </w14:textFill>
        </w:rPr>
        <w:t>2007</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105</w:t>
      </w:r>
      <w:r>
        <w:rPr>
          <w:rFonts w:hint="eastAsia"/>
          <w:color w:val="000000" w:themeColor="text1"/>
          <w:highlight w:val="none"/>
          <w14:textFill>
            <w14:solidFill>
              <w14:schemeClr w14:val="tx1"/>
            </w14:solidFill>
          </w14:textFill>
        </w:rPr>
        <w:t>号）；</w:t>
      </w:r>
    </w:p>
    <w:p w14:paraId="1A034D5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）《关于印发新疆维吾尔自治区大气污染防治行动计划实施方案的通知》（新政发〔</w:t>
      </w:r>
      <w:r>
        <w:rPr>
          <w:color w:val="000000" w:themeColor="text1"/>
          <w:highlight w:val="none"/>
          <w14:textFill>
            <w14:solidFill>
              <w14:schemeClr w14:val="tx1"/>
            </w14:solidFill>
          </w14:textFill>
        </w:rPr>
        <w:t>2014</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35</w:t>
      </w:r>
      <w:r>
        <w:rPr>
          <w:rFonts w:hint="eastAsia"/>
          <w:color w:val="000000" w:themeColor="text1"/>
          <w:highlight w:val="none"/>
          <w14:textFill>
            <w14:solidFill>
              <w14:schemeClr w14:val="tx1"/>
            </w14:solidFill>
          </w14:textFill>
        </w:rPr>
        <w:t>号）；</w:t>
      </w:r>
    </w:p>
    <w:p w14:paraId="4215E81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）《关于印发新疆生产建设兵团水污染防治工作方案的通知》（新兵发〔</w:t>
      </w:r>
      <w:r>
        <w:rPr>
          <w:color w:val="000000" w:themeColor="text1"/>
          <w:highlight w:val="none"/>
          <w14:textFill>
            <w14:solidFill>
              <w14:schemeClr w14:val="tx1"/>
            </w14:solidFill>
          </w14:textFill>
        </w:rPr>
        <w:t>2016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39</w:t>
      </w:r>
      <w:r>
        <w:rPr>
          <w:rFonts w:hint="eastAsia"/>
          <w:color w:val="000000" w:themeColor="text1"/>
          <w:highlight w:val="none"/>
          <w14:textFill>
            <w14:solidFill>
              <w14:schemeClr w14:val="tx1"/>
            </w14:solidFill>
          </w14:textFill>
        </w:rPr>
        <w:t>号）；</w:t>
      </w:r>
    </w:p>
    <w:p w14:paraId="1C959C60">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）关于印发《新疆生产建设兵团土壤污染防治工作方案的通知》（新兵发〔</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017〕9号）；</w:t>
      </w:r>
    </w:p>
    <w:p w14:paraId="1C2241DB">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w:t>
      </w:r>
      <w:r>
        <w:rPr>
          <w:rFonts w:hint="default"/>
          <w:color w:val="000000" w:themeColor="text1"/>
          <w:highlight w:val="none"/>
          <w14:textFill>
            <w14:solidFill>
              <w14:schemeClr w14:val="tx1"/>
            </w14:solidFill>
          </w14:textFill>
        </w:rPr>
        <w:t>《新疆维吾尔自治区重点行业生态环境准入条件（2024年）》</w:t>
      </w:r>
      <w:r>
        <w:rPr>
          <w:rFonts w:hint="eastAsia"/>
          <w:color w:val="000000" w:themeColor="text1"/>
          <w:highlight w:val="none"/>
          <w14:textFill>
            <w14:solidFill>
              <w14:schemeClr w14:val="tx1"/>
            </w14:solidFill>
          </w14:textFill>
        </w:rPr>
        <w:t>；</w:t>
      </w:r>
    </w:p>
    <w:p w14:paraId="477C817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）《新疆维吾尔自治区突发环境事件应急预案编制导则（试行）》（新环发〔</w:t>
      </w:r>
      <w:r>
        <w:rPr>
          <w:color w:val="000000" w:themeColor="text1"/>
          <w:highlight w:val="none"/>
          <w14:textFill>
            <w14:solidFill>
              <w14:schemeClr w14:val="tx1"/>
            </w14:solidFill>
          </w14:textFill>
        </w:rPr>
        <w:t>2014</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234</w:t>
      </w:r>
      <w:r>
        <w:rPr>
          <w:rFonts w:hint="eastAsia"/>
          <w:color w:val="000000" w:themeColor="text1"/>
          <w:highlight w:val="none"/>
          <w14:textFill>
            <w14:solidFill>
              <w14:schemeClr w14:val="tx1"/>
            </w14:solidFill>
          </w14:textFill>
        </w:rPr>
        <w:t>号）；</w:t>
      </w:r>
    </w:p>
    <w:p w14:paraId="5C80BD5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11</w:t>
      </w:r>
      <w:r>
        <w:rPr>
          <w:rFonts w:hint="eastAsia"/>
          <w:color w:val="000000" w:themeColor="text1"/>
          <w:highlight w:val="none"/>
          <w14:textFill>
            <w14:solidFill>
              <w14:schemeClr w14:val="tx1"/>
            </w14:solidFill>
          </w14:textFill>
        </w:rPr>
        <w:t>）《关于印发自治区〈建设项目主要污染物总量指标确认办法（试行）〉的通知》（新环总量发〔</w:t>
      </w:r>
      <w:r>
        <w:rPr>
          <w:color w:val="000000" w:themeColor="text1"/>
          <w:highlight w:val="none"/>
          <w14:textFill>
            <w14:solidFill>
              <w14:schemeClr w14:val="tx1"/>
            </w14:solidFill>
          </w14:textFill>
        </w:rPr>
        <w:t>2011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86</w:t>
      </w:r>
      <w:r>
        <w:rPr>
          <w:rFonts w:hint="eastAsia"/>
          <w:color w:val="000000" w:themeColor="text1"/>
          <w:highlight w:val="none"/>
          <w14:textFill>
            <w14:solidFill>
              <w14:schemeClr w14:val="tx1"/>
            </w14:solidFill>
          </w14:textFill>
        </w:rPr>
        <w:t>号）；</w:t>
      </w:r>
    </w:p>
    <w:p w14:paraId="711ED55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12</w:t>
      </w:r>
      <w:r>
        <w:rPr>
          <w:rFonts w:hint="eastAsia"/>
          <w:color w:val="000000" w:themeColor="text1"/>
          <w:highlight w:val="none"/>
          <w14:textFill>
            <w14:solidFill>
              <w14:schemeClr w14:val="tx1"/>
            </w14:solidFill>
          </w14:textFill>
        </w:rPr>
        <w:t>）《关于印发新疆维吾尔自治区</w:t>
      </w:r>
      <w:r>
        <w:rPr>
          <w:color w:val="000000" w:themeColor="text1"/>
          <w:highlight w:val="none"/>
          <w14:textFill>
            <w14:solidFill>
              <w14:schemeClr w14:val="tx1"/>
            </w14:solidFill>
          </w14:textFill>
        </w:rPr>
        <w:t>28</w:t>
      </w:r>
      <w:r>
        <w:rPr>
          <w:rFonts w:hint="eastAsia"/>
          <w:color w:val="000000" w:themeColor="text1"/>
          <w:highlight w:val="none"/>
          <w14:textFill>
            <w14:solidFill>
              <w14:schemeClr w14:val="tx1"/>
            </w14:solidFill>
          </w14:textFill>
        </w:rPr>
        <w:t>个国家重点生态功能区县（市）产业准入负面清单（试行）的通知》（新发改规划〔</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891</w:t>
      </w:r>
      <w:r>
        <w:rPr>
          <w:rFonts w:hint="eastAsia"/>
          <w:color w:val="000000" w:themeColor="text1"/>
          <w:highlight w:val="none"/>
          <w14:textFill>
            <w14:solidFill>
              <w14:schemeClr w14:val="tx1"/>
            </w14:solidFill>
          </w14:textFill>
        </w:rPr>
        <w:t>号）；</w:t>
      </w:r>
    </w:p>
    <w:p w14:paraId="10420A0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13</w:t>
      </w:r>
      <w:r>
        <w:rPr>
          <w:rFonts w:hint="eastAsia"/>
          <w:color w:val="000000" w:themeColor="text1"/>
          <w:highlight w:val="none"/>
          <w14:textFill>
            <w14:solidFill>
              <w14:schemeClr w14:val="tx1"/>
            </w14:solidFill>
          </w14:textFill>
        </w:rPr>
        <w:t>）《关于印发新疆生产建设兵团“三线一单”生态环境分区管控方案的通知》（新兵发〔</w:t>
      </w:r>
      <w:r>
        <w:rPr>
          <w:color w:val="000000" w:themeColor="text1"/>
          <w:highlight w:val="none"/>
          <w14:textFill>
            <w14:solidFill>
              <w14:schemeClr w14:val="tx1"/>
            </w14:solidFill>
          </w14:textFill>
        </w:rPr>
        <w:t>2021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16</w:t>
      </w:r>
      <w:r>
        <w:rPr>
          <w:rFonts w:hint="eastAsia"/>
          <w:color w:val="000000" w:themeColor="text1"/>
          <w:highlight w:val="none"/>
          <w14:textFill>
            <w14:solidFill>
              <w14:schemeClr w14:val="tx1"/>
            </w14:solidFill>
          </w14:textFill>
        </w:rPr>
        <w:t>号）；</w:t>
      </w:r>
    </w:p>
    <w:p w14:paraId="5FAB272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14</w:t>
      </w:r>
      <w:r>
        <w:rPr>
          <w:rFonts w:hint="eastAsia"/>
          <w:color w:val="000000" w:themeColor="text1"/>
          <w:highlight w:val="none"/>
          <w14:textFill>
            <w14:solidFill>
              <w14:schemeClr w14:val="tx1"/>
            </w14:solidFill>
          </w14:textFill>
        </w:rPr>
        <w:t>）关于印发《</w:t>
      </w:r>
      <w:r>
        <w:rPr>
          <w:rFonts w:hint="eastAsia"/>
          <w:color w:val="000000" w:themeColor="text1"/>
          <w:highlight w:val="none"/>
          <w:lang w:eastAsia="zh-CN"/>
          <w14:textFill>
            <w14:solidFill>
              <w14:schemeClr w14:val="tx1"/>
            </w14:solidFill>
          </w14:textFill>
        </w:rPr>
        <w:t>第七师胡杨河市</w:t>
      </w:r>
      <w:r>
        <w:rPr>
          <w:rFonts w:hint="eastAsia"/>
          <w:color w:val="000000" w:themeColor="text1"/>
          <w:highlight w:val="none"/>
          <w14:textFill>
            <w14:solidFill>
              <w14:schemeClr w14:val="tx1"/>
            </w14:solidFill>
          </w14:textFill>
        </w:rPr>
        <w:t>“三线一单”生态环境分区管控方案》的通知（师市发〔</w:t>
      </w:r>
      <w:r>
        <w:rPr>
          <w:color w:val="000000" w:themeColor="text1"/>
          <w:highlight w:val="none"/>
          <w14:textFill>
            <w14:solidFill>
              <w14:schemeClr w14:val="tx1"/>
            </w14:solidFill>
          </w14:textFill>
        </w:rPr>
        <w:t>2021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号）；</w:t>
      </w:r>
    </w:p>
    <w:p w14:paraId="5CC3498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）《新疆生产建设兵团国民经济和社会发展第十四个五年规划和</w:t>
      </w:r>
      <w:r>
        <w:rPr>
          <w:color w:val="000000" w:themeColor="text1"/>
          <w:highlight w:val="none"/>
          <w14:textFill>
            <w14:solidFill>
              <w14:schemeClr w14:val="tx1"/>
            </w14:solidFill>
          </w14:textFill>
        </w:rPr>
        <w:t>2035</w:t>
      </w:r>
      <w:r>
        <w:rPr>
          <w:rFonts w:hint="eastAsia"/>
          <w:color w:val="000000" w:themeColor="text1"/>
          <w:highlight w:val="none"/>
          <w14:textFill>
            <w14:solidFill>
              <w14:schemeClr w14:val="tx1"/>
            </w14:solidFill>
          </w14:textFill>
        </w:rPr>
        <w:t>年远景目标纲要》；</w:t>
      </w:r>
    </w:p>
    <w:p w14:paraId="3516781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16</w:t>
      </w:r>
      <w:r>
        <w:rPr>
          <w:rFonts w:hint="eastAsia"/>
          <w:color w:val="000000" w:themeColor="text1"/>
          <w:highlight w:val="none"/>
          <w14:textFill>
            <w14:solidFill>
              <w14:schemeClr w14:val="tx1"/>
            </w14:solidFill>
          </w14:textFill>
        </w:rPr>
        <w:t>）关于印发《新疆生产建设兵团“十四五”生态环境保护规划》的通知（</w:t>
      </w:r>
      <w:r>
        <w:rPr>
          <w:color w:val="000000" w:themeColor="text1"/>
          <w:highlight w:val="none"/>
          <w14:textFill>
            <w14:solidFill>
              <w14:schemeClr w14:val="tx1"/>
            </w14:solidFill>
          </w14:textFill>
        </w:rPr>
        <w:t>2022.1.28</w:t>
      </w:r>
      <w:r>
        <w:rPr>
          <w:rFonts w:hint="eastAsia"/>
          <w:color w:val="000000" w:themeColor="text1"/>
          <w:highlight w:val="none"/>
          <w14:textFill>
            <w14:solidFill>
              <w14:schemeClr w14:val="tx1"/>
            </w14:solidFill>
          </w14:textFill>
        </w:rPr>
        <w:t>）；</w:t>
      </w:r>
    </w:p>
    <w:p w14:paraId="0C114F99">
      <w:pPr>
        <w:pStyle w:val="4"/>
        <w:rPr>
          <w:color w:val="000000" w:themeColor="text1"/>
          <w:highlight w:val="none"/>
          <w14:textFill>
            <w14:solidFill>
              <w14:schemeClr w14:val="tx1"/>
            </w14:solidFill>
          </w14:textFill>
        </w:rPr>
      </w:pPr>
      <w:bookmarkStart w:id="23" w:name="_Toc17106"/>
      <w:r>
        <w:rPr>
          <w:color w:val="000000" w:themeColor="text1"/>
          <w:highlight w:val="none"/>
          <w14:textFill>
            <w14:solidFill>
              <w14:schemeClr w14:val="tx1"/>
            </w14:solidFill>
          </w14:textFill>
        </w:rPr>
        <w:t>2.1.4</w:t>
      </w:r>
      <w:r>
        <w:rPr>
          <w:rFonts w:hint="eastAsia"/>
          <w:color w:val="000000" w:themeColor="text1"/>
          <w:highlight w:val="none"/>
          <w14:textFill>
            <w14:solidFill>
              <w14:schemeClr w14:val="tx1"/>
            </w14:solidFill>
          </w14:textFill>
        </w:rPr>
        <w:t>相关规划</w:t>
      </w:r>
      <w:bookmarkEnd w:id="23"/>
      <w:r>
        <w:rPr>
          <w:rFonts w:hint="eastAsia"/>
          <w:color w:val="000000" w:themeColor="text1"/>
          <w:highlight w:val="none"/>
          <w14:textFill>
            <w14:solidFill>
              <w14:schemeClr w14:val="tx1"/>
            </w14:solidFill>
          </w14:textFill>
        </w:rPr>
        <w:t xml:space="preserve"> </w:t>
      </w:r>
    </w:p>
    <w:p w14:paraId="4F88BE3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）《全国地下水污染防治规划（</w:t>
      </w:r>
      <w:r>
        <w:rPr>
          <w:color w:val="000000" w:themeColor="text1"/>
          <w:highlight w:val="none"/>
          <w14:textFill>
            <w14:solidFill>
              <w14:schemeClr w14:val="tx1"/>
            </w14:solidFill>
          </w14:textFill>
        </w:rPr>
        <w:t>2011-2020</w:t>
      </w:r>
      <w:r>
        <w:rPr>
          <w:rFonts w:hint="eastAsia"/>
          <w:color w:val="000000" w:themeColor="text1"/>
          <w:highlight w:val="none"/>
          <w14:textFill>
            <w14:solidFill>
              <w14:schemeClr w14:val="tx1"/>
            </w14:solidFill>
          </w14:textFill>
        </w:rPr>
        <w:t>）》；</w:t>
      </w:r>
    </w:p>
    <w:p w14:paraId="4A35E59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）《新疆环境功能区划》；</w:t>
      </w:r>
    </w:p>
    <w:p w14:paraId="77EB6D9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）《新疆生产建设兵团生态功能区划》；</w:t>
      </w:r>
    </w:p>
    <w:p w14:paraId="126842A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）《新疆维吾尔自治区水环境功能区划》；</w:t>
      </w:r>
    </w:p>
    <w:p w14:paraId="0A8C8F3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）《新疆生产建设兵团“十四五”生态环境保护规划》；</w:t>
      </w:r>
    </w:p>
    <w:p w14:paraId="0E3A2E43">
      <w:pPr>
        <w:pStyle w:val="4"/>
        <w:rPr>
          <w:color w:val="000000" w:themeColor="text1"/>
          <w:highlight w:val="none"/>
          <w14:textFill>
            <w14:solidFill>
              <w14:schemeClr w14:val="tx1"/>
            </w14:solidFill>
          </w14:textFill>
        </w:rPr>
      </w:pPr>
      <w:bookmarkStart w:id="24" w:name="_Toc20074"/>
      <w:r>
        <w:rPr>
          <w:color w:val="000000" w:themeColor="text1"/>
          <w:highlight w:val="none"/>
          <w14:textFill>
            <w14:solidFill>
              <w14:schemeClr w14:val="tx1"/>
            </w14:solidFill>
          </w14:textFill>
        </w:rPr>
        <w:t>2.1.5</w:t>
      </w:r>
      <w:r>
        <w:rPr>
          <w:rFonts w:hint="eastAsia"/>
          <w:color w:val="000000" w:themeColor="text1"/>
          <w:highlight w:val="none"/>
          <w14:textFill>
            <w14:solidFill>
              <w14:schemeClr w14:val="tx1"/>
            </w14:solidFill>
          </w14:textFill>
        </w:rPr>
        <w:t>技术导则</w:t>
      </w:r>
      <w:bookmarkEnd w:id="24"/>
      <w:r>
        <w:rPr>
          <w:rFonts w:hint="eastAsia"/>
          <w:color w:val="000000" w:themeColor="text1"/>
          <w:highlight w:val="none"/>
          <w14:textFill>
            <w14:solidFill>
              <w14:schemeClr w14:val="tx1"/>
            </w14:solidFill>
          </w14:textFill>
        </w:rPr>
        <w:t xml:space="preserve"> </w:t>
      </w:r>
    </w:p>
    <w:p w14:paraId="265583A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）《建设项目环境影响评价技术导则 总纲》（</w:t>
      </w:r>
      <w:r>
        <w:rPr>
          <w:color w:val="000000" w:themeColor="text1"/>
          <w:highlight w:val="none"/>
          <w14:textFill>
            <w14:solidFill>
              <w14:schemeClr w14:val="tx1"/>
            </w14:solidFill>
          </w14:textFill>
        </w:rPr>
        <w:t>HJ2.1-2016</w:t>
      </w:r>
      <w:r>
        <w:rPr>
          <w:rFonts w:hint="eastAsia"/>
          <w:color w:val="000000" w:themeColor="text1"/>
          <w:highlight w:val="none"/>
          <w14:textFill>
            <w14:solidFill>
              <w14:schemeClr w14:val="tx1"/>
            </w14:solidFill>
          </w14:textFill>
        </w:rPr>
        <w:t>）；</w:t>
      </w:r>
    </w:p>
    <w:p w14:paraId="3558FCB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）《环境影响评价技术导则 大气环境》（</w:t>
      </w:r>
      <w:r>
        <w:rPr>
          <w:color w:val="000000" w:themeColor="text1"/>
          <w:highlight w:val="none"/>
          <w14:textFill>
            <w14:solidFill>
              <w14:schemeClr w14:val="tx1"/>
            </w14:solidFill>
          </w14:textFill>
        </w:rPr>
        <w:t>HJ2.2-2018</w:t>
      </w:r>
      <w:r>
        <w:rPr>
          <w:rFonts w:hint="eastAsia"/>
          <w:color w:val="000000" w:themeColor="text1"/>
          <w:highlight w:val="none"/>
          <w14:textFill>
            <w14:solidFill>
              <w14:schemeClr w14:val="tx1"/>
            </w14:solidFill>
          </w14:textFill>
        </w:rPr>
        <w:t>）；</w:t>
      </w:r>
    </w:p>
    <w:p w14:paraId="549962A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）《环境影响评价技术导则 地表水环境》（HJ 2.3-2018）；</w:t>
      </w:r>
    </w:p>
    <w:p w14:paraId="54D973A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）《环境影响评价技术导则 声环境》（</w:t>
      </w:r>
      <w:r>
        <w:rPr>
          <w:color w:val="000000" w:themeColor="text1"/>
          <w:highlight w:val="none"/>
          <w14:textFill>
            <w14:solidFill>
              <w14:schemeClr w14:val="tx1"/>
            </w14:solidFill>
          </w14:textFill>
        </w:rPr>
        <w:t>HJ2.4-2021</w:t>
      </w:r>
      <w:r>
        <w:rPr>
          <w:rFonts w:hint="eastAsia"/>
          <w:color w:val="000000" w:themeColor="text1"/>
          <w:highlight w:val="none"/>
          <w14:textFill>
            <w14:solidFill>
              <w14:schemeClr w14:val="tx1"/>
            </w14:solidFill>
          </w14:textFill>
        </w:rPr>
        <w:t xml:space="preserve">）； </w:t>
      </w:r>
    </w:p>
    <w:p w14:paraId="33B7388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）《环境影响评价技术导则 地下水环境》（</w:t>
      </w:r>
      <w:r>
        <w:rPr>
          <w:color w:val="000000" w:themeColor="text1"/>
          <w:highlight w:val="none"/>
          <w14:textFill>
            <w14:solidFill>
              <w14:schemeClr w14:val="tx1"/>
            </w14:solidFill>
          </w14:textFill>
        </w:rPr>
        <w:t>HJ610-2016</w:t>
      </w:r>
      <w:r>
        <w:rPr>
          <w:rFonts w:hint="eastAsia"/>
          <w:color w:val="000000" w:themeColor="text1"/>
          <w:highlight w:val="none"/>
          <w14:textFill>
            <w14:solidFill>
              <w14:schemeClr w14:val="tx1"/>
            </w14:solidFill>
          </w14:textFill>
        </w:rPr>
        <w:t xml:space="preserve">）； </w:t>
      </w:r>
    </w:p>
    <w:p w14:paraId="01C44C8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6</w:t>
      </w:r>
      <w:r>
        <w:rPr>
          <w:rFonts w:hint="eastAsia"/>
          <w:color w:val="000000" w:themeColor="text1"/>
          <w:highlight w:val="none"/>
          <w14:textFill>
            <w14:solidFill>
              <w14:schemeClr w14:val="tx1"/>
            </w14:solidFill>
          </w14:textFill>
        </w:rPr>
        <w:t>）《环境影响评价技术导则 生态影响》（</w:t>
      </w:r>
      <w:r>
        <w:rPr>
          <w:color w:val="000000" w:themeColor="text1"/>
          <w:highlight w:val="none"/>
          <w14:textFill>
            <w14:solidFill>
              <w14:schemeClr w14:val="tx1"/>
            </w14:solidFill>
          </w14:textFill>
        </w:rPr>
        <w:t>HJ19-2022</w:t>
      </w:r>
      <w:r>
        <w:rPr>
          <w:rFonts w:hint="eastAsia"/>
          <w:color w:val="000000" w:themeColor="text1"/>
          <w:highlight w:val="none"/>
          <w14:textFill>
            <w14:solidFill>
              <w14:schemeClr w14:val="tx1"/>
            </w14:solidFill>
          </w14:textFill>
        </w:rPr>
        <w:t xml:space="preserve">）； </w:t>
      </w:r>
    </w:p>
    <w:p w14:paraId="0F46FDA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 xml:space="preserve">）《建设项目环境风险评价技术导则》（HJ 169-2018）； </w:t>
      </w:r>
    </w:p>
    <w:p w14:paraId="2F70340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）《环境影响评价技术导则 土壤环境（试行）》（</w:t>
      </w:r>
      <w:r>
        <w:rPr>
          <w:color w:val="000000" w:themeColor="text1"/>
          <w:highlight w:val="none"/>
          <w14:textFill>
            <w14:solidFill>
              <w14:schemeClr w14:val="tx1"/>
            </w14:solidFill>
          </w14:textFill>
        </w:rPr>
        <w:t>HJ964-2018</w:t>
      </w:r>
      <w:r>
        <w:rPr>
          <w:rFonts w:hint="eastAsia"/>
          <w:color w:val="000000" w:themeColor="text1"/>
          <w:highlight w:val="none"/>
          <w14:textFill>
            <w14:solidFill>
              <w14:schemeClr w14:val="tx1"/>
            </w14:solidFill>
          </w14:textFill>
        </w:rPr>
        <w:t xml:space="preserve">）； </w:t>
      </w:r>
    </w:p>
    <w:p w14:paraId="01A0C28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）《固体废物鉴别标准 通则》（</w:t>
      </w:r>
      <w:r>
        <w:rPr>
          <w:color w:val="000000" w:themeColor="text1"/>
          <w:highlight w:val="none"/>
          <w14:textFill>
            <w14:solidFill>
              <w14:schemeClr w14:val="tx1"/>
            </w14:solidFill>
          </w14:textFill>
        </w:rPr>
        <w:t>GB34330-2017</w:t>
      </w:r>
      <w:r>
        <w:rPr>
          <w:rFonts w:hint="eastAsia"/>
          <w:color w:val="000000" w:themeColor="text1"/>
          <w:highlight w:val="none"/>
          <w14:textFill>
            <w14:solidFill>
              <w14:schemeClr w14:val="tx1"/>
            </w14:solidFill>
          </w14:textFill>
        </w:rPr>
        <w:t xml:space="preserve">）； </w:t>
      </w:r>
    </w:p>
    <w:p w14:paraId="2685877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11</w:t>
      </w:r>
      <w:r>
        <w:rPr>
          <w:rFonts w:hint="eastAsia"/>
          <w:color w:val="000000" w:themeColor="text1"/>
          <w:highlight w:val="none"/>
          <w14:textFill>
            <w14:solidFill>
              <w14:schemeClr w14:val="tx1"/>
            </w14:solidFill>
          </w14:textFill>
        </w:rPr>
        <w:t>）《危险废物鉴别标准 通则》（</w:t>
      </w:r>
      <w:r>
        <w:rPr>
          <w:color w:val="000000" w:themeColor="text1"/>
          <w:highlight w:val="none"/>
          <w14:textFill>
            <w14:solidFill>
              <w14:schemeClr w14:val="tx1"/>
            </w14:solidFill>
          </w14:textFill>
        </w:rPr>
        <w:t>GB5085.7-2019</w:t>
      </w:r>
      <w:r>
        <w:rPr>
          <w:rFonts w:hint="eastAsia"/>
          <w:color w:val="000000" w:themeColor="text1"/>
          <w:highlight w:val="none"/>
          <w14:textFill>
            <w14:solidFill>
              <w14:schemeClr w14:val="tx1"/>
            </w14:solidFill>
          </w14:textFill>
        </w:rPr>
        <w:t>）；</w:t>
      </w:r>
    </w:p>
    <w:p w14:paraId="44DDAD6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12</w:t>
      </w:r>
      <w:r>
        <w:rPr>
          <w:rFonts w:hint="eastAsia"/>
          <w:color w:val="000000" w:themeColor="text1"/>
          <w:highlight w:val="none"/>
          <w14:textFill>
            <w14:solidFill>
              <w14:schemeClr w14:val="tx1"/>
            </w14:solidFill>
          </w14:textFill>
        </w:rPr>
        <w:t>）《危险废物收集 贮存 运输技术规范》（</w:t>
      </w:r>
      <w:r>
        <w:rPr>
          <w:color w:val="000000" w:themeColor="text1"/>
          <w:highlight w:val="none"/>
          <w14:textFill>
            <w14:solidFill>
              <w14:schemeClr w14:val="tx1"/>
            </w14:solidFill>
          </w14:textFill>
        </w:rPr>
        <w:t>HJ2025-2012</w:t>
      </w:r>
      <w:r>
        <w:rPr>
          <w:rFonts w:hint="eastAsia"/>
          <w:color w:val="000000" w:themeColor="text1"/>
          <w:highlight w:val="none"/>
          <w14:textFill>
            <w14:solidFill>
              <w14:schemeClr w14:val="tx1"/>
            </w14:solidFill>
          </w14:textFill>
        </w:rPr>
        <w:t xml:space="preserve">）； </w:t>
      </w:r>
    </w:p>
    <w:p w14:paraId="3FF2BD5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13</w:t>
      </w:r>
      <w:r>
        <w:rPr>
          <w:rFonts w:hint="eastAsia"/>
          <w:color w:val="000000" w:themeColor="text1"/>
          <w:highlight w:val="none"/>
          <w14:textFill>
            <w14:solidFill>
              <w14:schemeClr w14:val="tx1"/>
            </w14:solidFill>
          </w14:textFill>
        </w:rPr>
        <w:t>）《排污许可证申请与核发技术规范总则》（</w:t>
      </w:r>
      <w:r>
        <w:rPr>
          <w:color w:val="000000" w:themeColor="text1"/>
          <w:highlight w:val="none"/>
          <w14:textFill>
            <w14:solidFill>
              <w14:schemeClr w14:val="tx1"/>
            </w14:solidFill>
          </w14:textFill>
        </w:rPr>
        <w:t>HJ942-2018</w:t>
      </w:r>
      <w:r>
        <w:rPr>
          <w:rFonts w:hint="eastAsia"/>
          <w:color w:val="000000" w:themeColor="text1"/>
          <w:highlight w:val="none"/>
          <w14:textFill>
            <w14:solidFill>
              <w14:schemeClr w14:val="tx1"/>
            </w14:solidFill>
          </w14:textFill>
        </w:rPr>
        <w:t xml:space="preserve">）； </w:t>
      </w:r>
    </w:p>
    <w:p w14:paraId="24BE61D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14</w:t>
      </w:r>
      <w:r>
        <w:rPr>
          <w:rFonts w:hint="eastAsia"/>
          <w:color w:val="000000" w:themeColor="text1"/>
          <w:highlight w:val="none"/>
          <w14:textFill>
            <w14:solidFill>
              <w14:schemeClr w14:val="tx1"/>
            </w14:solidFill>
          </w14:textFill>
        </w:rPr>
        <w:t>）《排污单位自行监测技术指南总则》（</w:t>
      </w:r>
      <w:r>
        <w:rPr>
          <w:color w:val="000000" w:themeColor="text1"/>
          <w:highlight w:val="none"/>
          <w14:textFill>
            <w14:solidFill>
              <w14:schemeClr w14:val="tx1"/>
            </w14:solidFill>
          </w14:textFill>
        </w:rPr>
        <w:t>HJ819-2017</w:t>
      </w:r>
      <w:r>
        <w:rPr>
          <w:rFonts w:hint="eastAsia"/>
          <w:color w:val="000000" w:themeColor="text1"/>
          <w:highlight w:val="none"/>
          <w14:textFill>
            <w14:solidFill>
              <w14:schemeClr w14:val="tx1"/>
            </w14:solidFill>
          </w14:textFill>
        </w:rPr>
        <w:t xml:space="preserve">）； </w:t>
      </w:r>
    </w:p>
    <w:p w14:paraId="0338E84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）《排污许可证申请与核发技术规范畜禽养殖行业》（</w:t>
      </w:r>
      <w:r>
        <w:rPr>
          <w:color w:val="000000" w:themeColor="text1"/>
          <w:highlight w:val="none"/>
          <w14:textFill>
            <w14:solidFill>
              <w14:schemeClr w14:val="tx1"/>
            </w14:solidFill>
          </w14:textFill>
        </w:rPr>
        <w:t>HJ1029-2019</w:t>
      </w:r>
      <w:r>
        <w:rPr>
          <w:rFonts w:hint="eastAsia"/>
          <w:color w:val="000000" w:themeColor="text1"/>
          <w:highlight w:val="none"/>
          <w14:textFill>
            <w14:solidFill>
              <w14:schemeClr w14:val="tx1"/>
            </w14:solidFill>
          </w14:textFill>
        </w:rPr>
        <w:t xml:space="preserve">）。 </w:t>
      </w:r>
    </w:p>
    <w:p w14:paraId="384C82F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16</w:t>
      </w:r>
      <w:r>
        <w:rPr>
          <w:rFonts w:hint="eastAsia"/>
          <w:color w:val="000000" w:themeColor="text1"/>
          <w:highlight w:val="none"/>
          <w14:textFill>
            <w14:solidFill>
              <w14:schemeClr w14:val="tx1"/>
            </w14:solidFill>
          </w14:textFill>
        </w:rPr>
        <w:t>）《畜禽养殖业污染治理工程技术规范》（</w:t>
      </w:r>
      <w:r>
        <w:rPr>
          <w:color w:val="000000" w:themeColor="text1"/>
          <w:highlight w:val="none"/>
          <w14:textFill>
            <w14:solidFill>
              <w14:schemeClr w14:val="tx1"/>
            </w14:solidFill>
          </w14:textFill>
        </w:rPr>
        <w:t>HJ497-2009</w:t>
      </w:r>
      <w:r>
        <w:rPr>
          <w:rFonts w:hint="eastAsia"/>
          <w:color w:val="000000" w:themeColor="text1"/>
          <w:highlight w:val="none"/>
          <w14:textFill>
            <w14:solidFill>
              <w14:schemeClr w14:val="tx1"/>
            </w14:solidFill>
          </w14:textFill>
        </w:rPr>
        <w:t xml:space="preserve">）； </w:t>
      </w:r>
    </w:p>
    <w:p w14:paraId="0AEEBD8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17</w:t>
      </w:r>
      <w:r>
        <w:rPr>
          <w:rFonts w:hint="eastAsia"/>
          <w:color w:val="000000" w:themeColor="text1"/>
          <w:highlight w:val="none"/>
          <w14:textFill>
            <w14:solidFill>
              <w14:schemeClr w14:val="tx1"/>
            </w14:solidFill>
          </w14:textFill>
        </w:rPr>
        <w:t>）《畜禽养殖污染防治最佳可行技术指南（试行）》（</w:t>
      </w:r>
      <w:r>
        <w:rPr>
          <w:color w:val="000000" w:themeColor="text1"/>
          <w:highlight w:val="none"/>
          <w14:textFill>
            <w14:solidFill>
              <w14:schemeClr w14:val="tx1"/>
            </w14:solidFill>
          </w14:textFill>
        </w:rPr>
        <w:t>HJ-BAT-10</w:t>
      </w:r>
      <w:r>
        <w:rPr>
          <w:rFonts w:hint="eastAsia"/>
          <w:color w:val="000000" w:themeColor="text1"/>
          <w:highlight w:val="none"/>
          <w14:textFill>
            <w14:solidFill>
              <w14:schemeClr w14:val="tx1"/>
            </w14:solidFill>
          </w14:textFill>
        </w:rPr>
        <w:t>）；</w:t>
      </w:r>
    </w:p>
    <w:p w14:paraId="21579E9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18</w:t>
      </w:r>
      <w:r>
        <w:rPr>
          <w:rFonts w:hint="eastAsia"/>
          <w:color w:val="000000" w:themeColor="text1"/>
          <w:highlight w:val="none"/>
          <w14:textFill>
            <w14:solidFill>
              <w14:schemeClr w14:val="tx1"/>
            </w14:solidFill>
          </w14:textFill>
        </w:rPr>
        <w:t>）《畜禽养殖业污染防治技术政策》（环发〔</w:t>
      </w:r>
      <w:r>
        <w:rPr>
          <w:color w:val="000000" w:themeColor="text1"/>
          <w:highlight w:val="none"/>
          <w14:textFill>
            <w14:solidFill>
              <w14:schemeClr w14:val="tx1"/>
            </w14:solidFill>
          </w14:textFill>
        </w:rPr>
        <w:t>2010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151</w:t>
      </w:r>
      <w:r>
        <w:rPr>
          <w:rFonts w:hint="eastAsia"/>
          <w:color w:val="000000" w:themeColor="text1"/>
          <w:highlight w:val="none"/>
          <w14:textFill>
            <w14:solidFill>
              <w14:schemeClr w14:val="tx1"/>
            </w14:solidFill>
          </w14:textFill>
        </w:rPr>
        <w:t>号）；</w:t>
      </w:r>
    </w:p>
    <w:p w14:paraId="48197075">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19</w:t>
      </w:r>
      <w:r>
        <w:rPr>
          <w:rFonts w:hint="eastAsia"/>
          <w:color w:val="000000" w:themeColor="text1"/>
          <w:highlight w:val="none"/>
          <w14:textFill>
            <w14:solidFill>
              <w14:schemeClr w14:val="tx1"/>
            </w14:solidFill>
          </w14:textFill>
        </w:rPr>
        <w:t>）《畜禽养殖产地环境评价规范》（</w:t>
      </w:r>
      <w:r>
        <w:rPr>
          <w:color w:val="000000" w:themeColor="text1"/>
          <w:highlight w:val="none"/>
          <w14:textFill>
            <w14:solidFill>
              <w14:schemeClr w14:val="tx1"/>
            </w14:solidFill>
          </w14:textFill>
        </w:rPr>
        <w:t>HJ568-2010</w:t>
      </w:r>
      <w:r>
        <w:rPr>
          <w:rFonts w:hint="eastAsia"/>
          <w:color w:val="000000" w:themeColor="text1"/>
          <w:highlight w:val="none"/>
          <w14:textFill>
            <w14:solidFill>
              <w14:schemeClr w14:val="tx1"/>
            </w14:solidFill>
          </w14:textFill>
        </w:rPr>
        <w:t>）；</w:t>
      </w:r>
    </w:p>
    <w:p w14:paraId="1C64357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）《畜禽养殖业污染防治技术规范》（</w:t>
      </w:r>
      <w:r>
        <w:rPr>
          <w:color w:val="000000" w:themeColor="text1"/>
          <w:highlight w:val="none"/>
          <w14:textFill>
            <w14:solidFill>
              <w14:schemeClr w14:val="tx1"/>
            </w14:solidFill>
          </w14:textFill>
        </w:rPr>
        <w:t>HJ/T81-2001</w:t>
      </w:r>
      <w:r>
        <w:rPr>
          <w:rFonts w:hint="eastAsia"/>
          <w:color w:val="000000" w:themeColor="text1"/>
          <w:highlight w:val="none"/>
          <w14:textFill>
            <w14:solidFill>
              <w14:schemeClr w14:val="tx1"/>
            </w14:solidFill>
          </w14:textFill>
        </w:rPr>
        <w:t>）；</w:t>
      </w:r>
    </w:p>
    <w:p w14:paraId="7DB73E8A">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21</w:t>
      </w:r>
      <w:r>
        <w:rPr>
          <w:rFonts w:hint="eastAsia"/>
          <w:color w:val="000000" w:themeColor="text1"/>
          <w:highlight w:val="none"/>
          <w14:textFill>
            <w14:solidFill>
              <w14:schemeClr w14:val="tx1"/>
            </w14:solidFill>
          </w14:textFill>
        </w:rPr>
        <w:t>）《病死及病害动物无害化处理技术规范》（农医发〔</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25</w:t>
      </w:r>
      <w:r>
        <w:rPr>
          <w:rFonts w:hint="eastAsia"/>
          <w:color w:val="000000" w:themeColor="text1"/>
          <w:highlight w:val="none"/>
          <w14:textFill>
            <w14:solidFill>
              <w14:schemeClr w14:val="tx1"/>
            </w14:solidFill>
          </w14:textFill>
        </w:rPr>
        <w:t>号）；</w:t>
      </w:r>
    </w:p>
    <w:p w14:paraId="194687E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22</w:t>
      </w:r>
      <w:r>
        <w:rPr>
          <w:rFonts w:hint="eastAsia"/>
          <w:color w:val="000000" w:themeColor="text1"/>
          <w:highlight w:val="none"/>
          <w14:textFill>
            <w14:solidFill>
              <w14:schemeClr w14:val="tx1"/>
            </w14:solidFill>
          </w14:textFill>
        </w:rPr>
        <w:t>）《畜禽粪便无害化处理技术规范》（</w:t>
      </w:r>
      <w:r>
        <w:rPr>
          <w:color w:val="000000" w:themeColor="text1"/>
          <w:highlight w:val="none"/>
          <w14:textFill>
            <w14:solidFill>
              <w14:schemeClr w14:val="tx1"/>
            </w14:solidFill>
          </w14:textFill>
        </w:rPr>
        <w:t>GB/T36195-2018</w:t>
      </w:r>
      <w:r>
        <w:rPr>
          <w:rFonts w:hint="eastAsia"/>
          <w:color w:val="000000" w:themeColor="text1"/>
          <w:highlight w:val="none"/>
          <w14:textFill>
            <w14:solidFill>
              <w14:schemeClr w14:val="tx1"/>
            </w14:solidFill>
          </w14:textFill>
        </w:rPr>
        <w:t>）。</w:t>
      </w:r>
    </w:p>
    <w:p w14:paraId="72BB8F50">
      <w:pPr>
        <w:pStyle w:val="4"/>
        <w:rPr>
          <w:color w:val="000000" w:themeColor="text1"/>
          <w:highlight w:val="none"/>
          <w14:textFill>
            <w14:solidFill>
              <w14:schemeClr w14:val="tx1"/>
            </w14:solidFill>
          </w14:textFill>
        </w:rPr>
      </w:pPr>
      <w:bookmarkStart w:id="25" w:name="_Toc12299"/>
      <w:r>
        <w:rPr>
          <w:color w:val="000000" w:themeColor="text1"/>
          <w:highlight w:val="none"/>
          <w14:textFill>
            <w14:solidFill>
              <w14:schemeClr w14:val="tx1"/>
            </w14:solidFill>
          </w14:textFill>
        </w:rPr>
        <w:t>2.1.6</w:t>
      </w:r>
      <w:r>
        <w:rPr>
          <w:rFonts w:hint="eastAsia"/>
          <w:color w:val="000000" w:themeColor="text1"/>
          <w:highlight w:val="none"/>
          <w14:textFill>
            <w14:solidFill>
              <w14:schemeClr w14:val="tx1"/>
            </w14:solidFill>
          </w14:textFill>
        </w:rPr>
        <w:t>技术文件及相关资料</w:t>
      </w:r>
      <w:bookmarkEnd w:id="25"/>
      <w:r>
        <w:rPr>
          <w:rFonts w:hint="eastAsia"/>
          <w:color w:val="000000" w:themeColor="text1"/>
          <w:highlight w:val="none"/>
          <w14:textFill>
            <w14:solidFill>
              <w14:schemeClr w14:val="tx1"/>
            </w14:solidFill>
          </w14:textFill>
        </w:rPr>
        <w:t xml:space="preserve"> </w:t>
      </w:r>
    </w:p>
    <w:p w14:paraId="3CB8BFD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胡杨河市宏信种猪养殖基地项目</w:t>
      </w:r>
      <w:r>
        <w:rPr>
          <w:rFonts w:hint="eastAsia"/>
          <w:color w:val="000000" w:themeColor="text1"/>
          <w:highlight w:val="none"/>
          <w14:textFill>
            <w14:solidFill>
              <w14:schemeClr w14:val="tx1"/>
            </w14:solidFill>
          </w14:textFill>
        </w:rPr>
        <w:t>环境影响评价工作的委托书；</w:t>
      </w:r>
    </w:p>
    <w:p w14:paraId="135469A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胡杨河市宏信种猪养殖基地项目</w:t>
      </w:r>
      <w:r>
        <w:rPr>
          <w:rFonts w:hint="eastAsia"/>
          <w:color w:val="000000" w:themeColor="text1"/>
          <w:highlight w:val="none"/>
          <w14:textFill>
            <w14:solidFill>
              <w14:schemeClr w14:val="tx1"/>
            </w14:solidFill>
          </w14:textFill>
        </w:rPr>
        <w:t>》项目建议书；</w:t>
      </w:r>
    </w:p>
    <w:p w14:paraId="30B749B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）环境质量现状监测报告；</w:t>
      </w:r>
    </w:p>
    <w:p w14:paraId="1DC6412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）建设单位提供的与本项目有关的其他技术资料。</w:t>
      </w:r>
    </w:p>
    <w:p w14:paraId="068C981D">
      <w:pPr>
        <w:pStyle w:val="3"/>
        <w:rPr>
          <w:color w:val="000000" w:themeColor="text1"/>
          <w:highlight w:val="none"/>
          <w:lang w:eastAsia="zh-CN"/>
          <w14:textFill>
            <w14:solidFill>
              <w14:schemeClr w14:val="tx1"/>
            </w14:solidFill>
          </w14:textFill>
        </w:rPr>
      </w:pPr>
      <w:bookmarkStart w:id="26" w:name="_Toc7389"/>
      <w:bookmarkStart w:id="27" w:name="_Toc25755"/>
      <w:r>
        <w:rPr>
          <w:color w:val="000000" w:themeColor="text1"/>
          <w:highlight w:val="none"/>
          <w:lang w:eastAsia="zh-CN"/>
          <w14:textFill>
            <w14:solidFill>
              <w14:schemeClr w14:val="tx1"/>
            </w14:solidFill>
          </w14:textFill>
        </w:rPr>
        <w:t>2.2</w:t>
      </w:r>
      <w:r>
        <w:rPr>
          <w:rFonts w:hint="eastAsia"/>
          <w:color w:val="000000" w:themeColor="text1"/>
          <w:highlight w:val="none"/>
          <w:lang w:eastAsia="zh-CN"/>
          <w14:textFill>
            <w14:solidFill>
              <w14:schemeClr w14:val="tx1"/>
            </w14:solidFill>
          </w14:textFill>
        </w:rPr>
        <w:t>评价目的及原则</w:t>
      </w:r>
      <w:bookmarkEnd w:id="26"/>
      <w:bookmarkEnd w:id="27"/>
    </w:p>
    <w:p w14:paraId="26D206CA">
      <w:pPr>
        <w:pStyle w:val="4"/>
        <w:rPr>
          <w:color w:val="000000" w:themeColor="text1"/>
          <w:highlight w:val="none"/>
          <w14:textFill>
            <w14:solidFill>
              <w14:schemeClr w14:val="tx1"/>
            </w14:solidFill>
          </w14:textFill>
        </w:rPr>
      </w:pPr>
      <w:bookmarkStart w:id="28" w:name="_Toc18053"/>
      <w:r>
        <w:rPr>
          <w:color w:val="000000" w:themeColor="text1"/>
          <w:highlight w:val="none"/>
          <w14:textFill>
            <w14:solidFill>
              <w14:schemeClr w14:val="tx1"/>
            </w14:solidFill>
          </w14:textFill>
        </w:rPr>
        <w:t>2.2.1</w:t>
      </w:r>
      <w:r>
        <w:rPr>
          <w:rFonts w:hint="eastAsia"/>
          <w:color w:val="000000" w:themeColor="text1"/>
          <w:highlight w:val="none"/>
          <w14:textFill>
            <w14:solidFill>
              <w14:schemeClr w14:val="tx1"/>
            </w14:solidFill>
          </w14:textFill>
        </w:rPr>
        <w:t>评价目的</w:t>
      </w:r>
      <w:bookmarkEnd w:id="28"/>
    </w:p>
    <w:p w14:paraId="10A0A39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）通过对建设项目周围的自然环境、环境质量现状的调查与分析，为项目建设提供现状材料；</w:t>
      </w:r>
    </w:p>
    <w:p w14:paraId="6B1B295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）通过工程分析，查清该项目的污染类型、排污节点、主要污染源及污染物排放规律、浓度和治理情况，并对污染物达标排放进行分析；</w:t>
      </w:r>
    </w:p>
    <w:p w14:paraId="2C29175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）论证本项目采取的环境保护措施的可行性及合理性，并针对存在的问题，提出预防或者减轻不良环境影响的对策和措施；</w:t>
      </w:r>
    </w:p>
    <w:p w14:paraId="2D8EFF9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 xml:space="preserve">）论证项目与产业政策的符合性、与当地建设规划的相容性、资源利用可行性以及环境可行性； </w:t>
      </w:r>
    </w:p>
    <w:p w14:paraId="0B149BC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 xml:space="preserve">）分析本项目可能存在的事故隐患，预测可能产生的环境风险程度，提出具体的环境风险防范措施。 </w:t>
      </w:r>
    </w:p>
    <w:p w14:paraId="5992491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通过上述评价，论证项目在环境方面的可行性，给出环境影响评价结论，为环境保护主管部门提供决策依据。</w:t>
      </w:r>
    </w:p>
    <w:p w14:paraId="6C4382A5">
      <w:pPr>
        <w:pStyle w:val="4"/>
        <w:rPr>
          <w:color w:val="000000" w:themeColor="text1"/>
          <w:highlight w:val="none"/>
          <w14:textFill>
            <w14:solidFill>
              <w14:schemeClr w14:val="tx1"/>
            </w14:solidFill>
          </w14:textFill>
        </w:rPr>
      </w:pPr>
      <w:bookmarkStart w:id="29" w:name="_Toc15914"/>
      <w:r>
        <w:rPr>
          <w:color w:val="000000" w:themeColor="text1"/>
          <w:highlight w:val="none"/>
          <w14:textFill>
            <w14:solidFill>
              <w14:schemeClr w14:val="tx1"/>
            </w14:solidFill>
          </w14:textFill>
        </w:rPr>
        <w:t>2.2.2</w:t>
      </w:r>
      <w:r>
        <w:rPr>
          <w:rFonts w:hint="eastAsia"/>
          <w:color w:val="000000" w:themeColor="text1"/>
          <w:highlight w:val="none"/>
          <w14:textFill>
            <w14:solidFill>
              <w14:schemeClr w14:val="tx1"/>
            </w14:solidFill>
          </w14:textFill>
        </w:rPr>
        <w:t>评价原则</w:t>
      </w:r>
      <w:bookmarkEnd w:id="29"/>
    </w:p>
    <w:p w14:paraId="6314E690">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突出环境影响评价的源头预防作用，坚持保护和改善环境质量。</w:t>
      </w:r>
    </w:p>
    <w:p w14:paraId="44D8BB5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）依法评价</w:t>
      </w:r>
    </w:p>
    <w:p w14:paraId="3383C8DE">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贯彻执行我国环境保护相关法律法规、标准、政策和规划等，优化项目建设，服务环境管理。</w:t>
      </w:r>
    </w:p>
    <w:p w14:paraId="4D75618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）科学评价</w:t>
      </w:r>
    </w:p>
    <w:p w14:paraId="211FF8D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规范环境影响评价方法，科学分析项目建设对环境质量的影响。 </w:t>
      </w:r>
    </w:p>
    <w:p w14:paraId="2972C01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）突出重点</w:t>
      </w:r>
    </w:p>
    <w:p w14:paraId="614CCB3B">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根据建设项目的工程内容及其特点，明确与环境要素间的作用效应关系，根据规划环境影响评价结论和审查意见，充分利用符合时效的数据资料及成果，对建设项目主要环境影响予以重点分析和评价。</w:t>
      </w:r>
    </w:p>
    <w:p w14:paraId="25093BBB">
      <w:pPr>
        <w:pStyle w:val="3"/>
        <w:rPr>
          <w:color w:val="000000" w:themeColor="text1"/>
          <w:highlight w:val="none"/>
          <w:lang w:eastAsia="zh-CN"/>
          <w14:textFill>
            <w14:solidFill>
              <w14:schemeClr w14:val="tx1"/>
            </w14:solidFill>
          </w14:textFill>
        </w:rPr>
      </w:pPr>
      <w:bookmarkStart w:id="30" w:name="_Toc8154"/>
      <w:bookmarkStart w:id="31" w:name="_Toc27263"/>
      <w:r>
        <w:rPr>
          <w:color w:val="000000" w:themeColor="text1"/>
          <w:highlight w:val="none"/>
          <w:lang w:eastAsia="zh-CN"/>
          <w14:textFill>
            <w14:solidFill>
              <w14:schemeClr w14:val="tx1"/>
            </w14:solidFill>
          </w14:textFill>
        </w:rPr>
        <w:t>2.3</w:t>
      </w:r>
      <w:r>
        <w:rPr>
          <w:rFonts w:hint="eastAsia"/>
          <w:color w:val="000000" w:themeColor="text1"/>
          <w:highlight w:val="none"/>
          <w:lang w:eastAsia="zh-CN"/>
          <w14:textFill>
            <w14:solidFill>
              <w14:schemeClr w14:val="tx1"/>
            </w14:solidFill>
          </w14:textFill>
        </w:rPr>
        <w:t>评价内容及评价重点</w:t>
      </w:r>
      <w:bookmarkEnd w:id="30"/>
      <w:bookmarkEnd w:id="31"/>
    </w:p>
    <w:p w14:paraId="7B427A04">
      <w:pPr>
        <w:pStyle w:val="4"/>
        <w:rPr>
          <w:color w:val="000000" w:themeColor="text1"/>
          <w:highlight w:val="none"/>
          <w14:textFill>
            <w14:solidFill>
              <w14:schemeClr w14:val="tx1"/>
            </w14:solidFill>
          </w14:textFill>
        </w:rPr>
      </w:pPr>
      <w:bookmarkStart w:id="32" w:name="_Toc10596"/>
      <w:r>
        <w:rPr>
          <w:color w:val="000000" w:themeColor="text1"/>
          <w:highlight w:val="none"/>
          <w14:textFill>
            <w14:solidFill>
              <w14:schemeClr w14:val="tx1"/>
            </w14:solidFill>
          </w14:textFill>
        </w:rPr>
        <w:t>2.3.1</w:t>
      </w:r>
      <w:r>
        <w:rPr>
          <w:rFonts w:hint="eastAsia"/>
          <w:color w:val="000000" w:themeColor="text1"/>
          <w:highlight w:val="none"/>
          <w14:textFill>
            <w14:solidFill>
              <w14:schemeClr w14:val="tx1"/>
            </w14:solidFill>
          </w14:textFill>
        </w:rPr>
        <w:t>评价内容</w:t>
      </w:r>
      <w:bookmarkEnd w:id="32"/>
    </w:p>
    <w:p w14:paraId="1462FA7A">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本次评价的主要内容包括以下几个方面：</w:t>
      </w:r>
    </w:p>
    <w:p w14:paraId="007726A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）通过对项目厂址及周围环境的综合现状调查和现场监测，了解和掌握项目区环境现状；</w:t>
      </w:r>
    </w:p>
    <w:p w14:paraId="0BD53FF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）分析本次工程“三废”排放特征，产生的污染物能否实现达标排放或妥善处理；</w:t>
      </w:r>
    </w:p>
    <w:p w14:paraId="4249507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）分析本工程运行中存在的环境风险，提出有关风险防治措施及风险防范预案；</w:t>
      </w:r>
    </w:p>
    <w:p w14:paraId="39160670">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）对该建设项目的污染控制措施的可行性和合理性进行评估，并提出防止或减轻污染的对策建议。</w:t>
      </w:r>
    </w:p>
    <w:p w14:paraId="7E808DC0">
      <w:pPr>
        <w:pStyle w:val="4"/>
        <w:rPr>
          <w:color w:val="000000" w:themeColor="text1"/>
          <w:highlight w:val="none"/>
          <w14:textFill>
            <w14:solidFill>
              <w14:schemeClr w14:val="tx1"/>
            </w14:solidFill>
          </w14:textFill>
        </w:rPr>
      </w:pPr>
      <w:bookmarkStart w:id="33" w:name="_Toc26614"/>
      <w:r>
        <w:rPr>
          <w:color w:val="000000" w:themeColor="text1"/>
          <w:highlight w:val="none"/>
          <w14:textFill>
            <w14:solidFill>
              <w14:schemeClr w14:val="tx1"/>
            </w14:solidFill>
          </w14:textFill>
        </w:rPr>
        <w:t>2.3.2</w:t>
      </w:r>
      <w:r>
        <w:rPr>
          <w:rFonts w:hint="eastAsia"/>
          <w:color w:val="000000" w:themeColor="text1"/>
          <w:highlight w:val="none"/>
          <w14:textFill>
            <w14:solidFill>
              <w14:schemeClr w14:val="tx1"/>
            </w14:solidFill>
          </w14:textFill>
        </w:rPr>
        <w:t>评价重点</w:t>
      </w:r>
      <w:bookmarkEnd w:id="33"/>
    </w:p>
    <w:p w14:paraId="5743B22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）工程分析</w:t>
      </w:r>
    </w:p>
    <w:p w14:paraId="131C2DF0">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结合工艺过程，对水进行</w:t>
      </w:r>
      <w:r>
        <w:rPr>
          <w:rFonts w:hint="eastAsia"/>
          <w:color w:val="000000" w:themeColor="text1"/>
          <w:highlight w:val="none"/>
          <w:lang w:eastAsia="zh-CN"/>
          <w14:textFill>
            <w14:solidFill>
              <w14:schemeClr w14:val="tx1"/>
            </w14:solidFill>
          </w14:textFill>
        </w:rPr>
        <w:t>了</w:t>
      </w:r>
      <w:r>
        <w:rPr>
          <w:rFonts w:hint="eastAsia"/>
          <w:color w:val="000000" w:themeColor="text1"/>
          <w:highlight w:val="none"/>
          <w14:textFill>
            <w14:solidFill>
              <w14:schemeClr w14:val="tx1"/>
            </w14:solidFill>
          </w14:textFill>
        </w:rPr>
        <w:t>平衡计算，并根据企业实际运行情况，分析生产过程中“三废”及噪声排放情况。</w:t>
      </w:r>
    </w:p>
    <w:p w14:paraId="55018D41">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）污染防治措施分析推荐</w:t>
      </w:r>
    </w:p>
    <w:p w14:paraId="14EAD2D2">
      <w:pPr>
        <w:ind w:firstLine="720" w:firstLineChars="3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根据工程“三废”及噪声排放特点，结合相似企业实际治理经验，对设计的治理措施可行性进行分析，并提出推荐方案，确保本项目各污染物达标排放。</w:t>
      </w:r>
    </w:p>
    <w:p w14:paraId="3D65231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）环境影响预测及评价</w:t>
      </w:r>
    </w:p>
    <w:p w14:paraId="722F7FEA">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结合生产过程“三废”及噪声排放特点以及评价范围内环境概况，分析预测本项目大气污染物对大气环境的影响程度和范围；项目用水的保证性以及排放的生产生活污水对区域水环境的影响；固体废物处理处置对区域环境的影响；预测和评价厂界噪声是否满足《工业企业厂界环境噪声排放标准》（GB 12348-2008）评价项目噪声排放对声环境敏感区的影响。</w:t>
      </w:r>
    </w:p>
    <w:p w14:paraId="68FA353D">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 xml:space="preserve">）环境风险评价 </w:t>
      </w:r>
    </w:p>
    <w:p w14:paraId="710D2A5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结合生产工艺特点，分析确定本项目风险因素，预测风险发生时对环境造成的危害，提出环境风险防范措施，并编制应急预案。</w:t>
      </w:r>
    </w:p>
    <w:p w14:paraId="36AFF2B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）清洁生产分析</w:t>
      </w:r>
    </w:p>
    <w:p w14:paraId="1716684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从工艺装备先进性、资源能源利用、污染物产生、废物综合利用、产品指标、环境管理等方面分析，并与国内其他企业进行对比，评述项目清洁生产水平。</w:t>
      </w:r>
    </w:p>
    <w:p w14:paraId="47DD6266">
      <w:pPr>
        <w:pStyle w:val="3"/>
        <w:rPr>
          <w:color w:val="000000" w:themeColor="text1"/>
          <w:highlight w:val="none"/>
          <w:lang w:eastAsia="zh-CN"/>
          <w14:textFill>
            <w14:solidFill>
              <w14:schemeClr w14:val="tx1"/>
            </w14:solidFill>
          </w14:textFill>
        </w:rPr>
      </w:pPr>
      <w:bookmarkStart w:id="34" w:name="_Toc9644"/>
      <w:bookmarkStart w:id="35" w:name="_Toc467"/>
      <w:r>
        <w:rPr>
          <w:color w:val="000000" w:themeColor="text1"/>
          <w:highlight w:val="none"/>
          <w:lang w:eastAsia="zh-CN"/>
          <w14:textFill>
            <w14:solidFill>
              <w14:schemeClr w14:val="tx1"/>
            </w14:solidFill>
          </w14:textFill>
        </w:rPr>
        <w:t>2.4</w:t>
      </w:r>
      <w:r>
        <w:rPr>
          <w:rFonts w:hint="eastAsia"/>
          <w:color w:val="000000" w:themeColor="text1"/>
          <w:highlight w:val="none"/>
          <w:lang w:eastAsia="zh-CN"/>
          <w14:textFill>
            <w14:solidFill>
              <w14:schemeClr w14:val="tx1"/>
            </w14:solidFill>
          </w14:textFill>
        </w:rPr>
        <w:t>环境影响因素和评价因子识别</w:t>
      </w:r>
      <w:bookmarkEnd w:id="34"/>
      <w:bookmarkEnd w:id="35"/>
      <w:r>
        <w:rPr>
          <w:rFonts w:hint="eastAsia"/>
          <w:color w:val="000000" w:themeColor="text1"/>
          <w:highlight w:val="none"/>
          <w:lang w:eastAsia="zh-CN"/>
          <w14:textFill>
            <w14:solidFill>
              <w14:schemeClr w14:val="tx1"/>
            </w14:solidFill>
          </w14:textFill>
        </w:rPr>
        <w:t xml:space="preserve"> </w:t>
      </w:r>
    </w:p>
    <w:p w14:paraId="5503B87A">
      <w:pPr>
        <w:pStyle w:val="4"/>
        <w:rPr>
          <w:color w:val="000000" w:themeColor="text1"/>
          <w:highlight w:val="none"/>
          <w14:textFill>
            <w14:solidFill>
              <w14:schemeClr w14:val="tx1"/>
            </w14:solidFill>
          </w14:textFill>
        </w:rPr>
      </w:pPr>
      <w:bookmarkStart w:id="36" w:name="_Toc32436"/>
      <w:r>
        <w:rPr>
          <w:color w:val="000000" w:themeColor="text1"/>
          <w:highlight w:val="none"/>
          <w14:textFill>
            <w14:solidFill>
              <w14:schemeClr w14:val="tx1"/>
            </w14:solidFill>
          </w14:textFill>
        </w:rPr>
        <w:t>2.4.1</w:t>
      </w:r>
      <w:r>
        <w:rPr>
          <w:rFonts w:hint="eastAsia"/>
          <w:color w:val="000000" w:themeColor="text1"/>
          <w:highlight w:val="none"/>
          <w14:textFill>
            <w14:solidFill>
              <w14:schemeClr w14:val="tx1"/>
            </w14:solidFill>
          </w14:textFill>
        </w:rPr>
        <w:t>环境影响因素</w:t>
      </w:r>
      <w:bookmarkEnd w:id="36"/>
      <w:r>
        <w:rPr>
          <w:rFonts w:hint="eastAsia"/>
          <w:color w:val="000000" w:themeColor="text1"/>
          <w:highlight w:val="none"/>
          <w14:textFill>
            <w14:solidFill>
              <w14:schemeClr w14:val="tx1"/>
            </w14:solidFill>
          </w14:textFill>
        </w:rPr>
        <w:t xml:space="preserve"> </w:t>
      </w:r>
    </w:p>
    <w:p w14:paraId="3CA1B55B">
      <w:pPr>
        <w:widowControl/>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w:t>
      </w:r>
      <w:r>
        <w:rPr>
          <w:rFonts w:cs="Times New Roman"/>
          <w:color w:val="000000" w:themeColor="text1"/>
          <w:highlight w:val="none"/>
          <w:lang w:bidi="ar"/>
          <w14:textFill>
            <w14:solidFill>
              <w14:schemeClr w14:val="tx1"/>
            </w14:solidFill>
          </w14:textFill>
        </w:rPr>
        <w:t>1</w:t>
      </w:r>
      <w:r>
        <w:rPr>
          <w:rFonts w:hint="eastAsia" w:ascii="宋体" w:hAnsi="宋体"/>
          <w:color w:val="000000" w:themeColor="text1"/>
          <w:highlight w:val="none"/>
          <w:lang w:bidi="ar"/>
          <w14:textFill>
            <w14:solidFill>
              <w14:schemeClr w14:val="tx1"/>
            </w14:solidFill>
          </w14:textFill>
        </w:rPr>
        <w:t>）施工期</w:t>
      </w:r>
    </w:p>
    <w:p w14:paraId="14183172">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项目施工期间对环境的影响很大程度上取决于工程特点、施工季节以及工程所处的地形、地貌等环境因素。</w:t>
      </w:r>
    </w:p>
    <w:p w14:paraId="02716A81">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施工期主要环境影响因素见表</w:t>
      </w:r>
      <w:r>
        <w:rPr>
          <w:rFonts w:cs="Times New Roman"/>
          <w:color w:val="000000" w:themeColor="text1"/>
          <w:highlight w:val="none"/>
          <w:lang w:bidi="ar"/>
          <w14:textFill>
            <w14:solidFill>
              <w14:schemeClr w14:val="tx1"/>
            </w14:solidFill>
          </w14:textFill>
        </w:rPr>
        <w:t>2.4-1</w:t>
      </w:r>
      <w:r>
        <w:rPr>
          <w:rFonts w:hint="eastAsia" w:ascii="宋体" w:hAnsi="宋体"/>
          <w:color w:val="000000" w:themeColor="text1"/>
          <w:highlight w:val="none"/>
          <w:lang w:bidi="ar"/>
          <w14:textFill>
            <w14:solidFill>
              <w14:schemeClr w14:val="tx1"/>
            </w14:solidFill>
          </w14:textFill>
        </w:rPr>
        <w:t>。</w:t>
      </w:r>
    </w:p>
    <w:p w14:paraId="748C8C7C">
      <w:pPr>
        <w:kinsoku w:val="0"/>
        <w:autoSpaceDE w:val="0"/>
        <w:autoSpaceDN w:val="0"/>
        <w:adjustRightInd w:val="0"/>
        <w:spacing w:line="240" w:lineRule="auto"/>
        <w:jc w:val="center"/>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 xml:space="preserve">表2.4-1 </w:t>
      </w:r>
      <w:r>
        <w:rPr>
          <w:rFonts w:hint="eastAsia" w:cs="Times New Roman"/>
          <w:b/>
          <w:bCs/>
          <w:color w:val="000000" w:themeColor="text1"/>
          <w:sz w:val="21"/>
          <w:szCs w:val="21"/>
          <w:highlight w:val="none"/>
          <w14:textFill>
            <w14:solidFill>
              <w14:schemeClr w14:val="tx1"/>
            </w14:solidFill>
          </w14:textFill>
        </w:rPr>
        <w:t xml:space="preserve"> 施工期主要环境影响因素</w:t>
      </w:r>
    </w:p>
    <w:tbl>
      <w:tblPr>
        <w:tblStyle w:val="33"/>
        <w:tblW w:w="8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1022"/>
        <w:gridCol w:w="4366"/>
        <w:gridCol w:w="2169"/>
      </w:tblGrid>
      <w:tr w14:paraId="24932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88" w:type="dxa"/>
            <w:vAlign w:val="center"/>
          </w:tcPr>
          <w:p w14:paraId="5231D962">
            <w:pPr>
              <w:kinsoku w:val="0"/>
              <w:autoSpaceDE w:val="0"/>
              <w:autoSpaceDN w:val="0"/>
              <w:adjustRightInd w:val="0"/>
              <w:spacing w:line="240" w:lineRule="auto"/>
              <w:jc w:val="both"/>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阶段</w:t>
            </w:r>
          </w:p>
        </w:tc>
        <w:tc>
          <w:tcPr>
            <w:tcW w:w="1022" w:type="dxa"/>
            <w:vAlign w:val="center"/>
          </w:tcPr>
          <w:p w14:paraId="07CB2CB8">
            <w:pPr>
              <w:kinsoku w:val="0"/>
              <w:autoSpaceDE w:val="0"/>
              <w:autoSpaceDN w:val="0"/>
              <w:adjustRightInd w:val="0"/>
              <w:spacing w:line="240" w:lineRule="auto"/>
              <w:jc w:val="center"/>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环境要素</w:t>
            </w:r>
          </w:p>
        </w:tc>
        <w:tc>
          <w:tcPr>
            <w:tcW w:w="4366" w:type="dxa"/>
            <w:vAlign w:val="center"/>
          </w:tcPr>
          <w:p w14:paraId="19BA96D7">
            <w:pPr>
              <w:widowControl/>
              <w:rPr>
                <w:rFonts w:cs="Times New Roman"/>
                <w:b/>
                <w:bCs/>
                <w:color w:val="000000" w:themeColor="text1"/>
                <w:sz w:val="21"/>
                <w:szCs w:val="21"/>
                <w:highlight w:val="none"/>
                <w14:textFill>
                  <w14:solidFill>
                    <w14:schemeClr w14:val="tx1"/>
                  </w14:solidFill>
                </w14:textFill>
              </w:rPr>
            </w:pPr>
            <w:r>
              <w:rPr>
                <w:rFonts w:hint="eastAsia" w:ascii="宋体" w:hAnsi="宋体"/>
                <w:b/>
                <w:bCs/>
                <w:color w:val="000000" w:themeColor="text1"/>
                <w:sz w:val="21"/>
                <w:szCs w:val="21"/>
                <w:highlight w:val="none"/>
                <w:lang w:bidi="ar"/>
                <w14:textFill>
                  <w14:solidFill>
                    <w14:schemeClr w14:val="tx1"/>
                  </w14:solidFill>
                </w14:textFill>
              </w:rPr>
              <w:t xml:space="preserve">产生影响的主要内容 </w:t>
            </w:r>
          </w:p>
        </w:tc>
        <w:tc>
          <w:tcPr>
            <w:tcW w:w="2169" w:type="dxa"/>
            <w:vAlign w:val="center"/>
          </w:tcPr>
          <w:p w14:paraId="3A67DF30">
            <w:pPr>
              <w:kinsoku w:val="0"/>
              <w:autoSpaceDE w:val="0"/>
              <w:autoSpaceDN w:val="0"/>
              <w:adjustRightInd w:val="0"/>
              <w:spacing w:line="240" w:lineRule="auto"/>
              <w:jc w:val="center"/>
              <w:rPr>
                <w:rFonts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主要影响因子</w:t>
            </w:r>
          </w:p>
        </w:tc>
      </w:tr>
      <w:tr w14:paraId="64497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88" w:type="dxa"/>
            <w:vMerge w:val="restart"/>
            <w:vAlign w:val="center"/>
          </w:tcPr>
          <w:p w14:paraId="24398E90">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施工期</w:t>
            </w:r>
          </w:p>
        </w:tc>
        <w:tc>
          <w:tcPr>
            <w:tcW w:w="1022" w:type="dxa"/>
            <w:vAlign w:val="center"/>
          </w:tcPr>
          <w:p w14:paraId="7A452109">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水环境</w:t>
            </w:r>
          </w:p>
        </w:tc>
        <w:tc>
          <w:tcPr>
            <w:tcW w:w="4366" w:type="dxa"/>
            <w:vAlign w:val="center"/>
          </w:tcPr>
          <w:p w14:paraId="03AB109B">
            <w:pPr>
              <w:widowControl/>
              <w:spacing w:line="240" w:lineRule="auto"/>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施工人员生活污水、施工机械冲洗废水、混凝土浇筑废水</w:t>
            </w:r>
          </w:p>
        </w:tc>
        <w:tc>
          <w:tcPr>
            <w:tcW w:w="2169" w:type="dxa"/>
            <w:vAlign w:val="center"/>
          </w:tcPr>
          <w:p w14:paraId="0354C30F">
            <w:pPr>
              <w:widowControl/>
              <w:spacing w:line="240" w:lineRule="auto"/>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COD</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BOD</w:t>
            </w:r>
            <w:r>
              <w:rPr>
                <w:rFonts w:cs="Times New Roman"/>
                <w:color w:val="000000" w:themeColor="text1"/>
                <w:sz w:val="13"/>
                <w:szCs w:val="13"/>
                <w:highlight w:val="none"/>
                <w:lang w:bidi="ar"/>
                <w14:textFill>
                  <w14:solidFill>
                    <w14:schemeClr w14:val="tx1"/>
                  </w14:solidFill>
                </w14:textFill>
              </w:rPr>
              <w:t>5</w:t>
            </w:r>
            <w:r>
              <w:rPr>
                <w:rFonts w:hint="eastAsia" w:ascii="宋体" w:hAnsi="宋体"/>
                <w:color w:val="000000" w:themeColor="text1"/>
                <w:sz w:val="21"/>
                <w:szCs w:val="21"/>
                <w:highlight w:val="none"/>
                <w:lang w:bidi="ar"/>
                <w14:textFill>
                  <w14:solidFill>
                    <w14:schemeClr w14:val="tx1"/>
                  </w14:solidFill>
                </w14:textFill>
              </w:rPr>
              <w:t>、氨氮、</w:t>
            </w:r>
            <w:r>
              <w:rPr>
                <w:rFonts w:cs="Times New Roman"/>
                <w:color w:val="000000" w:themeColor="text1"/>
                <w:sz w:val="21"/>
                <w:szCs w:val="21"/>
                <w:highlight w:val="none"/>
                <w:lang w:bidi="ar"/>
                <w14:textFill>
                  <w14:solidFill>
                    <w14:schemeClr w14:val="tx1"/>
                  </w14:solidFill>
                </w14:textFill>
              </w:rPr>
              <w:t xml:space="preserve">SS </w:t>
            </w:r>
          </w:p>
        </w:tc>
      </w:tr>
      <w:tr w14:paraId="51CA2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88" w:type="dxa"/>
            <w:vMerge w:val="continue"/>
            <w:vAlign w:val="center"/>
          </w:tcPr>
          <w:p w14:paraId="0859AEB7">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p>
        </w:tc>
        <w:tc>
          <w:tcPr>
            <w:tcW w:w="1022" w:type="dxa"/>
            <w:vAlign w:val="center"/>
          </w:tcPr>
          <w:p w14:paraId="4090F7EA">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大气环境</w:t>
            </w:r>
          </w:p>
        </w:tc>
        <w:tc>
          <w:tcPr>
            <w:tcW w:w="4366" w:type="dxa"/>
            <w:vAlign w:val="center"/>
          </w:tcPr>
          <w:p w14:paraId="59541B6F">
            <w:pPr>
              <w:widowControl/>
              <w:kinsoku w:val="0"/>
              <w:autoSpaceDE w:val="0"/>
              <w:autoSpaceDN w:val="0"/>
              <w:spacing w:line="240" w:lineRule="auto"/>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土地平整、挖掘，土石方、建材运输、存放、使用、施工车辆尾气</w:t>
            </w:r>
          </w:p>
        </w:tc>
        <w:tc>
          <w:tcPr>
            <w:tcW w:w="2169" w:type="dxa"/>
            <w:vAlign w:val="center"/>
          </w:tcPr>
          <w:p w14:paraId="41E94B00">
            <w:pPr>
              <w:widowControl/>
              <w:spacing w:line="240" w:lineRule="auto"/>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扬尘、</w:t>
            </w:r>
            <w:r>
              <w:rPr>
                <w:rFonts w:cs="Times New Roman"/>
                <w:color w:val="000000" w:themeColor="text1"/>
                <w:sz w:val="21"/>
                <w:szCs w:val="21"/>
                <w:highlight w:val="none"/>
                <w:lang w:bidi="ar"/>
                <w14:textFill>
                  <w14:solidFill>
                    <w14:schemeClr w14:val="tx1"/>
                  </w14:solidFill>
                </w14:textFill>
              </w:rPr>
              <w:t>CO</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NOx</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SO</w:t>
            </w:r>
            <w:r>
              <w:rPr>
                <w:rFonts w:cs="Times New Roman"/>
                <w:color w:val="000000" w:themeColor="text1"/>
                <w:sz w:val="13"/>
                <w:szCs w:val="13"/>
                <w:highlight w:val="none"/>
                <w:lang w:bidi="ar"/>
                <w14:textFill>
                  <w14:solidFill>
                    <w14:schemeClr w14:val="tx1"/>
                  </w14:solidFill>
                </w14:textFill>
              </w:rPr>
              <w:t>2</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HC</w:t>
            </w:r>
          </w:p>
        </w:tc>
      </w:tr>
      <w:tr w14:paraId="1843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88" w:type="dxa"/>
            <w:vMerge w:val="continue"/>
            <w:vAlign w:val="center"/>
          </w:tcPr>
          <w:p w14:paraId="42FB9059">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p>
        </w:tc>
        <w:tc>
          <w:tcPr>
            <w:tcW w:w="1022" w:type="dxa"/>
            <w:vAlign w:val="center"/>
          </w:tcPr>
          <w:p w14:paraId="1099EA5D">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声环境</w:t>
            </w:r>
          </w:p>
        </w:tc>
        <w:tc>
          <w:tcPr>
            <w:tcW w:w="4366" w:type="dxa"/>
            <w:vAlign w:val="center"/>
          </w:tcPr>
          <w:p w14:paraId="30703A7F">
            <w:pPr>
              <w:widowControl/>
              <w:spacing w:line="240" w:lineRule="auto"/>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施工机械、车辆作业噪声</w:t>
            </w:r>
          </w:p>
        </w:tc>
        <w:tc>
          <w:tcPr>
            <w:tcW w:w="2169" w:type="dxa"/>
            <w:vAlign w:val="center"/>
          </w:tcPr>
          <w:p w14:paraId="2E0A9990">
            <w:pPr>
              <w:widowControl/>
              <w:spacing w:line="240" w:lineRule="auto"/>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Leq(A)</w:t>
            </w:r>
          </w:p>
        </w:tc>
      </w:tr>
      <w:tr w14:paraId="54396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488" w:type="dxa"/>
            <w:vMerge w:val="continue"/>
            <w:vAlign w:val="center"/>
          </w:tcPr>
          <w:p w14:paraId="2D4CF5CB">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p>
        </w:tc>
        <w:tc>
          <w:tcPr>
            <w:tcW w:w="1022" w:type="dxa"/>
            <w:vAlign w:val="center"/>
          </w:tcPr>
          <w:p w14:paraId="2EC9326A">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固体废物</w:t>
            </w:r>
          </w:p>
        </w:tc>
        <w:tc>
          <w:tcPr>
            <w:tcW w:w="4366" w:type="dxa"/>
            <w:vAlign w:val="center"/>
          </w:tcPr>
          <w:p w14:paraId="5345EF0F">
            <w:pPr>
              <w:widowControl/>
              <w:spacing w:line="240" w:lineRule="auto"/>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建筑垃圾和生活垃圾</w:t>
            </w:r>
          </w:p>
        </w:tc>
        <w:tc>
          <w:tcPr>
            <w:tcW w:w="2169" w:type="dxa"/>
            <w:vAlign w:val="center"/>
          </w:tcPr>
          <w:p w14:paraId="0389AABB">
            <w:pPr>
              <w:widowControl/>
              <w:spacing w:line="240" w:lineRule="auto"/>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固体废物</w:t>
            </w:r>
          </w:p>
        </w:tc>
      </w:tr>
      <w:tr w14:paraId="368E9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9" w:hRule="atLeast"/>
          <w:jc w:val="center"/>
        </w:trPr>
        <w:tc>
          <w:tcPr>
            <w:tcW w:w="488" w:type="dxa"/>
            <w:vMerge w:val="continue"/>
            <w:vAlign w:val="center"/>
          </w:tcPr>
          <w:p w14:paraId="3CC5F50C">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p>
        </w:tc>
        <w:tc>
          <w:tcPr>
            <w:tcW w:w="1022" w:type="dxa"/>
            <w:vAlign w:val="center"/>
          </w:tcPr>
          <w:p w14:paraId="5661FAF4">
            <w:pPr>
              <w:widowControl/>
              <w:spacing w:line="240" w:lineRule="auto"/>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生态环境</w:t>
            </w:r>
          </w:p>
        </w:tc>
        <w:tc>
          <w:tcPr>
            <w:tcW w:w="4366" w:type="dxa"/>
            <w:vAlign w:val="center"/>
          </w:tcPr>
          <w:p w14:paraId="67E47C58">
            <w:pPr>
              <w:widowControl/>
              <w:spacing w:line="240" w:lineRule="auto"/>
              <w:rPr>
                <w:rFonts w:ascii="宋体" w:hAnsi="宋体"/>
                <w:color w:val="000000" w:themeColor="text1"/>
                <w:sz w:val="21"/>
                <w:szCs w:val="21"/>
                <w:highlight w:val="none"/>
                <w:lang w:bidi="ar"/>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土地挖掘及工程占地</w:t>
            </w:r>
          </w:p>
        </w:tc>
        <w:tc>
          <w:tcPr>
            <w:tcW w:w="2169" w:type="dxa"/>
            <w:vAlign w:val="center"/>
          </w:tcPr>
          <w:p w14:paraId="13FD91BF">
            <w:pPr>
              <w:widowControl/>
              <w:spacing w:line="240" w:lineRule="auto"/>
              <w:rPr>
                <w:rFonts w:ascii="宋体" w:hAnsi="宋体"/>
                <w:color w:val="000000" w:themeColor="text1"/>
                <w:sz w:val="21"/>
                <w:szCs w:val="21"/>
                <w:highlight w:val="none"/>
                <w:lang w:bidi="ar"/>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水土流失、植被破坏</w:t>
            </w:r>
          </w:p>
        </w:tc>
      </w:tr>
    </w:tbl>
    <w:p w14:paraId="323E89B1">
      <w:pPr>
        <w:widowControl/>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w:t>
      </w:r>
      <w:r>
        <w:rPr>
          <w:rFonts w:cs="Times New Roman"/>
          <w:color w:val="000000" w:themeColor="text1"/>
          <w:highlight w:val="none"/>
          <w:lang w:bidi="ar"/>
          <w14:textFill>
            <w14:solidFill>
              <w14:schemeClr w14:val="tx1"/>
            </w14:solidFill>
          </w14:textFill>
        </w:rPr>
        <w:t>2</w:t>
      </w:r>
      <w:r>
        <w:rPr>
          <w:rFonts w:hint="eastAsia" w:ascii="宋体" w:hAnsi="宋体"/>
          <w:color w:val="000000" w:themeColor="text1"/>
          <w:highlight w:val="none"/>
          <w:lang w:bidi="ar"/>
          <w14:textFill>
            <w14:solidFill>
              <w14:schemeClr w14:val="tx1"/>
            </w14:solidFill>
          </w14:textFill>
        </w:rPr>
        <w:t>）运营期</w:t>
      </w:r>
    </w:p>
    <w:p w14:paraId="7DB26762">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项目运营期产生废气、废水、噪声以及固废等污染因素对场址周围的环境空气、地下水环境及声环境等产生不同程度的影响。</w:t>
      </w:r>
    </w:p>
    <w:p w14:paraId="50D02EDB">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项目运营期环境影响因子识别情况详见表</w:t>
      </w:r>
      <w:r>
        <w:rPr>
          <w:rFonts w:cs="Times New Roman"/>
          <w:color w:val="000000" w:themeColor="text1"/>
          <w:highlight w:val="none"/>
          <w:lang w:bidi="ar"/>
          <w14:textFill>
            <w14:solidFill>
              <w14:schemeClr w14:val="tx1"/>
            </w14:solidFill>
          </w14:textFill>
        </w:rPr>
        <w:t>2.4-2</w:t>
      </w:r>
      <w:r>
        <w:rPr>
          <w:rFonts w:hint="eastAsia" w:ascii="宋体" w:hAnsi="宋体"/>
          <w:color w:val="000000" w:themeColor="text1"/>
          <w:highlight w:val="none"/>
          <w:lang w:bidi="ar"/>
          <w14:textFill>
            <w14:solidFill>
              <w14:schemeClr w14:val="tx1"/>
            </w14:solidFill>
          </w14:textFill>
        </w:rPr>
        <w:t>。</w:t>
      </w:r>
    </w:p>
    <w:p w14:paraId="4BC07E26">
      <w:pPr>
        <w:widowControl/>
        <w:spacing w:line="240" w:lineRule="auto"/>
        <w:jc w:val="center"/>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 xml:space="preserve">表2.4-2 </w:t>
      </w:r>
      <w:r>
        <w:rPr>
          <w:rFonts w:hint="eastAsia" w:cs="Times New Roman"/>
          <w:b/>
          <w:bCs/>
          <w:color w:val="000000" w:themeColor="text1"/>
          <w:sz w:val="21"/>
          <w:szCs w:val="21"/>
          <w:highlight w:val="none"/>
          <w14:textFill>
            <w14:solidFill>
              <w14:schemeClr w14:val="tx1"/>
            </w14:solidFill>
          </w14:textFill>
        </w:rPr>
        <w:t>项目运营期环境影响因素识别表</w:t>
      </w:r>
    </w:p>
    <w:tbl>
      <w:tblPr>
        <w:tblStyle w:val="33"/>
        <w:tblW w:w="80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1022"/>
        <w:gridCol w:w="2674"/>
        <w:gridCol w:w="2550"/>
        <w:gridCol w:w="1311"/>
      </w:tblGrid>
      <w:tr w14:paraId="25209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488" w:type="dxa"/>
            <w:vMerge w:val="restart"/>
            <w:vAlign w:val="center"/>
          </w:tcPr>
          <w:p w14:paraId="30E8D237">
            <w:pPr>
              <w:kinsoku w:val="0"/>
              <w:autoSpaceDE w:val="0"/>
              <w:autoSpaceDN w:val="0"/>
              <w:adjustRightInd w:val="0"/>
              <w:spacing w:line="240" w:lineRule="auto"/>
              <w:jc w:val="both"/>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阶段</w:t>
            </w:r>
          </w:p>
        </w:tc>
        <w:tc>
          <w:tcPr>
            <w:tcW w:w="1022" w:type="dxa"/>
            <w:vMerge w:val="restart"/>
            <w:vAlign w:val="center"/>
          </w:tcPr>
          <w:p w14:paraId="735FC4F9">
            <w:pPr>
              <w:kinsoku w:val="0"/>
              <w:autoSpaceDE w:val="0"/>
              <w:autoSpaceDN w:val="0"/>
              <w:adjustRightInd w:val="0"/>
              <w:spacing w:line="240" w:lineRule="auto"/>
              <w:jc w:val="center"/>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环境要素</w:t>
            </w:r>
          </w:p>
        </w:tc>
        <w:tc>
          <w:tcPr>
            <w:tcW w:w="2674" w:type="dxa"/>
            <w:vMerge w:val="restart"/>
            <w:vAlign w:val="center"/>
          </w:tcPr>
          <w:p w14:paraId="241DA77B">
            <w:pPr>
              <w:widowControl/>
              <w:jc w:val="center"/>
              <w:rPr>
                <w:rFonts w:cs="Times New Roman"/>
                <w:b/>
                <w:bCs/>
                <w:color w:val="000000" w:themeColor="text1"/>
                <w:sz w:val="21"/>
                <w:szCs w:val="21"/>
                <w:highlight w:val="none"/>
                <w14:textFill>
                  <w14:solidFill>
                    <w14:schemeClr w14:val="tx1"/>
                  </w14:solidFill>
                </w14:textFill>
              </w:rPr>
            </w:pPr>
            <w:r>
              <w:rPr>
                <w:rFonts w:hint="eastAsia" w:ascii="宋体" w:hAnsi="宋体"/>
                <w:b/>
                <w:bCs/>
                <w:color w:val="000000" w:themeColor="text1"/>
                <w:sz w:val="21"/>
                <w:szCs w:val="21"/>
                <w:highlight w:val="none"/>
                <w:lang w:bidi="ar"/>
                <w14:textFill>
                  <w14:solidFill>
                    <w14:schemeClr w14:val="tx1"/>
                  </w14:solidFill>
                </w14:textFill>
              </w:rPr>
              <w:t>产生影响的主要内容</w:t>
            </w:r>
          </w:p>
        </w:tc>
        <w:tc>
          <w:tcPr>
            <w:tcW w:w="3861" w:type="dxa"/>
            <w:gridSpan w:val="2"/>
            <w:vAlign w:val="center"/>
          </w:tcPr>
          <w:p w14:paraId="5B2DEB6E">
            <w:pPr>
              <w:kinsoku w:val="0"/>
              <w:autoSpaceDE w:val="0"/>
              <w:autoSpaceDN w:val="0"/>
              <w:adjustRightInd w:val="0"/>
              <w:spacing w:line="240" w:lineRule="auto"/>
              <w:jc w:val="center"/>
              <w:rPr>
                <w:rFonts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主要影响因素</w:t>
            </w:r>
          </w:p>
        </w:tc>
      </w:tr>
      <w:tr w14:paraId="47A6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488" w:type="dxa"/>
            <w:vMerge w:val="continue"/>
            <w:vAlign w:val="center"/>
          </w:tcPr>
          <w:p w14:paraId="34CA5DFB">
            <w:pPr>
              <w:kinsoku w:val="0"/>
              <w:autoSpaceDE w:val="0"/>
              <w:autoSpaceDN w:val="0"/>
              <w:adjustRightInd w:val="0"/>
              <w:spacing w:line="240" w:lineRule="auto"/>
              <w:jc w:val="center"/>
              <w:rPr>
                <w:b/>
                <w:bCs/>
                <w:color w:val="000000" w:themeColor="text1"/>
                <w:highlight w:val="none"/>
                <w14:textFill>
                  <w14:solidFill>
                    <w14:schemeClr w14:val="tx1"/>
                  </w14:solidFill>
                </w14:textFill>
              </w:rPr>
            </w:pPr>
          </w:p>
        </w:tc>
        <w:tc>
          <w:tcPr>
            <w:tcW w:w="1022" w:type="dxa"/>
            <w:vMerge w:val="continue"/>
            <w:vAlign w:val="center"/>
          </w:tcPr>
          <w:p w14:paraId="10DD8CF8">
            <w:pPr>
              <w:kinsoku w:val="0"/>
              <w:autoSpaceDE w:val="0"/>
              <w:autoSpaceDN w:val="0"/>
              <w:adjustRightInd w:val="0"/>
              <w:spacing w:line="240" w:lineRule="auto"/>
              <w:jc w:val="center"/>
              <w:rPr>
                <w:b/>
                <w:bCs/>
                <w:color w:val="000000" w:themeColor="text1"/>
                <w:highlight w:val="none"/>
                <w14:textFill>
                  <w14:solidFill>
                    <w14:schemeClr w14:val="tx1"/>
                  </w14:solidFill>
                </w14:textFill>
              </w:rPr>
            </w:pPr>
          </w:p>
        </w:tc>
        <w:tc>
          <w:tcPr>
            <w:tcW w:w="2674" w:type="dxa"/>
            <w:vMerge w:val="continue"/>
            <w:vAlign w:val="center"/>
          </w:tcPr>
          <w:p w14:paraId="29E539A0">
            <w:pPr>
              <w:kinsoku w:val="0"/>
              <w:autoSpaceDE w:val="0"/>
              <w:autoSpaceDN w:val="0"/>
              <w:adjustRightInd w:val="0"/>
              <w:spacing w:line="240" w:lineRule="auto"/>
              <w:jc w:val="center"/>
              <w:rPr>
                <w:b/>
                <w:bCs/>
                <w:color w:val="000000" w:themeColor="text1"/>
                <w:highlight w:val="none"/>
                <w14:textFill>
                  <w14:solidFill>
                    <w14:schemeClr w14:val="tx1"/>
                  </w14:solidFill>
                </w14:textFill>
              </w:rPr>
            </w:pPr>
          </w:p>
        </w:tc>
        <w:tc>
          <w:tcPr>
            <w:tcW w:w="2550" w:type="dxa"/>
            <w:vAlign w:val="center"/>
          </w:tcPr>
          <w:p w14:paraId="154BCA94">
            <w:pPr>
              <w:widowControl/>
              <w:jc w:val="center"/>
              <w:rPr>
                <w:b/>
                <w:bCs/>
                <w:color w:val="000000" w:themeColor="text1"/>
                <w:highlight w:val="none"/>
                <w14:textFill>
                  <w14:solidFill>
                    <w14:schemeClr w14:val="tx1"/>
                  </w14:solidFill>
                </w14:textFill>
              </w:rPr>
            </w:pPr>
            <w:r>
              <w:rPr>
                <w:rFonts w:hint="eastAsia" w:ascii="宋体" w:hAnsi="宋体"/>
                <w:b/>
                <w:bCs/>
                <w:color w:val="000000" w:themeColor="text1"/>
                <w:sz w:val="21"/>
                <w:szCs w:val="21"/>
                <w:highlight w:val="none"/>
                <w:lang w:bidi="ar"/>
                <w14:textFill>
                  <w14:solidFill>
                    <w14:schemeClr w14:val="tx1"/>
                  </w14:solidFill>
                </w14:textFill>
              </w:rPr>
              <w:t>现状监测因子</w:t>
            </w:r>
          </w:p>
        </w:tc>
        <w:tc>
          <w:tcPr>
            <w:tcW w:w="1311" w:type="dxa"/>
            <w:vAlign w:val="center"/>
          </w:tcPr>
          <w:p w14:paraId="6E979F32">
            <w:pPr>
              <w:widowControl/>
              <w:jc w:val="center"/>
              <w:rPr>
                <w:b/>
                <w:bCs/>
                <w:color w:val="000000" w:themeColor="text1"/>
                <w:highlight w:val="none"/>
                <w14:textFill>
                  <w14:solidFill>
                    <w14:schemeClr w14:val="tx1"/>
                  </w14:solidFill>
                </w14:textFill>
              </w:rPr>
            </w:pPr>
            <w:r>
              <w:rPr>
                <w:rFonts w:hint="eastAsia" w:ascii="宋体" w:hAnsi="宋体"/>
                <w:b/>
                <w:bCs/>
                <w:color w:val="000000" w:themeColor="text1"/>
                <w:sz w:val="21"/>
                <w:szCs w:val="21"/>
                <w:highlight w:val="none"/>
                <w:lang w:bidi="ar"/>
                <w14:textFill>
                  <w14:solidFill>
                    <w14:schemeClr w14:val="tx1"/>
                  </w14:solidFill>
                </w14:textFill>
              </w:rPr>
              <w:t>预测因子</w:t>
            </w:r>
          </w:p>
        </w:tc>
      </w:tr>
      <w:tr w14:paraId="163C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88" w:type="dxa"/>
            <w:vMerge w:val="restart"/>
            <w:vAlign w:val="center"/>
          </w:tcPr>
          <w:p w14:paraId="721C5303">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运</w:t>
            </w:r>
          </w:p>
          <w:p w14:paraId="1AEC988C">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营</w:t>
            </w:r>
          </w:p>
          <w:p w14:paraId="1AE6F60E">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期</w:t>
            </w:r>
          </w:p>
        </w:tc>
        <w:tc>
          <w:tcPr>
            <w:tcW w:w="1022" w:type="dxa"/>
            <w:vAlign w:val="center"/>
          </w:tcPr>
          <w:p w14:paraId="6F10BC8C">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大气环境</w:t>
            </w:r>
          </w:p>
        </w:tc>
        <w:tc>
          <w:tcPr>
            <w:tcW w:w="2674" w:type="dxa"/>
            <w:vAlign w:val="center"/>
          </w:tcPr>
          <w:p w14:paraId="0130D8CB">
            <w:pPr>
              <w:widowControl/>
              <w:kinsoku w:val="0"/>
              <w:autoSpaceDE w:val="0"/>
              <w:autoSpaceDN w:val="0"/>
              <w:spacing w:line="240" w:lineRule="auto"/>
              <w:jc w:val="center"/>
              <w:rPr>
                <w:rFonts w:hint="default" w:cs="Times New Roman"/>
                <w:color w:val="000000" w:themeColor="text1"/>
                <w:sz w:val="21"/>
                <w:szCs w:val="21"/>
                <w:highlight w:val="none"/>
                <w:lang w:val="en-US"/>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圈舍、黑膜池</w:t>
            </w:r>
            <w:r>
              <w:rPr>
                <w:rFonts w:hint="eastAsia" w:ascii="宋体" w:hAnsi="宋体"/>
                <w:color w:val="000000" w:themeColor="text1"/>
                <w:sz w:val="21"/>
                <w:szCs w:val="21"/>
                <w:highlight w:val="none"/>
                <w:lang w:eastAsia="zh-CN" w:bidi="ar"/>
                <w14:textFill>
                  <w14:solidFill>
                    <w14:schemeClr w14:val="tx1"/>
                  </w14:solidFill>
                </w14:textFill>
              </w:rPr>
              <w:t>、</w:t>
            </w:r>
            <w:r>
              <w:rPr>
                <w:rFonts w:hint="eastAsia" w:ascii="宋体" w:hAnsi="宋体"/>
                <w:color w:val="000000" w:themeColor="text1"/>
                <w:sz w:val="21"/>
                <w:szCs w:val="21"/>
                <w:highlight w:val="none"/>
                <w:lang w:val="en-US" w:eastAsia="zh-CN" w:bidi="ar"/>
                <w14:textFill>
                  <w14:solidFill>
                    <w14:schemeClr w14:val="tx1"/>
                  </w14:solidFill>
                </w14:textFill>
              </w:rPr>
              <w:t>干湿分离车间、堆粪场、饲料加工车间</w:t>
            </w:r>
          </w:p>
        </w:tc>
        <w:tc>
          <w:tcPr>
            <w:tcW w:w="2550" w:type="dxa"/>
            <w:vAlign w:val="center"/>
          </w:tcPr>
          <w:p w14:paraId="1323135B">
            <w:pPr>
              <w:widowControl/>
              <w:kinsoku w:val="0"/>
              <w:autoSpaceDE w:val="0"/>
              <w:autoSpaceDN w:val="0"/>
              <w:spacing w:line="240" w:lineRule="auto"/>
              <w:jc w:val="center"/>
              <w:rPr>
                <w:rFonts w:hint="default" w:eastAsia="宋体" w:cs="Times New Roman"/>
                <w:color w:val="000000" w:themeColor="text1"/>
                <w:sz w:val="21"/>
                <w:szCs w:val="21"/>
                <w:highlight w:val="none"/>
                <w:lang w:val="en-US" w:eastAsia="zh-CN"/>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SO</w:t>
            </w:r>
            <w:r>
              <w:rPr>
                <w:rFonts w:cs="Times New Roman"/>
                <w:color w:val="000000" w:themeColor="text1"/>
                <w:sz w:val="21"/>
                <w:szCs w:val="21"/>
                <w:highlight w:val="none"/>
                <w:vertAlign w:val="subscript"/>
                <w:lang w:bidi="ar"/>
                <w14:textFill>
                  <w14:solidFill>
                    <w14:schemeClr w14:val="tx1"/>
                  </w14:solidFill>
                </w14:textFill>
              </w:rPr>
              <w:t>2</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NO</w:t>
            </w:r>
            <w:r>
              <w:rPr>
                <w:rFonts w:cs="Times New Roman"/>
                <w:color w:val="000000" w:themeColor="text1"/>
                <w:sz w:val="21"/>
                <w:szCs w:val="21"/>
                <w:highlight w:val="none"/>
                <w:vertAlign w:val="subscript"/>
                <w:lang w:bidi="ar"/>
                <w14:textFill>
                  <w14:solidFill>
                    <w14:schemeClr w14:val="tx1"/>
                  </w14:solidFill>
                </w14:textFill>
              </w:rPr>
              <w:t>2</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PM10</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PM2.5</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CO</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O</w:t>
            </w:r>
            <w:r>
              <w:rPr>
                <w:rFonts w:cs="Times New Roman"/>
                <w:color w:val="000000" w:themeColor="text1"/>
                <w:sz w:val="21"/>
                <w:szCs w:val="21"/>
                <w:highlight w:val="none"/>
                <w:vertAlign w:val="subscript"/>
                <w:lang w:bidi="ar"/>
                <w14:textFill>
                  <w14:solidFill>
                    <w14:schemeClr w14:val="tx1"/>
                  </w14:solidFill>
                </w14:textFill>
              </w:rPr>
              <w:t>3</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NH</w:t>
            </w:r>
            <w:r>
              <w:rPr>
                <w:rFonts w:cs="Times New Roman"/>
                <w:color w:val="000000" w:themeColor="text1"/>
                <w:sz w:val="21"/>
                <w:szCs w:val="21"/>
                <w:highlight w:val="none"/>
                <w:vertAlign w:val="subscript"/>
                <w:lang w:bidi="ar"/>
                <w14:textFill>
                  <w14:solidFill>
                    <w14:schemeClr w14:val="tx1"/>
                  </w14:solidFill>
                </w14:textFill>
              </w:rPr>
              <w:t>3</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H</w:t>
            </w:r>
            <w:r>
              <w:rPr>
                <w:rFonts w:cs="Times New Roman"/>
                <w:color w:val="000000" w:themeColor="text1"/>
                <w:sz w:val="21"/>
                <w:szCs w:val="21"/>
                <w:highlight w:val="none"/>
                <w:vertAlign w:val="subscript"/>
                <w:lang w:bidi="ar"/>
                <w14:textFill>
                  <w14:solidFill>
                    <w14:schemeClr w14:val="tx1"/>
                  </w14:solidFill>
                </w14:textFill>
              </w:rPr>
              <w:t>2</w:t>
            </w:r>
            <w:r>
              <w:rPr>
                <w:rFonts w:cs="Times New Roman"/>
                <w:color w:val="000000" w:themeColor="text1"/>
                <w:sz w:val="21"/>
                <w:szCs w:val="21"/>
                <w:highlight w:val="none"/>
                <w:lang w:bidi="ar"/>
                <w14:textFill>
                  <w14:solidFill>
                    <w14:schemeClr w14:val="tx1"/>
                  </w14:solidFill>
                </w14:textFill>
              </w:rPr>
              <w:t>S</w:t>
            </w:r>
            <w:r>
              <w:rPr>
                <w:rFonts w:hint="eastAsia" w:ascii="宋体" w:hAnsi="宋体"/>
                <w:color w:val="000000" w:themeColor="text1"/>
                <w:sz w:val="21"/>
                <w:szCs w:val="21"/>
                <w:highlight w:val="none"/>
                <w:lang w:bidi="ar"/>
                <w14:textFill>
                  <w14:solidFill>
                    <w14:schemeClr w14:val="tx1"/>
                  </w14:solidFill>
                </w14:textFill>
              </w:rPr>
              <w:t>、臭</w:t>
            </w:r>
            <w:r>
              <w:rPr>
                <w:rFonts w:hint="eastAsia" w:ascii="宋体" w:hAnsi="宋体"/>
                <w:color w:val="000000" w:themeColor="text1"/>
                <w:sz w:val="21"/>
                <w:szCs w:val="21"/>
                <w:highlight w:val="none"/>
                <w:lang w:val="en-US" w:eastAsia="zh-CN" w:bidi="ar"/>
                <w14:textFill>
                  <w14:solidFill>
                    <w14:schemeClr w14:val="tx1"/>
                  </w14:solidFill>
                </w14:textFill>
              </w:rPr>
              <w:t>气</w:t>
            </w:r>
            <w:r>
              <w:rPr>
                <w:rFonts w:hint="eastAsia" w:ascii="Times New Roman" w:hAnsi="Times New Roman" w:eastAsia="宋体" w:cs="Times New Roman"/>
                <w:color w:val="000000" w:themeColor="text1"/>
                <w:sz w:val="21"/>
                <w:szCs w:val="21"/>
                <w:highlight w:val="none"/>
                <w:lang w:bidi="ar"/>
                <w14:textFill>
                  <w14:solidFill>
                    <w14:schemeClr w14:val="tx1"/>
                  </w14:solidFill>
                </w14:textFill>
              </w:rPr>
              <w:t>浓度</w:t>
            </w:r>
            <w:r>
              <w:rPr>
                <w:rFonts w:hint="eastAsia" w:ascii="Times New Roman" w:hAnsi="Times New Roman" w:eastAsia="宋体" w:cs="Times New Roman"/>
                <w:color w:val="000000" w:themeColor="text1"/>
                <w:sz w:val="21"/>
                <w:szCs w:val="21"/>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TSP</w:t>
            </w:r>
          </w:p>
        </w:tc>
        <w:tc>
          <w:tcPr>
            <w:tcW w:w="1311" w:type="dxa"/>
            <w:vAlign w:val="center"/>
          </w:tcPr>
          <w:p w14:paraId="1E476B49">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NH</w:t>
            </w:r>
            <w:r>
              <w:rPr>
                <w:rFonts w:cs="Times New Roman"/>
                <w:color w:val="000000" w:themeColor="text1"/>
                <w:sz w:val="21"/>
                <w:szCs w:val="21"/>
                <w:highlight w:val="none"/>
                <w:vertAlign w:val="subscript"/>
                <w:lang w:bidi="ar"/>
                <w14:textFill>
                  <w14:solidFill>
                    <w14:schemeClr w14:val="tx1"/>
                  </w14:solidFill>
                </w14:textFill>
              </w:rPr>
              <w:t>3</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H</w:t>
            </w:r>
            <w:r>
              <w:rPr>
                <w:rFonts w:cs="Times New Roman"/>
                <w:color w:val="000000" w:themeColor="text1"/>
                <w:sz w:val="21"/>
                <w:szCs w:val="21"/>
                <w:highlight w:val="none"/>
                <w:vertAlign w:val="subscript"/>
                <w:lang w:bidi="ar"/>
                <w14:textFill>
                  <w14:solidFill>
                    <w14:schemeClr w14:val="tx1"/>
                  </w14:solidFill>
                </w14:textFill>
              </w:rPr>
              <w:t>2</w:t>
            </w:r>
            <w:r>
              <w:rPr>
                <w:rFonts w:cs="Times New Roman"/>
                <w:color w:val="000000" w:themeColor="text1"/>
                <w:sz w:val="21"/>
                <w:szCs w:val="21"/>
                <w:highlight w:val="none"/>
                <w:lang w:bidi="ar"/>
                <w14:textFill>
                  <w14:solidFill>
                    <w14:schemeClr w14:val="tx1"/>
                  </w14:solidFill>
                </w14:textFill>
              </w:rPr>
              <w:t>S</w:t>
            </w:r>
            <w:r>
              <w:rPr>
                <w:rFonts w:hint="eastAsia" w:ascii="Times New Roman" w:hAnsi="Times New Roman" w:eastAsia="宋体" w:cs="Times New Roman"/>
                <w:color w:val="000000" w:themeColor="text1"/>
                <w:sz w:val="21"/>
                <w:szCs w:val="21"/>
                <w:highlight w:val="none"/>
                <w:lang w:eastAsia="zh-CN" w:bidi="ar"/>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TSP</w:t>
            </w:r>
          </w:p>
        </w:tc>
      </w:tr>
      <w:tr w14:paraId="539E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88" w:type="dxa"/>
            <w:vMerge w:val="continue"/>
            <w:vAlign w:val="center"/>
          </w:tcPr>
          <w:p w14:paraId="5300D6FF">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p>
        </w:tc>
        <w:tc>
          <w:tcPr>
            <w:tcW w:w="1022" w:type="dxa"/>
            <w:vAlign w:val="center"/>
          </w:tcPr>
          <w:p w14:paraId="1D91611E">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水环境</w:t>
            </w:r>
          </w:p>
        </w:tc>
        <w:tc>
          <w:tcPr>
            <w:tcW w:w="2674" w:type="dxa"/>
            <w:vAlign w:val="center"/>
          </w:tcPr>
          <w:p w14:paraId="64FA3332">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养殖废水、生活污水</w:t>
            </w:r>
          </w:p>
        </w:tc>
        <w:tc>
          <w:tcPr>
            <w:tcW w:w="2550" w:type="dxa"/>
            <w:vAlign w:val="center"/>
          </w:tcPr>
          <w:p w14:paraId="58AF5603">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pH</w:t>
            </w:r>
            <w:r>
              <w:rPr>
                <w:rFonts w:hint="eastAsia" w:ascii="宋体" w:hAnsi="宋体"/>
                <w:color w:val="000000" w:themeColor="text1"/>
                <w:sz w:val="21"/>
                <w:szCs w:val="21"/>
                <w:highlight w:val="none"/>
                <w:lang w:bidi="ar"/>
                <w14:textFill>
                  <w14:solidFill>
                    <w14:schemeClr w14:val="tx1"/>
                  </w14:solidFill>
                </w14:textFill>
              </w:rPr>
              <w:t>、溶解性总固体、总硬度、亚硝酸盐氮、高锰酸盐指数、挥发酚、氨氮、六价铬、氟化物、细菌总数、总大肠菌群等</w:t>
            </w:r>
          </w:p>
        </w:tc>
        <w:tc>
          <w:tcPr>
            <w:tcW w:w="1311" w:type="dxa"/>
            <w:vAlign w:val="center"/>
          </w:tcPr>
          <w:p w14:paraId="51F6B72C">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COD</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BOD</w:t>
            </w:r>
            <w:r>
              <w:rPr>
                <w:rFonts w:cs="Times New Roman"/>
                <w:color w:val="000000" w:themeColor="text1"/>
                <w:sz w:val="21"/>
                <w:szCs w:val="21"/>
                <w:highlight w:val="none"/>
                <w:vertAlign w:val="subscript"/>
                <w:lang w:bidi="ar"/>
                <w14:textFill>
                  <w14:solidFill>
                    <w14:schemeClr w14:val="tx1"/>
                  </w14:solidFill>
                </w14:textFill>
              </w:rPr>
              <w:t>5</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SS</w:t>
            </w:r>
            <w:r>
              <w:rPr>
                <w:rFonts w:hint="eastAsia" w:ascii="宋体" w:hAnsi="宋体"/>
                <w:color w:val="000000" w:themeColor="text1"/>
                <w:sz w:val="21"/>
                <w:szCs w:val="21"/>
                <w:highlight w:val="none"/>
                <w:lang w:bidi="ar"/>
                <w14:textFill>
                  <w14:solidFill>
                    <w14:schemeClr w14:val="tx1"/>
                  </w14:solidFill>
                </w14:textFill>
              </w:rPr>
              <w:t>、氨氮、粪大肠菌群、蛔虫卵</w:t>
            </w:r>
          </w:p>
        </w:tc>
      </w:tr>
      <w:tr w14:paraId="48B9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88" w:type="dxa"/>
            <w:vMerge w:val="continue"/>
            <w:vAlign w:val="center"/>
          </w:tcPr>
          <w:p w14:paraId="6CB522FC">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p>
        </w:tc>
        <w:tc>
          <w:tcPr>
            <w:tcW w:w="1022" w:type="dxa"/>
            <w:vAlign w:val="center"/>
          </w:tcPr>
          <w:p w14:paraId="54CCAC45">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土壤</w:t>
            </w:r>
            <w:r>
              <w:rPr>
                <w:rFonts w:cs="Times New Roman"/>
                <w:color w:val="000000" w:themeColor="text1"/>
                <w:sz w:val="21"/>
                <w:szCs w:val="21"/>
                <w:highlight w:val="none"/>
                <w14:textFill>
                  <w14:solidFill>
                    <w14:schemeClr w14:val="tx1"/>
                  </w14:solidFill>
                </w14:textFill>
              </w:rPr>
              <w:t>环境</w:t>
            </w:r>
          </w:p>
        </w:tc>
        <w:tc>
          <w:tcPr>
            <w:tcW w:w="2674" w:type="dxa"/>
            <w:vAlign w:val="center"/>
          </w:tcPr>
          <w:p w14:paraId="306C1120">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废水及固体废物</w:t>
            </w:r>
          </w:p>
        </w:tc>
        <w:tc>
          <w:tcPr>
            <w:tcW w:w="2550" w:type="dxa"/>
            <w:vAlign w:val="center"/>
          </w:tcPr>
          <w:p w14:paraId="19B45AA3">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砷、汞、铅、镉、铬、铜、锌、镍</w:t>
            </w:r>
          </w:p>
        </w:tc>
        <w:tc>
          <w:tcPr>
            <w:tcW w:w="1311" w:type="dxa"/>
            <w:vAlign w:val="center"/>
          </w:tcPr>
          <w:p w14:paraId="0D5AACD5">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pH</w:t>
            </w:r>
            <w:r>
              <w:rPr>
                <w:rFonts w:hint="eastAsia" w:ascii="宋体" w:hAnsi="宋体"/>
                <w:color w:val="000000" w:themeColor="text1"/>
                <w:sz w:val="21"/>
                <w:szCs w:val="21"/>
                <w:highlight w:val="none"/>
                <w:lang w:bidi="ar"/>
                <w14:textFill>
                  <w14:solidFill>
                    <w14:schemeClr w14:val="tx1"/>
                  </w14:solidFill>
                </w14:textFill>
              </w:rPr>
              <w:t>、含盐量</w:t>
            </w:r>
          </w:p>
        </w:tc>
      </w:tr>
      <w:tr w14:paraId="2845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88" w:type="dxa"/>
            <w:vMerge w:val="continue"/>
            <w:vAlign w:val="center"/>
          </w:tcPr>
          <w:p w14:paraId="1784B854">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p>
        </w:tc>
        <w:tc>
          <w:tcPr>
            <w:tcW w:w="1022" w:type="dxa"/>
            <w:vAlign w:val="center"/>
          </w:tcPr>
          <w:p w14:paraId="7196D803">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14:textFill>
                  <w14:solidFill>
                    <w14:schemeClr w14:val="tx1"/>
                  </w14:solidFill>
                </w14:textFill>
              </w:rPr>
              <w:t>声环境</w:t>
            </w:r>
          </w:p>
        </w:tc>
        <w:tc>
          <w:tcPr>
            <w:tcW w:w="2674" w:type="dxa"/>
            <w:vAlign w:val="center"/>
          </w:tcPr>
          <w:p w14:paraId="6C83908C">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风机、泵类、输送机等设备噪声、猪叫等噪声</w:t>
            </w:r>
          </w:p>
        </w:tc>
        <w:tc>
          <w:tcPr>
            <w:tcW w:w="3861" w:type="dxa"/>
            <w:gridSpan w:val="2"/>
            <w:vAlign w:val="center"/>
          </w:tcPr>
          <w:p w14:paraId="3F5A6390">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Leq(A)</w:t>
            </w:r>
          </w:p>
        </w:tc>
      </w:tr>
      <w:tr w14:paraId="69C4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88" w:type="dxa"/>
            <w:vMerge w:val="continue"/>
            <w:vAlign w:val="center"/>
          </w:tcPr>
          <w:p w14:paraId="11CB7EEC">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p>
        </w:tc>
        <w:tc>
          <w:tcPr>
            <w:tcW w:w="1022" w:type="dxa"/>
            <w:vAlign w:val="center"/>
          </w:tcPr>
          <w:p w14:paraId="3291DEBA">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14:textFill>
                  <w14:solidFill>
                    <w14:schemeClr w14:val="tx1"/>
                  </w14:solidFill>
                </w14:textFill>
              </w:rPr>
              <w:t>固体废物</w:t>
            </w:r>
          </w:p>
        </w:tc>
        <w:tc>
          <w:tcPr>
            <w:tcW w:w="2674" w:type="dxa"/>
            <w:vAlign w:val="center"/>
          </w:tcPr>
          <w:p w14:paraId="3A85EB82">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死猪、粪便、</w:t>
            </w:r>
            <w:r>
              <w:rPr>
                <w:rFonts w:hint="eastAsia" w:ascii="宋体" w:hAnsi="宋体"/>
                <w:color w:val="000000" w:themeColor="text1"/>
                <w:sz w:val="21"/>
                <w:szCs w:val="21"/>
                <w:highlight w:val="none"/>
                <w:lang w:eastAsia="zh-CN" w:bidi="ar"/>
                <w14:textFill>
                  <w14:solidFill>
                    <w14:schemeClr w14:val="tx1"/>
                  </w14:solidFill>
                </w14:textFill>
              </w:rPr>
              <w:t>沼渣</w:t>
            </w:r>
            <w:r>
              <w:rPr>
                <w:rFonts w:hint="eastAsia" w:ascii="宋体" w:hAnsi="宋体"/>
                <w:color w:val="000000" w:themeColor="text1"/>
                <w:sz w:val="21"/>
                <w:szCs w:val="21"/>
                <w:highlight w:val="none"/>
                <w:lang w:bidi="ar"/>
                <w14:textFill>
                  <w14:solidFill>
                    <w14:schemeClr w14:val="tx1"/>
                  </w14:solidFill>
                </w14:textFill>
              </w:rPr>
              <w:t>、检疫废物及职工生活垃圾等</w:t>
            </w:r>
          </w:p>
        </w:tc>
        <w:tc>
          <w:tcPr>
            <w:tcW w:w="3861" w:type="dxa"/>
            <w:gridSpan w:val="2"/>
            <w:vAlign w:val="center"/>
          </w:tcPr>
          <w:p w14:paraId="0935DB7A">
            <w:pPr>
              <w:widowControl/>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死猪、粪便、</w:t>
            </w:r>
            <w:r>
              <w:rPr>
                <w:rFonts w:hint="eastAsia" w:ascii="宋体" w:hAnsi="宋体"/>
                <w:color w:val="000000" w:themeColor="text1"/>
                <w:sz w:val="21"/>
                <w:szCs w:val="21"/>
                <w:highlight w:val="none"/>
                <w:lang w:eastAsia="zh-CN" w:bidi="ar"/>
                <w14:textFill>
                  <w14:solidFill>
                    <w14:schemeClr w14:val="tx1"/>
                  </w14:solidFill>
                </w14:textFill>
              </w:rPr>
              <w:t>沼渣</w:t>
            </w:r>
            <w:r>
              <w:rPr>
                <w:rFonts w:hint="eastAsia" w:ascii="宋体" w:hAnsi="宋体"/>
                <w:color w:val="000000" w:themeColor="text1"/>
                <w:sz w:val="21"/>
                <w:szCs w:val="21"/>
                <w:highlight w:val="none"/>
                <w:lang w:bidi="ar"/>
                <w14:textFill>
                  <w14:solidFill>
                    <w14:schemeClr w14:val="tx1"/>
                  </w14:solidFill>
                </w14:textFill>
              </w:rPr>
              <w:t>、检疫废物及职工生活垃圾等</w:t>
            </w:r>
          </w:p>
        </w:tc>
      </w:tr>
      <w:tr w14:paraId="14C9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88" w:type="dxa"/>
            <w:vMerge w:val="continue"/>
            <w:vAlign w:val="center"/>
          </w:tcPr>
          <w:p w14:paraId="254389FC">
            <w:pPr>
              <w:kinsoku w:val="0"/>
              <w:autoSpaceDE w:val="0"/>
              <w:autoSpaceDN w:val="0"/>
              <w:spacing w:line="240" w:lineRule="auto"/>
              <w:jc w:val="center"/>
              <w:rPr>
                <w:rFonts w:cs="Times New Roman"/>
                <w:color w:val="000000" w:themeColor="text1"/>
                <w:sz w:val="21"/>
                <w:szCs w:val="21"/>
                <w:highlight w:val="none"/>
                <w14:textFill>
                  <w14:solidFill>
                    <w14:schemeClr w14:val="tx1"/>
                  </w14:solidFill>
                </w14:textFill>
              </w:rPr>
            </w:pPr>
            <w:bookmarkStart w:id="37" w:name="_Toc464"/>
          </w:p>
        </w:tc>
        <w:tc>
          <w:tcPr>
            <w:tcW w:w="1022" w:type="dxa"/>
            <w:vAlign w:val="center"/>
          </w:tcPr>
          <w:p w14:paraId="4C286284">
            <w:pPr>
              <w:kinsoku w:val="0"/>
              <w:autoSpaceDE w:val="0"/>
              <w:autoSpaceDN w:val="0"/>
              <w:spacing w:line="240" w:lineRule="auto"/>
              <w:jc w:val="center"/>
              <w:rPr>
                <w:rFonts w:hint="eastAsia"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生态环境</w:t>
            </w:r>
          </w:p>
        </w:tc>
        <w:tc>
          <w:tcPr>
            <w:tcW w:w="2674" w:type="dxa"/>
            <w:vAlign w:val="center"/>
          </w:tcPr>
          <w:p w14:paraId="0881C968">
            <w:pPr>
              <w:widowControl/>
              <w:kinsoku w:val="0"/>
              <w:autoSpaceDE w:val="0"/>
              <w:autoSpaceDN w:val="0"/>
              <w:spacing w:line="240" w:lineRule="auto"/>
              <w:jc w:val="center"/>
              <w:rPr>
                <w:rFonts w:hint="eastAsia" w:ascii="宋体" w:hAnsi="宋体"/>
                <w:color w:val="000000" w:themeColor="text1"/>
                <w:sz w:val="21"/>
                <w:szCs w:val="21"/>
                <w:highlight w:val="none"/>
                <w:lang w:bidi="ar"/>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废水及固体废物</w:t>
            </w:r>
          </w:p>
        </w:tc>
        <w:tc>
          <w:tcPr>
            <w:tcW w:w="3861" w:type="dxa"/>
            <w:gridSpan w:val="2"/>
            <w:vAlign w:val="center"/>
          </w:tcPr>
          <w:p w14:paraId="02D7CBD6">
            <w:pPr>
              <w:widowControl/>
              <w:kinsoku w:val="0"/>
              <w:autoSpaceDE w:val="0"/>
              <w:autoSpaceDN w:val="0"/>
              <w:spacing w:line="240" w:lineRule="auto"/>
              <w:jc w:val="center"/>
              <w:rPr>
                <w:rFonts w:hint="eastAsia" w:ascii="宋体" w:hAnsi="宋体"/>
                <w:color w:val="000000" w:themeColor="text1"/>
                <w:sz w:val="21"/>
                <w:szCs w:val="21"/>
                <w:highlight w:val="none"/>
                <w:lang w:bidi="ar"/>
                <w14:textFill>
                  <w14:solidFill>
                    <w14:schemeClr w14:val="tx1"/>
                  </w14:solidFill>
                </w14:textFill>
              </w:rPr>
            </w:pPr>
            <w:r>
              <w:rPr>
                <w:rFonts w:hint="eastAsia" w:ascii="宋体" w:hAnsi="宋体"/>
                <w:color w:val="000000" w:themeColor="text1"/>
                <w:sz w:val="21"/>
                <w:szCs w:val="21"/>
                <w:highlight w:val="none"/>
                <w:lang w:val="en-US" w:eastAsia="zh-CN" w:bidi="ar"/>
                <w14:textFill>
                  <w14:solidFill>
                    <w14:schemeClr w14:val="tx1"/>
                  </w14:solidFill>
                </w14:textFill>
              </w:rPr>
              <w:t>动植物变化、土壤</w:t>
            </w:r>
          </w:p>
        </w:tc>
      </w:tr>
    </w:tbl>
    <w:p w14:paraId="113565E4">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2.4.2评价因子筛选</w:t>
      </w:r>
      <w:bookmarkEnd w:id="37"/>
    </w:p>
    <w:p w14:paraId="33B00D9C">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根据工程污染物排放特点及区域环境特征，确定本次环境影响评价的评价因子如表</w:t>
      </w:r>
      <w:r>
        <w:rPr>
          <w:rFonts w:cs="Times New Roman"/>
          <w:color w:val="000000" w:themeColor="text1"/>
          <w:highlight w:val="none"/>
          <w:lang w:bidi="ar"/>
          <w14:textFill>
            <w14:solidFill>
              <w14:schemeClr w14:val="tx1"/>
            </w14:solidFill>
          </w14:textFill>
        </w:rPr>
        <w:t>2.4-3</w:t>
      </w:r>
      <w:r>
        <w:rPr>
          <w:rFonts w:hint="eastAsia" w:ascii="宋体" w:hAnsi="宋体"/>
          <w:color w:val="000000" w:themeColor="text1"/>
          <w:highlight w:val="none"/>
          <w:lang w:bidi="ar"/>
          <w14:textFill>
            <w14:solidFill>
              <w14:schemeClr w14:val="tx1"/>
            </w14:solidFill>
          </w14:textFill>
        </w:rPr>
        <w:t>所示。</w:t>
      </w:r>
    </w:p>
    <w:p w14:paraId="231EB363">
      <w:pPr>
        <w:kinsoku w:val="0"/>
        <w:autoSpaceDE w:val="0"/>
        <w:autoSpaceDN w:val="0"/>
        <w:adjustRightInd w:val="0"/>
        <w:spacing w:line="240" w:lineRule="auto"/>
        <w:jc w:val="center"/>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 xml:space="preserve">表2.4-3 </w:t>
      </w:r>
      <w:r>
        <w:rPr>
          <w:rFonts w:hint="eastAsia" w:cs="Times New Roman"/>
          <w:b/>
          <w:bCs/>
          <w:color w:val="000000" w:themeColor="text1"/>
          <w:sz w:val="21"/>
          <w:szCs w:val="21"/>
          <w:highlight w:val="none"/>
          <w14:textFill>
            <w14:solidFill>
              <w14:schemeClr w14:val="tx1"/>
            </w14:solidFill>
          </w14:textFill>
        </w:rPr>
        <w:t xml:space="preserve"> </w:t>
      </w:r>
      <w:r>
        <w:rPr>
          <w:rFonts w:hint="eastAsia" w:cs="Times New Roman"/>
          <w:b/>
          <w:bCs/>
          <w:color w:val="000000" w:themeColor="text1"/>
          <w:sz w:val="21"/>
          <w:szCs w:val="21"/>
          <w:highlight w:val="none"/>
          <w:lang w:eastAsia="zh-CN"/>
          <w14:textFill>
            <w14:solidFill>
              <w14:schemeClr w14:val="tx1"/>
            </w14:solidFill>
          </w14:textFill>
        </w:rPr>
        <w:t>项目</w:t>
      </w:r>
      <w:r>
        <w:rPr>
          <w:rFonts w:hint="eastAsia" w:cs="Times New Roman"/>
          <w:b/>
          <w:bCs/>
          <w:color w:val="000000" w:themeColor="text1"/>
          <w:sz w:val="21"/>
          <w:szCs w:val="21"/>
          <w:highlight w:val="none"/>
          <w14:textFill>
            <w14:solidFill>
              <w14:schemeClr w14:val="tx1"/>
            </w14:solidFill>
          </w14:textFill>
        </w:rPr>
        <w:t xml:space="preserve">评价因子一览表 </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7"/>
        <w:gridCol w:w="1554"/>
        <w:gridCol w:w="4998"/>
      </w:tblGrid>
      <w:tr w14:paraId="1771D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507" w:type="dxa"/>
            <w:vAlign w:val="center"/>
          </w:tcPr>
          <w:p w14:paraId="18A0AEAA">
            <w:pPr>
              <w:widowControl/>
              <w:spacing w:line="240" w:lineRule="auto"/>
              <w:jc w:val="center"/>
              <w:rPr>
                <w:b/>
                <w:bCs/>
                <w:color w:val="000000" w:themeColor="text1"/>
                <w:sz w:val="21"/>
                <w:szCs w:val="21"/>
                <w:highlight w:val="none"/>
                <w14:textFill>
                  <w14:solidFill>
                    <w14:schemeClr w14:val="tx1"/>
                  </w14:solidFill>
                </w14:textFill>
              </w:rPr>
            </w:pPr>
            <w:r>
              <w:rPr>
                <w:rFonts w:hint="eastAsia" w:ascii="宋体" w:hAnsi="宋体"/>
                <w:b/>
                <w:bCs/>
                <w:color w:val="000000" w:themeColor="text1"/>
                <w:sz w:val="21"/>
                <w:szCs w:val="21"/>
                <w:highlight w:val="none"/>
                <w:lang w:bidi="ar"/>
                <w14:textFill>
                  <w14:solidFill>
                    <w14:schemeClr w14:val="tx1"/>
                  </w14:solidFill>
                </w14:textFill>
              </w:rPr>
              <w:t>项目</w:t>
            </w:r>
          </w:p>
        </w:tc>
        <w:tc>
          <w:tcPr>
            <w:tcW w:w="6552" w:type="dxa"/>
            <w:gridSpan w:val="2"/>
            <w:vAlign w:val="center"/>
          </w:tcPr>
          <w:p w14:paraId="3EE6A670">
            <w:pPr>
              <w:widowControl/>
              <w:spacing w:line="240" w:lineRule="auto"/>
              <w:jc w:val="center"/>
              <w:rPr>
                <w:b/>
                <w:bCs/>
                <w:color w:val="000000" w:themeColor="text1"/>
                <w:sz w:val="21"/>
                <w:szCs w:val="21"/>
                <w:highlight w:val="none"/>
                <w14:textFill>
                  <w14:solidFill>
                    <w14:schemeClr w14:val="tx1"/>
                  </w14:solidFill>
                </w14:textFill>
              </w:rPr>
            </w:pPr>
            <w:r>
              <w:rPr>
                <w:rFonts w:hint="eastAsia" w:ascii="宋体" w:hAnsi="宋体"/>
                <w:b/>
                <w:bCs/>
                <w:color w:val="000000" w:themeColor="text1"/>
                <w:sz w:val="21"/>
                <w:szCs w:val="21"/>
                <w:highlight w:val="none"/>
                <w:lang w:bidi="ar"/>
                <w14:textFill>
                  <w14:solidFill>
                    <w14:schemeClr w14:val="tx1"/>
                  </w14:solidFill>
                </w14:textFill>
              </w:rPr>
              <w:t>评价因子</w:t>
            </w:r>
          </w:p>
        </w:tc>
      </w:tr>
      <w:tr w14:paraId="34D1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7" w:type="dxa"/>
            <w:vMerge w:val="restart"/>
            <w:vAlign w:val="center"/>
          </w:tcPr>
          <w:p w14:paraId="3703BDE2">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大气环境</w:t>
            </w:r>
          </w:p>
        </w:tc>
        <w:tc>
          <w:tcPr>
            <w:tcW w:w="1554" w:type="dxa"/>
            <w:vAlign w:val="center"/>
          </w:tcPr>
          <w:p w14:paraId="63802174">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环境质量现状</w:t>
            </w:r>
          </w:p>
        </w:tc>
        <w:tc>
          <w:tcPr>
            <w:tcW w:w="4998" w:type="dxa"/>
            <w:vAlign w:val="center"/>
          </w:tcPr>
          <w:p w14:paraId="50205975">
            <w:pPr>
              <w:widowControl/>
              <w:spacing w:line="240" w:lineRule="auto"/>
              <w:jc w:val="center"/>
              <w:rPr>
                <w:color w:val="000000" w:themeColor="text1"/>
                <w:sz w:val="21"/>
                <w:szCs w:val="21"/>
                <w:highlight w:val="none"/>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PM</w:t>
            </w:r>
            <w:r>
              <w:rPr>
                <w:rFonts w:cs="Times New Roman"/>
                <w:color w:val="000000" w:themeColor="text1"/>
                <w:sz w:val="21"/>
                <w:szCs w:val="21"/>
                <w:highlight w:val="none"/>
                <w:vertAlign w:val="subscript"/>
                <w:lang w:bidi="ar"/>
                <w14:textFill>
                  <w14:solidFill>
                    <w14:schemeClr w14:val="tx1"/>
                  </w14:solidFill>
                </w14:textFill>
              </w:rPr>
              <w:t>10</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SO</w:t>
            </w:r>
            <w:r>
              <w:rPr>
                <w:rFonts w:cs="Times New Roman"/>
                <w:color w:val="000000" w:themeColor="text1"/>
                <w:sz w:val="21"/>
                <w:szCs w:val="21"/>
                <w:highlight w:val="none"/>
                <w:vertAlign w:val="subscript"/>
                <w:lang w:bidi="ar"/>
                <w14:textFill>
                  <w14:solidFill>
                    <w14:schemeClr w14:val="tx1"/>
                  </w14:solidFill>
                </w14:textFill>
              </w:rPr>
              <w:t>2</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NO</w:t>
            </w:r>
            <w:r>
              <w:rPr>
                <w:rFonts w:cs="Times New Roman"/>
                <w:color w:val="000000" w:themeColor="text1"/>
                <w:sz w:val="21"/>
                <w:szCs w:val="21"/>
                <w:highlight w:val="none"/>
                <w:vertAlign w:val="subscript"/>
                <w:lang w:bidi="ar"/>
                <w14:textFill>
                  <w14:solidFill>
                    <w14:schemeClr w14:val="tx1"/>
                  </w14:solidFill>
                </w14:textFill>
              </w:rPr>
              <w:t>2</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CO</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O</w:t>
            </w:r>
            <w:r>
              <w:rPr>
                <w:rFonts w:cs="Times New Roman"/>
                <w:color w:val="000000" w:themeColor="text1"/>
                <w:sz w:val="21"/>
                <w:szCs w:val="21"/>
                <w:highlight w:val="none"/>
                <w:vertAlign w:val="subscript"/>
                <w:lang w:bidi="ar"/>
                <w14:textFill>
                  <w14:solidFill>
                    <w14:schemeClr w14:val="tx1"/>
                  </w14:solidFill>
                </w14:textFill>
              </w:rPr>
              <w:t>3</w:t>
            </w:r>
            <w:r>
              <w:rPr>
                <w:rFonts w:hint="eastAsia" w:ascii="宋体" w:hAnsi="宋体"/>
                <w:color w:val="000000" w:themeColor="text1"/>
                <w:sz w:val="21"/>
                <w:szCs w:val="21"/>
                <w:highlight w:val="none"/>
                <w:lang w:bidi="ar"/>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TSP、</w:t>
            </w:r>
            <w:r>
              <w:rPr>
                <w:rFonts w:cs="Times New Roman"/>
                <w:color w:val="000000" w:themeColor="text1"/>
                <w:sz w:val="21"/>
                <w:szCs w:val="21"/>
                <w:highlight w:val="none"/>
                <w:lang w:bidi="ar"/>
                <w14:textFill>
                  <w14:solidFill>
                    <w14:schemeClr w14:val="tx1"/>
                  </w14:solidFill>
                </w14:textFill>
              </w:rPr>
              <w:t>H</w:t>
            </w:r>
            <w:r>
              <w:rPr>
                <w:rFonts w:cs="Times New Roman"/>
                <w:color w:val="000000" w:themeColor="text1"/>
                <w:sz w:val="21"/>
                <w:szCs w:val="21"/>
                <w:highlight w:val="none"/>
                <w:vertAlign w:val="subscript"/>
                <w:lang w:bidi="ar"/>
                <w14:textFill>
                  <w14:solidFill>
                    <w14:schemeClr w14:val="tx1"/>
                  </w14:solidFill>
                </w14:textFill>
              </w:rPr>
              <w:t>2</w:t>
            </w:r>
            <w:r>
              <w:rPr>
                <w:rFonts w:cs="Times New Roman"/>
                <w:color w:val="000000" w:themeColor="text1"/>
                <w:sz w:val="21"/>
                <w:szCs w:val="21"/>
                <w:highlight w:val="none"/>
                <w:lang w:bidi="ar"/>
                <w14:textFill>
                  <w14:solidFill>
                    <w14:schemeClr w14:val="tx1"/>
                  </w14:solidFill>
                </w14:textFill>
              </w:rPr>
              <w:t>S</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NH</w:t>
            </w:r>
            <w:r>
              <w:rPr>
                <w:rFonts w:cs="Times New Roman"/>
                <w:color w:val="000000" w:themeColor="text1"/>
                <w:sz w:val="21"/>
                <w:szCs w:val="21"/>
                <w:highlight w:val="none"/>
                <w:vertAlign w:val="subscript"/>
                <w:lang w:bidi="ar"/>
                <w14:textFill>
                  <w14:solidFill>
                    <w14:schemeClr w14:val="tx1"/>
                  </w14:solidFill>
                </w14:textFill>
              </w:rPr>
              <w:t>3</w:t>
            </w:r>
            <w:r>
              <w:rPr>
                <w:rFonts w:hint="eastAsia" w:ascii="宋体" w:hAnsi="宋体"/>
                <w:color w:val="000000" w:themeColor="text1"/>
                <w:sz w:val="21"/>
                <w:szCs w:val="21"/>
                <w:highlight w:val="none"/>
                <w:lang w:bidi="ar"/>
                <w14:textFill>
                  <w14:solidFill>
                    <w14:schemeClr w14:val="tx1"/>
                  </w14:solidFill>
                </w14:textFill>
              </w:rPr>
              <w:t>、臭气浓度</w:t>
            </w:r>
          </w:p>
        </w:tc>
      </w:tr>
      <w:tr w14:paraId="0433F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7" w:type="dxa"/>
            <w:vMerge w:val="continue"/>
            <w:vAlign w:val="center"/>
          </w:tcPr>
          <w:p w14:paraId="72C7CA05">
            <w:pPr>
              <w:spacing w:line="240" w:lineRule="auto"/>
              <w:jc w:val="center"/>
              <w:rPr>
                <w:color w:val="000000" w:themeColor="text1"/>
                <w:sz w:val="21"/>
                <w:szCs w:val="21"/>
                <w:highlight w:val="none"/>
                <w14:textFill>
                  <w14:solidFill>
                    <w14:schemeClr w14:val="tx1"/>
                  </w14:solidFill>
                </w14:textFill>
              </w:rPr>
            </w:pPr>
          </w:p>
        </w:tc>
        <w:tc>
          <w:tcPr>
            <w:tcW w:w="1554" w:type="dxa"/>
            <w:vAlign w:val="center"/>
          </w:tcPr>
          <w:p w14:paraId="686A3F09">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特征污染物</w:t>
            </w:r>
          </w:p>
        </w:tc>
        <w:tc>
          <w:tcPr>
            <w:tcW w:w="4998" w:type="dxa"/>
            <w:vAlign w:val="center"/>
          </w:tcPr>
          <w:p w14:paraId="1EA54E55">
            <w:pPr>
              <w:widowControl/>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
                <w14:textFill>
                  <w14:solidFill>
                    <w14:schemeClr w14:val="tx1"/>
                  </w14:solidFill>
                </w14:textFill>
              </w:rPr>
              <w:t>TSP、</w:t>
            </w:r>
            <w:r>
              <w:rPr>
                <w:rFonts w:cs="Times New Roman"/>
                <w:color w:val="000000" w:themeColor="text1"/>
                <w:sz w:val="21"/>
                <w:szCs w:val="21"/>
                <w:highlight w:val="none"/>
                <w:lang w:bidi="ar"/>
                <w14:textFill>
                  <w14:solidFill>
                    <w14:schemeClr w14:val="tx1"/>
                  </w14:solidFill>
                </w14:textFill>
              </w:rPr>
              <w:t>NH</w:t>
            </w:r>
            <w:r>
              <w:rPr>
                <w:rFonts w:cs="Times New Roman"/>
                <w:color w:val="000000" w:themeColor="text1"/>
                <w:sz w:val="21"/>
                <w:szCs w:val="21"/>
                <w:highlight w:val="none"/>
                <w:vertAlign w:val="subscript"/>
                <w:lang w:bidi="ar"/>
                <w14:textFill>
                  <w14:solidFill>
                    <w14:schemeClr w14:val="tx1"/>
                  </w14:solidFill>
                </w14:textFill>
              </w:rPr>
              <w:t>3</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H</w:t>
            </w:r>
            <w:r>
              <w:rPr>
                <w:rFonts w:cs="Times New Roman"/>
                <w:color w:val="000000" w:themeColor="text1"/>
                <w:sz w:val="21"/>
                <w:szCs w:val="21"/>
                <w:highlight w:val="none"/>
                <w:vertAlign w:val="subscript"/>
                <w:lang w:bidi="ar"/>
                <w14:textFill>
                  <w14:solidFill>
                    <w14:schemeClr w14:val="tx1"/>
                  </w14:solidFill>
                </w14:textFill>
              </w:rPr>
              <w:t>2</w:t>
            </w:r>
            <w:r>
              <w:rPr>
                <w:rFonts w:cs="Times New Roman"/>
                <w:color w:val="000000" w:themeColor="text1"/>
                <w:sz w:val="21"/>
                <w:szCs w:val="21"/>
                <w:highlight w:val="none"/>
                <w:lang w:bidi="ar"/>
                <w14:textFill>
                  <w14:solidFill>
                    <w14:schemeClr w14:val="tx1"/>
                  </w14:solidFill>
                </w14:textFill>
              </w:rPr>
              <w:t>S</w:t>
            </w:r>
            <w:r>
              <w:rPr>
                <w:rFonts w:hint="eastAsia" w:ascii="宋体" w:hAnsi="宋体"/>
                <w:color w:val="000000" w:themeColor="text1"/>
                <w:sz w:val="21"/>
                <w:szCs w:val="21"/>
                <w:highlight w:val="none"/>
                <w:lang w:bidi="ar"/>
                <w14:textFill>
                  <w14:solidFill>
                    <w14:schemeClr w14:val="tx1"/>
                  </w14:solidFill>
                </w14:textFill>
              </w:rPr>
              <w:t>、臭气浓度</w:t>
            </w:r>
          </w:p>
        </w:tc>
      </w:tr>
      <w:tr w14:paraId="1F28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7" w:type="dxa"/>
            <w:vAlign w:val="center"/>
          </w:tcPr>
          <w:p w14:paraId="2E15CE37">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水环境</w:t>
            </w:r>
          </w:p>
        </w:tc>
        <w:tc>
          <w:tcPr>
            <w:tcW w:w="1554" w:type="dxa"/>
            <w:vAlign w:val="center"/>
          </w:tcPr>
          <w:p w14:paraId="3614F0EB">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废水</w:t>
            </w:r>
          </w:p>
        </w:tc>
        <w:tc>
          <w:tcPr>
            <w:tcW w:w="4998" w:type="dxa"/>
            <w:vAlign w:val="center"/>
          </w:tcPr>
          <w:p w14:paraId="49EBFA7D">
            <w:pPr>
              <w:widowControl/>
              <w:spacing w:line="240" w:lineRule="auto"/>
              <w:jc w:val="center"/>
              <w:rPr>
                <w:color w:val="000000" w:themeColor="text1"/>
                <w:sz w:val="21"/>
                <w:szCs w:val="21"/>
                <w:highlight w:val="none"/>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COD</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BOD</w:t>
            </w:r>
            <w:r>
              <w:rPr>
                <w:rFonts w:cs="Times New Roman"/>
                <w:color w:val="000000" w:themeColor="text1"/>
                <w:sz w:val="21"/>
                <w:szCs w:val="21"/>
                <w:highlight w:val="none"/>
                <w:vertAlign w:val="subscript"/>
                <w:lang w:bidi="ar"/>
                <w14:textFill>
                  <w14:solidFill>
                    <w14:schemeClr w14:val="tx1"/>
                  </w14:solidFill>
                </w14:textFill>
              </w:rPr>
              <w:t>5</w:t>
            </w:r>
            <w:r>
              <w:rPr>
                <w:rFonts w:hint="eastAsia" w:ascii="宋体" w:hAnsi="宋体"/>
                <w:color w:val="000000" w:themeColor="text1"/>
                <w:sz w:val="21"/>
                <w:szCs w:val="21"/>
                <w:highlight w:val="none"/>
                <w:lang w:bidi="ar"/>
                <w14:textFill>
                  <w14:solidFill>
                    <w14:schemeClr w14:val="tx1"/>
                  </w14:solidFill>
                </w14:textFill>
              </w:rPr>
              <w:t>、</w:t>
            </w:r>
            <w:r>
              <w:rPr>
                <w:rFonts w:cs="Times New Roman"/>
                <w:color w:val="000000" w:themeColor="text1"/>
                <w:sz w:val="21"/>
                <w:szCs w:val="21"/>
                <w:highlight w:val="none"/>
                <w:lang w:bidi="ar"/>
                <w14:textFill>
                  <w14:solidFill>
                    <w14:schemeClr w14:val="tx1"/>
                  </w14:solidFill>
                </w14:textFill>
              </w:rPr>
              <w:t>SS</w:t>
            </w:r>
            <w:r>
              <w:rPr>
                <w:rFonts w:hint="eastAsia" w:ascii="宋体" w:hAnsi="宋体"/>
                <w:color w:val="000000" w:themeColor="text1"/>
                <w:sz w:val="21"/>
                <w:szCs w:val="21"/>
                <w:highlight w:val="none"/>
                <w:lang w:bidi="ar"/>
                <w14:textFill>
                  <w14:solidFill>
                    <w14:schemeClr w14:val="tx1"/>
                  </w14:solidFill>
                </w14:textFill>
              </w:rPr>
              <w:t>、氨氮、</w:t>
            </w:r>
            <w:r>
              <w:rPr>
                <w:rFonts w:cs="Times New Roman"/>
                <w:color w:val="000000" w:themeColor="text1"/>
                <w:sz w:val="21"/>
                <w:szCs w:val="21"/>
                <w:highlight w:val="none"/>
                <w:lang w:bidi="ar"/>
                <w14:textFill>
                  <w14:solidFill>
                    <w14:schemeClr w14:val="tx1"/>
                  </w14:solidFill>
                </w14:textFill>
              </w:rPr>
              <w:t>TP</w:t>
            </w:r>
            <w:r>
              <w:rPr>
                <w:rFonts w:hint="eastAsia" w:ascii="宋体" w:hAnsi="宋体"/>
                <w:color w:val="000000" w:themeColor="text1"/>
                <w:sz w:val="21"/>
                <w:szCs w:val="21"/>
                <w:highlight w:val="none"/>
                <w:lang w:bidi="ar"/>
                <w14:textFill>
                  <w14:solidFill>
                    <w14:schemeClr w14:val="tx1"/>
                  </w14:solidFill>
                </w14:textFill>
              </w:rPr>
              <w:t>、粪大肠菌群、蛔虫卵</w:t>
            </w:r>
          </w:p>
        </w:tc>
      </w:tr>
      <w:tr w14:paraId="508A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7" w:type="dxa"/>
            <w:vAlign w:val="center"/>
          </w:tcPr>
          <w:p w14:paraId="266278BD">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土壤环境</w:t>
            </w:r>
          </w:p>
        </w:tc>
        <w:tc>
          <w:tcPr>
            <w:tcW w:w="1554" w:type="dxa"/>
            <w:vAlign w:val="center"/>
          </w:tcPr>
          <w:p w14:paraId="2C12B099">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土壤</w:t>
            </w:r>
          </w:p>
        </w:tc>
        <w:tc>
          <w:tcPr>
            <w:tcW w:w="4998" w:type="dxa"/>
            <w:vAlign w:val="center"/>
          </w:tcPr>
          <w:p w14:paraId="0BA27020">
            <w:pPr>
              <w:widowControl/>
              <w:spacing w:line="240" w:lineRule="auto"/>
              <w:jc w:val="center"/>
              <w:rPr>
                <w:color w:val="000000" w:themeColor="text1"/>
                <w:sz w:val="21"/>
                <w:szCs w:val="21"/>
                <w:highlight w:val="none"/>
                <w14:textFill>
                  <w14:solidFill>
                    <w14:schemeClr w14:val="tx1"/>
                  </w14:solidFill>
                </w14:textFill>
              </w:rPr>
            </w:pPr>
            <w:r>
              <w:rPr>
                <w:rFonts w:cs="Times New Roman"/>
                <w:color w:val="000000" w:themeColor="text1"/>
                <w:sz w:val="21"/>
                <w:szCs w:val="21"/>
                <w:highlight w:val="none"/>
                <w:lang w:bidi="ar"/>
                <w14:textFill>
                  <w14:solidFill>
                    <w14:schemeClr w14:val="tx1"/>
                  </w14:solidFill>
                </w14:textFill>
              </w:rPr>
              <w:t>pH</w:t>
            </w:r>
            <w:r>
              <w:rPr>
                <w:rFonts w:hint="eastAsia" w:ascii="宋体" w:hAnsi="宋体"/>
                <w:color w:val="000000" w:themeColor="text1"/>
                <w:sz w:val="21"/>
                <w:szCs w:val="21"/>
                <w:highlight w:val="none"/>
                <w:lang w:bidi="ar"/>
                <w14:textFill>
                  <w14:solidFill>
                    <w14:schemeClr w14:val="tx1"/>
                  </w14:solidFill>
                </w14:textFill>
              </w:rPr>
              <w:t>、含盐量、砷、汞、铅、镉、铬、铜、锌、镍</w:t>
            </w:r>
          </w:p>
        </w:tc>
      </w:tr>
      <w:tr w14:paraId="3E0C7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7" w:type="dxa"/>
            <w:vAlign w:val="center"/>
          </w:tcPr>
          <w:p w14:paraId="58951F03">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声环境</w:t>
            </w:r>
          </w:p>
        </w:tc>
        <w:tc>
          <w:tcPr>
            <w:tcW w:w="6552" w:type="dxa"/>
            <w:gridSpan w:val="2"/>
            <w:vAlign w:val="center"/>
          </w:tcPr>
          <w:p w14:paraId="254CAD5C">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等效连续</w:t>
            </w:r>
            <w:r>
              <w:rPr>
                <w:rFonts w:cs="Times New Roman"/>
                <w:color w:val="000000" w:themeColor="text1"/>
                <w:sz w:val="21"/>
                <w:szCs w:val="21"/>
                <w:highlight w:val="none"/>
                <w:lang w:bidi="ar"/>
                <w14:textFill>
                  <w14:solidFill>
                    <w14:schemeClr w14:val="tx1"/>
                  </w14:solidFill>
                </w14:textFill>
              </w:rPr>
              <w:t>A</w:t>
            </w:r>
            <w:r>
              <w:rPr>
                <w:rFonts w:hint="eastAsia" w:ascii="宋体" w:hAnsi="宋体"/>
                <w:color w:val="000000" w:themeColor="text1"/>
                <w:sz w:val="21"/>
                <w:szCs w:val="21"/>
                <w:highlight w:val="none"/>
                <w:lang w:bidi="ar"/>
                <w14:textFill>
                  <w14:solidFill>
                    <w14:schemeClr w14:val="tx1"/>
                  </w14:solidFill>
                </w14:textFill>
              </w:rPr>
              <w:t>声级</w:t>
            </w:r>
          </w:p>
        </w:tc>
      </w:tr>
      <w:tr w14:paraId="72AF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7" w:type="dxa"/>
            <w:vAlign w:val="center"/>
          </w:tcPr>
          <w:p w14:paraId="5F01A819">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固体废物</w:t>
            </w:r>
          </w:p>
        </w:tc>
        <w:tc>
          <w:tcPr>
            <w:tcW w:w="6552" w:type="dxa"/>
            <w:gridSpan w:val="2"/>
            <w:vAlign w:val="center"/>
          </w:tcPr>
          <w:p w14:paraId="030B21B3">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val="en-US" w:eastAsia="zh-CN" w:bidi="ar"/>
                <w14:textFill>
                  <w14:solidFill>
                    <w14:schemeClr w14:val="tx1"/>
                  </w14:solidFill>
                </w14:textFill>
              </w:rPr>
              <w:t>病死猪、胎衣</w:t>
            </w:r>
            <w:r>
              <w:rPr>
                <w:rFonts w:hint="eastAsia" w:ascii="宋体" w:hAnsi="宋体"/>
                <w:color w:val="000000" w:themeColor="text1"/>
                <w:sz w:val="21"/>
                <w:szCs w:val="21"/>
                <w:highlight w:val="none"/>
                <w:lang w:bidi="ar"/>
                <w14:textFill>
                  <w14:solidFill>
                    <w14:schemeClr w14:val="tx1"/>
                  </w14:solidFill>
                </w14:textFill>
              </w:rPr>
              <w:t>、</w:t>
            </w:r>
            <w:r>
              <w:rPr>
                <w:rFonts w:hint="eastAsia" w:ascii="宋体" w:hAnsi="宋体"/>
                <w:color w:val="000000" w:themeColor="text1"/>
                <w:sz w:val="21"/>
                <w:szCs w:val="21"/>
                <w:highlight w:val="none"/>
                <w:lang w:val="en-US" w:eastAsia="zh-CN" w:bidi="ar"/>
                <w14:textFill>
                  <w14:solidFill>
                    <w14:schemeClr w14:val="tx1"/>
                  </w14:solidFill>
                </w14:textFill>
              </w:rPr>
              <w:t>猪</w:t>
            </w:r>
            <w:r>
              <w:rPr>
                <w:rFonts w:hint="eastAsia" w:ascii="宋体" w:hAnsi="宋体"/>
                <w:color w:val="000000" w:themeColor="text1"/>
                <w:sz w:val="21"/>
                <w:szCs w:val="21"/>
                <w:highlight w:val="none"/>
                <w:lang w:bidi="ar"/>
                <w14:textFill>
                  <w14:solidFill>
                    <w14:schemeClr w14:val="tx1"/>
                  </w14:solidFill>
                </w14:textFill>
              </w:rPr>
              <w:t>粪、</w:t>
            </w:r>
            <w:r>
              <w:rPr>
                <w:rFonts w:hint="eastAsia" w:ascii="宋体" w:hAnsi="宋体"/>
                <w:color w:val="000000" w:themeColor="text1"/>
                <w:sz w:val="21"/>
                <w:szCs w:val="21"/>
                <w:highlight w:val="none"/>
                <w:lang w:eastAsia="zh-CN" w:bidi="ar"/>
                <w14:textFill>
                  <w14:solidFill>
                    <w14:schemeClr w14:val="tx1"/>
                  </w14:solidFill>
                </w14:textFill>
              </w:rPr>
              <w:t>沼渣</w:t>
            </w:r>
            <w:r>
              <w:rPr>
                <w:rFonts w:hint="eastAsia" w:ascii="宋体" w:hAnsi="宋体"/>
                <w:color w:val="000000" w:themeColor="text1"/>
                <w:sz w:val="21"/>
                <w:szCs w:val="21"/>
                <w:highlight w:val="none"/>
                <w:lang w:bidi="ar"/>
                <w14:textFill>
                  <w14:solidFill>
                    <w14:schemeClr w14:val="tx1"/>
                  </w14:solidFill>
                </w14:textFill>
              </w:rPr>
              <w:t>、</w:t>
            </w:r>
            <w:r>
              <w:rPr>
                <w:rFonts w:hint="eastAsia" w:ascii="宋体" w:hAnsi="宋体"/>
                <w:color w:val="000000" w:themeColor="text1"/>
                <w:sz w:val="21"/>
                <w:szCs w:val="21"/>
                <w:highlight w:val="none"/>
                <w:lang w:val="en-US" w:eastAsia="zh-CN" w:bidi="ar"/>
                <w14:textFill>
                  <w14:solidFill>
                    <w14:schemeClr w14:val="tx1"/>
                  </w14:solidFill>
                </w14:textFill>
              </w:rPr>
              <w:t>医疗</w:t>
            </w:r>
            <w:r>
              <w:rPr>
                <w:rFonts w:hint="eastAsia" w:ascii="宋体" w:hAnsi="宋体"/>
                <w:color w:val="000000" w:themeColor="text1"/>
                <w:sz w:val="21"/>
                <w:szCs w:val="21"/>
                <w:highlight w:val="none"/>
                <w:lang w:bidi="ar"/>
                <w14:textFill>
                  <w14:solidFill>
                    <w14:schemeClr w14:val="tx1"/>
                  </w14:solidFill>
                </w14:textFill>
              </w:rPr>
              <w:t>废物及生活垃圾</w:t>
            </w:r>
          </w:p>
        </w:tc>
      </w:tr>
      <w:tr w14:paraId="1567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7" w:type="dxa"/>
            <w:vAlign w:val="center"/>
          </w:tcPr>
          <w:p w14:paraId="03B0C1E0">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生态环境</w:t>
            </w:r>
          </w:p>
        </w:tc>
        <w:tc>
          <w:tcPr>
            <w:tcW w:w="6552" w:type="dxa"/>
            <w:gridSpan w:val="2"/>
            <w:vAlign w:val="center"/>
          </w:tcPr>
          <w:p w14:paraId="30709ED6">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val="en-US" w:eastAsia="zh-CN" w:bidi="ar"/>
                <w14:textFill>
                  <w14:solidFill>
                    <w14:schemeClr w14:val="tx1"/>
                  </w14:solidFill>
                </w14:textFill>
              </w:rPr>
              <w:t>动植物变化、土壤</w:t>
            </w:r>
          </w:p>
        </w:tc>
      </w:tr>
      <w:tr w14:paraId="2FB1B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7" w:type="dxa"/>
            <w:vAlign w:val="center"/>
          </w:tcPr>
          <w:p w14:paraId="4DFB1C0A">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环境风险</w:t>
            </w:r>
          </w:p>
        </w:tc>
        <w:tc>
          <w:tcPr>
            <w:tcW w:w="6552" w:type="dxa"/>
            <w:gridSpan w:val="2"/>
            <w:vAlign w:val="center"/>
          </w:tcPr>
          <w:p w14:paraId="4016BF43">
            <w:pPr>
              <w:widowControl/>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宋体" w:hAnsi="宋体"/>
                <w:color w:val="000000" w:themeColor="text1"/>
                <w:sz w:val="21"/>
                <w:szCs w:val="21"/>
                <w:highlight w:val="none"/>
                <w:lang w:val="en-US" w:eastAsia="zh-CN" w:bidi="ar"/>
                <w14:textFill>
                  <w14:solidFill>
                    <w14:schemeClr w14:val="tx1"/>
                  </w14:solidFill>
                </w14:textFill>
              </w:rPr>
              <w:t>火灾、</w:t>
            </w:r>
            <w:r>
              <w:rPr>
                <w:rFonts w:hint="eastAsia" w:ascii="宋体" w:hAnsi="宋体"/>
                <w:color w:val="000000" w:themeColor="text1"/>
                <w:sz w:val="21"/>
                <w:szCs w:val="21"/>
                <w:highlight w:val="none"/>
                <w:lang w:bidi="ar"/>
                <w14:textFill>
                  <w14:solidFill>
                    <w14:schemeClr w14:val="tx1"/>
                  </w14:solidFill>
                </w14:textFill>
              </w:rPr>
              <w:t>黑膜池事故</w:t>
            </w:r>
            <w:r>
              <w:rPr>
                <w:rFonts w:hint="eastAsia" w:ascii="宋体" w:hAnsi="宋体"/>
                <w:color w:val="000000" w:themeColor="text1"/>
                <w:sz w:val="21"/>
                <w:szCs w:val="21"/>
                <w:highlight w:val="none"/>
                <w:lang w:eastAsia="zh-CN" w:bidi="ar"/>
                <w14:textFill>
                  <w14:solidFill>
                    <w14:schemeClr w14:val="tx1"/>
                  </w14:solidFill>
                </w14:textFill>
              </w:rPr>
              <w:t>、</w:t>
            </w:r>
            <w:r>
              <w:rPr>
                <w:rFonts w:hint="eastAsia" w:ascii="宋体" w:hAnsi="宋体"/>
                <w:color w:val="000000" w:themeColor="text1"/>
                <w:sz w:val="21"/>
                <w:szCs w:val="21"/>
                <w:highlight w:val="none"/>
                <w:lang w:val="en-US" w:eastAsia="zh-CN" w:bidi="ar"/>
                <w14:textFill>
                  <w14:solidFill>
                    <w14:schemeClr w14:val="tx1"/>
                  </w14:solidFill>
                </w14:textFill>
              </w:rPr>
              <w:t>疫病</w:t>
            </w:r>
            <w:r>
              <w:rPr>
                <w:rFonts w:hint="eastAsia" w:ascii="宋体" w:hAnsi="宋体"/>
                <w:color w:val="000000" w:themeColor="text1"/>
                <w:sz w:val="21"/>
                <w:szCs w:val="21"/>
                <w:highlight w:val="none"/>
                <w:lang w:bidi="ar"/>
                <w14:textFill>
                  <w14:solidFill>
                    <w14:schemeClr w14:val="tx1"/>
                  </w14:solidFill>
                </w14:textFill>
              </w:rPr>
              <w:t>风险</w:t>
            </w:r>
          </w:p>
        </w:tc>
      </w:tr>
      <w:tr w14:paraId="2138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07" w:type="dxa"/>
            <w:vAlign w:val="center"/>
          </w:tcPr>
          <w:p w14:paraId="65242D3E">
            <w:pPr>
              <w:widowControl/>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总量控制因子</w:t>
            </w:r>
          </w:p>
        </w:tc>
        <w:tc>
          <w:tcPr>
            <w:tcW w:w="6552" w:type="dxa"/>
            <w:gridSpan w:val="2"/>
            <w:vAlign w:val="center"/>
          </w:tcPr>
          <w:p w14:paraId="56243015">
            <w:pPr>
              <w:widowControl/>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bidi="ar"/>
                <w14:textFill>
                  <w14:solidFill>
                    <w14:schemeClr w14:val="tx1"/>
                  </w14:solidFill>
                </w14:textFill>
              </w:rPr>
              <w:t>/</w:t>
            </w:r>
          </w:p>
        </w:tc>
      </w:tr>
    </w:tbl>
    <w:p w14:paraId="6C18CDF7">
      <w:pPr>
        <w:pStyle w:val="3"/>
        <w:rPr>
          <w:color w:val="000000" w:themeColor="text1"/>
          <w:highlight w:val="none"/>
          <w14:textFill>
            <w14:solidFill>
              <w14:schemeClr w14:val="tx1"/>
            </w14:solidFill>
          </w14:textFill>
        </w:rPr>
      </w:pPr>
      <w:bookmarkStart w:id="38" w:name="_Toc11917"/>
      <w:bookmarkStart w:id="39" w:name="_Toc16338"/>
      <w:r>
        <w:rPr>
          <w:color w:val="000000" w:themeColor="text1"/>
          <w:highlight w:val="none"/>
          <w:lang w:eastAsia="zh-CN"/>
          <w14:textFill>
            <w14:solidFill>
              <w14:schemeClr w14:val="tx1"/>
            </w14:solidFill>
          </w14:textFill>
        </w:rPr>
        <w:t>2.5</w:t>
      </w:r>
      <w:r>
        <w:rPr>
          <w:rFonts w:hint="eastAsia"/>
          <w:color w:val="000000" w:themeColor="text1"/>
          <w:highlight w:val="none"/>
          <w:lang w:eastAsia="zh-CN"/>
          <w14:textFill>
            <w14:solidFill>
              <w14:schemeClr w14:val="tx1"/>
            </w14:solidFill>
          </w14:textFill>
        </w:rPr>
        <w:t>环境功能区划</w:t>
      </w:r>
      <w:bookmarkEnd w:id="38"/>
      <w:bookmarkEnd w:id="39"/>
    </w:p>
    <w:p w14:paraId="024EA09B">
      <w:pPr>
        <w:pStyle w:val="4"/>
        <w:rPr>
          <w:color w:val="000000" w:themeColor="text1"/>
          <w:highlight w:val="none"/>
          <w14:textFill>
            <w14:solidFill>
              <w14:schemeClr w14:val="tx1"/>
            </w14:solidFill>
          </w14:textFill>
        </w:rPr>
      </w:pPr>
      <w:bookmarkStart w:id="40" w:name="_Toc6652"/>
      <w:r>
        <w:rPr>
          <w:color w:val="000000" w:themeColor="text1"/>
          <w:highlight w:val="none"/>
          <w14:textFill>
            <w14:solidFill>
              <w14:schemeClr w14:val="tx1"/>
            </w14:solidFill>
          </w14:textFill>
        </w:rPr>
        <w:t>2.5.1环境功能区划</w:t>
      </w:r>
      <w:bookmarkEnd w:id="40"/>
    </w:p>
    <w:p w14:paraId="6A83C15C">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）环境空气功能区划</w:t>
      </w:r>
    </w:p>
    <w:p w14:paraId="5C3F2ABC">
      <w:pPr>
        <w:bidi w:val="0"/>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本项目选址位于</w:t>
      </w:r>
      <w:r>
        <w:rPr>
          <w:rFonts w:hint="eastAsia"/>
          <w:color w:val="000000" w:themeColor="text1"/>
          <w:highlight w:val="none"/>
          <w:lang w:eastAsia="zh-CN"/>
          <w14:textFill>
            <w14:solidFill>
              <w14:schemeClr w14:val="tx1"/>
            </w14:solidFill>
          </w14:textFill>
        </w:rPr>
        <w:t>胡杨河市125团</w:t>
      </w:r>
      <w:r>
        <w:rPr>
          <w:rFonts w:hint="eastAsia"/>
          <w:color w:val="000000" w:themeColor="text1"/>
          <w:highlight w:val="none"/>
          <w14:textFill>
            <w14:solidFill>
              <w14:schemeClr w14:val="tx1"/>
            </w14:solidFill>
          </w14:textFill>
        </w:rPr>
        <w:t>，周边无自然保护区、风景名胜区和其他需要特殊保护的区域。根据《环境空气质量标准》（</w:t>
      </w:r>
      <w:r>
        <w:rPr>
          <w:color w:val="000000" w:themeColor="text1"/>
          <w:highlight w:val="none"/>
          <w14:textFill>
            <w14:solidFill>
              <w14:schemeClr w14:val="tx1"/>
            </w14:solidFill>
          </w14:textFill>
        </w:rPr>
        <w:t>GB3095-2012</w:t>
      </w:r>
      <w:r>
        <w:rPr>
          <w:rFonts w:hint="eastAsia"/>
          <w:color w:val="000000" w:themeColor="text1"/>
          <w:highlight w:val="none"/>
          <w14:textFill>
            <w14:solidFill>
              <w14:schemeClr w14:val="tx1"/>
            </w14:solidFill>
          </w14:textFill>
        </w:rPr>
        <w:t>）中的规定，项目所在区的环境空气质量工程区划属于二类功能区；环境空气质量执行二级标准。</w:t>
      </w:r>
    </w:p>
    <w:p w14:paraId="5A369F7E">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）水环境功能区划</w:t>
      </w:r>
    </w:p>
    <w:p w14:paraId="7ECABA0A">
      <w:pPr>
        <w:bidi w:val="0"/>
        <w:ind w:firstLine="48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根据《地下水质量标准》（</w:t>
      </w:r>
      <w:r>
        <w:rPr>
          <w:color w:val="000000" w:themeColor="text1"/>
          <w:highlight w:val="none"/>
          <w14:textFill>
            <w14:solidFill>
              <w14:schemeClr w14:val="tx1"/>
            </w14:solidFill>
          </w14:textFill>
        </w:rPr>
        <w:t>GB/T</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1484</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）中的规定，项目所在区域地下水功能不属于集中式生活饮用水水源。依据项目区周围地区地下水的使用情况，主要作为饮用水及工农业用水。按照地下水质量分类，项目区及其周围地区的地下水应属于</w:t>
      </w:r>
      <w:r>
        <w:rPr>
          <w:color w:val="000000" w:themeColor="text1"/>
          <w:highlight w:val="none"/>
          <w14:textFill>
            <w14:solidFill>
              <w14:schemeClr w14:val="tx1"/>
            </w14:solidFill>
          </w14:textFill>
        </w:rPr>
        <w:t>Ⅲ</w:t>
      </w:r>
      <w:r>
        <w:rPr>
          <w:rFonts w:hint="eastAsia"/>
          <w:color w:val="000000" w:themeColor="text1"/>
          <w:highlight w:val="none"/>
          <w14:textFill>
            <w14:solidFill>
              <w14:schemeClr w14:val="tx1"/>
            </w14:solidFill>
          </w14:textFill>
        </w:rPr>
        <w:t>类（以人体健康基准值为依据，主要适用于集中式生活饮用水水源及</w:t>
      </w:r>
      <w:r>
        <w:rPr>
          <w:rFonts w:hint="eastAsia"/>
          <w:color w:val="000000" w:themeColor="text1"/>
          <w:highlight w:val="none"/>
          <w:lang w:eastAsia="zh-CN"/>
          <w14:textFill>
            <w14:solidFill>
              <w14:schemeClr w14:val="tx1"/>
            </w14:solidFill>
          </w14:textFill>
        </w:rPr>
        <w:t>工业</w:t>
      </w:r>
      <w:r>
        <w:rPr>
          <w:rFonts w:hint="eastAsia"/>
          <w:color w:val="000000" w:themeColor="text1"/>
          <w:highlight w:val="none"/>
          <w14:textFill>
            <w14:solidFill>
              <w14:schemeClr w14:val="tx1"/>
            </w14:solidFill>
          </w14:textFill>
        </w:rPr>
        <w:t>、农业用水），水质评价标准按《地下水质量标准》（</w:t>
      </w:r>
      <w:r>
        <w:rPr>
          <w:color w:val="000000" w:themeColor="text1"/>
          <w:highlight w:val="none"/>
          <w14:textFill>
            <w14:solidFill>
              <w14:schemeClr w14:val="tx1"/>
            </w14:solidFill>
          </w14:textFill>
        </w:rPr>
        <w:t>GB/T</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1484</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）中的</w:t>
      </w:r>
      <w:r>
        <w:rPr>
          <w:color w:val="000000" w:themeColor="text1"/>
          <w:highlight w:val="none"/>
          <w14:textFill>
            <w14:solidFill>
              <w14:schemeClr w14:val="tx1"/>
            </w14:solidFill>
          </w14:textFill>
        </w:rPr>
        <w:t>Ⅲ</w:t>
      </w:r>
      <w:r>
        <w:rPr>
          <w:rFonts w:hint="eastAsia"/>
          <w:color w:val="000000" w:themeColor="text1"/>
          <w:highlight w:val="none"/>
          <w14:textFill>
            <w14:solidFill>
              <w14:schemeClr w14:val="tx1"/>
            </w14:solidFill>
          </w14:textFill>
        </w:rPr>
        <w:t>类标准进行</w:t>
      </w:r>
      <w:r>
        <w:rPr>
          <w:rFonts w:hint="eastAsia"/>
          <w:color w:val="000000" w:themeColor="text1"/>
          <w:highlight w:val="none"/>
          <w:lang w:eastAsia="zh-CN"/>
          <w14:textFill>
            <w14:solidFill>
              <w14:schemeClr w14:val="tx1"/>
            </w14:solidFill>
          </w14:textFill>
        </w:rPr>
        <w:t>。</w:t>
      </w:r>
    </w:p>
    <w:p w14:paraId="4A02EAA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（3）声环境功能区划</w:t>
      </w:r>
    </w:p>
    <w:p w14:paraId="3DB7C9D0">
      <w:pPr>
        <w:bidi w:val="0"/>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根据《声环境质量标准》（GB3096-2008）声环境分类区域划分，项目所在地为2类声环境功能区，执行《声环境质量标准》（GB3096-2008）中2类标准要求。</w:t>
      </w:r>
    </w:p>
    <w:p w14:paraId="7BBE10A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（4）生态环境功能区划</w:t>
      </w:r>
    </w:p>
    <w:p w14:paraId="2A257D45">
      <w:pPr>
        <w:bidi w:val="0"/>
        <w:ind w:firstLine="480" w:firstLineChars="200"/>
        <w:rPr>
          <w:rFonts w:hint="default"/>
          <w:color w:val="000000" w:themeColor="text1"/>
          <w:highlight w:val="none"/>
          <w:lang w:val="en-US" w:eastAsia="zh-CN"/>
          <w14:textFill>
            <w14:solidFill>
              <w14:schemeClr w14:val="tx1"/>
            </w14:solidFill>
          </w14:textFill>
        </w:rPr>
      </w:pPr>
      <w:bookmarkStart w:id="41" w:name="_Toc20571"/>
      <w:r>
        <w:rPr>
          <w:rFonts w:hint="default"/>
          <w:color w:val="000000" w:themeColor="text1"/>
          <w:highlight w:val="none"/>
          <w:lang w:val="en-US" w:eastAsia="zh-CN"/>
          <w14:textFill>
            <w14:solidFill>
              <w14:schemeClr w14:val="tx1"/>
            </w14:solidFill>
          </w14:textFill>
        </w:rPr>
        <w:t>根据《新疆生产建设兵团生态功能区划》，本项目评价区域属于Ⅱ兵团准噶尔盆地温带干旱荒漠与绿洲生态区，Ⅱ3六、七、八、十二师准噶尔盆地南部灌木、半灌木荒漠、绿洲农业生态亚区，11.六、七、八师奎屯—石河子—五家渠城镇与绿洲生态功能区。</w:t>
      </w:r>
    </w:p>
    <w:p w14:paraId="4704B5F9">
      <w:pPr>
        <w:pStyle w:val="56"/>
        <w:numPr>
          <w:ilvl w:val="0"/>
          <w:numId w:val="0"/>
        </w:num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2.5.2环境质量标准</w:t>
      </w:r>
      <w:bookmarkEnd w:id="41"/>
    </w:p>
    <w:p w14:paraId="76EBC105">
      <w:pPr>
        <w:widowControl/>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w:t>
      </w:r>
      <w:r>
        <w:rPr>
          <w:rFonts w:cs="Times New Roman"/>
          <w:color w:val="000000" w:themeColor="text1"/>
          <w:highlight w:val="none"/>
          <w:lang w:bidi="ar"/>
          <w14:textFill>
            <w14:solidFill>
              <w14:schemeClr w14:val="tx1"/>
            </w14:solidFill>
          </w14:textFill>
        </w:rPr>
        <w:t>1</w:t>
      </w:r>
      <w:r>
        <w:rPr>
          <w:rFonts w:hint="eastAsia" w:ascii="宋体" w:hAnsi="宋体"/>
          <w:color w:val="000000" w:themeColor="text1"/>
          <w:highlight w:val="none"/>
          <w:lang w:bidi="ar"/>
          <w14:textFill>
            <w14:solidFill>
              <w14:schemeClr w14:val="tx1"/>
            </w14:solidFill>
          </w14:textFill>
        </w:rPr>
        <w:t>）环境空气质量标准</w:t>
      </w:r>
    </w:p>
    <w:p w14:paraId="2A946FF2">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项目位于环境空气质量功能二类区，</w:t>
      </w:r>
      <w:r>
        <w:rPr>
          <w:rFonts w:cs="Times New Roman"/>
          <w:color w:val="000000" w:themeColor="text1"/>
          <w:highlight w:val="none"/>
          <w:lang w:bidi="ar"/>
          <w14:textFill>
            <w14:solidFill>
              <w14:schemeClr w14:val="tx1"/>
            </w14:solidFill>
          </w14:textFill>
        </w:rPr>
        <w:t>SO</w:t>
      </w:r>
      <w:r>
        <w:rPr>
          <w:rFonts w:cs="Times New Roman"/>
          <w:color w:val="000000" w:themeColor="text1"/>
          <w:sz w:val="15"/>
          <w:szCs w:val="15"/>
          <w:highlight w:val="none"/>
          <w:lang w:bidi="ar"/>
          <w14:textFill>
            <w14:solidFill>
              <w14:schemeClr w14:val="tx1"/>
            </w14:solidFill>
          </w14:textFill>
        </w:rPr>
        <w:t>2</w:t>
      </w:r>
      <w:r>
        <w:rPr>
          <w:rFonts w:hint="eastAsia" w:ascii="宋体" w:hAnsi="宋体"/>
          <w:color w:val="000000" w:themeColor="text1"/>
          <w:highlight w:val="none"/>
          <w:lang w:bidi="ar"/>
          <w14:textFill>
            <w14:solidFill>
              <w14:schemeClr w14:val="tx1"/>
            </w14:solidFill>
          </w14:textFill>
        </w:rPr>
        <w:t>、</w:t>
      </w:r>
      <w:r>
        <w:rPr>
          <w:rFonts w:cs="Times New Roman"/>
          <w:color w:val="000000" w:themeColor="text1"/>
          <w:highlight w:val="none"/>
          <w:lang w:bidi="ar"/>
          <w14:textFill>
            <w14:solidFill>
              <w14:schemeClr w14:val="tx1"/>
            </w14:solidFill>
          </w14:textFill>
        </w:rPr>
        <w:t>NO</w:t>
      </w:r>
      <w:r>
        <w:rPr>
          <w:rFonts w:cs="Times New Roman"/>
          <w:color w:val="000000" w:themeColor="text1"/>
          <w:sz w:val="15"/>
          <w:szCs w:val="15"/>
          <w:highlight w:val="none"/>
          <w:lang w:bidi="ar"/>
          <w14:textFill>
            <w14:solidFill>
              <w14:schemeClr w14:val="tx1"/>
            </w14:solidFill>
          </w14:textFill>
        </w:rPr>
        <w:t>2</w:t>
      </w:r>
      <w:r>
        <w:rPr>
          <w:rFonts w:hint="eastAsia" w:ascii="宋体" w:hAnsi="宋体"/>
          <w:color w:val="000000" w:themeColor="text1"/>
          <w:highlight w:val="none"/>
          <w:lang w:bidi="ar"/>
          <w14:textFill>
            <w14:solidFill>
              <w14:schemeClr w14:val="tx1"/>
            </w14:solidFill>
          </w14:textFill>
        </w:rPr>
        <w:t>、</w:t>
      </w:r>
      <w:r>
        <w:rPr>
          <w:rFonts w:cs="Times New Roman"/>
          <w:color w:val="000000" w:themeColor="text1"/>
          <w:highlight w:val="none"/>
          <w:lang w:bidi="ar"/>
          <w14:textFill>
            <w14:solidFill>
              <w14:schemeClr w14:val="tx1"/>
            </w14:solidFill>
          </w14:textFill>
        </w:rPr>
        <w:t>PM</w:t>
      </w:r>
      <w:r>
        <w:rPr>
          <w:rFonts w:cs="Times New Roman"/>
          <w:color w:val="000000" w:themeColor="text1"/>
          <w:sz w:val="15"/>
          <w:szCs w:val="15"/>
          <w:highlight w:val="none"/>
          <w:lang w:bidi="ar"/>
          <w14:textFill>
            <w14:solidFill>
              <w14:schemeClr w14:val="tx1"/>
            </w14:solidFill>
          </w14:textFill>
        </w:rPr>
        <w:t>10</w:t>
      </w:r>
      <w:r>
        <w:rPr>
          <w:rFonts w:hint="eastAsia" w:ascii="宋体" w:hAnsi="宋体"/>
          <w:color w:val="000000" w:themeColor="text1"/>
          <w:highlight w:val="none"/>
          <w:lang w:bidi="ar"/>
          <w14:textFill>
            <w14:solidFill>
              <w14:schemeClr w14:val="tx1"/>
            </w14:solidFill>
          </w14:textFill>
        </w:rPr>
        <w:t>、</w:t>
      </w:r>
      <w:r>
        <w:rPr>
          <w:rFonts w:cs="Times New Roman"/>
          <w:color w:val="000000" w:themeColor="text1"/>
          <w:highlight w:val="none"/>
          <w:lang w:bidi="ar"/>
          <w14:textFill>
            <w14:solidFill>
              <w14:schemeClr w14:val="tx1"/>
            </w14:solidFill>
          </w14:textFill>
        </w:rPr>
        <w:t>PM</w:t>
      </w:r>
      <w:r>
        <w:rPr>
          <w:rFonts w:cs="Times New Roman"/>
          <w:color w:val="000000" w:themeColor="text1"/>
          <w:sz w:val="15"/>
          <w:szCs w:val="15"/>
          <w:highlight w:val="none"/>
          <w:lang w:bidi="ar"/>
          <w14:textFill>
            <w14:solidFill>
              <w14:schemeClr w14:val="tx1"/>
            </w14:solidFill>
          </w14:textFill>
        </w:rPr>
        <w:t>2.5</w:t>
      </w:r>
      <w:r>
        <w:rPr>
          <w:rFonts w:hint="eastAsia" w:ascii="宋体" w:hAnsi="宋体"/>
          <w:color w:val="000000" w:themeColor="text1"/>
          <w:highlight w:val="none"/>
          <w:lang w:bidi="ar"/>
          <w14:textFill>
            <w14:solidFill>
              <w14:schemeClr w14:val="tx1"/>
            </w14:solidFill>
          </w14:textFill>
        </w:rPr>
        <w:t>、</w:t>
      </w:r>
      <w:r>
        <w:rPr>
          <w:rFonts w:cs="Times New Roman"/>
          <w:color w:val="000000" w:themeColor="text1"/>
          <w:highlight w:val="none"/>
          <w:lang w:bidi="ar"/>
          <w14:textFill>
            <w14:solidFill>
              <w14:schemeClr w14:val="tx1"/>
            </w14:solidFill>
          </w14:textFill>
        </w:rPr>
        <w:t>CO</w:t>
      </w:r>
      <w:r>
        <w:rPr>
          <w:rFonts w:hint="eastAsia" w:ascii="宋体" w:hAnsi="宋体"/>
          <w:color w:val="000000" w:themeColor="text1"/>
          <w:highlight w:val="none"/>
          <w:lang w:bidi="ar"/>
          <w14:textFill>
            <w14:solidFill>
              <w14:schemeClr w14:val="tx1"/>
            </w14:solidFill>
          </w14:textFill>
        </w:rPr>
        <w:t>、</w:t>
      </w:r>
      <w:r>
        <w:rPr>
          <w:rFonts w:cs="Times New Roman"/>
          <w:color w:val="000000" w:themeColor="text1"/>
          <w:highlight w:val="none"/>
          <w:lang w:bidi="ar"/>
          <w14:textFill>
            <w14:solidFill>
              <w14:schemeClr w14:val="tx1"/>
            </w14:solidFill>
          </w14:textFill>
        </w:rPr>
        <w:t>O</w:t>
      </w:r>
      <w:r>
        <w:rPr>
          <w:rFonts w:cs="Times New Roman"/>
          <w:color w:val="000000" w:themeColor="text1"/>
          <w:sz w:val="15"/>
          <w:szCs w:val="15"/>
          <w:highlight w:val="none"/>
          <w:lang w:bidi="ar"/>
          <w14:textFill>
            <w14:solidFill>
              <w14:schemeClr w14:val="tx1"/>
            </w14:solidFill>
          </w14:textFill>
        </w:rPr>
        <w:t>3</w:t>
      </w:r>
      <w:r>
        <w:rPr>
          <w:rFonts w:hint="eastAsia" w:ascii="宋体" w:hAnsi="宋体"/>
          <w:color w:val="000000" w:themeColor="text1"/>
          <w:highlight w:val="none"/>
          <w:lang w:bidi="ar"/>
          <w14:textFill>
            <w14:solidFill>
              <w14:schemeClr w14:val="tx1"/>
            </w14:solidFill>
          </w14:textFill>
        </w:rPr>
        <w:t>执行《环境空气质量标准》（</w:t>
      </w:r>
      <w:r>
        <w:rPr>
          <w:rFonts w:cs="Times New Roman"/>
          <w:color w:val="000000" w:themeColor="text1"/>
          <w:highlight w:val="none"/>
          <w:lang w:bidi="ar"/>
          <w14:textFill>
            <w14:solidFill>
              <w14:schemeClr w14:val="tx1"/>
            </w14:solidFill>
          </w14:textFill>
        </w:rPr>
        <w:t>GB3095-2012</w:t>
      </w:r>
      <w:r>
        <w:rPr>
          <w:rFonts w:hint="eastAsia" w:ascii="宋体" w:hAnsi="宋体"/>
          <w:color w:val="000000" w:themeColor="text1"/>
          <w:highlight w:val="none"/>
          <w:lang w:bidi="ar"/>
          <w14:textFill>
            <w14:solidFill>
              <w14:schemeClr w14:val="tx1"/>
            </w14:solidFill>
          </w14:textFill>
        </w:rPr>
        <w:t>）中二级标准，</w:t>
      </w:r>
      <w:r>
        <w:rPr>
          <w:rFonts w:cs="Times New Roman"/>
          <w:color w:val="000000" w:themeColor="text1"/>
          <w:highlight w:val="none"/>
          <w:lang w:bidi="ar"/>
          <w14:textFill>
            <w14:solidFill>
              <w14:schemeClr w14:val="tx1"/>
            </w14:solidFill>
          </w14:textFill>
        </w:rPr>
        <w:t>NH</w:t>
      </w:r>
      <w:r>
        <w:rPr>
          <w:rFonts w:cs="Times New Roman"/>
          <w:color w:val="000000" w:themeColor="text1"/>
          <w:sz w:val="15"/>
          <w:szCs w:val="15"/>
          <w:highlight w:val="none"/>
          <w:lang w:bidi="ar"/>
          <w14:textFill>
            <w14:solidFill>
              <w14:schemeClr w14:val="tx1"/>
            </w14:solidFill>
          </w14:textFill>
        </w:rPr>
        <w:t>3</w:t>
      </w:r>
      <w:r>
        <w:rPr>
          <w:rFonts w:hint="eastAsia" w:ascii="宋体" w:hAnsi="宋体"/>
          <w:color w:val="000000" w:themeColor="text1"/>
          <w:highlight w:val="none"/>
          <w:lang w:bidi="ar"/>
          <w14:textFill>
            <w14:solidFill>
              <w14:schemeClr w14:val="tx1"/>
            </w14:solidFill>
          </w14:textFill>
        </w:rPr>
        <w:t>、</w:t>
      </w:r>
      <w:r>
        <w:rPr>
          <w:rFonts w:cs="Times New Roman"/>
          <w:color w:val="000000" w:themeColor="text1"/>
          <w:highlight w:val="none"/>
          <w:lang w:bidi="ar"/>
          <w14:textFill>
            <w14:solidFill>
              <w14:schemeClr w14:val="tx1"/>
            </w14:solidFill>
          </w14:textFill>
        </w:rPr>
        <w:t>H</w:t>
      </w:r>
      <w:r>
        <w:rPr>
          <w:rFonts w:cs="Times New Roman"/>
          <w:color w:val="000000" w:themeColor="text1"/>
          <w:sz w:val="15"/>
          <w:szCs w:val="15"/>
          <w:highlight w:val="none"/>
          <w:lang w:bidi="ar"/>
          <w14:textFill>
            <w14:solidFill>
              <w14:schemeClr w14:val="tx1"/>
            </w14:solidFill>
          </w14:textFill>
        </w:rPr>
        <w:t>2</w:t>
      </w:r>
      <w:r>
        <w:rPr>
          <w:rFonts w:cs="Times New Roman"/>
          <w:color w:val="000000" w:themeColor="text1"/>
          <w:highlight w:val="none"/>
          <w:lang w:bidi="ar"/>
          <w14:textFill>
            <w14:solidFill>
              <w14:schemeClr w14:val="tx1"/>
            </w14:solidFill>
          </w14:textFill>
        </w:rPr>
        <w:t>S</w:t>
      </w:r>
      <w:r>
        <w:rPr>
          <w:rFonts w:hint="eastAsia" w:ascii="宋体" w:hAnsi="宋体"/>
          <w:color w:val="000000" w:themeColor="text1"/>
          <w:highlight w:val="none"/>
          <w:lang w:bidi="ar"/>
          <w14:textFill>
            <w14:solidFill>
              <w14:schemeClr w14:val="tx1"/>
            </w14:solidFill>
          </w14:textFill>
        </w:rPr>
        <w:t>特征污染物执行《环境影响评价技术导则大气环境》（</w:t>
      </w:r>
      <w:r>
        <w:rPr>
          <w:rFonts w:cs="Times New Roman"/>
          <w:color w:val="000000" w:themeColor="text1"/>
          <w:highlight w:val="none"/>
          <w:lang w:bidi="ar"/>
          <w14:textFill>
            <w14:solidFill>
              <w14:schemeClr w14:val="tx1"/>
            </w14:solidFill>
          </w14:textFill>
        </w:rPr>
        <w:t>HJ2.2-2018</w:t>
      </w:r>
      <w:r>
        <w:rPr>
          <w:rFonts w:hint="eastAsia" w:ascii="宋体" w:hAnsi="宋体"/>
          <w:color w:val="000000" w:themeColor="text1"/>
          <w:highlight w:val="none"/>
          <w:lang w:bidi="ar"/>
          <w14:textFill>
            <w14:solidFill>
              <w14:schemeClr w14:val="tx1"/>
            </w14:solidFill>
          </w14:textFill>
        </w:rPr>
        <w:t>）附录</w:t>
      </w:r>
      <w:r>
        <w:rPr>
          <w:rFonts w:cs="Times New Roman"/>
          <w:color w:val="000000" w:themeColor="text1"/>
          <w:highlight w:val="none"/>
          <w:lang w:bidi="ar"/>
          <w14:textFill>
            <w14:solidFill>
              <w14:schemeClr w14:val="tx1"/>
            </w14:solidFill>
          </w14:textFill>
        </w:rPr>
        <w:t>D</w:t>
      </w:r>
      <w:r>
        <w:rPr>
          <w:rFonts w:hint="eastAsia" w:ascii="宋体" w:hAnsi="宋体"/>
          <w:color w:val="000000" w:themeColor="text1"/>
          <w:highlight w:val="none"/>
          <w:lang w:bidi="ar"/>
          <w14:textFill>
            <w14:solidFill>
              <w14:schemeClr w14:val="tx1"/>
            </w14:solidFill>
          </w14:textFill>
        </w:rPr>
        <w:t>氨和硫化氢的</w:t>
      </w:r>
      <w:r>
        <w:rPr>
          <w:rFonts w:cs="Times New Roman"/>
          <w:color w:val="000000" w:themeColor="text1"/>
          <w:highlight w:val="none"/>
          <w:lang w:bidi="ar"/>
          <w14:textFill>
            <w14:solidFill>
              <w14:schemeClr w14:val="tx1"/>
            </w14:solidFill>
          </w14:textFill>
        </w:rPr>
        <w:t>1h</w:t>
      </w:r>
      <w:r>
        <w:rPr>
          <w:rFonts w:hint="eastAsia" w:ascii="宋体" w:hAnsi="宋体"/>
          <w:color w:val="000000" w:themeColor="text1"/>
          <w:highlight w:val="none"/>
          <w:lang w:bidi="ar"/>
          <w14:textFill>
            <w14:solidFill>
              <w14:schemeClr w14:val="tx1"/>
            </w14:solidFill>
          </w14:textFill>
        </w:rPr>
        <w:t>浓度限值，</w:t>
      </w:r>
      <w:r>
        <w:rPr>
          <w:rFonts w:hint="eastAsia" w:ascii="宋体" w:hAnsi="宋体"/>
          <w:color w:val="000000" w:themeColor="text1"/>
          <w:highlight w:val="none"/>
          <w:lang w:val="en-US" w:eastAsia="zh-CN" w:bidi="ar"/>
          <w14:textFill>
            <w14:solidFill>
              <w14:schemeClr w14:val="tx1"/>
            </w14:solidFill>
          </w14:textFill>
        </w:rPr>
        <w:t>臭气浓度执行</w:t>
      </w:r>
      <w:r>
        <w:rPr>
          <w:rFonts w:hint="default" w:ascii="宋体" w:hAnsi="宋体"/>
          <w:color w:val="000000" w:themeColor="text1"/>
          <w:highlight w:val="none"/>
          <w:lang w:val="en-US" w:eastAsia="zh-CN" w:bidi="ar"/>
          <w14:textFill>
            <w14:solidFill>
              <w14:schemeClr w14:val="tx1"/>
            </w14:solidFill>
          </w14:textFill>
        </w:rPr>
        <w:t>畜禽养殖产地环境评价规范</w:t>
      </w:r>
      <w:r>
        <w:rPr>
          <w:rFonts w:hint="eastAsia" w:ascii="宋体" w:hAnsi="宋体"/>
          <w:color w:val="000000" w:themeColor="text1"/>
          <w:highlight w:val="none"/>
          <w:lang w:val="en-US" w:eastAsia="zh-CN" w:bidi="ar"/>
          <w14:textFill>
            <w14:solidFill>
              <w14:schemeClr w14:val="tx1"/>
            </w14:solidFill>
          </w14:textFill>
        </w:rPr>
        <w:t>（</w:t>
      </w:r>
      <w:r>
        <w:rPr>
          <w:rFonts w:hint="default" w:ascii="宋体" w:hAnsi="宋体"/>
          <w:color w:val="000000" w:themeColor="text1"/>
          <w:highlight w:val="none"/>
          <w:lang w:val="en-US" w:eastAsia="zh-CN" w:bidi="ar"/>
          <w14:textFill>
            <w14:solidFill>
              <w14:schemeClr w14:val="tx1"/>
            </w14:solidFill>
          </w14:textFill>
        </w:rPr>
        <w:t>HJ568-2010</w:t>
      </w:r>
      <w:r>
        <w:rPr>
          <w:rFonts w:hint="eastAsia" w:ascii="宋体" w:hAnsi="宋体"/>
          <w:color w:val="000000" w:themeColor="text1"/>
          <w:highlight w:val="none"/>
          <w:lang w:val="en-US" w:eastAsia="zh-CN" w:bidi="ar"/>
          <w14:textFill>
            <w14:solidFill>
              <w14:schemeClr w14:val="tx1"/>
            </w14:solidFill>
          </w14:textFill>
        </w:rPr>
        <w:t>）</w:t>
      </w:r>
      <w:r>
        <w:rPr>
          <w:rFonts w:hint="default" w:ascii="宋体" w:hAnsi="宋体"/>
          <w:color w:val="000000" w:themeColor="text1"/>
          <w:highlight w:val="none"/>
          <w:lang w:val="en-US" w:eastAsia="zh-CN" w:bidi="ar"/>
          <w14:textFill>
            <w14:solidFill>
              <w14:schemeClr w14:val="tx1"/>
            </w14:solidFill>
          </w14:textFill>
        </w:rPr>
        <w:t>表5</w:t>
      </w:r>
      <w:r>
        <w:rPr>
          <w:rFonts w:hint="eastAsia" w:ascii="宋体" w:hAnsi="宋体"/>
          <w:color w:val="000000" w:themeColor="text1"/>
          <w:highlight w:val="none"/>
          <w:lang w:val="en-US" w:eastAsia="zh-CN" w:bidi="ar"/>
          <w14:textFill>
            <w14:solidFill>
              <w14:schemeClr w14:val="tx1"/>
            </w14:solidFill>
          </w14:textFill>
        </w:rPr>
        <w:t xml:space="preserve"> </w:t>
      </w:r>
      <w:r>
        <w:rPr>
          <w:rFonts w:hint="default" w:ascii="宋体" w:hAnsi="宋体"/>
          <w:color w:val="000000" w:themeColor="text1"/>
          <w:highlight w:val="none"/>
          <w:lang w:val="en-US" w:eastAsia="zh-CN" w:bidi="ar"/>
          <w14:textFill>
            <w14:solidFill>
              <w14:schemeClr w14:val="tx1"/>
            </w14:solidFill>
          </w14:textFill>
        </w:rPr>
        <w:t>畜禽养殖场和养殖小区环境空气质量评价指标限值</w:t>
      </w:r>
      <w:r>
        <w:rPr>
          <w:rFonts w:hint="eastAsia" w:ascii="宋体" w:hAnsi="宋体"/>
          <w:color w:val="000000" w:themeColor="text1"/>
          <w:highlight w:val="none"/>
          <w:lang w:val="en-US" w:eastAsia="zh-CN" w:bidi="ar"/>
          <w14:textFill>
            <w14:solidFill>
              <w14:schemeClr w14:val="tx1"/>
            </w14:solidFill>
          </w14:textFill>
        </w:rPr>
        <w:t>，TSP</w:t>
      </w:r>
      <w:r>
        <w:rPr>
          <w:rFonts w:hint="eastAsia" w:ascii="宋体" w:hAnsi="宋体"/>
          <w:color w:val="000000" w:themeColor="text1"/>
          <w:highlight w:val="none"/>
          <w:lang w:bidi="ar"/>
          <w14:textFill>
            <w14:solidFill>
              <w14:schemeClr w14:val="tx1"/>
            </w14:solidFill>
          </w14:textFill>
        </w:rPr>
        <w:t>执行《环境空气质量标准》（</w:t>
      </w:r>
      <w:r>
        <w:rPr>
          <w:rFonts w:cs="Times New Roman"/>
          <w:color w:val="000000" w:themeColor="text1"/>
          <w:highlight w:val="none"/>
          <w:lang w:bidi="ar"/>
          <w14:textFill>
            <w14:solidFill>
              <w14:schemeClr w14:val="tx1"/>
            </w14:solidFill>
          </w14:textFill>
        </w:rPr>
        <w:t>GB3095-2012</w:t>
      </w:r>
      <w:r>
        <w:rPr>
          <w:rFonts w:hint="eastAsia" w:ascii="宋体" w:hAnsi="宋体"/>
          <w:color w:val="000000" w:themeColor="text1"/>
          <w:highlight w:val="none"/>
          <w:lang w:bidi="ar"/>
          <w14:textFill>
            <w14:solidFill>
              <w14:schemeClr w14:val="tx1"/>
            </w14:solidFill>
          </w14:textFill>
        </w:rPr>
        <w:t>）中二级标准，详见表</w:t>
      </w:r>
      <w:r>
        <w:rPr>
          <w:rFonts w:cs="Times New Roman"/>
          <w:color w:val="000000" w:themeColor="text1"/>
          <w:highlight w:val="none"/>
          <w:lang w:bidi="ar"/>
          <w14:textFill>
            <w14:solidFill>
              <w14:schemeClr w14:val="tx1"/>
            </w14:solidFill>
          </w14:textFill>
        </w:rPr>
        <w:t>2.</w:t>
      </w:r>
      <w:r>
        <w:rPr>
          <w:rFonts w:hint="eastAsia" w:cs="Times New Roman"/>
          <w:color w:val="000000" w:themeColor="text1"/>
          <w:highlight w:val="none"/>
          <w:lang w:bidi="ar"/>
          <w14:textFill>
            <w14:solidFill>
              <w14:schemeClr w14:val="tx1"/>
            </w14:solidFill>
          </w14:textFill>
        </w:rPr>
        <w:t>5</w:t>
      </w:r>
      <w:r>
        <w:rPr>
          <w:rFonts w:cs="Times New Roman"/>
          <w:color w:val="000000" w:themeColor="text1"/>
          <w:highlight w:val="none"/>
          <w:lang w:bidi="ar"/>
          <w14:textFill>
            <w14:solidFill>
              <w14:schemeClr w14:val="tx1"/>
            </w14:solidFill>
          </w14:textFill>
        </w:rPr>
        <w:t>-1</w:t>
      </w:r>
      <w:r>
        <w:rPr>
          <w:rFonts w:hint="eastAsia" w:ascii="宋体" w:hAnsi="宋体"/>
          <w:color w:val="000000" w:themeColor="text1"/>
          <w:highlight w:val="none"/>
          <w:lang w:bidi="ar"/>
          <w14:textFill>
            <w14:solidFill>
              <w14:schemeClr w14:val="tx1"/>
            </w14:solidFill>
          </w14:textFill>
        </w:rPr>
        <w:t>。</w:t>
      </w:r>
    </w:p>
    <w:p w14:paraId="76163348">
      <w:pPr>
        <w:kinsoku w:val="0"/>
        <w:autoSpaceDE w:val="0"/>
        <w:autoSpaceDN w:val="0"/>
        <w:adjustRightInd w:val="0"/>
        <w:spacing w:line="240" w:lineRule="auto"/>
        <w:jc w:val="center"/>
        <w:rPr>
          <w:rFonts w:cs="Times New Roman"/>
          <w:b/>
          <w:bCs/>
          <w:color w:val="000000" w:themeColor="text1"/>
          <w:sz w:val="21"/>
          <w:szCs w:val="21"/>
          <w:highlight w:val="none"/>
          <w14:textFill>
            <w14:solidFill>
              <w14:schemeClr w14:val="tx1"/>
            </w14:solidFill>
          </w14:textFill>
        </w:rPr>
      </w:pPr>
      <w:r>
        <w:rPr>
          <w:rFonts w:hint="eastAsia" w:cs="Times New Roman"/>
          <w:b/>
          <w:bCs/>
          <w:color w:val="000000" w:themeColor="text1"/>
          <w:sz w:val="21"/>
          <w:szCs w:val="21"/>
          <w:highlight w:val="none"/>
          <w14:textFill>
            <w14:solidFill>
              <w14:schemeClr w14:val="tx1"/>
            </w14:solidFill>
          </w14:textFill>
        </w:rPr>
        <w:t>表</w:t>
      </w:r>
      <w:r>
        <w:rPr>
          <w:rFonts w:cs="Times New Roman"/>
          <w:b/>
          <w:bCs/>
          <w:color w:val="000000" w:themeColor="text1"/>
          <w:sz w:val="21"/>
          <w:szCs w:val="21"/>
          <w:highlight w:val="none"/>
          <w14:textFill>
            <w14:solidFill>
              <w14:schemeClr w14:val="tx1"/>
            </w14:solidFill>
          </w14:textFill>
        </w:rPr>
        <w:t>2.</w:t>
      </w:r>
      <w:r>
        <w:rPr>
          <w:rFonts w:hint="eastAsia" w:cs="Times New Roman"/>
          <w:b/>
          <w:bCs/>
          <w:color w:val="000000" w:themeColor="text1"/>
          <w:sz w:val="21"/>
          <w:szCs w:val="21"/>
          <w:highlight w:val="none"/>
          <w14:textFill>
            <w14:solidFill>
              <w14:schemeClr w14:val="tx1"/>
            </w14:solidFill>
          </w14:textFill>
        </w:rPr>
        <w:t>5</w:t>
      </w:r>
      <w:r>
        <w:rPr>
          <w:rFonts w:cs="Times New Roman"/>
          <w:b/>
          <w:bCs/>
          <w:color w:val="000000" w:themeColor="text1"/>
          <w:sz w:val="21"/>
          <w:szCs w:val="21"/>
          <w:highlight w:val="none"/>
          <w14:textFill>
            <w14:solidFill>
              <w14:schemeClr w14:val="tx1"/>
            </w14:solidFill>
          </w14:textFill>
        </w:rPr>
        <w:t xml:space="preserve">-1 </w:t>
      </w:r>
      <w:r>
        <w:rPr>
          <w:rFonts w:hint="eastAsia" w:cs="Times New Roman"/>
          <w:b/>
          <w:bCs/>
          <w:color w:val="000000" w:themeColor="text1"/>
          <w:sz w:val="21"/>
          <w:szCs w:val="21"/>
          <w:highlight w:val="none"/>
          <w14:textFill>
            <w14:solidFill>
              <w14:schemeClr w14:val="tx1"/>
            </w14:solidFill>
          </w14:textFill>
        </w:rPr>
        <w:t>环境空气质量标准</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29"/>
        <w:gridCol w:w="1065"/>
        <w:gridCol w:w="2096"/>
        <w:gridCol w:w="2164"/>
      </w:tblGrid>
      <w:tr w14:paraId="6C7BD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9" w:hRule="atLeast"/>
          <w:jc w:val="center"/>
        </w:trPr>
        <w:tc>
          <w:tcPr>
            <w:tcW w:w="2929" w:type="dxa"/>
            <w:vAlign w:val="center"/>
          </w:tcPr>
          <w:p w14:paraId="64ECC663">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标准</w:t>
            </w:r>
          </w:p>
        </w:tc>
        <w:tc>
          <w:tcPr>
            <w:tcW w:w="1065" w:type="dxa"/>
            <w:vAlign w:val="center"/>
          </w:tcPr>
          <w:p w14:paraId="01A5EC5A">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污染物称</w:t>
            </w:r>
          </w:p>
        </w:tc>
        <w:tc>
          <w:tcPr>
            <w:tcW w:w="2096" w:type="dxa"/>
            <w:vAlign w:val="center"/>
          </w:tcPr>
          <w:p w14:paraId="5F85392E">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取值时间</w:t>
            </w:r>
          </w:p>
        </w:tc>
        <w:tc>
          <w:tcPr>
            <w:tcW w:w="2164" w:type="dxa"/>
            <w:vAlign w:val="center"/>
          </w:tcPr>
          <w:p w14:paraId="66C2C81D">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二级标准浓度限值</w:t>
            </w:r>
          </w:p>
        </w:tc>
      </w:tr>
      <w:tr w14:paraId="1C1A5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restart"/>
            <w:vAlign w:val="center"/>
          </w:tcPr>
          <w:p w14:paraId="11675D9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《环境空气质量标准》</w:t>
            </w:r>
            <w:r>
              <w:rPr>
                <w:color w:val="000000" w:themeColor="text1"/>
                <w:sz w:val="21"/>
                <w:szCs w:val="21"/>
                <w:highlight w:val="none"/>
                <w14:textFill>
                  <w14:solidFill>
                    <w14:schemeClr w14:val="tx1"/>
                  </w14:solidFill>
                </w14:textFill>
              </w:rPr>
              <w:t>(GB3095-2012)</w:t>
            </w:r>
          </w:p>
        </w:tc>
        <w:tc>
          <w:tcPr>
            <w:tcW w:w="1065" w:type="dxa"/>
            <w:vMerge w:val="restart"/>
            <w:vAlign w:val="center"/>
          </w:tcPr>
          <w:p w14:paraId="7479EE0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SO</w:t>
            </w:r>
            <w:r>
              <w:rPr>
                <w:rFonts w:hint="eastAsia"/>
                <w:color w:val="000000" w:themeColor="text1"/>
                <w:sz w:val="21"/>
                <w:szCs w:val="21"/>
                <w:highlight w:val="none"/>
                <w:vertAlign w:val="subscript"/>
                <w14:textFill>
                  <w14:solidFill>
                    <w14:schemeClr w14:val="tx1"/>
                  </w14:solidFill>
                </w14:textFill>
              </w:rPr>
              <w:t>2</w:t>
            </w:r>
          </w:p>
        </w:tc>
        <w:tc>
          <w:tcPr>
            <w:tcW w:w="2096" w:type="dxa"/>
            <w:vAlign w:val="center"/>
          </w:tcPr>
          <w:p w14:paraId="3D55929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年平均</w:t>
            </w:r>
          </w:p>
        </w:tc>
        <w:tc>
          <w:tcPr>
            <w:tcW w:w="2164" w:type="dxa"/>
            <w:vAlign w:val="center"/>
          </w:tcPr>
          <w:p w14:paraId="41861CA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60µg/m</w:t>
            </w:r>
            <w:r>
              <w:rPr>
                <w:rFonts w:hint="eastAsia"/>
                <w:color w:val="000000" w:themeColor="text1"/>
                <w:sz w:val="21"/>
                <w:szCs w:val="21"/>
                <w:highlight w:val="none"/>
                <w:vertAlign w:val="superscript"/>
                <w14:textFill>
                  <w14:solidFill>
                    <w14:schemeClr w14:val="tx1"/>
                  </w14:solidFill>
                </w14:textFill>
              </w:rPr>
              <w:t>3</w:t>
            </w:r>
          </w:p>
        </w:tc>
      </w:tr>
      <w:tr w14:paraId="7678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164F9DAC">
            <w:pPr>
              <w:spacing w:line="240" w:lineRule="auto"/>
              <w:jc w:val="center"/>
              <w:rPr>
                <w:color w:val="000000" w:themeColor="text1"/>
                <w:sz w:val="21"/>
                <w:szCs w:val="21"/>
                <w:highlight w:val="none"/>
                <w14:textFill>
                  <w14:solidFill>
                    <w14:schemeClr w14:val="tx1"/>
                  </w14:solidFill>
                </w14:textFill>
              </w:rPr>
            </w:pPr>
          </w:p>
        </w:tc>
        <w:tc>
          <w:tcPr>
            <w:tcW w:w="1065" w:type="dxa"/>
            <w:vMerge w:val="continue"/>
            <w:vAlign w:val="center"/>
          </w:tcPr>
          <w:p w14:paraId="072073C5">
            <w:pPr>
              <w:spacing w:line="240" w:lineRule="auto"/>
              <w:jc w:val="center"/>
              <w:rPr>
                <w:color w:val="000000" w:themeColor="text1"/>
                <w:sz w:val="21"/>
                <w:szCs w:val="21"/>
                <w:highlight w:val="none"/>
                <w14:textFill>
                  <w14:solidFill>
                    <w14:schemeClr w14:val="tx1"/>
                  </w14:solidFill>
                </w14:textFill>
              </w:rPr>
            </w:pPr>
          </w:p>
        </w:tc>
        <w:tc>
          <w:tcPr>
            <w:tcW w:w="2096" w:type="dxa"/>
            <w:vAlign w:val="center"/>
          </w:tcPr>
          <w:p w14:paraId="4B6C817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24小时平均</w:t>
            </w:r>
          </w:p>
        </w:tc>
        <w:tc>
          <w:tcPr>
            <w:tcW w:w="2164" w:type="dxa"/>
            <w:vAlign w:val="center"/>
          </w:tcPr>
          <w:p w14:paraId="76F5E1F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150µg/m</w:t>
            </w:r>
            <w:r>
              <w:rPr>
                <w:rFonts w:hint="eastAsia"/>
                <w:color w:val="000000" w:themeColor="text1"/>
                <w:sz w:val="21"/>
                <w:szCs w:val="21"/>
                <w:highlight w:val="none"/>
                <w:vertAlign w:val="superscript"/>
                <w14:textFill>
                  <w14:solidFill>
                    <w14:schemeClr w14:val="tx1"/>
                  </w14:solidFill>
                </w14:textFill>
              </w:rPr>
              <w:t>3</w:t>
            </w:r>
          </w:p>
        </w:tc>
      </w:tr>
      <w:tr w14:paraId="0A55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081500AF">
            <w:pPr>
              <w:spacing w:line="240" w:lineRule="auto"/>
              <w:jc w:val="center"/>
              <w:rPr>
                <w:color w:val="000000" w:themeColor="text1"/>
                <w:sz w:val="21"/>
                <w:szCs w:val="21"/>
                <w:highlight w:val="none"/>
                <w14:textFill>
                  <w14:solidFill>
                    <w14:schemeClr w14:val="tx1"/>
                  </w14:solidFill>
                </w14:textFill>
              </w:rPr>
            </w:pPr>
          </w:p>
        </w:tc>
        <w:tc>
          <w:tcPr>
            <w:tcW w:w="1065" w:type="dxa"/>
            <w:vMerge w:val="continue"/>
            <w:vAlign w:val="center"/>
          </w:tcPr>
          <w:p w14:paraId="4A747EE6">
            <w:pPr>
              <w:spacing w:line="240" w:lineRule="auto"/>
              <w:jc w:val="center"/>
              <w:rPr>
                <w:color w:val="000000" w:themeColor="text1"/>
                <w:sz w:val="21"/>
                <w:szCs w:val="21"/>
                <w:highlight w:val="none"/>
                <w14:textFill>
                  <w14:solidFill>
                    <w14:schemeClr w14:val="tx1"/>
                  </w14:solidFill>
                </w14:textFill>
              </w:rPr>
            </w:pPr>
          </w:p>
        </w:tc>
        <w:tc>
          <w:tcPr>
            <w:tcW w:w="2096" w:type="dxa"/>
            <w:vAlign w:val="center"/>
          </w:tcPr>
          <w:p w14:paraId="7409A95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1小时平均</w:t>
            </w:r>
          </w:p>
        </w:tc>
        <w:tc>
          <w:tcPr>
            <w:tcW w:w="2164" w:type="dxa"/>
            <w:vAlign w:val="center"/>
          </w:tcPr>
          <w:p w14:paraId="6DD47C5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500µg/m</w:t>
            </w:r>
            <w:r>
              <w:rPr>
                <w:rFonts w:hint="eastAsia"/>
                <w:color w:val="000000" w:themeColor="text1"/>
                <w:sz w:val="21"/>
                <w:szCs w:val="21"/>
                <w:highlight w:val="none"/>
                <w:vertAlign w:val="superscript"/>
                <w14:textFill>
                  <w14:solidFill>
                    <w14:schemeClr w14:val="tx1"/>
                  </w14:solidFill>
                </w14:textFill>
              </w:rPr>
              <w:t>3</w:t>
            </w:r>
          </w:p>
        </w:tc>
      </w:tr>
      <w:tr w14:paraId="276D3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33317BF2">
            <w:pPr>
              <w:spacing w:line="240" w:lineRule="auto"/>
              <w:jc w:val="center"/>
              <w:rPr>
                <w:color w:val="000000" w:themeColor="text1"/>
                <w:sz w:val="21"/>
                <w:szCs w:val="21"/>
                <w:highlight w:val="none"/>
                <w14:textFill>
                  <w14:solidFill>
                    <w14:schemeClr w14:val="tx1"/>
                  </w14:solidFill>
                </w14:textFill>
              </w:rPr>
            </w:pPr>
          </w:p>
        </w:tc>
        <w:tc>
          <w:tcPr>
            <w:tcW w:w="1065" w:type="dxa"/>
            <w:vMerge w:val="restart"/>
            <w:vAlign w:val="center"/>
          </w:tcPr>
          <w:p w14:paraId="6894C84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NO</w:t>
            </w:r>
            <w:r>
              <w:rPr>
                <w:rFonts w:hint="eastAsia"/>
                <w:color w:val="000000" w:themeColor="text1"/>
                <w:sz w:val="21"/>
                <w:szCs w:val="21"/>
                <w:highlight w:val="none"/>
                <w:vertAlign w:val="subscript"/>
                <w14:textFill>
                  <w14:solidFill>
                    <w14:schemeClr w14:val="tx1"/>
                  </w14:solidFill>
                </w14:textFill>
              </w:rPr>
              <w:t>2</w:t>
            </w:r>
          </w:p>
        </w:tc>
        <w:tc>
          <w:tcPr>
            <w:tcW w:w="2096" w:type="dxa"/>
            <w:vAlign w:val="center"/>
          </w:tcPr>
          <w:p w14:paraId="4C3FEAE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年平均</w:t>
            </w:r>
          </w:p>
        </w:tc>
        <w:tc>
          <w:tcPr>
            <w:tcW w:w="2164" w:type="dxa"/>
            <w:vAlign w:val="center"/>
          </w:tcPr>
          <w:p w14:paraId="755A150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40µg/m</w:t>
            </w:r>
            <w:r>
              <w:rPr>
                <w:rFonts w:hint="eastAsia"/>
                <w:color w:val="000000" w:themeColor="text1"/>
                <w:sz w:val="21"/>
                <w:szCs w:val="21"/>
                <w:highlight w:val="none"/>
                <w:vertAlign w:val="superscript"/>
                <w14:textFill>
                  <w14:solidFill>
                    <w14:schemeClr w14:val="tx1"/>
                  </w14:solidFill>
                </w14:textFill>
              </w:rPr>
              <w:t>3</w:t>
            </w:r>
          </w:p>
        </w:tc>
      </w:tr>
      <w:tr w14:paraId="4F4DB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0D661310">
            <w:pPr>
              <w:spacing w:line="240" w:lineRule="auto"/>
              <w:jc w:val="center"/>
              <w:rPr>
                <w:color w:val="000000" w:themeColor="text1"/>
                <w:sz w:val="21"/>
                <w:szCs w:val="21"/>
                <w:highlight w:val="none"/>
                <w14:textFill>
                  <w14:solidFill>
                    <w14:schemeClr w14:val="tx1"/>
                  </w14:solidFill>
                </w14:textFill>
              </w:rPr>
            </w:pPr>
          </w:p>
        </w:tc>
        <w:tc>
          <w:tcPr>
            <w:tcW w:w="1065" w:type="dxa"/>
            <w:vMerge w:val="continue"/>
            <w:vAlign w:val="center"/>
          </w:tcPr>
          <w:p w14:paraId="43439300">
            <w:pPr>
              <w:spacing w:line="240" w:lineRule="auto"/>
              <w:jc w:val="center"/>
              <w:rPr>
                <w:color w:val="000000" w:themeColor="text1"/>
                <w:sz w:val="21"/>
                <w:szCs w:val="21"/>
                <w:highlight w:val="none"/>
                <w14:textFill>
                  <w14:solidFill>
                    <w14:schemeClr w14:val="tx1"/>
                  </w14:solidFill>
                </w14:textFill>
              </w:rPr>
            </w:pPr>
          </w:p>
        </w:tc>
        <w:tc>
          <w:tcPr>
            <w:tcW w:w="2096" w:type="dxa"/>
            <w:vAlign w:val="center"/>
          </w:tcPr>
          <w:p w14:paraId="69AE98F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24小时平均</w:t>
            </w:r>
          </w:p>
        </w:tc>
        <w:tc>
          <w:tcPr>
            <w:tcW w:w="2164" w:type="dxa"/>
            <w:vAlign w:val="center"/>
          </w:tcPr>
          <w:p w14:paraId="08E1FC5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80µg/m</w:t>
            </w:r>
            <w:r>
              <w:rPr>
                <w:rFonts w:hint="eastAsia"/>
                <w:color w:val="000000" w:themeColor="text1"/>
                <w:sz w:val="21"/>
                <w:szCs w:val="21"/>
                <w:highlight w:val="none"/>
                <w:vertAlign w:val="superscript"/>
                <w14:textFill>
                  <w14:solidFill>
                    <w14:schemeClr w14:val="tx1"/>
                  </w14:solidFill>
                </w14:textFill>
              </w:rPr>
              <w:t>3</w:t>
            </w:r>
          </w:p>
        </w:tc>
      </w:tr>
      <w:tr w14:paraId="3F6BF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4CE5AC10">
            <w:pPr>
              <w:spacing w:line="240" w:lineRule="auto"/>
              <w:jc w:val="center"/>
              <w:rPr>
                <w:color w:val="000000" w:themeColor="text1"/>
                <w:sz w:val="21"/>
                <w:szCs w:val="21"/>
                <w:highlight w:val="none"/>
                <w14:textFill>
                  <w14:solidFill>
                    <w14:schemeClr w14:val="tx1"/>
                  </w14:solidFill>
                </w14:textFill>
              </w:rPr>
            </w:pPr>
          </w:p>
        </w:tc>
        <w:tc>
          <w:tcPr>
            <w:tcW w:w="1065" w:type="dxa"/>
            <w:vMerge w:val="continue"/>
            <w:vAlign w:val="center"/>
          </w:tcPr>
          <w:p w14:paraId="0F089EC4">
            <w:pPr>
              <w:spacing w:line="240" w:lineRule="auto"/>
              <w:jc w:val="center"/>
              <w:rPr>
                <w:color w:val="000000" w:themeColor="text1"/>
                <w:sz w:val="21"/>
                <w:szCs w:val="21"/>
                <w:highlight w:val="none"/>
                <w14:textFill>
                  <w14:solidFill>
                    <w14:schemeClr w14:val="tx1"/>
                  </w14:solidFill>
                </w14:textFill>
              </w:rPr>
            </w:pPr>
          </w:p>
        </w:tc>
        <w:tc>
          <w:tcPr>
            <w:tcW w:w="2096" w:type="dxa"/>
            <w:vAlign w:val="center"/>
          </w:tcPr>
          <w:p w14:paraId="59F1FFF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1小时平均</w:t>
            </w:r>
          </w:p>
        </w:tc>
        <w:tc>
          <w:tcPr>
            <w:tcW w:w="2164" w:type="dxa"/>
            <w:vAlign w:val="center"/>
          </w:tcPr>
          <w:p w14:paraId="4AD7FFE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200µg/m</w:t>
            </w:r>
            <w:r>
              <w:rPr>
                <w:rFonts w:hint="eastAsia"/>
                <w:color w:val="000000" w:themeColor="text1"/>
                <w:sz w:val="21"/>
                <w:szCs w:val="21"/>
                <w:highlight w:val="none"/>
                <w:vertAlign w:val="superscript"/>
                <w14:textFill>
                  <w14:solidFill>
                    <w14:schemeClr w14:val="tx1"/>
                  </w14:solidFill>
                </w14:textFill>
              </w:rPr>
              <w:t>3</w:t>
            </w:r>
          </w:p>
        </w:tc>
      </w:tr>
      <w:tr w14:paraId="7932D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3C01FEB7">
            <w:pPr>
              <w:spacing w:line="240" w:lineRule="auto"/>
              <w:jc w:val="center"/>
              <w:rPr>
                <w:color w:val="000000" w:themeColor="text1"/>
                <w:sz w:val="21"/>
                <w:szCs w:val="21"/>
                <w:highlight w:val="none"/>
                <w14:textFill>
                  <w14:solidFill>
                    <w14:schemeClr w14:val="tx1"/>
                  </w14:solidFill>
                </w14:textFill>
              </w:rPr>
            </w:pPr>
          </w:p>
        </w:tc>
        <w:tc>
          <w:tcPr>
            <w:tcW w:w="1065" w:type="dxa"/>
            <w:vMerge w:val="restart"/>
            <w:vAlign w:val="center"/>
          </w:tcPr>
          <w:p w14:paraId="56F4E1E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CO</w:t>
            </w:r>
          </w:p>
        </w:tc>
        <w:tc>
          <w:tcPr>
            <w:tcW w:w="2096" w:type="dxa"/>
            <w:vAlign w:val="center"/>
          </w:tcPr>
          <w:p w14:paraId="4D2632C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24小时平均</w:t>
            </w:r>
          </w:p>
        </w:tc>
        <w:tc>
          <w:tcPr>
            <w:tcW w:w="2164" w:type="dxa"/>
            <w:vAlign w:val="center"/>
          </w:tcPr>
          <w:p w14:paraId="5FBB6F6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4mg/m</w:t>
            </w:r>
            <w:r>
              <w:rPr>
                <w:rFonts w:hint="eastAsia"/>
                <w:color w:val="000000" w:themeColor="text1"/>
                <w:sz w:val="21"/>
                <w:szCs w:val="21"/>
                <w:highlight w:val="none"/>
                <w:vertAlign w:val="superscript"/>
                <w14:textFill>
                  <w14:solidFill>
                    <w14:schemeClr w14:val="tx1"/>
                  </w14:solidFill>
                </w14:textFill>
              </w:rPr>
              <w:t>3</w:t>
            </w:r>
          </w:p>
        </w:tc>
      </w:tr>
      <w:tr w14:paraId="573D3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524A9E54">
            <w:pPr>
              <w:spacing w:line="240" w:lineRule="auto"/>
              <w:jc w:val="center"/>
              <w:rPr>
                <w:color w:val="000000" w:themeColor="text1"/>
                <w:sz w:val="21"/>
                <w:szCs w:val="21"/>
                <w:highlight w:val="none"/>
                <w14:textFill>
                  <w14:solidFill>
                    <w14:schemeClr w14:val="tx1"/>
                  </w14:solidFill>
                </w14:textFill>
              </w:rPr>
            </w:pPr>
          </w:p>
        </w:tc>
        <w:tc>
          <w:tcPr>
            <w:tcW w:w="1065" w:type="dxa"/>
            <w:vMerge w:val="continue"/>
            <w:vAlign w:val="center"/>
          </w:tcPr>
          <w:p w14:paraId="1493055A">
            <w:pPr>
              <w:spacing w:line="240" w:lineRule="auto"/>
              <w:jc w:val="center"/>
              <w:rPr>
                <w:color w:val="000000" w:themeColor="text1"/>
                <w:sz w:val="21"/>
                <w:szCs w:val="21"/>
                <w:highlight w:val="none"/>
                <w14:textFill>
                  <w14:solidFill>
                    <w14:schemeClr w14:val="tx1"/>
                  </w14:solidFill>
                </w14:textFill>
              </w:rPr>
            </w:pPr>
          </w:p>
        </w:tc>
        <w:tc>
          <w:tcPr>
            <w:tcW w:w="2096" w:type="dxa"/>
            <w:vAlign w:val="center"/>
          </w:tcPr>
          <w:p w14:paraId="66557BC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1小时平均</w:t>
            </w:r>
          </w:p>
        </w:tc>
        <w:tc>
          <w:tcPr>
            <w:tcW w:w="2164" w:type="dxa"/>
            <w:vAlign w:val="center"/>
          </w:tcPr>
          <w:p w14:paraId="6CDE3D5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10mg/m</w:t>
            </w:r>
            <w:r>
              <w:rPr>
                <w:rFonts w:hint="eastAsia"/>
                <w:color w:val="000000" w:themeColor="text1"/>
                <w:sz w:val="21"/>
                <w:szCs w:val="21"/>
                <w:highlight w:val="none"/>
                <w:vertAlign w:val="superscript"/>
                <w14:textFill>
                  <w14:solidFill>
                    <w14:schemeClr w14:val="tx1"/>
                  </w14:solidFill>
                </w14:textFill>
              </w:rPr>
              <w:t>3</w:t>
            </w:r>
          </w:p>
        </w:tc>
      </w:tr>
      <w:tr w14:paraId="5BB6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3955138D">
            <w:pPr>
              <w:spacing w:line="240" w:lineRule="auto"/>
              <w:jc w:val="center"/>
              <w:rPr>
                <w:color w:val="000000" w:themeColor="text1"/>
                <w:sz w:val="21"/>
                <w:szCs w:val="21"/>
                <w:highlight w:val="none"/>
                <w14:textFill>
                  <w14:solidFill>
                    <w14:schemeClr w14:val="tx1"/>
                  </w14:solidFill>
                </w14:textFill>
              </w:rPr>
            </w:pPr>
          </w:p>
        </w:tc>
        <w:tc>
          <w:tcPr>
            <w:tcW w:w="1065" w:type="dxa"/>
            <w:vMerge w:val="restart"/>
            <w:vAlign w:val="center"/>
          </w:tcPr>
          <w:p w14:paraId="7976957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O</w:t>
            </w:r>
            <w:r>
              <w:rPr>
                <w:rFonts w:hint="eastAsia"/>
                <w:color w:val="000000" w:themeColor="text1"/>
                <w:sz w:val="21"/>
                <w:szCs w:val="21"/>
                <w:highlight w:val="none"/>
                <w:vertAlign w:val="subscript"/>
                <w14:textFill>
                  <w14:solidFill>
                    <w14:schemeClr w14:val="tx1"/>
                  </w14:solidFill>
                </w14:textFill>
              </w:rPr>
              <w:t>3</w:t>
            </w:r>
          </w:p>
        </w:tc>
        <w:tc>
          <w:tcPr>
            <w:tcW w:w="2096" w:type="dxa"/>
            <w:vAlign w:val="center"/>
          </w:tcPr>
          <w:p w14:paraId="12C2E0B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日最大8小时平均</w:t>
            </w:r>
          </w:p>
        </w:tc>
        <w:tc>
          <w:tcPr>
            <w:tcW w:w="2164" w:type="dxa"/>
            <w:vAlign w:val="center"/>
          </w:tcPr>
          <w:p w14:paraId="0C0D456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160µg/m</w:t>
            </w:r>
            <w:r>
              <w:rPr>
                <w:rFonts w:hint="eastAsia"/>
                <w:color w:val="000000" w:themeColor="text1"/>
                <w:sz w:val="21"/>
                <w:szCs w:val="21"/>
                <w:highlight w:val="none"/>
                <w:vertAlign w:val="superscript"/>
                <w14:textFill>
                  <w14:solidFill>
                    <w14:schemeClr w14:val="tx1"/>
                  </w14:solidFill>
                </w14:textFill>
              </w:rPr>
              <w:t>3</w:t>
            </w:r>
          </w:p>
        </w:tc>
      </w:tr>
      <w:tr w14:paraId="0A80A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0B3AADC3">
            <w:pPr>
              <w:spacing w:line="240" w:lineRule="auto"/>
              <w:jc w:val="center"/>
              <w:rPr>
                <w:color w:val="000000" w:themeColor="text1"/>
                <w:sz w:val="21"/>
                <w:szCs w:val="21"/>
                <w:highlight w:val="none"/>
                <w14:textFill>
                  <w14:solidFill>
                    <w14:schemeClr w14:val="tx1"/>
                  </w14:solidFill>
                </w14:textFill>
              </w:rPr>
            </w:pPr>
          </w:p>
        </w:tc>
        <w:tc>
          <w:tcPr>
            <w:tcW w:w="1065" w:type="dxa"/>
            <w:vMerge w:val="continue"/>
            <w:vAlign w:val="center"/>
          </w:tcPr>
          <w:p w14:paraId="53FDE343">
            <w:pPr>
              <w:spacing w:line="240" w:lineRule="auto"/>
              <w:jc w:val="center"/>
              <w:rPr>
                <w:color w:val="000000" w:themeColor="text1"/>
                <w:sz w:val="21"/>
                <w:szCs w:val="21"/>
                <w:highlight w:val="none"/>
                <w14:textFill>
                  <w14:solidFill>
                    <w14:schemeClr w14:val="tx1"/>
                  </w14:solidFill>
                </w14:textFill>
              </w:rPr>
            </w:pPr>
          </w:p>
        </w:tc>
        <w:tc>
          <w:tcPr>
            <w:tcW w:w="2096" w:type="dxa"/>
            <w:vAlign w:val="center"/>
          </w:tcPr>
          <w:p w14:paraId="714737A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1小时平均</w:t>
            </w:r>
          </w:p>
        </w:tc>
        <w:tc>
          <w:tcPr>
            <w:tcW w:w="2164" w:type="dxa"/>
            <w:vAlign w:val="center"/>
          </w:tcPr>
          <w:p w14:paraId="74FE7A0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200µg/m</w:t>
            </w:r>
            <w:r>
              <w:rPr>
                <w:rFonts w:hint="eastAsia"/>
                <w:color w:val="000000" w:themeColor="text1"/>
                <w:sz w:val="21"/>
                <w:szCs w:val="21"/>
                <w:highlight w:val="none"/>
                <w:vertAlign w:val="superscript"/>
                <w14:textFill>
                  <w14:solidFill>
                    <w14:schemeClr w14:val="tx1"/>
                  </w14:solidFill>
                </w14:textFill>
              </w:rPr>
              <w:t>3</w:t>
            </w:r>
          </w:p>
        </w:tc>
      </w:tr>
      <w:tr w14:paraId="2BA2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525058FE">
            <w:pPr>
              <w:spacing w:line="240" w:lineRule="auto"/>
              <w:jc w:val="center"/>
              <w:rPr>
                <w:color w:val="000000" w:themeColor="text1"/>
                <w:sz w:val="21"/>
                <w:szCs w:val="21"/>
                <w:highlight w:val="none"/>
                <w14:textFill>
                  <w14:solidFill>
                    <w14:schemeClr w14:val="tx1"/>
                  </w14:solidFill>
                </w14:textFill>
              </w:rPr>
            </w:pPr>
          </w:p>
        </w:tc>
        <w:tc>
          <w:tcPr>
            <w:tcW w:w="1065" w:type="dxa"/>
            <w:vMerge w:val="restart"/>
            <w:vAlign w:val="center"/>
          </w:tcPr>
          <w:p w14:paraId="3DD1BFC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PM</w:t>
            </w:r>
            <w:r>
              <w:rPr>
                <w:rFonts w:hint="eastAsia"/>
                <w:color w:val="000000" w:themeColor="text1"/>
                <w:sz w:val="21"/>
                <w:szCs w:val="21"/>
                <w:highlight w:val="none"/>
                <w:vertAlign w:val="baseline"/>
                <w14:textFill>
                  <w14:solidFill>
                    <w14:schemeClr w14:val="tx1"/>
                  </w14:solidFill>
                </w14:textFill>
              </w:rPr>
              <w:t>10</w:t>
            </w:r>
          </w:p>
        </w:tc>
        <w:tc>
          <w:tcPr>
            <w:tcW w:w="2096" w:type="dxa"/>
            <w:vAlign w:val="center"/>
          </w:tcPr>
          <w:p w14:paraId="3F57A8C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年平均</w:t>
            </w:r>
          </w:p>
        </w:tc>
        <w:tc>
          <w:tcPr>
            <w:tcW w:w="2164" w:type="dxa"/>
            <w:vAlign w:val="center"/>
          </w:tcPr>
          <w:p w14:paraId="403102F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70µg/m</w:t>
            </w:r>
            <w:r>
              <w:rPr>
                <w:rFonts w:hint="eastAsia"/>
                <w:color w:val="000000" w:themeColor="text1"/>
                <w:sz w:val="21"/>
                <w:szCs w:val="21"/>
                <w:highlight w:val="none"/>
                <w:vertAlign w:val="superscript"/>
                <w14:textFill>
                  <w14:solidFill>
                    <w14:schemeClr w14:val="tx1"/>
                  </w14:solidFill>
                </w14:textFill>
              </w:rPr>
              <w:t>3</w:t>
            </w:r>
          </w:p>
        </w:tc>
      </w:tr>
      <w:tr w14:paraId="23309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7C1A30F0">
            <w:pPr>
              <w:spacing w:line="240" w:lineRule="auto"/>
              <w:jc w:val="center"/>
              <w:rPr>
                <w:color w:val="000000" w:themeColor="text1"/>
                <w:sz w:val="21"/>
                <w:szCs w:val="21"/>
                <w:highlight w:val="none"/>
                <w14:textFill>
                  <w14:solidFill>
                    <w14:schemeClr w14:val="tx1"/>
                  </w14:solidFill>
                </w14:textFill>
              </w:rPr>
            </w:pPr>
          </w:p>
        </w:tc>
        <w:tc>
          <w:tcPr>
            <w:tcW w:w="1065" w:type="dxa"/>
            <w:vMerge w:val="continue"/>
            <w:vAlign w:val="center"/>
          </w:tcPr>
          <w:p w14:paraId="3F160FB0">
            <w:pPr>
              <w:spacing w:line="240" w:lineRule="auto"/>
              <w:jc w:val="center"/>
              <w:rPr>
                <w:color w:val="000000" w:themeColor="text1"/>
                <w:sz w:val="21"/>
                <w:szCs w:val="21"/>
                <w:highlight w:val="none"/>
                <w14:textFill>
                  <w14:solidFill>
                    <w14:schemeClr w14:val="tx1"/>
                  </w14:solidFill>
                </w14:textFill>
              </w:rPr>
            </w:pPr>
          </w:p>
        </w:tc>
        <w:tc>
          <w:tcPr>
            <w:tcW w:w="2096" w:type="dxa"/>
            <w:vAlign w:val="center"/>
          </w:tcPr>
          <w:p w14:paraId="64BDBAD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24小时平均</w:t>
            </w:r>
          </w:p>
        </w:tc>
        <w:tc>
          <w:tcPr>
            <w:tcW w:w="2164" w:type="dxa"/>
            <w:vAlign w:val="center"/>
          </w:tcPr>
          <w:p w14:paraId="1ECEF50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150µg/m</w:t>
            </w:r>
            <w:r>
              <w:rPr>
                <w:rFonts w:hint="eastAsia"/>
                <w:color w:val="000000" w:themeColor="text1"/>
                <w:sz w:val="21"/>
                <w:szCs w:val="21"/>
                <w:highlight w:val="none"/>
                <w:vertAlign w:val="superscript"/>
                <w14:textFill>
                  <w14:solidFill>
                    <w14:schemeClr w14:val="tx1"/>
                  </w14:solidFill>
                </w14:textFill>
              </w:rPr>
              <w:t>3</w:t>
            </w:r>
          </w:p>
        </w:tc>
      </w:tr>
      <w:tr w14:paraId="665F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73A44AA7">
            <w:pPr>
              <w:spacing w:line="240" w:lineRule="auto"/>
              <w:jc w:val="center"/>
              <w:rPr>
                <w:color w:val="000000" w:themeColor="text1"/>
                <w:sz w:val="21"/>
                <w:szCs w:val="21"/>
                <w:highlight w:val="none"/>
                <w14:textFill>
                  <w14:solidFill>
                    <w14:schemeClr w14:val="tx1"/>
                  </w14:solidFill>
                </w14:textFill>
              </w:rPr>
            </w:pPr>
          </w:p>
        </w:tc>
        <w:tc>
          <w:tcPr>
            <w:tcW w:w="1065" w:type="dxa"/>
            <w:vMerge w:val="restart"/>
            <w:vAlign w:val="center"/>
          </w:tcPr>
          <w:p w14:paraId="39931BB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PM</w:t>
            </w:r>
            <w:r>
              <w:rPr>
                <w:rFonts w:hint="eastAsia"/>
                <w:color w:val="000000" w:themeColor="text1"/>
                <w:sz w:val="21"/>
                <w:szCs w:val="21"/>
                <w:highlight w:val="none"/>
                <w:vertAlign w:val="baseline"/>
                <w14:textFill>
                  <w14:solidFill>
                    <w14:schemeClr w14:val="tx1"/>
                  </w14:solidFill>
                </w14:textFill>
              </w:rPr>
              <w:t>2.5</w:t>
            </w:r>
          </w:p>
        </w:tc>
        <w:tc>
          <w:tcPr>
            <w:tcW w:w="2096" w:type="dxa"/>
            <w:vAlign w:val="center"/>
          </w:tcPr>
          <w:p w14:paraId="7EEF0EF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年平均</w:t>
            </w:r>
          </w:p>
        </w:tc>
        <w:tc>
          <w:tcPr>
            <w:tcW w:w="2164" w:type="dxa"/>
            <w:vAlign w:val="center"/>
          </w:tcPr>
          <w:p w14:paraId="058CEB0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35µg/m</w:t>
            </w:r>
            <w:r>
              <w:rPr>
                <w:rFonts w:hint="eastAsia"/>
                <w:color w:val="000000" w:themeColor="text1"/>
                <w:sz w:val="21"/>
                <w:szCs w:val="21"/>
                <w:highlight w:val="none"/>
                <w:vertAlign w:val="superscript"/>
                <w14:textFill>
                  <w14:solidFill>
                    <w14:schemeClr w14:val="tx1"/>
                  </w14:solidFill>
                </w14:textFill>
              </w:rPr>
              <w:t>3</w:t>
            </w:r>
          </w:p>
        </w:tc>
      </w:tr>
      <w:tr w14:paraId="4355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038BBC00">
            <w:pPr>
              <w:spacing w:line="240" w:lineRule="auto"/>
              <w:jc w:val="center"/>
              <w:rPr>
                <w:color w:val="000000" w:themeColor="text1"/>
                <w:sz w:val="21"/>
                <w:szCs w:val="21"/>
                <w:highlight w:val="none"/>
                <w14:textFill>
                  <w14:solidFill>
                    <w14:schemeClr w14:val="tx1"/>
                  </w14:solidFill>
                </w14:textFill>
              </w:rPr>
            </w:pPr>
          </w:p>
        </w:tc>
        <w:tc>
          <w:tcPr>
            <w:tcW w:w="1065" w:type="dxa"/>
            <w:vMerge w:val="continue"/>
            <w:vAlign w:val="center"/>
          </w:tcPr>
          <w:p w14:paraId="3DB737C4">
            <w:pPr>
              <w:spacing w:line="240" w:lineRule="auto"/>
              <w:jc w:val="center"/>
              <w:rPr>
                <w:color w:val="000000" w:themeColor="text1"/>
                <w:sz w:val="21"/>
                <w:szCs w:val="21"/>
                <w:highlight w:val="none"/>
                <w14:textFill>
                  <w14:solidFill>
                    <w14:schemeClr w14:val="tx1"/>
                  </w14:solidFill>
                </w14:textFill>
              </w:rPr>
            </w:pPr>
          </w:p>
        </w:tc>
        <w:tc>
          <w:tcPr>
            <w:tcW w:w="2096" w:type="dxa"/>
            <w:vAlign w:val="center"/>
          </w:tcPr>
          <w:p w14:paraId="263B0F8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24小时平均</w:t>
            </w:r>
          </w:p>
        </w:tc>
        <w:tc>
          <w:tcPr>
            <w:tcW w:w="2164" w:type="dxa"/>
            <w:vAlign w:val="center"/>
          </w:tcPr>
          <w:p w14:paraId="37E02D8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75µg/m</w:t>
            </w:r>
            <w:r>
              <w:rPr>
                <w:rFonts w:hint="eastAsia"/>
                <w:color w:val="000000" w:themeColor="text1"/>
                <w:sz w:val="21"/>
                <w:szCs w:val="21"/>
                <w:highlight w:val="none"/>
                <w:vertAlign w:val="superscript"/>
                <w14:textFill>
                  <w14:solidFill>
                    <w14:schemeClr w14:val="tx1"/>
                  </w14:solidFill>
                </w14:textFill>
              </w:rPr>
              <w:t>3</w:t>
            </w:r>
          </w:p>
        </w:tc>
      </w:tr>
      <w:tr w14:paraId="01FAA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continue"/>
            <w:vAlign w:val="center"/>
          </w:tcPr>
          <w:p w14:paraId="33BAC719">
            <w:pPr>
              <w:spacing w:line="240" w:lineRule="auto"/>
              <w:jc w:val="center"/>
              <w:rPr>
                <w:color w:val="000000" w:themeColor="text1"/>
                <w:sz w:val="21"/>
                <w:szCs w:val="21"/>
                <w:highlight w:val="none"/>
                <w14:textFill>
                  <w14:solidFill>
                    <w14:schemeClr w14:val="tx1"/>
                  </w14:solidFill>
                </w14:textFill>
              </w:rPr>
            </w:pPr>
          </w:p>
        </w:tc>
        <w:tc>
          <w:tcPr>
            <w:tcW w:w="1065" w:type="dxa"/>
            <w:vAlign w:val="center"/>
          </w:tcPr>
          <w:p w14:paraId="4C83EBA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TSP</w:t>
            </w:r>
          </w:p>
        </w:tc>
        <w:tc>
          <w:tcPr>
            <w:tcW w:w="2096" w:type="dxa"/>
            <w:vAlign w:val="center"/>
          </w:tcPr>
          <w:p w14:paraId="5181E3A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24小时平均</w:t>
            </w:r>
          </w:p>
        </w:tc>
        <w:tc>
          <w:tcPr>
            <w:tcW w:w="2164" w:type="dxa"/>
            <w:vAlign w:val="center"/>
          </w:tcPr>
          <w:p w14:paraId="411B2D6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300µg/m</w:t>
            </w:r>
            <w:r>
              <w:rPr>
                <w:rFonts w:hint="eastAsia"/>
                <w:color w:val="000000" w:themeColor="text1"/>
                <w:sz w:val="21"/>
                <w:szCs w:val="21"/>
                <w:highlight w:val="none"/>
                <w:vertAlign w:val="superscript"/>
                <w14:textFill>
                  <w14:solidFill>
                    <w14:schemeClr w14:val="tx1"/>
                  </w14:solidFill>
                </w14:textFill>
              </w:rPr>
              <w:t>3</w:t>
            </w:r>
          </w:p>
        </w:tc>
      </w:tr>
      <w:tr w14:paraId="23245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2929" w:type="dxa"/>
            <w:vMerge w:val="restart"/>
            <w:vAlign w:val="center"/>
          </w:tcPr>
          <w:p w14:paraId="799EC65C">
            <w:pPr>
              <w:spacing w:line="240" w:lineRule="auto"/>
              <w:jc w:val="center"/>
              <w:rPr>
                <w:rFonts w:hint="eastAsia" w:ascii="Times New Roman" w:hAnsi="Times New Roman"/>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《环境影响评价技术导则大气环境》(HJ2.2-2018)中附录D</w:t>
            </w:r>
          </w:p>
        </w:tc>
        <w:tc>
          <w:tcPr>
            <w:tcW w:w="1065" w:type="dxa"/>
            <w:vAlign w:val="center"/>
          </w:tcPr>
          <w:p w14:paraId="52AAE56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p>
        </w:tc>
        <w:tc>
          <w:tcPr>
            <w:tcW w:w="2096" w:type="dxa"/>
            <w:vAlign w:val="center"/>
          </w:tcPr>
          <w:p w14:paraId="6B601F3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1小时平均</w:t>
            </w:r>
          </w:p>
        </w:tc>
        <w:tc>
          <w:tcPr>
            <w:tcW w:w="2164" w:type="dxa"/>
            <w:vAlign w:val="center"/>
          </w:tcPr>
          <w:p w14:paraId="7E27105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200µg/m</w:t>
            </w:r>
            <w:r>
              <w:rPr>
                <w:rFonts w:hint="eastAsia"/>
                <w:color w:val="000000" w:themeColor="text1"/>
                <w:sz w:val="21"/>
                <w:szCs w:val="21"/>
                <w:highlight w:val="none"/>
                <w:vertAlign w:val="superscript"/>
                <w14:textFill>
                  <w14:solidFill>
                    <w14:schemeClr w14:val="tx1"/>
                  </w14:solidFill>
                </w14:textFill>
              </w:rPr>
              <w:t>3</w:t>
            </w:r>
          </w:p>
        </w:tc>
      </w:tr>
      <w:tr w14:paraId="766E9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929" w:type="dxa"/>
            <w:vMerge w:val="continue"/>
            <w:vAlign w:val="center"/>
          </w:tcPr>
          <w:p w14:paraId="5316339C">
            <w:pPr>
              <w:spacing w:line="240" w:lineRule="auto"/>
              <w:jc w:val="center"/>
              <w:rPr>
                <w:rFonts w:hint="eastAsia" w:ascii="Times New Roman" w:hAnsi="Times New Roman"/>
                <w:color w:val="000000" w:themeColor="text1"/>
                <w:sz w:val="21"/>
                <w:szCs w:val="21"/>
                <w:highlight w:val="none"/>
                <w14:textFill>
                  <w14:solidFill>
                    <w14:schemeClr w14:val="tx1"/>
                  </w14:solidFill>
                </w14:textFill>
              </w:rPr>
            </w:pPr>
          </w:p>
        </w:tc>
        <w:tc>
          <w:tcPr>
            <w:tcW w:w="1065" w:type="dxa"/>
            <w:vAlign w:val="center"/>
          </w:tcPr>
          <w:p w14:paraId="12D1024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t>
            </w:r>
            <w:r>
              <w:rPr>
                <w:rFonts w:hint="eastAsia"/>
                <w:color w:val="000000" w:themeColor="text1"/>
                <w:sz w:val="21"/>
                <w:szCs w:val="21"/>
                <w:highlight w:val="none"/>
                <w:vertAlign w:val="sub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S</w:t>
            </w:r>
          </w:p>
        </w:tc>
        <w:tc>
          <w:tcPr>
            <w:tcW w:w="2096" w:type="dxa"/>
            <w:vAlign w:val="center"/>
          </w:tcPr>
          <w:p w14:paraId="2A8B3F7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1小时平均</w:t>
            </w:r>
          </w:p>
        </w:tc>
        <w:tc>
          <w:tcPr>
            <w:tcW w:w="2164" w:type="dxa"/>
            <w:vAlign w:val="center"/>
          </w:tcPr>
          <w:p w14:paraId="4F5C1F4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10µg/m</w:t>
            </w:r>
            <w:r>
              <w:rPr>
                <w:rFonts w:hint="eastAsia"/>
                <w:color w:val="000000" w:themeColor="text1"/>
                <w:sz w:val="21"/>
                <w:szCs w:val="21"/>
                <w:highlight w:val="none"/>
                <w:vertAlign w:val="superscript"/>
                <w14:textFill>
                  <w14:solidFill>
                    <w14:schemeClr w14:val="tx1"/>
                  </w14:solidFill>
                </w14:textFill>
              </w:rPr>
              <w:t>3</w:t>
            </w:r>
          </w:p>
        </w:tc>
      </w:tr>
      <w:tr w14:paraId="156D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2929" w:type="dxa"/>
            <w:vAlign w:val="center"/>
          </w:tcPr>
          <w:p w14:paraId="1FDB4C66">
            <w:pPr>
              <w:spacing w:line="240" w:lineRule="auto"/>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olor w:val="000000" w:themeColor="text1"/>
                <w:sz w:val="21"/>
                <w:szCs w:val="21"/>
                <w:highlight w:val="none"/>
                <w:lang w:val="en-US" w:eastAsia="zh-CN"/>
                <w14:textFill>
                  <w14:solidFill>
                    <w14:schemeClr w14:val="tx1"/>
                  </w14:solidFill>
                </w14:textFill>
              </w:rPr>
              <w:t>畜禽养殖产地环境评价规范</w:t>
            </w: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olor w:val="000000" w:themeColor="text1"/>
                <w:sz w:val="21"/>
                <w:szCs w:val="21"/>
                <w:highlight w:val="none"/>
                <w:lang w:val="en-US" w:eastAsia="zh-CN"/>
                <w14:textFill>
                  <w14:solidFill>
                    <w14:schemeClr w14:val="tx1"/>
                  </w14:solidFill>
                </w14:textFill>
              </w:rPr>
              <w:t>HJ568-2010</w:t>
            </w:r>
            <w:r>
              <w:rPr>
                <w:rFonts w:hint="eastAsia" w:ascii="Times New Roman" w:hAnsi="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olor w:val="000000" w:themeColor="text1"/>
                <w:sz w:val="21"/>
                <w:szCs w:val="21"/>
                <w:highlight w:val="none"/>
                <w:lang w:val="en-US" w:eastAsia="zh-CN"/>
                <w14:textFill>
                  <w14:solidFill>
                    <w14:schemeClr w14:val="tx1"/>
                  </w14:solidFill>
                </w14:textFill>
              </w:rPr>
              <w:t>表5</w:t>
            </w:r>
            <w:r>
              <w:rPr>
                <w:rFonts w:hint="eastAsia" w:ascii="Times New Roman" w:hAnsi="Times New Roman"/>
                <w:color w:val="000000" w:themeColor="text1"/>
                <w:sz w:val="21"/>
                <w:szCs w:val="21"/>
                <w:highlight w:val="none"/>
                <w:lang w:val="en-US" w:eastAsia="zh-CN"/>
                <w14:textFill>
                  <w14:solidFill>
                    <w14:schemeClr w14:val="tx1"/>
                  </w14:solidFill>
                </w14:textFill>
              </w:rPr>
              <w:t xml:space="preserve"> </w:t>
            </w:r>
            <w:r>
              <w:rPr>
                <w:rFonts w:hint="default" w:ascii="Times New Roman" w:hAnsi="Times New Roman"/>
                <w:color w:val="000000" w:themeColor="text1"/>
                <w:sz w:val="21"/>
                <w:szCs w:val="21"/>
                <w:highlight w:val="none"/>
                <w:lang w:val="en-US" w:eastAsia="zh-CN"/>
                <w14:textFill>
                  <w14:solidFill>
                    <w14:schemeClr w14:val="tx1"/>
                  </w14:solidFill>
                </w14:textFill>
              </w:rPr>
              <w:t>畜禽养殖场和养殖小区环境空气质量评价指标限值</w:t>
            </w:r>
          </w:p>
        </w:tc>
        <w:tc>
          <w:tcPr>
            <w:tcW w:w="1065" w:type="dxa"/>
            <w:vAlign w:val="center"/>
          </w:tcPr>
          <w:p w14:paraId="4F911006">
            <w:pPr>
              <w:spacing w:line="240" w:lineRule="auto"/>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olor w:val="000000" w:themeColor="text1"/>
                <w:sz w:val="21"/>
                <w:szCs w:val="21"/>
                <w:highlight w:val="none"/>
                <w:lang w:val="en-US" w:eastAsia="zh-CN"/>
                <w14:textFill>
                  <w14:solidFill>
                    <w14:schemeClr w14:val="tx1"/>
                  </w14:solidFill>
                </w14:textFill>
              </w:rPr>
              <w:t>臭气浓度</w:t>
            </w:r>
          </w:p>
        </w:tc>
        <w:tc>
          <w:tcPr>
            <w:tcW w:w="2096" w:type="dxa"/>
            <w:vAlign w:val="center"/>
          </w:tcPr>
          <w:p w14:paraId="3F8CB3B0">
            <w:pPr>
              <w:spacing w:line="240" w:lineRule="auto"/>
              <w:jc w:val="center"/>
              <w:rPr>
                <w:rFonts w:hint="eastAsia" w:ascii="Times New Roman" w:hAnsi="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olor w:val="000000" w:themeColor="text1"/>
                <w:sz w:val="21"/>
                <w:szCs w:val="21"/>
                <w:highlight w:val="none"/>
                <w:lang w:val="en-US" w:eastAsia="zh-CN"/>
                <w14:textFill>
                  <w14:solidFill>
                    <w14:schemeClr w14:val="tx1"/>
                  </w14:solidFill>
                </w14:textFill>
              </w:rPr>
              <w:t>1日</w:t>
            </w:r>
            <w:r>
              <w:rPr>
                <w:rFonts w:hint="eastAsia" w:ascii="Times New Roman" w:hAnsi="Times New Roman"/>
                <w:color w:val="000000" w:themeColor="text1"/>
                <w:sz w:val="21"/>
                <w:szCs w:val="21"/>
                <w:highlight w:val="none"/>
                <w14:textFill>
                  <w14:solidFill>
                    <w14:schemeClr w14:val="tx1"/>
                  </w14:solidFill>
                </w14:textFill>
              </w:rPr>
              <w:t>平均</w:t>
            </w:r>
          </w:p>
        </w:tc>
        <w:tc>
          <w:tcPr>
            <w:tcW w:w="2164" w:type="dxa"/>
            <w:vAlign w:val="center"/>
          </w:tcPr>
          <w:p w14:paraId="23C1FD57">
            <w:pPr>
              <w:spacing w:line="240" w:lineRule="auto"/>
              <w:jc w:val="center"/>
              <w:rPr>
                <w:rFonts w:hint="default" w:ascii="Times New Roman" w:hAnsi="Times New Roman" w:eastAsia="宋体" w:cs="宋体"/>
                <w:b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cs="宋体"/>
                <w:b w:val="0"/>
                <w:color w:val="000000" w:themeColor="text1"/>
                <w:sz w:val="21"/>
                <w:szCs w:val="21"/>
                <w:highlight w:val="none"/>
                <w:lang w:val="en-US" w:eastAsia="zh-CN" w:bidi="ar-SA"/>
                <w14:textFill>
                  <w14:solidFill>
                    <w14:schemeClr w14:val="tx1"/>
                  </w14:solidFill>
                </w14:textFill>
              </w:rPr>
              <w:t>50</w:t>
            </w:r>
          </w:p>
        </w:tc>
      </w:tr>
    </w:tbl>
    <w:p w14:paraId="779B729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（2）地表水环境质量标准</w:t>
      </w:r>
    </w:p>
    <w:p w14:paraId="0EE916A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本项目建成投产后，全厂粪水经</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、沼液池处理后用于还田，本项目周边不存在地表水且无直接水力联系，因此本项目地表水按三级B评价，本次环评仅作现状评价。</w:t>
      </w:r>
    </w:p>
    <w:p w14:paraId="307DD58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（3）地下水环境质量标准</w:t>
      </w:r>
    </w:p>
    <w:p w14:paraId="5FBE9101">
      <w:p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区域地下水执行《地下水质量标准》（</w:t>
      </w:r>
      <w:r>
        <w:rPr>
          <w:rFonts w:hint="eastAsia"/>
          <w:color w:val="000000" w:themeColor="text1"/>
          <w:highlight w:val="none"/>
          <w14:textFill>
            <w14:solidFill>
              <w14:schemeClr w14:val="tx1"/>
            </w14:solidFill>
          </w14:textFill>
        </w:rPr>
        <w:t>GB/T 14848-2017</w:t>
      </w:r>
      <w:r>
        <w:rPr>
          <w:color w:val="000000" w:themeColor="text1"/>
          <w:highlight w:val="none"/>
          <w14:textFill>
            <w14:solidFill>
              <w14:schemeClr w14:val="tx1"/>
            </w14:solidFill>
          </w14:textFill>
        </w:rPr>
        <w:t>）中的Ⅲ类标准，标准值见表2.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-2。</w:t>
      </w:r>
    </w:p>
    <w:p w14:paraId="5AFEDD38">
      <w:pPr>
        <w:kinsoku w:val="0"/>
        <w:autoSpaceDE w:val="0"/>
        <w:autoSpaceDN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lang w:val="en-US" w:eastAsia="zh-CN"/>
          <w14:textFill>
            <w14:solidFill>
              <w14:schemeClr w14:val="tx1"/>
            </w14:solidFill>
          </w14:textFill>
        </w:rPr>
        <w:t>5</w:t>
      </w:r>
      <w:r>
        <w:rPr>
          <w:b/>
          <w:bCs/>
          <w:color w:val="000000" w:themeColor="text1"/>
          <w:sz w:val="21"/>
          <w:szCs w:val="21"/>
          <w:highlight w:val="none"/>
          <w14:textFill>
            <w14:solidFill>
              <w14:schemeClr w14:val="tx1"/>
            </w14:solidFill>
          </w14:textFill>
        </w:rPr>
        <w:t>-2  地下水质量评价所用标准（mg/L，除pH外）</w:t>
      </w:r>
    </w:p>
    <w:tbl>
      <w:tblPr>
        <w:tblStyle w:val="58"/>
        <w:tblW w:w="80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5"/>
        <w:gridCol w:w="2139"/>
        <w:gridCol w:w="2539"/>
        <w:gridCol w:w="2245"/>
      </w:tblGrid>
      <w:tr w14:paraId="32CE7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1095" w:type="dxa"/>
            <w:vAlign w:val="center"/>
          </w:tcPr>
          <w:p w14:paraId="3575EAC4">
            <w:pPr>
              <w:kinsoku w:val="0"/>
              <w:autoSpaceDE w:val="0"/>
              <w:autoSpaceDN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139" w:type="dxa"/>
            <w:vAlign w:val="center"/>
          </w:tcPr>
          <w:p w14:paraId="7B9CF0E3">
            <w:pPr>
              <w:kinsoku w:val="0"/>
              <w:autoSpaceDE w:val="0"/>
              <w:autoSpaceDN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2539" w:type="dxa"/>
            <w:vAlign w:val="center"/>
          </w:tcPr>
          <w:p w14:paraId="6B604591">
            <w:pPr>
              <w:kinsoku w:val="0"/>
              <w:autoSpaceDE w:val="0"/>
              <w:autoSpaceDN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2245" w:type="dxa"/>
            <w:vAlign w:val="center"/>
          </w:tcPr>
          <w:p w14:paraId="29E1CB58">
            <w:pPr>
              <w:kinsoku w:val="0"/>
              <w:autoSpaceDE w:val="0"/>
              <w:autoSpaceDN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标准值</w:t>
            </w:r>
          </w:p>
        </w:tc>
      </w:tr>
      <w:tr w14:paraId="12F7C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095" w:type="dxa"/>
            <w:vAlign w:val="center"/>
          </w:tcPr>
          <w:p w14:paraId="63B18EAE">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139" w:type="dxa"/>
            <w:vAlign w:val="center"/>
          </w:tcPr>
          <w:p w14:paraId="3A808D8F">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w:t>
            </w:r>
          </w:p>
        </w:tc>
        <w:tc>
          <w:tcPr>
            <w:tcW w:w="2539" w:type="dxa"/>
            <w:vAlign w:val="center"/>
          </w:tcPr>
          <w:p w14:paraId="07C64E89">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2245" w:type="dxa"/>
            <w:vAlign w:val="center"/>
          </w:tcPr>
          <w:p w14:paraId="21095914">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6.5-8.5</w:t>
            </w:r>
          </w:p>
        </w:tc>
      </w:tr>
      <w:tr w14:paraId="3F4CFB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095" w:type="dxa"/>
            <w:vAlign w:val="center"/>
          </w:tcPr>
          <w:p w14:paraId="1393B7B5">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139" w:type="dxa"/>
            <w:vAlign w:val="center"/>
          </w:tcPr>
          <w:p w14:paraId="5622F08E">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氨氮</w:t>
            </w:r>
          </w:p>
        </w:tc>
        <w:tc>
          <w:tcPr>
            <w:tcW w:w="2539" w:type="dxa"/>
            <w:vAlign w:val="center"/>
          </w:tcPr>
          <w:p w14:paraId="5D1CE4DE">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6B432711">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≤0.5</w:t>
            </w:r>
          </w:p>
        </w:tc>
      </w:tr>
      <w:tr w14:paraId="01BBE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1095" w:type="dxa"/>
            <w:vAlign w:val="center"/>
          </w:tcPr>
          <w:p w14:paraId="0BFD809C">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139" w:type="dxa"/>
            <w:vAlign w:val="center"/>
          </w:tcPr>
          <w:p w14:paraId="11F6317C">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挥发酚</w:t>
            </w:r>
          </w:p>
        </w:tc>
        <w:tc>
          <w:tcPr>
            <w:tcW w:w="2539" w:type="dxa"/>
            <w:vAlign w:val="center"/>
          </w:tcPr>
          <w:p w14:paraId="2EEBA25B">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4F79883F">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≤0.002</w:t>
            </w:r>
          </w:p>
        </w:tc>
      </w:tr>
      <w:tr w14:paraId="19972D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095" w:type="dxa"/>
            <w:vAlign w:val="center"/>
          </w:tcPr>
          <w:p w14:paraId="528F5B5B">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139" w:type="dxa"/>
            <w:vAlign w:val="center"/>
          </w:tcPr>
          <w:p w14:paraId="4AE03789">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六价铬</w:t>
            </w:r>
          </w:p>
        </w:tc>
        <w:tc>
          <w:tcPr>
            <w:tcW w:w="2539" w:type="dxa"/>
            <w:vAlign w:val="center"/>
          </w:tcPr>
          <w:p w14:paraId="0A50E2E7">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mg</w:t>
            </w:r>
            <w:r>
              <w:rPr>
                <w:color w:val="000000" w:themeColor="text1"/>
                <w:sz w:val="21"/>
                <w:szCs w:val="21"/>
                <w:highlight w:val="none"/>
                <w14:textFill>
                  <w14:solidFill>
                    <w14:schemeClr w14:val="tx1"/>
                  </w14:solidFill>
                </w14:textFill>
              </w:rPr>
              <w:t>/L</w:t>
            </w:r>
          </w:p>
        </w:tc>
        <w:tc>
          <w:tcPr>
            <w:tcW w:w="2245" w:type="dxa"/>
            <w:vAlign w:val="center"/>
          </w:tcPr>
          <w:p w14:paraId="28698A9C">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≤0.05</w:t>
            </w:r>
          </w:p>
        </w:tc>
      </w:tr>
      <w:tr w14:paraId="13635F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1095" w:type="dxa"/>
            <w:vAlign w:val="center"/>
          </w:tcPr>
          <w:p w14:paraId="0323016E">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2139" w:type="dxa"/>
            <w:vAlign w:val="center"/>
          </w:tcPr>
          <w:p w14:paraId="5775FB80">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亚硝酸盐</w:t>
            </w:r>
            <w:r>
              <w:rPr>
                <w:rFonts w:hint="eastAsia" w:cs="Times New Roman"/>
                <w:color w:val="000000" w:themeColor="text1"/>
                <w:sz w:val="21"/>
                <w:szCs w:val="21"/>
                <w:highlight w:val="none"/>
                <w:lang w:bidi="ar"/>
                <w14:textFill>
                  <w14:solidFill>
                    <w14:schemeClr w14:val="tx1"/>
                  </w14:solidFill>
                </w14:textFill>
              </w:rPr>
              <w:t>（以N计）</w:t>
            </w:r>
          </w:p>
        </w:tc>
        <w:tc>
          <w:tcPr>
            <w:tcW w:w="2539" w:type="dxa"/>
            <w:vAlign w:val="center"/>
          </w:tcPr>
          <w:p w14:paraId="1AB9623B">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35D5A6A4">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1</w:t>
            </w:r>
          </w:p>
        </w:tc>
      </w:tr>
      <w:tr w14:paraId="50B5BD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095" w:type="dxa"/>
            <w:vAlign w:val="center"/>
          </w:tcPr>
          <w:p w14:paraId="388A8C46">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2139" w:type="dxa"/>
            <w:vAlign w:val="center"/>
          </w:tcPr>
          <w:p w14:paraId="0942D339">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硝酸盐氮</w:t>
            </w:r>
          </w:p>
        </w:tc>
        <w:tc>
          <w:tcPr>
            <w:tcW w:w="2539" w:type="dxa"/>
            <w:vAlign w:val="center"/>
          </w:tcPr>
          <w:p w14:paraId="09B7B511">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728B136C">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p>
        </w:tc>
      </w:tr>
      <w:tr w14:paraId="54FE43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095" w:type="dxa"/>
            <w:vAlign w:val="center"/>
          </w:tcPr>
          <w:p w14:paraId="132BAC8F">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2139" w:type="dxa"/>
            <w:vAlign w:val="center"/>
          </w:tcPr>
          <w:p w14:paraId="42DB6AEB">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氰化物</w:t>
            </w:r>
          </w:p>
        </w:tc>
        <w:tc>
          <w:tcPr>
            <w:tcW w:w="2539" w:type="dxa"/>
            <w:vAlign w:val="center"/>
          </w:tcPr>
          <w:p w14:paraId="4482CB8F">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3A2B44B0">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≤0.05</w:t>
            </w:r>
          </w:p>
        </w:tc>
      </w:tr>
      <w:tr w14:paraId="7852F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1095" w:type="dxa"/>
            <w:vAlign w:val="center"/>
          </w:tcPr>
          <w:p w14:paraId="6DC6450A">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2139" w:type="dxa"/>
            <w:vAlign w:val="center"/>
          </w:tcPr>
          <w:p w14:paraId="3EA911E4">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溶解性总固体</w:t>
            </w:r>
          </w:p>
        </w:tc>
        <w:tc>
          <w:tcPr>
            <w:tcW w:w="2539" w:type="dxa"/>
            <w:vAlign w:val="center"/>
          </w:tcPr>
          <w:p w14:paraId="092B1484">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14773E5A">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≤1000</w:t>
            </w:r>
          </w:p>
        </w:tc>
      </w:tr>
      <w:tr w14:paraId="6B3E5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095" w:type="dxa"/>
            <w:vAlign w:val="center"/>
          </w:tcPr>
          <w:p w14:paraId="56233983">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w:t>
            </w:r>
          </w:p>
        </w:tc>
        <w:tc>
          <w:tcPr>
            <w:tcW w:w="2139" w:type="dxa"/>
            <w:vAlign w:val="center"/>
          </w:tcPr>
          <w:p w14:paraId="5D6D6E67">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硫酸盐</w:t>
            </w:r>
          </w:p>
        </w:tc>
        <w:tc>
          <w:tcPr>
            <w:tcW w:w="2539" w:type="dxa"/>
            <w:vAlign w:val="center"/>
          </w:tcPr>
          <w:p w14:paraId="00586EC5">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7C1DB8C9">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≤250</w:t>
            </w:r>
          </w:p>
        </w:tc>
      </w:tr>
      <w:tr w14:paraId="4BE0B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 w:hRule="atLeast"/>
          <w:jc w:val="center"/>
        </w:trPr>
        <w:tc>
          <w:tcPr>
            <w:tcW w:w="1095" w:type="dxa"/>
            <w:vAlign w:val="center"/>
          </w:tcPr>
          <w:p w14:paraId="28E2E32F">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2139" w:type="dxa"/>
            <w:vAlign w:val="center"/>
          </w:tcPr>
          <w:p w14:paraId="3F4BE2FD">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氯化物</w:t>
            </w:r>
          </w:p>
        </w:tc>
        <w:tc>
          <w:tcPr>
            <w:tcW w:w="2539" w:type="dxa"/>
            <w:vAlign w:val="center"/>
          </w:tcPr>
          <w:p w14:paraId="15AD7BC1">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75B4C36F">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≤250</w:t>
            </w:r>
          </w:p>
        </w:tc>
      </w:tr>
      <w:tr w14:paraId="6F0D4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095" w:type="dxa"/>
            <w:vAlign w:val="center"/>
          </w:tcPr>
          <w:p w14:paraId="2F3F2F43">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w:t>
            </w:r>
          </w:p>
        </w:tc>
        <w:tc>
          <w:tcPr>
            <w:tcW w:w="2139" w:type="dxa"/>
            <w:vAlign w:val="center"/>
          </w:tcPr>
          <w:p w14:paraId="69E75C7C">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总硬度</w:t>
            </w:r>
          </w:p>
        </w:tc>
        <w:tc>
          <w:tcPr>
            <w:tcW w:w="2539" w:type="dxa"/>
            <w:vAlign w:val="center"/>
          </w:tcPr>
          <w:p w14:paraId="0FFBD414">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3A900FF4">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≤450</w:t>
            </w:r>
          </w:p>
        </w:tc>
      </w:tr>
      <w:tr w14:paraId="4B44FD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095" w:type="dxa"/>
            <w:vAlign w:val="center"/>
          </w:tcPr>
          <w:p w14:paraId="46360D63">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12</w:t>
            </w:r>
          </w:p>
        </w:tc>
        <w:tc>
          <w:tcPr>
            <w:tcW w:w="2139" w:type="dxa"/>
            <w:vAlign w:val="center"/>
          </w:tcPr>
          <w:p w14:paraId="087B0A7F">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砷</w:t>
            </w:r>
          </w:p>
        </w:tc>
        <w:tc>
          <w:tcPr>
            <w:tcW w:w="2539" w:type="dxa"/>
            <w:vAlign w:val="center"/>
          </w:tcPr>
          <w:p w14:paraId="6649403D">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059FF7CA">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w:t>
            </w:r>
          </w:p>
        </w:tc>
      </w:tr>
      <w:tr w14:paraId="567A38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095" w:type="dxa"/>
            <w:vAlign w:val="center"/>
          </w:tcPr>
          <w:p w14:paraId="5349F075">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13</w:t>
            </w:r>
          </w:p>
        </w:tc>
        <w:tc>
          <w:tcPr>
            <w:tcW w:w="2139" w:type="dxa"/>
            <w:vAlign w:val="center"/>
          </w:tcPr>
          <w:p w14:paraId="2BE16B01">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汞</w:t>
            </w:r>
          </w:p>
        </w:tc>
        <w:tc>
          <w:tcPr>
            <w:tcW w:w="2539" w:type="dxa"/>
            <w:vAlign w:val="center"/>
          </w:tcPr>
          <w:p w14:paraId="3F173F72">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06B6E712">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≤0.001</w:t>
            </w:r>
          </w:p>
        </w:tc>
      </w:tr>
      <w:tr w14:paraId="72ED47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 w:hRule="atLeast"/>
          <w:jc w:val="center"/>
        </w:trPr>
        <w:tc>
          <w:tcPr>
            <w:tcW w:w="1095" w:type="dxa"/>
            <w:vAlign w:val="center"/>
          </w:tcPr>
          <w:p w14:paraId="5B0A24D6">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w:t>
            </w:r>
          </w:p>
        </w:tc>
        <w:tc>
          <w:tcPr>
            <w:tcW w:w="2139" w:type="dxa"/>
            <w:vAlign w:val="center"/>
          </w:tcPr>
          <w:p w14:paraId="67D65198">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铅</w:t>
            </w:r>
          </w:p>
        </w:tc>
        <w:tc>
          <w:tcPr>
            <w:tcW w:w="2539" w:type="dxa"/>
            <w:vAlign w:val="center"/>
          </w:tcPr>
          <w:p w14:paraId="7B41FE1C">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37CD40E9">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w:t>
            </w:r>
          </w:p>
        </w:tc>
      </w:tr>
      <w:tr w14:paraId="431742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1095" w:type="dxa"/>
            <w:vAlign w:val="center"/>
          </w:tcPr>
          <w:p w14:paraId="6604EF56">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w:t>
            </w:r>
          </w:p>
        </w:tc>
        <w:tc>
          <w:tcPr>
            <w:tcW w:w="2139" w:type="dxa"/>
            <w:vAlign w:val="center"/>
          </w:tcPr>
          <w:p w14:paraId="49B9B5CB">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镉</w:t>
            </w:r>
          </w:p>
        </w:tc>
        <w:tc>
          <w:tcPr>
            <w:tcW w:w="2539" w:type="dxa"/>
            <w:vAlign w:val="center"/>
          </w:tcPr>
          <w:p w14:paraId="5DBB5F1D">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664B1BFA">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≤0.005</w:t>
            </w:r>
          </w:p>
        </w:tc>
      </w:tr>
      <w:tr w14:paraId="2E18F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1095" w:type="dxa"/>
            <w:vAlign w:val="center"/>
          </w:tcPr>
          <w:p w14:paraId="7342BEC2">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16</w:t>
            </w:r>
          </w:p>
        </w:tc>
        <w:tc>
          <w:tcPr>
            <w:tcW w:w="2139" w:type="dxa"/>
            <w:vAlign w:val="center"/>
          </w:tcPr>
          <w:p w14:paraId="2E867A92">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铁</w:t>
            </w:r>
          </w:p>
        </w:tc>
        <w:tc>
          <w:tcPr>
            <w:tcW w:w="2539" w:type="dxa"/>
            <w:vAlign w:val="center"/>
          </w:tcPr>
          <w:p w14:paraId="46AE04DA">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575FD0FA">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≤0.3</w:t>
            </w:r>
          </w:p>
        </w:tc>
      </w:tr>
      <w:tr w14:paraId="25605D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1095" w:type="dxa"/>
            <w:vAlign w:val="center"/>
          </w:tcPr>
          <w:p w14:paraId="18D792B2">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17</w:t>
            </w:r>
          </w:p>
        </w:tc>
        <w:tc>
          <w:tcPr>
            <w:tcW w:w="2139" w:type="dxa"/>
            <w:vAlign w:val="center"/>
          </w:tcPr>
          <w:p w14:paraId="50535286">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锰</w:t>
            </w:r>
          </w:p>
        </w:tc>
        <w:tc>
          <w:tcPr>
            <w:tcW w:w="2539" w:type="dxa"/>
            <w:vAlign w:val="center"/>
          </w:tcPr>
          <w:p w14:paraId="6CFAB85C">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443B76F2">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≤0.1</w:t>
            </w:r>
          </w:p>
        </w:tc>
      </w:tr>
      <w:tr w14:paraId="519BE5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1095" w:type="dxa"/>
            <w:vAlign w:val="center"/>
          </w:tcPr>
          <w:p w14:paraId="5C5432BC">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18</w:t>
            </w:r>
          </w:p>
        </w:tc>
        <w:tc>
          <w:tcPr>
            <w:tcW w:w="2139" w:type="dxa"/>
            <w:vAlign w:val="center"/>
          </w:tcPr>
          <w:p w14:paraId="121BB887">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铜</w:t>
            </w:r>
          </w:p>
        </w:tc>
        <w:tc>
          <w:tcPr>
            <w:tcW w:w="2539" w:type="dxa"/>
            <w:vAlign w:val="center"/>
          </w:tcPr>
          <w:p w14:paraId="58A60723">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3B869DF1">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r>
      <w:tr w14:paraId="3ADE41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1095" w:type="dxa"/>
            <w:vAlign w:val="center"/>
          </w:tcPr>
          <w:p w14:paraId="6274B078">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19</w:t>
            </w:r>
          </w:p>
        </w:tc>
        <w:tc>
          <w:tcPr>
            <w:tcW w:w="2139" w:type="dxa"/>
            <w:vAlign w:val="center"/>
          </w:tcPr>
          <w:p w14:paraId="2EBB8660">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铝</w:t>
            </w:r>
          </w:p>
        </w:tc>
        <w:tc>
          <w:tcPr>
            <w:tcW w:w="2539" w:type="dxa"/>
            <w:vAlign w:val="center"/>
          </w:tcPr>
          <w:p w14:paraId="33572EE7">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7C3C06D5">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≤0.2</w:t>
            </w:r>
          </w:p>
        </w:tc>
      </w:tr>
      <w:tr w14:paraId="0DD456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1095" w:type="dxa"/>
            <w:vAlign w:val="center"/>
          </w:tcPr>
          <w:p w14:paraId="48130F9E">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p>
        </w:tc>
        <w:tc>
          <w:tcPr>
            <w:tcW w:w="2139" w:type="dxa"/>
            <w:vAlign w:val="center"/>
          </w:tcPr>
          <w:p w14:paraId="1FBB5A4A">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耗氧量</w:t>
            </w:r>
          </w:p>
        </w:tc>
        <w:tc>
          <w:tcPr>
            <w:tcW w:w="2539" w:type="dxa"/>
            <w:vAlign w:val="center"/>
          </w:tcPr>
          <w:p w14:paraId="0E980D2B">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537F6282">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≤3.0</w:t>
            </w:r>
          </w:p>
        </w:tc>
      </w:tr>
      <w:tr w14:paraId="73E86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1095" w:type="dxa"/>
            <w:vAlign w:val="center"/>
          </w:tcPr>
          <w:p w14:paraId="304CEEA5">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21</w:t>
            </w:r>
          </w:p>
        </w:tc>
        <w:tc>
          <w:tcPr>
            <w:tcW w:w="2139" w:type="dxa"/>
            <w:vAlign w:val="center"/>
          </w:tcPr>
          <w:p w14:paraId="3BBAF414">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氟化物</w:t>
            </w:r>
          </w:p>
        </w:tc>
        <w:tc>
          <w:tcPr>
            <w:tcW w:w="2539" w:type="dxa"/>
            <w:vAlign w:val="center"/>
          </w:tcPr>
          <w:p w14:paraId="212B3B30">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5122FAB0">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r>
      <w:tr w14:paraId="5A0C1F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1095" w:type="dxa"/>
            <w:vAlign w:val="center"/>
          </w:tcPr>
          <w:p w14:paraId="5306DA75">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22</w:t>
            </w:r>
          </w:p>
        </w:tc>
        <w:tc>
          <w:tcPr>
            <w:tcW w:w="2139" w:type="dxa"/>
            <w:vAlign w:val="center"/>
          </w:tcPr>
          <w:p w14:paraId="5022D1FD">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锌</w:t>
            </w:r>
          </w:p>
        </w:tc>
        <w:tc>
          <w:tcPr>
            <w:tcW w:w="2539" w:type="dxa"/>
            <w:vAlign w:val="center"/>
          </w:tcPr>
          <w:p w14:paraId="42785797">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749BCF29">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≤0.2</w:t>
            </w:r>
          </w:p>
        </w:tc>
      </w:tr>
      <w:tr w14:paraId="154981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1095" w:type="dxa"/>
            <w:vAlign w:val="center"/>
          </w:tcPr>
          <w:p w14:paraId="3BB4DC10">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23</w:t>
            </w:r>
          </w:p>
        </w:tc>
        <w:tc>
          <w:tcPr>
            <w:tcW w:w="2139" w:type="dxa"/>
            <w:vAlign w:val="center"/>
          </w:tcPr>
          <w:p w14:paraId="401111D0">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总大肠菌群</w:t>
            </w:r>
          </w:p>
        </w:tc>
        <w:tc>
          <w:tcPr>
            <w:tcW w:w="2539" w:type="dxa"/>
            <w:vAlign w:val="center"/>
          </w:tcPr>
          <w:p w14:paraId="44808D2A">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CFU/100mL/100 mL</w:t>
            </w:r>
          </w:p>
        </w:tc>
        <w:tc>
          <w:tcPr>
            <w:tcW w:w="2245" w:type="dxa"/>
            <w:vAlign w:val="center"/>
          </w:tcPr>
          <w:p w14:paraId="05D78F88">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≤3.0</w:t>
            </w:r>
          </w:p>
        </w:tc>
      </w:tr>
      <w:tr w14:paraId="0CFA53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jc w:val="center"/>
        </w:trPr>
        <w:tc>
          <w:tcPr>
            <w:tcW w:w="1095" w:type="dxa"/>
            <w:vAlign w:val="center"/>
          </w:tcPr>
          <w:p w14:paraId="2357A25D">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w:t>
            </w:r>
          </w:p>
        </w:tc>
        <w:tc>
          <w:tcPr>
            <w:tcW w:w="2139" w:type="dxa"/>
            <w:vAlign w:val="center"/>
          </w:tcPr>
          <w:p w14:paraId="149ACCF5">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钠</w:t>
            </w:r>
          </w:p>
        </w:tc>
        <w:tc>
          <w:tcPr>
            <w:tcW w:w="2539" w:type="dxa"/>
            <w:vAlign w:val="center"/>
          </w:tcPr>
          <w:p w14:paraId="5ECF5B63">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mg/L</w:t>
            </w:r>
          </w:p>
        </w:tc>
        <w:tc>
          <w:tcPr>
            <w:tcW w:w="2245" w:type="dxa"/>
            <w:vAlign w:val="center"/>
          </w:tcPr>
          <w:p w14:paraId="0639D163">
            <w:pPr>
              <w:kinsoku w:val="0"/>
              <w:autoSpaceDE w:val="0"/>
              <w:autoSpaceDN w:val="0"/>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200</w:t>
            </w:r>
          </w:p>
        </w:tc>
      </w:tr>
    </w:tbl>
    <w:p w14:paraId="713FDED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（3）声环境质量标准</w:t>
      </w:r>
    </w:p>
    <w:p w14:paraId="329895F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根据拟建工程所在区域的声环境概况，声环境质量评价标准采用《声环境质量标准》（GB3096-2008）中2类标准，详见表2.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-3。</w:t>
      </w:r>
    </w:p>
    <w:p w14:paraId="3890CFF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5</w:t>
      </w:r>
      <w:r>
        <w:rPr>
          <w:b/>
          <w:bCs/>
          <w:color w:val="000000" w:themeColor="text1"/>
          <w:sz w:val="21"/>
          <w:szCs w:val="21"/>
          <w:highlight w:val="none"/>
          <w14:textFill>
            <w14:solidFill>
              <w14:schemeClr w14:val="tx1"/>
            </w14:solidFill>
          </w14:textFill>
        </w:rPr>
        <w:t>-3  声环境质量标准  单位：dB（A）</w:t>
      </w:r>
    </w:p>
    <w:tbl>
      <w:tblPr>
        <w:tblStyle w:val="58"/>
        <w:tblW w:w="82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8"/>
        <w:gridCol w:w="2419"/>
        <w:gridCol w:w="2258"/>
        <w:gridCol w:w="2013"/>
      </w:tblGrid>
      <w:tr w14:paraId="1DDFBA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jc w:val="center"/>
        </w:trPr>
        <w:tc>
          <w:tcPr>
            <w:tcW w:w="1588" w:type="dxa"/>
            <w:vMerge w:val="restart"/>
            <w:tcBorders>
              <w:bottom w:val="nil"/>
            </w:tcBorders>
            <w:vAlign w:val="center"/>
          </w:tcPr>
          <w:p w14:paraId="7B05FB1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采用级别</w:t>
            </w:r>
          </w:p>
        </w:tc>
        <w:tc>
          <w:tcPr>
            <w:tcW w:w="4677" w:type="dxa"/>
            <w:gridSpan w:val="2"/>
            <w:vAlign w:val="center"/>
          </w:tcPr>
          <w:p w14:paraId="57E50F6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标准值</w:t>
            </w:r>
          </w:p>
        </w:tc>
        <w:tc>
          <w:tcPr>
            <w:tcW w:w="2013" w:type="dxa"/>
            <w:vMerge w:val="restart"/>
            <w:tcBorders>
              <w:bottom w:val="nil"/>
            </w:tcBorders>
            <w:vAlign w:val="center"/>
          </w:tcPr>
          <w:p w14:paraId="4DB47C8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标准来源</w:t>
            </w:r>
          </w:p>
        </w:tc>
      </w:tr>
      <w:tr w14:paraId="631430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jc w:val="center"/>
        </w:trPr>
        <w:tc>
          <w:tcPr>
            <w:tcW w:w="1588" w:type="dxa"/>
            <w:vMerge w:val="continue"/>
            <w:tcBorders>
              <w:top w:val="nil"/>
            </w:tcBorders>
            <w:vAlign w:val="center"/>
          </w:tcPr>
          <w:p w14:paraId="77F8EE5F">
            <w:pPr>
              <w:spacing w:line="240" w:lineRule="auto"/>
              <w:jc w:val="center"/>
              <w:rPr>
                <w:color w:val="000000" w:themeColor="text1"/>
                <w:sz w:val="21"/>
                <w:szCs w:val="21"/>
                <w:highlight w:val="none"/>
                <w14:textFill>
                  <w14:solidFill>
                    <w14:schemeClr w14:val="tx1"/>
                  </w14:solidFill>
                </w14:textFill>
              </w:rPr>
            </w:pPr>
          </w:p>
        </w:tc>
        <w:tc>
          <w:tcPr>
            <w:tcW w:w="2419" w:type="dxa"/>
            <w:vAlign w:val="center"/>
          </w:tcPr>
          <w:p w14:paraId="1A838EA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昼间</w:t>
            </w:r>
          </w:p>
        </w:tc>
        <w:tc>
          <w:tcPr>
            <w:tcW w:w="2258" w:type="dxa"/>
            <w:vAlign w:val="center"/>
          </w:tcPr>
          <w:p w14:paraId="3D0D505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夜间</w:t>
            </w:r>
          </w:p>
        </w:tc>
        <w:tc>
          <w:tcPr>
            <w:tcW w:w="2013" w:type="dxa"/>
            <w:vMerge w:val="continue"/>
            <w:tcBorders>
              <w:top w:val="nil"/>
            </w:tcBorders>
            <w:vAlign w:val="center"/>
          </w:tcPr>
          <w:p w14:paraId="3A3426FC">
            <w:pPr>
              <w:spacing w:line="240" w:lineRule="auto"/>
              <w:jc w:val="center"/>
              <w:rPr>
                <w:color w:val="000000" w:themeColor="text1"/>
                <w:sz w:val="21"/>
                <w:szCs w:val="21"/>
                <w:highlight w:val="none"/>
                <w14:textFill>
                  <w14:solidFill>
                    <w14:schemeClr w14:val="tx1"/>
                  </w14:solidFill>
                </w14:textFill>
              </w:rPr>
            </w:pPr>
          </w:p>
        </w:tc>
      </w:tr>
      <w:tr w14:paraId="2D641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jc w:val="center"/>
        </w:trPr>
        <w:tc>
          <w:tcPr>
            <w:tcW w:w="1588" w:type="dxa"/>
            <w:vAlign w:val="center"/>
          </w:tcPr>
          <w:p w14:paraId="6E79DD4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2类</w:t>
            </w:r>
          </w:p>
        </w:tc>
        <w:tc>
          <w:tcPr>
            <w:tcW w:w="2419" w:type="dxa"/>
            <w:vAlign w:val="center"/>
          </w:tcPr>
          <w:p w14:paraId="400247A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60</w:t>
            </w:r>
          </w:p>
        </w:tc>
        <w:tc>
          <w:tcPr>
            <w:tcW w:w="2258" w:type="dxa"/>
            <w:vAlign w:val="center"/>
          </w:tcPr>
          <w:p w14:paraId="495AE29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w:t>
            </w:r>
          </w:p>
        </w:tc>
        <w:tc>
          <w:tcPr>
            <w:tcW w:w="2013" w:type="dxa"/>
            <w:vAlign w:val="center"/>
          </w:tcPr>
          <w:p w14:paraId="16BF5E1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GB3096-2008</w:t>
            </w:r>
          </w:p>
        </w:tc>
      </w:tr>
    </w:tbl>
    <w:p w14:paraId="7B06BAF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（4）土壤环境质量标准</w:t>
      </w:r>
    </w:p>
    <w:p w14:paraId="15B9EAE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根据2019年4月22日的部长信箱回复，畜禽养殖占地为设施农用地，不属于《农用地质量标准》中的农用地，农用地只有</w:t>
      </w:r>
      <w:r>
        <w:rPr>
          <w:rFonts w:hint="eastAsia"/>
          <w:color w:val="000000" w:themeColor="text1"/>
          <w:highlight w:val="none"/>
          <w:lang w:eastAsia="zh-CN"/>
          <w14:textFill>
            <w14:solidFill>
              <w14:schemeClr w14:val="tx1"/>
            </w14:solidFill>
          </w14:textFill>
        </w:rPr>
        <w:t>农田</w:t>
      </w:r>
      <w:r>
        <w:rPr>
          <w:color w:val="000000" w:themeColor="text1"/>
          <w:highlight w:val="none"/>
          <w14:textFill>
            <w14:solidFill>
              <w14:schemeClr w14:val="tx1"/>
            </w14:solidFill>
          </w14:textFill>
        </w:rPr>
        <w:t>、牧草地和园地三种。</w:t>
      </w:r>
    </w:p>
    <w:p w14:paraId="7A0C8DF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用地分类标准，设施农用地不属于建设用地，不适用于《土壤环境质量建设用地土壤污染风险管控标准（试行）》（GB36600-2018）。部长信箱回复，养殖项目的土壤质量执行《畜禽养殖产地环境评价规范》（HJ568-2010）中的表4放牧区和畜禽养殖场、养殖小区土壤环境质量评价指标限值，见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w:t>
      </w:r>
    </w:p>
    <w:p w14:paraId="706B418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5</w:t>
      </w:r>
      <w:r>
        <w:rPr>
          <w:b/>
          <w:bCs/>
          <w:color w:val="000000" w:themeColor="text1"/>
          <w:sz w:val="21"/>
          <w:szCs w:val="21"/>
          <w:highlight w:val="none"/>
          <w14:textFill>
            <w14:solidFill>
              <w14:schemeClr w14:val="tx1"/>
            </w14:solidFill>
          </w14:textFill>
        </w:rPr>
        <w:t>-4  放牧区和畜禽养殖场、养殖小区土壤环境质量评价指标限值  单位：mg/kg</w:t>
      </w:r>
    </w:p>
    <w:tbl>
      <w:tblPr>
        <w:tblStyle w:val="58"/>
        <w:tblW w:w="83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7"/>
        <w:gridCol w:w="2423"/>
        <w:gridCol w:w="4178"/>
      </w:tblGrid>
      <w:tr w14:paraId="0863E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1737" w:type="dxa"/>
            <w:vAlign w:val="center"/>
          </w:tcPr>
          <w:p w14:paraId="04E1138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423" w:type="dxa"/>
            <w:vAlign w:val="center"/>
          </w:tcPr>
          <w:p w14:paraId="73C435F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监测项目</w:t>
            </w:r>
          </w:p>
        </w:tc>
        <w:tc>
          <w:tcPr>
            <w:tcW w:w="4178" w:type="dxa"/>
            <w:vAlign w:val="center"/>
          </w:tcPr>
          <w:p w14:paraId="4B000F9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养殖场、养殖小区</w:t>
            </w:r>
          </w:p>
        </w:tc>
      </w:tr>
      <w:tr w14:paraId="2CA29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vAlign w:val="center"/>
          </w:tcPr>
          <w:p w14:paraId="0406530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423" w:type="dxa"/>
            <w:vAlign w:val="center"/>
          </w:tcPr>
          <w:p w14:paraId="2ABA4F4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镉</w:t>
            </w:r>
          </w:p>
        </w:tc>
        <w:tc>
          <w:tcPr>
            <w:tcW w:w="4178" w:type="dxa"/>
            <w:vAlign w:val="center"/>
          </w:tcPr>
          <w:p w14:paraId="29088A4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r>
      <w:tr w14:paraId="4B52F7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vAlign w:val="center"/>
          </w:tcPr>
          <w:p w14:paraId="3CAAE11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423" w:type="dxa"/>
            <w:vAlign w:val="center"/>
          </w:tcPr>
          <w:p w14:paraId="035F975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汞</w:t>
            </w:r>
          </w:p>
        </w:tc>
        <w:tc>
          <w:tcPr>
            <w:tcW w:w="4178" w:type="dxa"/>
            <w:vAlign w:val="center"/>
          </w:tcPr>
          <w:p w14:paraId="26F9771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w:t>
            </w:r>
          </w:p>
        </w:tc>
      </w:tr>
      <w:tr w14:paraId="41C87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vAlign w:val="center"/>
          </w:tcPr>
          <w:p w14:paraId="0F897FA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423" w:type="dxa"/>
            <w:vAlign w:val="center"/>
          </w:tcPr>
          <w:p w14:paraId="74A7399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砷</w:t>
            </w:r>
          </w:p>
        </w:tc>
        <w:tc>
          <w:tcPr>
            <w:tcW w:w="4178" w:type="dxa"/>
            <w:vAlign w:val="center"/>
          </w:tcPr>
          <w:p w14:paraId="62F2C35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w:t>
            </w:r>
          </w:p>
        </w:tc>
      </w:tr>
      <w:tr w14:paraId="3EEB7D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vAlign w:val="center"/>
          </w:tcPr>
          <w:p w14:paraId="2C6E300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423" w:type="dxa"/>
            <w:vAlign w:val="center"/>
          </w:tcPr>
          <w:p w14:paraId="1C4987C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铜</w:t>
            </w:r>
          </w:p>
        </w:tc>
        <w:tc>
          <w:tcPr>
            <w:tcW w:w="4178" w:type="dxa"/>
            <w:vAlign w:val="center"/>
          </w:tcPr>
          <w:p w14:paraId="41BA430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r>
      <w:tr w14:paraId="19103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737" w:type="dxa"/>
            <w:vAlign w:val="center"/>
          </w:tcPr>
          <w:p w14:paraId="41584A1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2423" w:type="dxa"/>
            <w:vAlign w:val="center"/>
          </w:tcPr>
          <w:p w14:paraId="24DE507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铅</w:t>
            </w:r>
          </w:p>
        </w:tc>
        <w:tc>
          <w:tcPr>
            <w:tcW w:w="4178" w:type="dxa"/>
            <w:vAlign w:val="center"/>
          </w:tcPr>
          <w:p w14:paraId="3F98E51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500</w:t>
            </w:r>
          </w:p>
        </w:tc>
      </w:tr>
      <w:tr w14:paraId="25FAF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737" w:type="dxa"/>
            <w:vAlign w:val="center"/>
          </w:tcPr>
          <w:p w14:paraId="41478CD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2423" w:type="dxa"/>
            <w:vAlign w:val="center"/>
          </w:tcPr>
          <w:p w14:paraId="7832C44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铬</w:t>
            </w:r>
          </w:p>
        </w:tc>
        <w:tc>
          <w:tcPr>
            <w:tcW w:w="4178" w:type="dxa"/>
            <w:vAlign w:val="center"/>
          </w:tcPr>
          <w:p w14:paraId="7F2D700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300</w:t>
            </w:r>
          </w:p>
        </w:tc>
      </w:tr>
      <w:tr w14:paraId="002D9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737" w:type="dxa"/>
            <w:vAlign w:val="center"/>
          </w:tcPr>
          <w:p w14:paraId="24C2FB2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2423" w:type="dxa"/>
            <w:vAlign w:val="center"/>
          </w:tcPr>
          <w:p w14:paraId="1CC9A15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锌</w:t>
            </w:r>
          </w:p>
        </w:tc>
        <w:tc>
          <w:tcPr>
            <w:tcW w:w="4178" w:type="dxa"/>
            <w:vAlign w:val="center"/>
          </w:tcPr>
          <w:p w14:paraId="666F2B7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500</w:t>
            </w:r>
          </w:p>
        </w:tc>
      </w:tr>
      <w:tr w14:paraId="23F3A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vAlign w:val="center"/>
          </w:tcPr>
          <w:p w14:paraId="7BE8C0D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2423" w:type="dxa"/>
            <w:vAlign w:val="center"/>
          </w:tcPr>
          <w:p w14:paraId="11E31EB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镍</w:t>
            </w:r>
          </w:p>
        </w:tc>
        <w:tc>
          <w:tcPr>
            <w:tcW w:w="4178" w:type="dxa"/>
            <w:vAlign w:val="center"/>
          </w:tcPr>
          <w:p w14:paraId="085F037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w:t>
            </w:r>
          </w:p>
        </w:tc>
      </w:tr>
      <w:tr w14:paraId="5EEE0B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vAlign w:val="center"/>
          </w:tcPr>
          <w:p w14:paraId="35795E7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w:t>
            </w:r>
          </w:p>
        </w:tc>
        <w:tc>
          <w:tcPr>
            <w:tcW w:w="2423" w:type="dxa"/>
            <w:vAlign w:val="center"/>
          </w:tcPr>
          <w:p w14:paraId="65F1B74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六六六</w:t>
            </w:r>
          </w:p>
        </w:tc>
        <w:tc>
          <w:tcPr>
            <w:tcW w:w="4178" w:type="dxa"/>
            <w:vAlign w:val="center"/>
          </w:tcPr>
          <w:p w14:paraId="37F370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r>
      <w:tr w14:paraId="74B8B4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vAlign w:val="center"/>
          </w:tcPr>
          <w:p w14:paraId="3CE99B3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2423" w:type="dxa"/>
            <w:vAlign w:val="center"/>
          </w:tcPr>
          <w:p w14:paraId="63BFE8F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滴滴涕</w:t>
            </w:r>
          </w:p>
        </w:tc>
        <w:tc>
          <w:tcPr>
            <w:tcW w:w="4178" w:type="dxa"/>
            <w:vAlign w:val="center"/>
          </w:tcPr>
          <w:p w14:paraId="17BC67A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r>
      <w:tr w14:paraId="53C52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vAlign w:val="center"/>
          </w:tcPr>
          <w:p w14:paraId="7D1573D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w:t>
            </w:r>
          </w:p>
        </w:tc>
        <w:tc>
          <w:tcPr>
            <w:tcW w:w="2423" w:type="dxa"/>
            <w:vAlign w:val="center"/>
          </w:tcPr>
          <w:p w14:paraId="52E1CEF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寄生虫卵数（个/kg 土）</w:t>
            </w:r>
          </w:p>
        </w:tc>
        <w:tc>
          <w:tcPr>
            <w:tcW w:w="4178" w:type="dxa"/>
            <w:vAlign w:val="center"/>
          </w:tcPr>
          <w:p w14:paraId="736DED0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r>
      <w:tr w14:paraId="207C8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8338" w:type="dxa"/>
            <w:gridSpan w:val="3"/>
            <w:vAlign w:val="center"/>
          </w:tcPr>
          <w:p w14:paraId="4EBF973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注：（1）重金属（铬主要是三价）和砷均按元素量计，适用于阳离子交换量＞5cmol（+）/kg的土壤。若≤5cmol（+）/kg，其标准值为表内数值的半数。</w:t>
            </w:r>
          </w:p>
          <w:p w14:paraId="1B77D91B">
            <w:pPr>
              <w:spacing w:line="240" w:lineRule="auto"/>
              <w:ind w:firstLine="420" w:firstLineChars="20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（2）六六六为四种异构体总量，滴滴涕为四种衍生物总量</w:t>
            </w:r>
          </w:p>
        </w:tc>
      </w:tr>
    </w:tbl>
    <w:p w14:paraId="417EC9D1">
      <w:pPr>
        <w:pStyle w:val="4"/>
        <w:rPr>
          <w:color w:val="000000" w:themeColor="text1"/>
          <w:highlight w:val="none"/>
          <w14:textFill>
            <w14:solidFill>
              <w14:schemeClr w14:val="tx1"/>
            </w14:solidFill>
          </w14:textFill>
        </w:rPr>
      </w:pPr>
      <w:bookmarkStart w:id="42" w:name="_Toc6747"/>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.3污染物排放标准</w:t>
      </w:r>
      <w:bookmarkEnd w:id="42"/>
    </w:p>
    <w:p w14:paraId="37BCDC9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（1）废气</w:t>
      </w:r>
    </w:p>
    <w:p w14:paraId="5F56F07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①施工期</w:t>
      </w:r>
    </w:p>
    <w:p w14:paraId="028FF39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项目施工期施工场地扬尘排放执行《大气污染物综合排放标准》（GB16297-</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1996）表2中无组织排放监控浓度限值（周界外浓度最高点≤1.0mg/m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6FF8532B">
      <w:pPr>
        <w:rPr>
          <w:rFonts w:ascii="Times New Roman" w:hAnsi="Times New Roman" w:eastAsia="宋体" w:cs="宋体"/>
          <w:b w:val="0"/>
          <w:bCs w:val="0"/>
          <w:color w:val="000000" w:themeColor="text1"/>
          <w:kern w:val="0"/>
          <w:szCs w:val="24"/>
          <w:highlight w:val="none"/>
          <w14:textFill>
            <w14:solidFill>
              <w14:schemeClr w14:val="tx1"/>
            </w14:solidFill>
          </w14:textFill>
        </w:rPr>
      </w:pPr>
      <w:r>
        <w:rPr>
          <w:color w:val="000000" w:themeColor="text1"/>
          <w:highlight w:val="none"/>
          <w14:textFill>
            <w14:solidFill>
              <w14:schemeClr w14:val="tx1"/>
            </w14:solidFill>
          </w14:textFill>
        </w:rPr>
        <w:t>②运营期</w:t>
      </w:r>
    </w:p>
    <w:p w14:paraId="7FDFE60F">
      <w:pPr>
        <w:spacing w:line="360" w:lineRule="auto"/>
        <w:ind w:firstLine="480" w:firstLineChars="200"/>
        <w:jc w:val="left"/>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本项目运营期废气污染源主要为</w:t>
      </w:r>
      <w:r>
        <w:rPr>
          <w:rFonts w:hint="eastAsia" w:cs="宋体"/>
          <w:b w:val="0"/>
          <w:bCs w:val="0"/>
          <w:color w:val="000000" w:themeColor="text1"/>
          <w:kern w:val="0"/>
          <w:szCs w:val="24"/>
          <w:highlight w:val="none"/>
          <w:lang w:val="en-US" w:eastAsia="zh-CN"/>
          <w14:textFill>
            <w14:solidFill>
              <w14:schemeClr w14:val="tx1"/>
            </w14:solidFill>
          </w14:textFill>
        </w:rPr>
        <w:t>饲料加工车间、</w:t>
      </w:r>
      <w:r>
        <w:rPr>
          <w:rFonts w:ascii="Times New Roman" w:hAnsi="Times New Roman" w:eastAsia="宋体" w:cs="宋体"/>
          <w:b w:val="0"/>
          <w:bCs w:val="0"/>
          <w:color w:val="000000" w:themeColor="text1"/>
          <w:kern w:val="0"/>
          <w:szCs w:val="24"/>
          <w:highlight w:val="none"/>
          <w14:textFill>
            <w14:solidFill>
              <w14:schemeClr w14:val="tx1"/>
            </w14:solidFill>
          </w14:textFill>
        </w:rPr>
        <w:t>圈舍、</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堆粪场</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干湿分离车间</w:t>
      </w:r>
      <w:r>
        <w:rPr>
          <w:rFonts w:hint="eastAsia" w:cs="宋体"/>
          <w:b w:val="0"/>
          <w:bCs w:val="0"/>
          <w:color w:val="000000" w:themeColor="text1"/>
          <w:kern w:val="0"/>
          <w:szCs w:val="24"/>
          <w:highlight w:val="none"/>
          <w:lang w:val="en-US" w:eastAsia="zh-CN"/>
          <w14:textFill>
            <w14:solidFill>
              <w14:schemeClr w14:val="tx1"/>
            </w14:solidFill>
          </w14:textFill>
        </w:rPr>
        <w:t>和</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黑膜池</w:t>
      </w:r>
      <w:r>
        <w:rPr>
          <w:rFonts w:ascii="Times New Roman" w:hAnsi="Times New Roman" w:eastAsia="宋体" w:cs="宋体"/>
          <w:b w:val="0"/>
          <w:bCs w:val="0"/>
          <w:color w:val="000000" w:themeColor="text1"/>
          <w:kern w:val="0"/>
          <w:szCs w:val="24"/>
          <w:highlight w:val="none"/>
          <w14:textFill>
            <w14:solidFill>
              <w14:schemeClr w14:val="tx1"/>
            </w14:solidFill>
          </w14:textFill>
        </w:rPr>
        <w:t>等产生的恶臭。NH3、H2S无组织排放标准值执行《恶臭污染物排放标准》（GB14554-93）中新污染源二级标准（氨</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1.5</w:t>
      </w:r>
      <w:r>
        <w:rPr>
          <w:rFonts w:ascii="Times New Roman" w:hAnsi="Times New Roman" w:eastAsia="宋体" w:cs="宋体"/>
          <w:b w:val="0"/>
          <w:bCs w:val="0"/>
          <w:color w:val="000000" w:themeColor="text1"/>
          <w:kern w:val="0"/>
          <w:szCs w:val="24"/>
          <w:highlight w:val="none"/>
          <w14:textFill>
            <w14:solidFill>
              <w14:schemeClr w14:val="tx1"/>
            </w14:solidFill>
          </w14:textFill>
        </w:rPr>
        <w:t>mg/m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，硫化氢0.0</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6</w:t>
      </w:r>
      <w:r>
        <w:rPr>
          <w:rFonts w:ascii="Times New Roman" w:hAnsi="Times New Roman" w:eastAsia="宋体" w:cs="宋体"/>
          <w:b w:val="0"/>
          <w:bCs w:val="0"/>
          <w:color w:val="000000" w:themeColor="text1"/>
          <w:kern w:val="0"/>
          <w:szCs w:val="24"/>
          <w:highlight w:val="none"/>
          <w14:textFill>
            <w14:solidFill>
              <w14:schemeClr w14:val="tx1"/>
            </w14:solidFill>
          </w14:textFill>
        </w:rPr>
        <w:t>mg/m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臭气浓度无组织排放执行《畜禽养殖业污染物排放标准》（GB18596-2001）中表7集约化畜禽养殖业恶臭污染物排放标准</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cs="宋体"/>
          <w:b w:val="0"/>
          <w:bCs w:val="0"/>
          <w:color w:val="000000" w:themeColor="text1"/>
          <w:kern w:val="0"/>
          <w:szCs w:val="24"/>
          <w:highlight w:val="none"/>
          <w:lang w:val="en-US" w:eastAsia="zh-CN"/>
          <w14:textFill>
            <w14:solidFill>
              <w14:schemeClr w14:val="tx1"/>
            </w14:solidFill>
          </w14:textFill>
        </w:rPr>
        <w:t>TSP执行</w:t>
      </w:r>
      <w:r>
        <w:rPr>
          <w:rFonts w:hint="default" w:ascii="Times New Roman" w:hAnsi="Times New Roman" w:eastAsia="宋体" w:cs="Times New Roman"/>
          <w:b w:val="0"/>
          <w:bCs w:val="0"/>
          <w:snapToGrid w:val="0"/>
          <w:color w:val="000000" w:themeColor="text1"/>
          <w:kern w:val="0"/>
          <w:sz w:val="24"/>
          <w:szCs w:val="40"/>
          <w:highlight w:val="none"/>
          <w:lang w:val="en-US" w:eastAsia="zh-CN" w:bidi="ar-SA"/>
          <w14:textFill>
            <w14:solidFill>
              <w14:schemeClr w14:val="tx1"/>
            </w14:solidFill>
          </w14:textFill>
        </w:rPr>
        <w:t>《大气污染物综合排放标准》（GB16297-1996）</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表2中</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无组织排放监控浓度限值。</w:t>
      </w:r>
    </w:p>
    <w:p w14:paraId="5C9985DE">
      <w:pPr>
        <w:bidi w:val="0"/>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表2.</w:t>
      </w:r>
      <w:r>
        <w:rPr>
          <w:rFonts w:hint="eastAsia" w:ascii="Times New Roman" w:hAnsi="Times New Roman" w:eastAsia="宋体" w:cs="Times New Roman"/>
          <w:b/>
          <w:bCs/>
          <w:color w:val="000000" w:themeColor="text1"/>
          <w:sz w:val="21"/>
          <w:szCs w:val="21"/>
          <w:highlight w:val="none"/>
          <w14:textFill>
            <w14:solidFill>
              <w14:schemeClr w14:val="tx1"/>
            </w14:solidFill>
          </w14:textFill>
        </w:rPr>
        <w:t>5</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 xml:space="preserve">  运营期大气污染物排放标准</w:t>
      </w:r>
    </w:p>
    <w:tbl>
      <w:tblPr>
        <w:tblStyle w:val="58"/>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1149"/>
        <w:gridCol w:w="1155"/>
        <w:gridCol w:w="1000"/>
        <w:gridCol w:w="950"/>
        <w:gridCol w:w="3771"/>
      </w:tblGrid>
      <w:tr w14:paraId="5C1D23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492" w:type="dxa"/>
            <w:vAlign w:val="center"/>
          </w:tcPr>
          <w:p w14:paraId="44A0BBA1">
            <w:pPr>
              <w:bidi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序号</w:t>
            </w:r>
          </w:p>
        </w:tc>
        <w:tc>
          <w:tcPr>
            <w:tcW w:w="1149" w:type="dxa"/>
            <w:vAlign w:val="center"/>
          </w:tcPr>
          <w:p w14:paraId="2F3EC33C">
            <w:pPr>
              <w:bidi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排放方式</w:t>
            </w:r>
          </w:p>
        </w:tc>
        <w:tc>
          <w:tcPr>
            <w:tcW w:w="1155" w:type="dxa"/>
            <w:vAlign w:val="center"/>
          </w:tcPr>
          <w:p w14:paraId="5F2E4E10">
            <w:pPr>
              <w:bidi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污染因子</w:t>
            </w:r>
          </w:p>
        </w:tc>
        <w:tc>
          <w:tcPr>
            <w:tcW w:w="1000" w:type="dxa"/>
            <w:vAlign w:val="center"/>
          </w:tcPr>
          <w:p w14:paraId="5339E18C">
            <w:pPr>
              <w:bidi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标准值</w:t>
            </w:r>
          </w:p>
        </w:tc>
        <w:tc>
          <w:tcPr>
            <w:tcW w:w="950" w:type="dxa"/>
            <w:vAlign w:val="center"/>
          </w:tcPr>
          <w:p w14:paraId="46BEECCC">
            <w:pPr>
              <w:bidi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单位</w:t>
            </w:r>
          </w:p>
        </w:tc>
        <w:tc>
          <w:tcPr>
            <w:tcW w:w="3771" w:type="dxa"/>
            <w:tcBorders>
              <w:bottom w:val="single" w:color="auto" w:sz="4" w:space="0"/>
            </w:tcBorders>
            <w:vAlign w:val="center"/>
          </w:tcPr>
          <w:p w14:paraId="5233FF3D">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标准来源</w:t>
            </w:r>
          </w:p>
        </w:tc>
      </w:tr>
      <w:tr w14:paraId="4BA64D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492" w:type="dxa"/>
            <w:vAlign w:val="center"/>
          </w:tcPr>
          <w:p w14:paraId="650B5D97">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w:t>
            </w:r>
          </w:p>
        </w:tc>
        <w:tc>
          <w:tcPr>
            <w:tcW w:w="1149" w:type="dxa"/>
            <w:vMerge w:val="restart"/>
            <w:vAlign w:val="center"/>
          </w:tcPr>
          <w:p w14:paraId="35205E41">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w:t>
            </w:r>
          </w:p>
        </w:tc>
        <w:tc>
          <w:tcPr>
            <w:tcW w:w="1155" w:type="dxa"/>
            <w:vAlign w:val="center"/>
          </w:tcPr>
          <w:p w14:paraId="2173480E">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TSP</w:t>
            </w:r>
          </w:p>
        </w:tc>
        <w:tc>
          <w:tcPr>
            <w:tcW w:w="1000" w:type="dxa"/>
            <w:vAlign w:val="center"/>
          </w:tcPr>
          <w:p w14:paraId="51EF2025">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1.0</w:t>
            </w:r>
          </w:p>
        </w:tc>
        <w:tc>
          <w:tcPr>
            <w:tcW w:w="950" w:type="dxa"/>
            <w:tcBorders>
              <w:right w:val="single" w:color="auto" w:sz="4" w:space="0"/>
            </w:tcBorders>
            <w:vAlign w:val="center"/>
          </w:tcPr>
          <w:p w14:paraId="084F6CA7">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kern w:val="0"/>
                <w:sz w:val="21"/>
                <w:szCs w:val="21"/>
                <w:highlight w:val="none"/>
                <w:lang w:val="en-US" w:eastAsia="zh-CN" w:bidi="ar-SA"/>
                <w14:textFill>
                  <w14:solidFill>
                    <w14:schemeClr w14:val="tx1"/>
                  </w14:solidFill>
                </w14:textFill>
              </w:rPr>
              <w:t>mg/m</w:t>
            </w:r>
            <w:r>
              <w:rPr>
                <w:rFonts w:hint="default" w:ascii="Times New Roman" w:hAnsi="Times New Roman" w:eastAsia="宋体" w:cs="Times New Roman"/>
                <w:b w:val="0"/>
                <w:bCs w:val="0"/>
                <w:snapToGrid w:val="0"/>
                <w:color w:val="000000" w:themeColor="text1"/>
                <w:kern w:val="0"/>
                <w:sz w:val="21"/>
                <w:szCs w:val="21"/>
                <w:highlight w:val="none"/>
                <w:vertAlign w:val="superscript"/>
                <w:lang w:val="en-US" w:eastAsia="zh-CN" w:bidi="ar-SA"/>
                <w14:textFill>
                  <w14:solidFill>
                    <w14:schemeClr w14:val="tx1"/>
                  </w14:solidFill>
                </w14:textFill>
              </w:rPr>
              <w:t>3</w:t>
            </w:r>
          </w:p>
        </w:tc>
        <w:tc>
          <w:tcPr>
            <w:tcW w:w="3771" w:type="dxa"/>
            <w:tcBorders>
              <w:top w:val="single" w:color="auto" w:sz="4" w:space="0"/>
              <w:left w:val="single" w:color="auto" w:sz="4" w:space="0"/>
              <w:bottom w:val="single" w:color="auto" w:sz="4" w:space="0"/>
              <w:right w:val="single" w:color="auto" w:sz="4" w:space="0"/>
            </w:tcBorders>
            <w:vAlign w:val="center"/>
          </w:tcPr>
          <w:p w14:paraId="37628DAA">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《大气污染物综合排放标准》（GB16297-1996）表2中</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无组织排放监控浓度限值</w:t>
            </w:r>
          </w:p>
        </w:tc>
      </w:tr>
      <w:tr w14:paraId="3FB86F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492" w:type="dxa"/>
            <w:vAlign w:val="center"/>
          </w:tcPr>
          <w:p w14:paraId="3DBE8404">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w:t>
            </w:r>
          </w:p>
        </w:tc>
        <w:tc>
          <w:tcPr>
            <w:tcW w:w="1149" w:type="dxa"/>
            <w:vMerge w:val="continue"/>
            <w:vAlign w:val="center"/>
          </w:tcPr>
          <w:p w14:paraId="3CEEE7AC">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55" w:type="dxa"/>
            <w:vAlign w:val="center"/>
          </w:tcPr>
          <w:p w14:paraId="51A4213A">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氨</w:t>
            </w:r>
          </w:p>
        </w:tc>
        <w:tc>
          <w:tcPr>
            <w:tcW w:w="1000" w:type="dxa"/>
            <w:vAlign w:val="center"/>
          </w:tcPr>
          <w:p w14:paraId="57BF65B9">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1.5</w:t>
            </w:r>
          </w:p>
        </w:tc>
        <w:tc>
          <w:tcPr>
            <w:tcW w:w="950" w:type="dxa"/>
            <w:tcBorders>
              <w:right w:val="single" w:color="auto" w:sz="4" w:space="0"/>
            </w:tcBorders>
            <w:vAlign w:val="center"/>
          </w:tcPr>
          <w:p w14:paraId="5DAB945E">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3771" w:type="dxa"/>
            <w:vMerge w:val="restart"/>
            <w:tcBorders>
              <w:top w:val="single" w:color="auto" w:sz="4" w:space="0"/>
              <w:left w:val="single" w:color="auto" w:sz="4" w:space="0"/>
              <w:bottom w:val="single" w:color="auto" w:sz="4" w:space="0"/>
              <w:right w:val="single" w:color="auto" w:sz="4" w:space="0"/>
            </w:tcBorders>
            <w:vAlign w:val="center"/>
          </w:tcPr>
          <w:p w14:paraId="4D19DF0D">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《恶臭污染物排放标准》（GB14554-93）中新污染源二级标准</w:t>
            </w:r>
          </w:p>
        </w:tc>
      </w:tr>
      <w:tr w14:paraId="6A6B2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492" w:type="dxa"/>
            <w:vAlign w:val="center"/>
          </w:tcPr>
          <w:p w14:paraId="0F0B5DC2">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w:t>
            </w:r>
          </w:p>
        </w:tc>
        <w:tc>
          <w:tcPr>
            <w:tcW w:w="1149" w:type="dxa"/>
            <w:vMerge w:val="continue"/>
            <w:vAlign w:val="center"/>
          </w:tcPr>
          <w:p w14:paraId="7FE0405B">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1155" w:type="dxa"/>
            <w:vAlign w:val="center"/>
          </w:tcPr>
          <w:p w14:paraId="3C382D10">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硫化氢</w:t>
            </w:r>
          </w:p>
        </w:tc>
        <w:tc>
          <w:tcPr>
            <w:tcW w:w="1000" w:type="dxa"/>
            <w:vAlign w:val="center"/>
          </w:tcPr>
          <w:p w14:paraId="483BC286">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0.06</w:t>
            </w:r>
          </w:p>
        </w:tc>
        <w:tc>
          <w:tcPr>
            <w:tcW w:w="950" w:type="dxa"/>
            <w:tcBorders>
              <w:right w:val="single" w:color="auto" w:sz="4" w:space="0"/>
            </w:tcBorders>
            <w:vAlign w:val="center"/>
          </w:tcPr>
          <w:p w14:paraId="3291288C">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mg/m</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c>
          <w:tcPr>
            <w:tcW w:w="3771" w:type="dxa"/>
            <w:vMerge w:val="continue"/>
            <w:tcBorders>
              <w:top w:val="single" w:color="auto" w:sz="4" w:space="0"/>
              <w:left w:val="single" w:color="auto" w:sz="4" w:space="0"/>
              <w:bottom w:val="single" w:color="auto" w:sz="4" w:space="0"/>
              <w:right w:val="single" w:color="auto" w:sz="4" w:space="0"/>
            </w:tcBorders>
            <w:vAlign w:val="center"/>
          </w:tcPr>
          <w:p w14:paraId="59E9F863">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r>
      <w:tr w14:paraId="29B68E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jc w:val="center"/>
        </w:trPr>
        <w:tc>
          <w:tcPr>
            <w:tcW w:w="492" w:type="dxa"/>
            <w:vAlign w:val="center"/>
          </w:tcPr>
          <w:p w14:paraId="36867B99">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w:t>
            </w:r>
          </w:p>
        </w:tc>
        <w:tc>
          <w:tcPr>
            <w:tcW w:w="2304" w:type="dxa"/>
            <w:gridSpan w:val="2"/>
            <w:vAlign w:val="center"/>
          </w:tcPr>
          <w:p w14:paraId="235DD313">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臭气浓度</w:t>
            </w:r>
          </w:p>
        </w:tc>
        <w:tc>
          <w:tcPr>
            <w:tcW w:w="1000" w:type="dxa"/>
            <w:vAlign w:val="center"/>
          </w:tcPr>
          <w:p w14:paraId="70A01733">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7</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c>
          <w:tcPr>
            <w:tcW w:w="950" w:type="dxa"/>
            <w:vAlign w:val="center"/>
          </w:tcPr>
          <w:p w14:paraId="17BEE57F">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无量纲</w:t>
            </w:r>
          </w:p>
        </w:tc>
        <w:tc>
          <w:tcPr>
            <w:tcW w:w="3771" w:type="dxa"/>
            <w:tcBorders>
              <w:top w:val="single" w:color="auto" w:sz="4" w:space="0"/>
            </w:tcBorders>
            <w:vAlign w:val="center"/>
          </w:tcPr>
          <w:p w14:paraId="6A552CE5">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《畜禽养殖业污染物排放标准》（GB18596-2001）中表7集约化畜禽养殖业恶臭污染物排放标准</w:t>
            </w:r>
          </w:p>
        </w:tc>
      </w:tr>
    </w:tbl>
    <w:p w14:paraId="50C3EE9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（2）废水</w:t>
      </w:r>
    </w:p>
    <w:p w14:paraId="249EBC15">
      <w:pPr>
        <w:ind w:firstLine="480" w:firstLineChars="20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项目施工期废水全部循环利用，不外排，施工期少量生活污水</w:t>
      </w:r>
      <w:r>
        <w:rPr>
          <w:rFonts w:hint="eastAsia"/>
          <w:color w:val="000000" w:themeColor="text1"/>
          <w:highlight w:val="none"/>
          <w:lang w:val="en-US" w:eastAsia="zh-CN"/>
          <w14:textFill>
            <w14:solidFill>
              <w14:schemeClr w14:val="tx1"/>
            </w14:solidFill>
          </w14:textFill>
        </w:rPr>
        <w:t>排入黑膜池发酵</w:t>
      </w:r>
      <w:r>
        <w:rPr>
          <w:color w:val="000000" w:themeColor="text1"/>
          <w:highlight w:val="none"/>
          <w14:textFill>
            <w14:solidFill>
              <w14:schemeClr w14:val="tx1"/>
            </w14:solidFill>
          </w14:textFill>
        </w:rPr>
        <w:t>，不外排</w:t>
      </w:r>
      <w:r>
        <w:rPr>
          <w:rFonts w:hint="eastAsia"/>
          <w:color w:val="000000" w:themeColor="text1"/>
          <w:highlight w:val="none"/>
          <w:lang w:eastAsia="zh-CN"/>
          <w14:textFill>
            <w14:solidFill>
              <w14:schemeClr w14:val="tx1"/>
            </w14:solidFill>
          </w14:textFill>
        </w:rPr>
        <w:t>。</w:t>
      </w:r>
    </w:p>
    <w:p w14:paraId="662AC84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项目运营期间产生的养殖废水及生活废水实行污水资源化利用，污水经沼气工程无害化处理后沼液作为液体肥料综合利用，不外排。</w:t>
      </w:r>
    </w:p>
    <w:p w14:paraId="0335D14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根据《畜禽养殖业污染防治技术规范》（HJ/T81-2001）的规定，对污水进行沼气发酵，沼气发酵产物沼液应符合《粪便无害化卫生要求》（GB7959-2012）的相关要求，具体执行标准见表2.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。本项目废水应满足《畜禽养殖业污染物排放标准》（GB18596-2001）表4最高允许排水量、表5养殖业污染物最高允许日均排放浓度值，标准值见表2.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w:t>
      </w:r>
    </w:p>
    <w:p w14:paraId="64DC04A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5</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6</w:t>
      </w:r>
      <w:r>
        <w:rPr>
          <w:b/>
          <w:bCs/>
          <w:color w:val="000000" w:themeColor="text1"/>
          <w:sz w:val="21"/>
          <w:szCs w:val="21"/>
          <w:highlight w:val="none"/>
          <w14:textFill>
            <w14:solidFill>
              <w14:schemeClr w14:val="tx1"/>
            </w14:solidFill>
          </w14:textFill>
        </w:rPr>
        <w:t xml:space="preserve">  沼气发酵的卫生标准</w:t>
      </w:r>
    </w:p>
    <w:tbl>
      <w:tblPr>
        <w:tblStyle w:val="58"/>
        <w:tblW w:w="8238" w:type="dxa"/>
        <w:tblInd w:w="5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8"/>
        <w:gridCol w:w="2444"/>
        <w:gridCol w:w="4786"/>
      </w:tblGrid>
      <w:tr w14:paraId="227D4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008" w:type="dxa"/>
            <w:vAlign w:val="center"/>
          </w:tcPr>
          <w:p w14:paraId="38EF2C6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2444" w:type="dxa"/>
            <w:vAlign w:val="center"/>
          </w:tcPr>
          <w:p w14:paraId="3C85BB5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4786" w:type="dxa"/>
            <w:vAlign w:val="center"/>
          </w:tcPr>
          <w:p w14:paraId="216793B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卫生标准</w:t>
            </w:r>
          </w:p>
        </w:tc>
      </w:tr>
      <w:tr w14:paraId="6EA3E1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8" w:type="dxa"/>
            <w:vAlign w:val="center"/>
          </w:tcPr>
          <w:p w14:paraId="2FCEA75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444" w:type="dxa"/>
            <w:vAlign w:val="center"/>
          </w:tcPr>
          <w:p w14:paraId="6B3985D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寄生虫卵沉降率</w:t>
            </w:r>
          </w:p>
        </w:tc>
        <w:tc>
          <w:tcPr>
            <w:tcW w:w="4786" w:type="dxa"/>
            <w:vAlign w:val="center"/>
          </w:tcPr>
          <w:p w14:paraId="086B8CF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95％以上</w:t>
            </w:r>
          </w:p>
        </w:tc>
      </w:tr>
      <w:tr w14:paraId="601D58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008" w:type="dxa"/>
            <w:vAlign w:val="center"/>
          </w:tcPr>
          <w:p w14:paraId="2F90B0E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444" w:type="dxa"/>
            <w:vAlign w:val="center"/>
          </w:tcPr>
          <w:p w14:paraId="5AE9F72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血吸虫卵和钩虫卵</w:t>
            </w:r>
          </w:p>
        </w:tc>
        <w:tc>
          <w:tcPr>
            <w:tcW w:w="4786" w:type="dxa"/>
            <w:vAlign w:val="center"/>
          </w:tcPr>
          <w:p w14:paraId="4FA6903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在使用粪液中不得检出活的血吸虫卵和钩虫卵</w:t>
            </w:r>
          </w:p>
        </w:tc>
      </w:tr>
      <w:tr w14:paraId="2C4C8D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008" w:type="dxa"/>
            <w:vAlign w:val="center"/>
          </w:tcPr>
          <w:p w14:paraId="75602B4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444" w:type="dxa"/>
            <w:vAlign w:val="center"/>
          </w:tcPr>
          <w:p w14:paraId="7311EE9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粪大肠菌值</w:t>
            </w:r>
          </w:p>
        </w:tc>
        <w:tc>
          <w:tcPr>
            <w:tcW w:w="4786" w:type="dxa"/>
            <w:vAlign w:val="center"/>
          </w:tcPr>
          <w:p w14:paraId="5BA66A4A">
            <w:pPr>
              <w:spacing w:line="240" w:lineRule="auto"/>
              <w:jc w:val="center"/>
              <w:rPr>
                <w:color w:val="000000" w:themeColor="text1"/>
                <w:sz w:val="21"/>
                <w:szCs w:val="21"/>
                <w:highlight w:val="none"/>
                <w:vertAlign w:val="superscript"/>
                <w14:textFill>
                  <w14:solidFill>
                    <w14:schemeClr w14:val="tx1"/>
                  </w14:solidFill>
                </w14:textFill>
              </w:rPr>
            </w:pPr>
            <w:r>
              <w:rPr>
                <w:color w:val="000000" w:themeColor="text1"/>
                <w:sz w:val="21"/>
                <w:szCs w:val="21"/>
                <w:highlight w:val="none"/>
                <w14:textFill>
                  <w14:solidFill>
                    <w14:schemeClr w14:val="tx1"/>
                  </w14:solidFill>
                </w14:textFill>
              </w:rPr>
              <w:t>常温沼气发酵10</w:t>
            </w:r>
            <w:r>
              <w:rPr>
                <w:color w:val="000000" w:themeColor="text1"/>
                <w:sz w:val="21"/>
                <w:szCs w:val="21"/>
                <w:highlight w:val="none"/>
                <w:vertAlign w:val="superscript"/>
                <w14:textFill>
                  <w14:solidFill>
                    <w14:schemeClr w14:val="tx1"/>
                  </w14:solidFill>
                </w14:textFill>
              </w:rPr>
              <w:t>-4</w:t>
            </w:r>
          </w:p>
          <w:p w14:paraId="155F44F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高温沼气发酵10</w:t>
            </w:r>
            <w:r>
              <w:rPr>
                <w:color w:val="000000" w:themeColor="text1"/>
                <w:sz w:val="21"/>
                <w:szCs w:val="21"/>
                <w:highlight w:val="none"/>
                <w:vertAlign w:val="superscript"/>
                <w14:textFill>
                  <w14:solidFill>
                    <w14:schemeClr w14:val="tx1"/>
                  </w14:solidFill>
                </w14:textFill>
              </w:rPr>
              <w:t>-1</w:t>
            </w:r>
            <w:r>
              <w:rPr>
                <w:color w:val="000000" w:themeColor="text1"/>
                <w:sz w:val="21"/>
                <w:szCs w:val="21"/>
                <w:highlight w:val="none"/>
                <w14:textFill>
                  <w14:solidFill>
                    <w14:schemeClr w14:val="tx1"/>
                  </w14:solidFill>
                </w14:textFill>
              </w:rPr>
              <w:t>～10</w:t>
            </w:r>
            <w:r>
              <w:rPr>
                <w:color w:val="000000" w:themeColor="text1"/>
                <w:sz w:val="21"/>
                <w:szCs w:val="21"/>
                <w:highlight w:val="none"/>
                <w:vertAlign w:val="superscript"/>
                <w14:textFill>
                  <w14:solidFill>
                    <w14:schemeClr w14:val="tx1"/>
                  </w14:solidFill>
                </w14:textFill>
              </w:rPr>
              <w:t>-2</w:t>
            </w:r>
          </w:p>
        </w:tc>
      </w:tr>
      <w:tr w14:paraId="081860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1008" w:type="dxa"/>
            <w:vAlign w:val="center"/>
          </w:tcPr>
          <w:p w14:paraId="7416F70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444" w:type="dxa"/>
            <w:vAlign w:val="center"/>
          </w:tcPr>
          <w:p w14:paraId="252B2D3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蚊子、苍蝇</w:t>
            </w:r>
          </w:p>
        </w:tc>
        <w:tc>
          <w:tcPr>
            <w:tcW w:w="4786" w:type="dxa"/>
            <w:vAlign w:val="center"/>
          </w:tcPr>
          <w:p w14:paraId="4FC0284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有效地控制</w:t>
            </w:r>
            <w:r>
              <w:rPr>
                <w:rFonts w:hint="eastAsia"/>
                <w:color w:val="000000" w:themeColor="text1"/>
                <w:sz w:val="21"/>
                <w:szCs w:val="21"/>
                <w:highlight w:val="none"/>
                <w14:textFill>
                  <w14:solidFill>
                    <w14:schemeClr w14:val="tx1"/>
                  </w14:solidFill>
                </w14:textFill>
              </w:rPr>
              <w:t>蚊蝇滋生</w:t>
            </w:r>
            <w:r>
              <w:rPr>
                <w:color w:val="000000" w:themeColor="text1"/>
                <w:sz w:val="21"/>
                <w:szCs w:val="21"/>
                <w:highlight w:val="none"/>
                <w14:textFill>
                  <w14:solidFill>
                    <w14:schemeClr w14:val="tx1"/>
                  </w14:solidFill>
                </w14:textFill>
              </w:rPr>
              <w:t>，粪液中无孑孓，池的周围无活的蛆、蛹或新羽化的成蝇</w:t>
            </w:r>
          </w:p>
        </w:tc>
      </w:tr>
    </w:tbl>
    <w:p w14:paraId="3F5DD4B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5</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7</w:t>
      </w:r>
      <w:r>
        <w:rPr>
          <w:b/>
          <w:bCs/>
          <w:color w:val="000000" w:themeColor="text1"/>
          <w:sz w:val="21"/>
          <w:szCs w:val="21"/>
          <w:highlight w:val="none"/>
          <w14:textFill>
            <w14:solidFill>
              <w14:schemeClr w14:val="tx1"/>
            </w14:solidFill>
          </w14:textFill>
        </w:rPr>
        <w:t xml:space="preserve">  集约化畜禽养殖业水污染物最高允许日均排放浓度</w:t>
      </w:r>
    </w:p>
    <w:tbl>
      <w:tblPr>
        <w:tblStyle w:val="58"/>
        <w:tblW w:w="82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1228"/>
        <w:gridCol w:w="1165"/>
        <w:gridCol w:w="912"/>
        <w:gridCol w:w="788"/>
        <w:gridCol w:w="1173"/>
        <w:gridCol w:w="1418"/>
        <w:gridCol w:w="883"/>
      </w:tblGrid>
      <w:tr w14:paraId="32634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4" w:hRule="atLeast"/>
          <w:jc w:val="center"/>
        </w:trPr>
        <w:tc>
          <w:tcPr>
            <w:tcW w:w="710" w:type="dxa"/>
            <w:vAlign w:val="center"/>
          </w:tcPr>
          <w:p w14:paraId="0199A50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控制项目</w:t>
            </w:r>
          </w:p>
        </w:tc>
        <w:tc>
          <w:tcPr>
            <w:tcW w:w="1228" w:type="dxa"/>
            <w:vAlign w:val="center"/>
          </w:tcPr>
          <w:p w14:paraId="258A09D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五日生化需氧量（mg/L）</w:t>
            </w:r>
          </w:p>
        </w:tc>
        <w:tc>
          <w:tcPr>
            <w:tcW w:w="1165" w:type="dxa"/>
            <w:vAlign w:val="center"/>
          </w:tcPr>
          <w:p w14:paraId="60D1330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化学需氧量（mg/L）</w:t>
            </w:r>
          </w:p>
        </w:tc>
        <w:tc>
          <w:tcPr>
            <w:tcW w:w="912" w:type="dxa"/>
            <w:vAlign w:val="center"/>
          </w:tcPr>
          <w:p w14:paraId="1BC2F07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悬浮物（mg/L）</w:t>
            </w:r>
          </w:p>
        </w:tc>
        <w:tc>
          <w:tcPr>
            <w:tcW w:w="788" w:type="dxa"/>
            <w:vAlign w:val="center"/>
          </w:tcPr>
          <w:p w14:paraId="3F612CD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氨氮（mg/L）</w:t>
            </w:r>
          </w:p>
        </w:tc>
        <w:tc>
          <w:tcPr>
            <w:tcW w:w="1173" w:type="dxa"/>
            <w:vAlign w:val="center"/>
          </w:tcPr>
          <w:p w14:paraId="575288D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总磷以P计（mg/L）</w:t>
            </w:r>
          </w:p>
        </w:tc>
        <w:tc>
          <w:tcPr>
            <w:tcW w:w="1418" w:type="dxa"/>
            <w:vAlign w:val="center"/>
          </w:tcPr>
          <w:p w14:paraId="53E7A4F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粪大肠杆菌（个 /100mL）</w:t>
            </w:r>
          </w:p>
        </w:tc>
        <w:tc>
          <w:tcPr>
            <w:tcW w:w="883" w:type="dxa"/>
            <w:vAlign w:val="center"/>
          </w:tcPr>
          <w:p w14:paraId="135BDDD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蛔虫卵（个/L）</w:t>
            </w:r>
          </w:p>
        </w:tc>
      </w:tr>
      <w:tr w14:paraId="6A86E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710" w:type="dxa"/>
            <w:vAlign w:val="center"/>
          </w:tcPr>
          <w:p w14:paraId="5D66306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标准值</w:t>
            </w:r>
          </w:p>
        </w:tc>
        <w:tc>
          <w:tcPr>
            <w:tcW w:w="1228" w:type="dxa"/>
            <w:vAlign w:val="center"/>
          </w:tcPr>
          <w:p w14:paraId="67BC0F4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150</w:t>
            </w:r>
          </w:p>
        </w:tc>
        <w:tc>
          <w:tcPr>
            <w:tcW w:w="1165" w:type="dxa"/>
            <w:vAlign w:val="center"/>
          </w:tcPr>
          <w:p w14:paraId="4A2D65B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c>
          <w:tcPr>
            <w:tcW w:w="912" w:type="dxa"/>
            <w:vAlign w:val="center"/>
          </w:tcPr>
          <w:p w14:paraId="3CEB9D4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w:t>
            </w:r>
          </w:p>
        </w:tc>
        <w:tc>
          <w:tcPr>
            <w:tcW w:w="788" w:type="dxa"/>
            <w:vAlign w:val="center"/>
          </w:tcPr>
          <w:p w14:paraId="4E2491B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w:t>
            </w:r>
          </w:p>
        </w:tc>
        <w:tc>
          <w:tcPr>
            <w:tcW w:w="1173" w:type="dxa"/>
            <w:vAlign w:val="center"/>
          </w:tcPr>
          <w:p w14:paraId="368F95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w:t>
            </w:r>
          </w:p>
        </w:tc>
        <w:tc>
          <w:tcPr>
            <w:tcW w:w="1418" w:type="dxa"/>
            <w:vAlign w:val="center"/>
          </w:tcPr>
          <w:p w14:paraId="2797676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1000</w:t>
            </w:r>
          </w:p>
        </w:tc>
        <w:tc>
          <w:tcPr>
            <w:tcW w:w="883" w:type="dxa"/>
            <w:vAlign w:val="center"/>
          </w:tcPr>
          <w:p w14:paraId="065768A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p>
        </w:tc>
      </w:tr>
    </w:tbl>
    <w:p w14:paraId="623E17E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（3）噪声排放标准</w:t>
      </w:r>
    </w:p>
    <w:p w14:paraId="09883D3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本项目施工期噪声执行《建筑施工场界环境噪声排放标准》（GB12523-2011）相关标准；运营期厂界噪声执行《工业企业厂界环境噪声排放标准》（GB12348-</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2008）中的2类标准，见表2.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w:t>
      </w:r>
    </w:p>
    <w:p w14:paraId="208B530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5</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8</w:t>
      </w:r>
      <w:r>
        <w:rPr>
          <w:b/>
          <w:bCs/>
          <w:color w:val="000000" w:themeColor="text1"/>
          <w:sz w:val="21"/>
          <w:szCs w:val="21"/>
          <w:highlight w:val="none"/>
          <w14:textFill>
            <w14:solidFill>
              <w14:schemeClr w14:val="tx1"/>
            </w14:solidFill>
          </w14:textFill>
        </w:rPr>
        <w:t xml:space="preserve">  噪声排放标准  （单位：dB（A））</w:t>
      </w:r>
    </w:p>
    <w:tbl>
      <w:tblPr>
        <w:tblStyle w:val="58"/>
        <w:tblW w:w="82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1"/>
        <w:gridCol w:w="1217"/>
        <w:gridCol w:w="4080"/>
        <w:gridCol w:w="983"/>
        <w:gridCol w:w="987"/>
      </w:tblGrid>
      <w:tr w14:paraId="0F4A92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991" w:type="dxa"/>
            <w:vMerge w:val="restart"/>
            <w:tcBorders>
              <w:bottom w:val="nil"/>
            </w:tcBorders>
            <w:vAlign w:val="center"/>
          </w:tcPr>
          <w:p w14:paraId="018B0F0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功能区</w:t>
            </w:r>
          </w:p>
        </w:tc>
        <w:tc>
          <w:tcPr>
            <w:tcW w:w="1217" w:type="dxa"/>
            <w:vMerge w:val="restart"/>
            <w:tcBorders>
              <w:bottom w:val="nil"/>
            </w:tcBorders>
            <w:vAlign w:val="center"/>
          </w:tcPr>
          <w:p w14:paraId="376AC76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功能区类型</w:t>
            </w:r>
          </w:p>
        </w:tc>
        <w:tc>
          <w:tcPr>
            <w:tcW w:w="4080" w:type="dxa"/>
            <w:vMerge w:val="restart"/>
            <w:tcBorders>
              <w:bottom w:val="nil"/>
            </w:tcBorders>
            <w:vAlign w:val="center"/>
          </w:tcPr>
          <w:p w14:paraId="56DD193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执行的标准与级别</w:t>
            </w:r>
          </w:p>
        </w:tc>
        <w:tc>
          <w:tcPr>
            <w:tcW w:w="1970" w:type="dxa"/>
            <w:gridSpan w:val="2"/>
            <w:vAlign w:val="center"/>
          </w:tcPr>
          <w:p w14:paraId="0FB1212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标准值〔dB（A）〕</w:t>
            </w:r>
          </w:p>
        </w:tc>
      </w:tr>
      <w:tr w14:paraId="15BE05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991" w:type="dxa"/>
            <w:vMerge w:val="continue"/>
            <w:tcBorders>
              <w:top w:val="nil"/>
            </w:tcBorders>
            <w:vAlign w:val="center"/>
          </w:tcPr>
          <w:p w14:paraId="7FDDDD21">
            <w:pPr>
              <w:spacing w:line="240" w:lineRule="auto"/>
              <w:jc w:val="center"/>
              <w:rPr>
                <w:color w:val="000000" w:themeColor="text1"/>
                <w:sz w:val="21"/>
                <w:szCs w:val="21"/>
                <w:highlight w:val="none"/>
                <w14:textFill>
                  <w14:solidFill>
                    <w14:schemeClr w14:val="tx1"/>
                  </w14:solidFill>
                </w14:textFill>
              </w:rPr>
            </w:pPr>
          </w:p>
        </w:tc>
        <w:tc>
          <w:tcPr>
            <w:tcW w:w="1217" w:type="dxa"/>
            <w:vMerge w:val="continue"/>
            <w:tcBorders>
              <w:top w:val="nil"/>
            </w:tcBorders>
            <w:vAlign w:val="center"/>
          </w:tcPr>
          <w:p w14:paraId="06389559">
            <w:pPr>
              <w:spacing w:line="240" w:lineRule="auto"/>
              <w:jc w:val="center"/>
              <w:rPr>
                <w:color w:val="000000" w:themeColor="text1"/>
                <w:sz w:val="21"/>
                <w:szCs w:val="21"/>
                <w:highlight w:val="none"/>
                <w14:textFill>
                  <w14:solidFill>
                    <w14:schemeClr w14:val="tx1"/>
                  </w14:solidFill>
                </w14:textFill>
              </w:rPr>
            </w:pPr>
          </w:p>
        </w:tc>
        <w:tc>
          <w:tcPr>
            <w:tcW w:w="4080" w:type="dxa"/>
            <w:vMerge w:val="continue"/>
            <w:tcBorders>
              <w:top w:val="nil"/>
            </w:tcBorders>
            <w:vAlign w:val="center"/>
          </w:tcPr>
          <w:p w14:paraId="33F80F7F">
            <w:pPr>
              <w:spacing w:line="240" w:lineRule="auto"/>
              <w:jc w:val="center"/>
              <w:rPr>
                <w:color w:val="000000" w:themeColor="text1"/>
                <w:sz w:val="21"/>
                <w:szCs w:val="21"/>
                <w:highlight w:val="none"/>
                <w14:textFill>
                  <w14:solidFill>
                    <w14:schemeClr w14:val="tx1"/>
                  </w14:solidFill>
                </w14:textFill>
              </w:rPr>
            </w:pPr>
          </w:p>
        </w:tc>
        <w:tc>
          <w:tcPr>
            <w:tcW w:w="983" w:type="dxa"/>
            <w:vAlign w:val="center"/>
          </w:tcPr>
          <w:p w14:paraId="7098722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昼间</w:t>
            </w:r>
          </w:p>
        </w:tc>
        <w:tc>
          <w:tcPr>
            <w:tcW w:w="987" w:type="dxa"/>
            <w:vAlign w:val="center"/>
          </w:tcPr>
          <w:p w14:paraId="4FA2293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夜间</w:t>
            </w:r>
          </w:p>
        </w:tc>
      </w:tr>
      <w:tr w14:paraId="28DB8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991" w:type="dxa"/>
            <w:vMerge w:val="restart"/>
            <w:tcBorders>
              <w:bottom w:val="nil"/>
            </w:tcBorders>
            <w:vAlign w:val="center"/>
          </w:tcPr>
          <w:p w14:paraId="04058C9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厂界噪声</w:t>
            </w:r>
          </w:p>
        </w:tc>
        <w:tc>
          <w:tcPr>
            <w:tcW w:w="1217" w:type="dxa"/>
            <w:vMerge w:val="restart"/>
            <w:tcBorders>
              <w:bottom w:val="nil"/>
            </w:tcBorders>
            <w:vAlign w:val="center"/>
          </w:tcPr>
          <w:p w14:paraId="57F4B30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2类</w:t>
            </w:r>
          </w:p>
        </w:tc>
        <w:tc>
          <w:tcPr>
            <w:tcW w:w="4080" w:type="dxa"/>
            <w:vAlign w:val="center"/>
          </w:tcPr>
          <w:p w14:paraId="46D38B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《建筑施工场界环境噪声排放标准》（GB12523-2011）</w:t>
            </w:r>
          </w:p>
        </w:tc>
        <w:tc>
          <w:tcPr>
            <w:tcW w:w="983" w:type="dxa"/>
            <w:vAlign w:val="center"/>
          </w:tcPr>
          <w:p w14:paraId="2BD9CEB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w:t>
            </w:r>
          </w:p>
        </w:tc>
        <w:tc>
          <w:tcPr>
            <w:tcW w:w="987" w:type="dxa"/>
            <w:vAlign w:val="center"/>
          </w:tcPr>
          <w:p w14:paraId="194B799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55</w:t>
            </w:r>
          </w:p>
        </w:tc>
      </w:tr>
      <w:tr w14:paraId="7E5F40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991" w:type="dxa"/>
            <w:vMerge w:val="continue"/>
            <w:tcBorders>
              <w:top w:val="nil"/>
            </w:tcBorders>
            <w:vAlign w:val="center"/>
          </w:tcPr>
          <w:p w14:paraId="7646F923">
            <w:pPr>
              <w:spacing w:line="240" w:lineRule="auto"/>
              <w:jc w:val="center"/>
              <w:rPr>
                <w:color w:val="000000" w:themeColor="text1"/>
                <w:sz w:val="21"/>
                <w:szCs w:val="21"/>
                <w:highlight w:val="none"/>
                <w14:textFill>
                  <w14:solidFill>
                    <w14:schemeClr w14:val="tx1"/>
                  </w14:solidFill>
                </w14:textFill>
              </w:rPr>
            </w:pPr>
          </w:p>
        </w:tc>
        <w:tc>
          <w:tcPr>
            <w:tcW w:w="1217" w:type="dxa"/>
            <w:vMerge w:val="continue"/>
            <w:tcBorders>
              <w:top w:val="nil"/>
            </w:tcBorders>
            <w:vAlign w:val="center"/>
          </w:tcPr>
          <w:p w14:paraId="152B8D33">
            <w:pPr>
              <w:spacing w:line="240" w:lineRule="auto"/>
              <w:jc w:val="center"/>
              <w:rPr>
                <w:color w:val="000000" w:themeColor="text1"/>
                <w:sz w:val="21"/>
                <w:szCs w:val="21"/>
                <w:highlight w:val="none"/>
                <w14:textFill>
                  <w14:solidFill>
                    <w14:schemeClr w14:val="tx1"/>
                  </w14:solidFill>
                </w14:textFill>
              </w:rPr>
            </w:pPr>
          </w:p>
        </w:tc>
        <w:tc>
          <w:tcPr>
            <w:tcW w:w="4080" w:type="dxa"/>
            <w:vAlign w:val="center"/>
          </w:tcPr>
          <w:p w14:paraId="1749086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《工业企业厂界环境噪声排放标准》（GB12348-2008）中 </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 xml:space="preserve"> 类标准</w:t>
            </w:r>
          </w:p>
        </w:tc>
        <w:tc>
          <w:tcPr>
            <w:tcW w:w="983" w:type="dxa"/>
            <w:vAlign w:val="center"/>
          </w:tcPr>
          <w:p w14:paraId="4663E70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60</w:t>
            </w:r>
          </w:p>
        </w:tc>
        <w:tc>
          <w:tcPr>
            <w:tcW w:w="987" w:type="dxa"/>
            <w:vAlign w:val="center"/>
          </w:tcPr>
          <w:p w14:paraId="4E522DD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w:t>
            </w:r>
          </w:p>
        </w:tc>
      </w:tr>
    </w:tbl>
    <w:p w14:paraId="407B4D2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（4）固废污染控制标准</w:t>
      </w:r>
    </w:p>
    <w:p w14:paraId="5A87913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固废排放参考《畜禽养殖业污染物排放标准》（GB18596-2001）、《畜禽养殖业污染防治技术规范》（HJ/T81-2001）、《畜禽粪便无害化处理技术规范》（GB/T36195-2018）和《畜禽粪便还田技术规范》（GB/T25246-2010）中粪便堆肥无害化卫生要求的相关规定。</w:t>
      </w:r>
    </w:p>
    <w:p w14:paraId="696BA08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《畜禽养殖业污染物排放标准》（GB18596-2001）中规定：用于直接还田的畜禽粪便，必须进行无害化处理。经无害化处理后的废渣应符合表2.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的规定。</w:t>
      </w:r>
    </w:p>
    <w:p w14:paraId="637FC2F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5-</w:t>
      </w:r>
      <w:r>
        <w:rPr>
          <w:rFonts w:hint="eastAsia"/>
          <w:b/>
          <w:bCs/>
          <w:color w:val="000000" w:themeColor="text1"/>
          <w:sz w:val="21"/>
          <w:szCs w:val="21"/>
          <w:highlight w:val="none"/>
          <w:lang w:val="en-US" w:eastAsia="zh-CN"/>
          <w14:textFill>
            <w14:solidFill>
              <w14:schemeClr w14:val="tx1"/>
            </w14:solidFill>
          </w14:textFill>
        </w:rPr>
        <w:t>9</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《畜禽养殖业污染物排放标准》（GB18596-2001）中的规定</w:t>
      </w:r>
    </w:p>
    <w:tbl>
      <w:tblPr>
        <w:tblStyle w:val="58"/>
        <w:tblW w:w="832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60"/>
        <w:gridCol w:w="4160"/>
      </w:tblGrid>
      <w:tr w14:paraId="7FF54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4160" w:type="dxa"/>
            <w:vAlign w:val="center"/>
          </w:tcPr>
          <w:p w14:paraId="24CEAB5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控制项目</w:t>
            </w:r>
          </w:p>
        </w:tc>
        <w:tc>
          <w:tcPr>
            <w:tcW w:w="4160" w:type="dxa"/>
            <w:vAlign w:val="center"/>
          </w:tcPr>
          <w:p w14:paraId="345CCC5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指标</w:t>
            </w:r>
          </w:p>
        </w:tc>
      </w:tr>
      <w:tr w14:paraId="72DD0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4160" w:type="dxa"/>
            <w:vAlign w:val="center"/>
          </w:tcPr>
          <w:p w14:paraId="0F8FD7E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蛔虫卵</w:t>
            </w:r>
          </w:p>
        </w:tc>
        <w:tc>
          <w:tcPr>
            <w:tcW w:w="4160" w:type="dxa"/>
            <w:vAlign w:val="center"/>
          </w:tcPr>
          <w:p w14:paraId="380F3BB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死亡率≥95%</w:t>
            </w:r>
          </w:p>
        </w:tc>
      </w:tr>
      <w:tr w14:paraId="05DA0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4160" w:type="dxa"/>
            <w:vAlign w:val="center"/>
          </w:tcPr>
          <w:p w14:paraId="23F4BAA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粪大肠菌群数</w:t>
            </w:r>
          </w:p>
        </w:tc>
        <w:tc>
          <w:tcPr>
            <w:tcW w:w="4160" w:type="dxa"/>
            <w:vAlign w:val="center"/>
          </w:tcPr>
          <w:p w14:paraId="387BE3F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r>
              <w:rPr>
                <w:color w:val="000000" w:themeColor="text1"/>
                <w:sz w:val="21"/>
                <w:szCs w:val="21"/>
                <w:highlight w:val="none"/>
                <w:vertAlign w:val="superscript"/>
                <w14:textFill>
                  <w14:solidFill>
                    <w14:schemeClr w14:val="tx1"/>
                  </w14:solidFill>
                </w14:textFill>
              </w:rPr>
              <w:t>5</w:t>
            </w:r>
            <w:r>
              <w:rPr>
                <w:color w:val="000000" w:themeColor="text1"/>
                <w:sz w:val="21"/>
                <w:szCs w:val="21"/>
                <w:highlight w:val="none"/>
                <w14:textFill>
                  <w14:solidFill>
                    <w14:schemeClr w14:val="tx1"/>
                  </w14:solidFill>
                </w14:textFill>
              </w:rPr>
              <w:t>个kg</w:t>
            </w:r>
          </w:p>
        </w:tc>
      </w:tr>
    </w:tbl>
    <w:p w14:paraId="5E2305B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畜禽养殖业污染防治技术规范》（HJ/T81-2001）中规定：畜禽粪便必须经过无害化处理，并且须符合《粪便无害化卫生要求》（GB7959-2012）后，才能进行土地利用，禁止未经处理的畜禽粪便直接施入农田，《粪便无害化卫生要求》（GB7959-2012）中的有关规定具体见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w:t>
      </w:r>
    </w:p>
    <w:p w14:paraId="4BCF3E1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5</w:t>
      </w:r>
      <w:r>
        <w:rPr>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 xml:space="preserve">0 </w:t>
      </w:r>
      <w:r>
        <w:rPr>
          <w:b/>
          <w:bCs/>
          <w:color w:val="000000" w:themeColor="text1"/>
          <w:sz w:val="21"/>
          <w:szCs w:val="21"/>
          <w:highlight w:val="none"/>
          <w14:textFill>
            <w14:solidFill>
              <w14:schemeClr w14:val="tx1"/>
            </w14:solidFill>
          </w14:textFill>
        </w:rPr>
        <w:t xml:space="preserve"> 《粪便无害化卫生要求》（GB7959-2012）中的规定</w:t>
      </w:r>
    </w:p>
    <w:tbl>
      <w:tblPr>
        <w:tblStyle w:val="58"/>
        <w:tblW w:w="829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592"/>
        <w:gridCol w:w="2480"/>
        <w:gridCol w:w="3227"/>
      </w:tblGrid>
      <w:tr w14:paraId="418CC9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1" w:hRule="atLeast"/>
        </w:trPr>
        <w:tc>
          <w:tcPr>
            <w:tcW w:w="2592" w:type="dxa"/>
            <w:vAlign w:val="center"/>
          </w:tcPr>
          <w:p w14:paraId="7DC34E8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5707" w:type="dxa"/>
            <w:gridSpan w:val="2"/>
            <w:vAlign w:val="center"/>
          </w:tcPr>
          <w:p w14:paraId="6F64321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卫生要求</w:t>
            </w:r>
          </w:p>
        </w:tc>
      </w:tr>
      <w:tr w14:paraId="78D3F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592" w:type="dxa"/>
            <w:vMerge w:val="restart"/>
            <w:tcBorders>
              <w:bottom w:val="nil"/>
            </w:tcBorders>
            <w:vAlign w:val="center"/>
          </w:tcPr>
          <w:p w14:paraId="3DB3D00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温度与持续时间</w:t>
            </w:r>
          </w:p>
        </w:tc>
        <w:tc>
          <w:tcPr>
            <w:tcW w:w="2480" w:type="dxa"/>
            <w:vMerge w:val="restart"/>
            <w:tcBorders>
              <w:bottom w:val="nil"/>
            </w:tcBorders>
            <w:vAlign w:val="center"/>
          </w:tcPr>
          <w:p w14:paraId="71E3786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人工</w:t>
            </w:r>
          </w:p>
        </w:tc>
        <w:tc>
          <w:tcPr>
            <w:tcW w:w="3227" w:type="dxa"/>
            <w:vAlign w:val="center"/>
          </w:tcPr>
          <w:p w14:paraId="0C49C13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堆温≥50℃</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至少持续10d</w:t>
            </w:r>
          </w:p>
        </w:tc>
      </w:tr>
      <w:tr w14:paraId="6FFDAF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592" w:type="dxa"/>
            <w:vMerge w:val="continue"/>
            <w:tcBorders>
              <w:top w:val="nil"/>
              <w:bottom w:val="nil"/>
            </w:tcBorders>
            <w:vAlign w:val="center"/>
          </w:tcPr>
          <w:p w14:paraId="395A5D30">
            <w:pPr>
              <w:spacing w:line="240" w:lineRule="auto"/>
              <w:jc w:val="center"/>
              <w:rPr>
                <w:color w:val="000000" w:themeColor="text1"/>
                <w:sz w:val="21"/>
                <w:szCs w:val="21"/>
                <w:highlight w:val="none"/>
                <w14:textFill>
                  <w14:solidFill>
                    <w14:schemeClr w14:val="tx1"/>
                  </w14:solidFill>
                </w14:textFill>
              </w:rPr>
            </w:pPr>
          </w:p>
        </w:tc>
        <w:tc>
          <w:tcPr>
            <w:tcW w:w="2480" w:type="dxa"/>
            <w:vMerge w:val="continue"/>
            <w:tcBorders>
              <w:top w:val="nil"/>
            </w:tcBorders>
            <w:vAlign w:val="center"/>
          </w:tcPr>
          <w:p w14:paraId="401EA00D">
            <w:pPr>
              <w:spacing w:line="240" w:lineRule="auto"/>
              <w:jc w:val="center"/>
              <w:rPr>
                <w:color w:val="000000" w:themeColor="text1"/>
                <w:sz w:val="21"/>
                <w:szCs w:val="21"/>
                <w:highlight w:val="none"/>
                <w14:textFill>
                  <w14:solidFill>
                    <w14:schemeClr w14:val="tx1"/>
                  </w14:solidFill>
                </w14:textFill>
              </w:rPr>
            </w:pPr>
          </w:p>
        </w:tc>
        <w:tc>
          <w:tcPr>
            <w:tcW w:w="3227" w:type="dxa"/>
            <w:vAlign w:val="center"/>
          </w:tcPr>
          <w:p w14:paraId="367A7DF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堆温≥60℃</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至少持续5d</w:t>
            </w:r>
          </w:p>
        </w:tc>
      </w:tr>
      <w:tr w14:paraId="2DFE4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592" w:type="dxa"/>
            <w:vMerge w:val="continue"/>
            <w:tcBorders>
              <w:top w:val="nil"/>
            </w:tcBorders>
            <w:vAlign w:val="center"/>
          </w:tcPr>
          <w:p w14:paraId="5E31F3CC">
            <w:pPr>
              <w:spacing w:line="240" w:lineRule="auto"/>
              <w:jc w:val="center"/>
              <w:rPr>
                <w:color w:val="000000" w:themeColor="text1"/>
                <w:sz w:val="21"/>
                <w:szCs w:val="21"/>
                <w:highlight w:val="none"/>
                <w14:textFill>
                  <w14:solidFill>
                    <w14:schemeClr w14:val="tx1"/>
                  </w14:solidFill>
                </w14:textFill>
              </w:rPr>
            </w:pPr>
          </w:p>
        </w:tc>
        <w:tc>
          <w:tcPr>
            <w:tcW w:w="2480" w:type="dxa"/>
            <w:vAlign w:val="center"/>
          </w:tcPr>
          <w:p w14:paraId="480BA78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机械</w:t>
            </w:r>
          </w:p>
        </w:tc>
        <w:tc>
          <w:tcPr>
            <w:tcW w:w="3227" w:type="dxa"/>
            <w:vAlign w:val="center"/>
          </w:tcPr>
          <w:p w14:paraId="6CD2A87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堆温≥50℃</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至少持续2d</w:t>
            </w:r>
          </w:p>
        </w:tc>
      </w:tr>
      <w:tr w14:paraId="41DB97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2592" w:type="dxa"/>
            <w:vAlign w:val="center"/>
          </w:tcPr>
          <w:p w14:paraId="1F20E5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蛔虫卵死亡率</w:t>
            </w:r>
          </w:p>
        </w:tc>
        <w:tc>
          <w:tcPr>
            <w:tcW w:w="5707" w:type="dxa"/>
            <w:gridSpan w:val="2"/>
            <w:vAlign w:val="center"/>
          </w:tcPr>
          <w:p w14:paraId="301858E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≥95%</w:t>
            </w:r>
          </w:p>
        </w:tc>
      </w:tr>
      <w:tr w14:paraId="1CA21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2592" w:type="dxa"/>
            <w:vAlign w:val="center"/>
          </w:tcPr>
          <w:p w14:paraId="7FEFF86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粪大肠菌值</w:t>
            </w:r>
          </w:p>
        </w:tc>
        <w:tc>
          <w:tcPr>
            <w:tcW w:w="5707" w:type="dxa"/>
            <w:gridSpan w:val="2"/>
            <w:vAlign w:val="center"/>
          </w:tcPr>
          <w:p w14:paraId="77AF593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≥10-2</w:t>
            </w:r>
          </w:p>
        </w:tc>
      </w:tr>
      <w:tr w14:paraId="6F96E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2592" w:type="dxa"/>
            <w:vAlign w:val="center"/>
          </w:tcPr>
          <w:p w14:paraId="02241BF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沙门氏菌</w:t>
            </w:r>
          </w:p>
        </w:tc>
        <w:tc>
          <w:tcPr>
            <w:tcW w:w="5707" w:type="dxa"/>
            <w:gridSpan w:val="2"/>
            <w:vAlign w:val="center"/>
          </w:tcPr>
          <w:p w14:paraId="7D1EF06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不得检出</w:t>
            </w:r>
          </w:p>
        </w:tc>
      </w:tr>
    </w:tbl>
    <w:p w14:paraId="71D30B2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根据《畜禽粪便无害化处理技术规范》（GB/T36195-2018）中固体畜禽粪便经过堆肥处理后应符合固体畜禽粪便堆肥处理卫生学要求，具体见表2.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p>
    <w:p w14:paraId="6764CE8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5</w:t>
      </w:r>
      <w:r>
        <w:rPr>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1</w:t>
      </w:r>
      <w:r>
        <w:rPr>
          <w:b/>
          <w:bCs/>
          <w:color w:val="000000" w:themeColor="text1"/>
          <w:sz w:val="21"/>
          <w:szCs w:val="21"/>
          <w:highlight w:val="none"/>
          <w14:textFill>
            <w14:solidFill>
              <w14:schemeClr w14:val="tx1"/>
            </w14:solidFill>
          </w14:textFill>
        </w:rPr>
        <w:t xml:space="preserve">  《畜禽粪便无害化处理技术规范》（GB/T36195-2018）中的规定</w:t>
      </w:r>
    </w:p>
    <w:tbl>
      <w:tblPr>
        <w:tblStyle w:val="58"/>
        <w:tblW w:w="826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30"/>
        <w:gridCol w:w="4130"/>
      </w:tblGrid>
      <w:tr w14:paraId="4E868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4130" w:type="dxa"/>
            <w:vAlign w:val="center"/>
          </w:tcPr>
          <w:p w14:paraId="4E0D39A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控制项目</w:t>
            </w:r>
          </w:p>
        </w:tc>
        <w:tc>
          <w:tcPr>
            <w:tcW w:w="4130" w:type="dxa"/>
            <w:vAlign w:val="center"/>
          </w:tcPr>
          <w:p w14:paraId="40C8B2C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指标</w:t>
            </w:r>
          </w:p>
        </w:tc>
      </w:tr>
      <w:tr w14:paraId="6E498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jc w:val="center"/>
        </w:trPr>
        <w:tc>
          <w:tcPr>
            <w:tcW w:w="4130" w:type="dxa"/>
            <w:vAlign w:val="center"/>
          </w:tcPr>
          <w:p w14:paraId="5D83C6B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蛔虫卵</w:t>
            </w:r>
          </w:p>
        </w:tc>
        <w:tc>
          <w:tcPr>
            <w:tcW w:w="4130" w:type="dxa"/>
            <w:vAlign w:val="center"/>
          </w:tcPr>
          <w:p w14:paraId="6A68370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死亡率≥95%</w:t>
            </w:r>
          </w:p>
        </w:tc>
      </w:tr>
      <w:tr w14:paraId="593E8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jc w:val="center"/>
        </w:trPr>
        <w:tc>
          <w:tcPr>
            <w:tcW w:w="4130" w:type="dxa"/>
            <w:vAlign w:val="center"/>
          </w:tcPr>
          <w:p w14:paraId="51FA833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粪大肠菌群数</w:t>
            </w:r>
          </w:p>
        </w:tc>
        <w:tc>
          <w:tcPr>
            <w:tcW w:w="4130" w:type="dxa"/>
            <w:vAlign w:val="center"/>
          </w:tcPr>
          <w:p w14:paraId="7E44727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≤105 个 kg</w:t>
            </w:r>
          </w:p>
        </w:tc>
      </w:tr>
    </w:tbl>
    <w:p w14:paraId="57CB4216">
      <w:pPr>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②</w:t>
      </w:r>
      <w:r>
        <w:rPr>
          <w:color w:val="000000" w:themeColor="text1"/>
          <w:highlight w:val="none"/>
          <w14:textFill>
            <w14:solidFill>
              <w14:schemeClr w14:val="tx1"/>
            </w14:solidFill>
          </w14:textFill>
        </w:rPr>
        <w:t>医疗废物</w:t>
      </w:r>
    </w:p>
    <w:p w14:paraId="4A0A70E9">
      <w:pPr>
        <w:ind w:firstLine="480" w:firstLineChars="20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《国家危险废物名录》（2021版）中规定</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为防治动物传染病而需要收集和处置的废物</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划归为医疗废物。医疗废物按照《医疗废物集中处置技术 规范（试行）》规定，设置</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，对医疗废弃物进行分类暂存。对于存在传染性的医疗废物，必须按照《危险废物贮存污染控制标准》（GB18597-</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t>）中的相关规定进行收集管理，医疗垃圾最终交由当地有医疗废物处置资质的单位统一处置，危险废物转移过程中按照危险废物转移管理办法中的相关要求执行。</w:t>
      </w:r>
    </w:p>
    <w:p w14:paraId="5CB68668">
      <w:pPr>
        <w:rPr>
          <w:color w:val="000000" w:themeColor="text1"/>
          <w:highlight w:val="none"/>
          <w14:textFill>
            <w14:solidFill>
              <w14:schemeClr w14:val="tx1"/>
            </w14:solidFill>
          </w14:textFill>
        </w:rPr>
      </w:pPr>
      <w:r>
        <w:rPr>
          <w:rFonts w:hint="eastAsia" w:ascii="宋体" w:hAnsi="宋体"/>
          <w:color w:val="000000" w:themeColor="text1"/>
          <w:highlight w:val="none"/>
          <w14:textFill>
            <w14:solidFill>
              <w14:schemeClr w14:val="tx1"/>
            </w14:solidFill>
          </w14:textFill>
        </w:rPr>
        <w:t>③</w:t>
      </w:r>
      <w:r>
        <w:rPr>
          <w:color w:val="000000" w:themeColor="text1"/>
          <w:highlight w:val="none"/>
          <w14:textFill>
            <w14:solidFill>
              <w14:schemeClr w14:val="tx1"/>
            </w14:solidFill>
          </w14:textFill>
        </w:rPr>
        <w:t>一般固废</w:t>
      </w:r>
    </w:p>
    <w:p w14:paraId="28DC437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一般固废的贮存应满足相应防渗漏、防雨淋、防扬尘等环境保护要求，委托第三方运输、利用、处置工业固体废物时，应当对受托方的主体资格和技术能力进行核实。</w:t>
      </w:r>
    </w:p>
    <w:p w14:paraId="67C6681A">
      <w:pPr>
        <w:pStyle w:val="3"/>
        <w:rPr>
          <w:color w:val="000000" w:themeColor="text1"/>
          <w:highlight w:val="none"/>
          <w14:textFill>
            <w14:solidFill>
              <w14:schemeClr w14:val="tx1"/>
            </w14:solidFill>
          </w14:textFill>
        </w:rPr>
      </w:pPr>
      <w:bookmarkStart w:id="43" w:name="_Toc13854"/>
      <w:bookmarkStart w:id="44" w:name="_Toc495"/>
      <w:r>
        <w:rPr>
          <w:color w:val="000000" w:themeColor="text1"/>
          <w:highlight w:val="none"/>
          <w14:textFill>
            <w14:solidFill>
              <w14:schemeClr w14:val="tx1"/>
            </w14:solidFill>
          </w14:textFill>
        </w:rPr>
        <w:t>2.</w:t>
      </w:r>
      <w:r>
        <w:rPr>
          <w:rFonts w:hint="eastAsia"/>
          <w:color w:val="000000" w:themeColor="text1"/>
          <w:highlight w:val="none"/>
          <w:lang w:eastAsia="zh-CN"/>
          <w14:textFill>
            <w14:solidFill>
              <w14:schemeClr w14:val="tx1"/>
            </w14:solidFill>
          </w14:textFill>
        </w:rPr>
        <w:t>6</w:t>
      </w:r>
      <w:r>
        <w:rPr>
          <w:color w:val="000000" w:themeColor="text1"/>
          <w:highlight w:val="none"/>
          <w14:textFill>
            <w14:solidFill>
              <w14:schemeClr w14:val="tx1"/>
            </w14:solidFill>
          </w14:textFill>
        </w:rPr>
        <w:t>评价工作等级及评价范围</w:t>
      </w:r>
      <w:bookmarkEnd w:id="43"/>
      <w:bookmarkEnd w:id="44"/>
    </w:p>
    <w:p w14:paraId="5685801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在评价前期工作中，经过对该项目的初步调查和工程分析，按照环境影响评价技术导则的要求，确定评价工作等级和范围如下。</w:t>
      </w:r>
    </w:p>
    <w:p w14:paraId="4797829E">
      <w:pPr>
        <w:pStyle w:val="4"/>
        <w:rPr>
          <w:color w:val="000000" w:themeColor="text1"/>
          <w:highlight w:val="none"/>
          <w14:textFill>
            <w14:solidFill>
              <w14:schemeClr w14:val="tx1"/>
            </w14:solidFill>
          </w14:textFill>
        </w:rPr>
      </w:pPr>
      <w:bookmarkStart w:id="45" w:name="_Toc5031"/>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.1大气环境</w:t>
      </w:r>
      <w:bookmarkEnd w:id="45"/>
    </w:p>
    <w:p w14:paraId="78F4492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"2.7.1.1"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6</w:t>
      </w:r>
      <w:r>
        <w:rPr>
          <w:b/>
          <w:bCs/>
          <w:color w:val="000000" w:themeColor="text1"/>
          <w:highlight w:val="none"/>
          <w14:textFill>
            <w14:solidFill>
              <w14:schemeClr w14:val="tx1"/>
            </w14:solidFill>
          </w14:textFill>
        </w:rPr>
        <w:t>.1.1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评价工作等级</w:t>
      </w:r>
    </w:p>
    <w:p w14:paraId="500C1DF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根据工程特点和污染特征以及周围环境状况，采用《环境影响评价技术导则大气环境》(HJ2.2-2018)中的推荐估算模式—AERSCREEN，选择本项目特征污染物NH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S、TSP作为主要污染物，计算其最大地面浓度占标率Pi及其地面浓度达标准限值10%时所对应的最远距离D10%。其中Pi定义为：</w:t>
      </w:r>
    </w:p>
    <w:p w14:paraId="459A791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Pi=（Ci/C0i）×100%</w:t>
      </w:r>
    </w:p>
    <w:p w14:paraId="2F02BC9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式中：Pi——第i个污染物的最大地面浓度占标率，%；</w:t>
      </w:r>
    </w:p>
    <w:p w14:paraId="667411B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Ci——采用估算模式计算出的第i个污染物的最大地面浓度μg/m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p w14:paraId="5BA7A9E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C0i——第i个污染物的环境空气质量标准，μg/m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44BC806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C0i一般选用《环境空气质量标准》(GB3095-2012)中1小时平均取样时间的二级标准浓度限值；对该标准中未包含的污染物，使用已确定的各评价因子1h平均质量浓度限值。</w:t>
      </w:r>
    </w:p>
    <w:p w14:paraId="4170FA8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《环境影响评价技术导则大气环境》（HJ2.2-2018）中评价等级判据见表2.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-1：</w:t>
      </w:r>
    </w:p>
    <w:p w14:paraId="54B78C1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-1  评价工作等级</w:t>
      </w:r>
    </w:p>
    <w:tbl>
      <w:tblPr>
        <w:tblStyle w:val="58"/>
        <w:tblW w:w="79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95"/>
        <w:gridCol w:w="4664"/>
      </w:tblGrid>
      <w:tr w14:paraId="5A073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6" w:hRule="atLeast"/>
          <w:jc w:val="center"/>
        </w:trPr>
        <w:tc>
          <w:tcPr>
            <w:tcW w:w="3295" w:type="dxa"/>
            <w:tcBorders>
              <w:top w:val="single" w:color="000000" w:sz="10" w:space="0"/>
              <w:left w:val="single" w:color="000000" w:sz="10" w:space="0"/>
            </w:tcBorders>
          </w:tcPr>
          <w:p w14:paraId="356EB4E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评价工作等级</w:t>
            </w:r>
          </w:p>
        </w:tc>
        <w:tc>
          <w:tcPr>
            <w:tcW w:w="4664" w:type="dxa"/>
            <w:tcBorders>
              <w:top w:val="single" w:color="000000" w:sz="10" w:space="0"/>
              <w:right w:val="single" w:color="000000" w:sz="10" w:space="0"/>
            </w:tcBorders>
          </w:tcPr>
          <w:p w14:paraId="30A3AFB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评价工作等级判据</w:t>
            </w:r>
          </w:p>
        </w:tc>
      </w:tr>
      <w:tr w14:paraId="40BB7A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jc w:val="center"/>
        </w:trPr>
        <w:tc>
          <w:tcPr>
            <w:tcW w:w="3295" w:type="dxa"/>
            <w:tcBorders>
              <w:left w:val="single" w:color="000000" w:sz="10" w:space="0"/>
            </w:tcBorders>
          </w:tcPr>
          <w:p w14:paraId="29A4EED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p>
        </w:tc>
        <w:tc>
          <w:tcPr>
            <w:tcW w:w="4664" w:type="dxa"/>
            <w:tcBorders>
              <w:right w:val="single" w:color="000000" w:sz="10" w:space="0"/>
            </w:tcBorders>
          </w:tcPr>
          <w:p w14:paraId="361A43D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Pmax≥10%</w:t>
            </w:r>
          </w:p>
        </w:tc>
      </w:tr>
      <w:tr w14:paraId="148FD5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 w:hRule="atLeast"/>
          <w:jc w:val="center"/>
        </w:trPr>
        <w:tc>
          <w:tcPr>
            <w:tcW w:w="3295" w:type="dxa"/>
            <w:tcBorders>
              <w:left w:val="single" w:color="000000" w:sz="10" w:space="0"/>
            </w:tcBorders>
          </w:tcPr>
          <w:p w14:paraId="40CA689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4664" w:type="dxa"/>
            <w:tcBorders>
              <w:right w:val="single" w:color="000000" w:sz="10" w:space="0"/>
            </w:tcBorders>
          </w:tcPr>
          <w:p w14:paraId="6FCDD7B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1%≤Pmax＜10%</w:t>
            </w:r>
          </w:p>
        </w:tc>
      </w:tr>
      <w:tr w14:paraId="06C94D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3295" w:type="dxa"/>
            <w:tcBorders>
              <w:left w:val="single" w:color="000000" w:sz="10" w:space="0"/>
              <w:bottom w:val="single" w:color="000000" w:sz="10" w:space="0"/>
            </w:tcBorders>
          </w:tcPr>
          <w:p w14:paraId="306AAF6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4664" w:type="dxa"/>
            <w:tcBorders>
              <w:bottom w:val="single" w:color="000000" w:sz="10" w:space="0"/>
              <w:right w:val="single" w:color="000000" w:sz="10" w:space="0"/>
            </w:tcBorders>
          </w:tcPr>
          <w:p w14:paraId="65AED9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Pmax＜1%</w:t>
            </w:r>
          </w:p>
        </w:tc>
      </w:tr>
    </w:tbl>
    <w:p w14:paraId="1A920BE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（2）废气污染源参数</w:t>
      </w:r>
    </w:p>
    <w:p w14:paraId="774609D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本项目各污染源参数表见表2.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-2。</w:t>
      </w:r>
    </w:p>
    <w:p w14:paraId="42F66DF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2</w:t>
      </w:r>
      <w:r>
        <w:rPr>
          <w:b/>
          <w:bCs/>
          <w:color w:val="000000" w:themeColor="text1"/>
          <w:sz w:val="21"/>
          <w:szCs w:val="21"/>
          <w:highlight w:val="none"/>
          <w14:textFill>
            <w14:solidFill>
              <w14:schemeClr w14:val="tx1"/>
            </w14:solidFill>
          </w14:textFill>
        </w:rPr>
        <w:t xml:space="preserve">  无组织大气污染源特征参数统计表</w:t>
      </w:r>
    </w:p>
    <w:tbl>
      <w:tblPr>
        <w:tblStyle w:val="58"/>
        <w:tblW w:w="84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
        <w:gridCol w:w="783"/>
        <w:gridCol w:w="438"/>
        <w:gridCol w:w="392"/>
        <w:gridCol w:w="668"/>
        <w:gridCol w:w="575"/>
        <w:gridCol w:w="483"/>
        <w:gridCol w:w="668"/>
        <w:gridCol w:w="668"/>
        <w:gridCol w:w="621"/>
        <w:gridCol w:w="553"/>
        <w:gridCol w:w="876"/>
        <w:gridCol w:w="823"/>
        <w:gridCol w:w="647"/>
      </w:tblGrid>
      <w:tr w14:paraId="45D8D4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218" w:type="dxa"/>
            <w:vMerge w:val="restart"/>
            <w:tcBorders>
              <w:bottom w:val="nil"/>
            </w:tcBorders>
            <w:textDirection w:val="tbRlV"/>
            <w:vAlign w:val="center"/>
          </w:tcPr>
          <w:p w14:paraId="0EE3B50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783" w:type="dxa"/>
            <w:vMerge w:val="restart"/>
            <w:tcBorders>
              <w:bottom w:val="nil"/>
            </w:tcBorders>
            <w:vAlign w:val="center"/>
          </w:tcPr>
          <w:p w14:paraId="795C881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名称</w:t>
            </w:r>
          </w:p>
        </w:tc>
        <w:tc>
          <w:tcPr>
            <w:tcW w:w="830" w:type="dxa"/>
            <w:gridSpan w:val="2"/>
            <w:vAlign w:val="center"/>
          </w:tcPr>
          <w:p w14:paraId="3190CEF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面源起点坐标/m</w:t>
            </w:r>
          </w:p>
        </w:tc>
        <w:tc>
          <w:tcPr>
            <w:tcW w:w="668" w:type="dxa"/>
            <w:vMerge w:val="restart"/>
            <w:tcBorders>
              <w:bottom w:val="nil"/>
            </w:tcBorders>
            <w:vAlign w:val="center"/>
          </w:tcPr>
          <w:p w14:paraId="3B049AA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w:t>
            </w:r>
            <w:r>
              <w:rPr>
                <w:rFonts w:hint="eastAsia"/>
                <w:b/>
                <w:bCs/>
                <w:color w:val="000000" w:themeColor="text1"/>
                <w:sz w:val="21"/>
                <w:szCs w:val="21"/>
                <w:highlight w:val="none"/>
                <w:lang w:eastAsia="zh-CN"/>
                <w14:textFill>
                  <w14:solidFill>
                    <w14:schemeClr w14:val="tx1"/>
                  </w14:solidFill>
                </w14:textFill>
              </w:rPr>
              <w:t>海拔</w:t>
            </w:r>
          </w:p>
          <w:p w14:paraId="1A82901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/m</w:t>
            </w:r>
          </w:p>
        </w:tc>
        <w:tc>
          <w:tcPr>
            <w:tcW w:w="575" w:type="dxa"/>
            <w:vMerge w:val="restart"/>
            <w:tcBorders>
              <w:bottom w:val="nil"/>
            </w:tcBorders>
            <w:vAlign w:val="center"/>
          </w:tcPr>
          <w:p w14:paraId="4153DF4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面源长度/m</w:t>
            </w:r>
          </w:p>
        </w:tc>
        <w:tc>
          <w:tcPr>
            <w:tcW w:w="483" w:type="dxa"/>
            <w:vMerge w:val="restart"/>
            <w:tcBorders>
              <w:bottom w:val="nil"/>
            </w:tcBorders>
            <w:vAlign w:val="center"/>
          </w:tcPr>
          <w:p w14:paraId="7F68F81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面源宽度/m</w:t>
            </w:r>
          </w:p>
        </w:tc>
        <w:tc>
          <w:tcPr>
            <w:tcW w:w="668" w:type="dxa"/>
            <w:vMerge w:val="restart"/>
            <w:tcBorders>
              <w:bottom w:val="nil"/>
            </w:tcBorders>
            <w:vAlign w:val="center"/>
          </w:tcPr>
          <w:p w14:paraId="4CCD8C0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与正北向夹角/°</w:t>
            </w:r>
          </w:p>
        </w:tc>
        <w:tc>
          <w:tcPr>
            <w:tcW w:w="668" w:type="dxa"/>
            <w:vMerge w:val="restart"/>
            <w:tcBorders>
              <w:bottom w:val="nil"/>
            </w:tcBorders>
            <w:vAlign w:val="center"/>
          </w:tcPr>
          <w:p w14:paraId="3DA35DD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有效排放高度/m</w:t>
            </w:r>
          </w:p>
        </w:tc>
        <w:tc>
          <w:tcPr>
            <w:tcW w:w="621" w:type="dxa"/>
            <w:vMerge w:val="restart"/>
            <w:tcBorders>
              <w:bottom w:val="nil"/>
            </w:tcBorders>
            <w:vAlign w:val="center"/>
          </w:tcPr>
          <w:p w14:paraId="37CDCE5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年排放小时数/h</w:t>
            </w:r>
          </w:p>
        </w:tc>
        <w:tc>
          <w:tcPr>
            <w:tcW w:w="553" w:type="dxa"/>
            <w:vMerge w:val="restart"/>
            <w:tcBorders>
              <w:bottom w:val="nil"/>
            </w:tcBorders>
            <w:vAlign w:val="center"/>
          </w:tcPr>
          <w:p w14:paraId="53455A1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排放工况</w:t>
            </w:r>
          </w:p>
        </w:tc>
        <w:tc>
          <w:tcPr>
            <w:tcW w:w="2346" w:type="dxa"/>
            <w:gridSpan w:val="3"/>
            <w:vAlign w:val="center"/>
          </w:tcPr>
          <w:p w14:paraId="097EBF7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污染物排放速率/（kg/h）</w:t>
            </w:r>
          </w:p>
        </w:tc>
      </w:tr>
      <w:tr w14:paraId="25741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218" w:type="dxa"/>
            <w:vMerge w:val="continue"/>
            <w:tcBorders>
              <w:top w:val="nil"/>
            </w:tcBorders>
            <w:textDirection w:val="tbRlV"/>
            <w:vAlign w:val="center"/>
          </w:tcPr>
          <w:p w14:paraId="54AD3EC4">
            <w:pPr>
              <w:spacing w:line="240" w:lineRule="auto"/>
              <w:jc w:val="center"/>
              <w:rPr>
                <w:b/>
                <w:bCs/>
                <w:color w:val="000000" w:themeColor="text1"/>
                <w:sz w:val="21"/>
                <w:szCs w:val="21"/>
                <w:highlight w:val="none"/>
                <w14:textFill>
                  <w14:solidFill>
                    <w14:schemeClr w14:val="tx1"/>
                  </w14:solidFill>
                </w14:textFill>
              </w:rPr>
            </w:pPr>
          </w:p>
        </w:tc>
        <w:tc>
          <w:tcPr>
            <w:tcW w:w="783" w:type="dxa"/>
            <w:vMerge w:val="continue"/>
            <w:tcBorders>
              <w:top w:val="nil"/>
            </w:tcBorders>
            <w:vAlign w:val="center"/>
          </w:tcPr>
          <w:p w14:paraId="3C496BDC">
            <w:pPr>
              <w:spacing w:line="240" w:lineRule="auto"/>
              <w:jc w:val="center"/>
              <w:rPr>
                <w:b/>
                <w:bCs/>
                <w:color w:val="000000" w:themeColor="text1"/>
                <w:sz w:val="21"/>
                <w:szCs w:val="21"/>
                <w:highlight w:val="none"/>
                <w14:textFill>
                  <w14:solidFill>
                    <w14:schemeClr w14:val="tx1"/>
                  </w14:solidFill>
                </w14:textFill>
              </w:rPr>
            </w:pPr>
          </w:p>
        </w:tc>
        <w:tc>
          <w:tcPr>
            <w:tcW w:w="438" w:type="dxa"/>
            <w:vAlign w:val="center"/>
          </w:tcPr>
          <w:p w14:paraId="2DCE2AF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X</w:t>
            </w:r>
          </w:p>
        </w:tc>
        <w:tc>
          <w:tcPr>
            <w:tcW w:w="392" w:type="dxa"/>
            <w:vAlign w:val="center"/>
          </w:tcPr>
          <w:p w14:paraId="73CD0D4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Y</w:t>
            </w:r>
          </w:p>
        </w:tc>
        <w:tc>
          <w:tcPr>
            <w:tcW w:w="668" w:type="dxa"/>
            <w:vMerge w:val="continue"/>
            <w:tcBorders>
              <w:top w:val="nil"/>
            </w:tcBorders>
            <w:vAlign w:val="center"/>
          </w:tcPr>
          <w:p w14:paraId="05A349B8">
            <w:pPr>
              <w:spacing w:line="240" w:lineRule="auto"/>
              <w:jc w:val="center"/>
              <w:rPr>
                <w:b/>
                <w:bCs/>
                <w:color w:val="000000" w:themeColor="text1"/>
                <w:sz w:val="21"/>
                <w:szCs w:val="21"/>
                <w:highlight w:val="none"/>
                <w14:textFill>
                  <w14:solidFill>
                    <w14:schemeClr w14:val="tx1"/>
                  </w14:solidFill>
                </w14:textFill>
              </w:rPr>
            </w:pPr>
          </w:p>
        </w:tc>
        <w:tc>
          <w:tcPr>
            <w:tcW w:w="575" w:type="dxa"/>
            <w:vMerge w:val="continue"/>
            <w:tcBorders>
              <w:top w:val="nil"/>
            </w:tcBorders>
            <w:vAlign w:val="center"/>
          </w:tcPr>
          <w:p w14:paraId="171510EA">
            <w:pPr>
              <w:spacing w:line="240" w:lineRule="auto"/>
              <w:jc w:val="center"/>
              <w:rPr>
                <w:b/>
                <w:bCs/>
                <w:color w:val="000000" w:themeColor="text1"/>
                <w:sz w:val="21"/>
                <w:szCs w:val="21"/>
                <w:highlight w:val="none"/>
                <w14:textFill>
                  <w14:solidFill>
                    <w14:schemeClr w14:val="tx1"/>
                  </w14:solidFill>
                </w14:textFill>
              </w:rPr>
            </w:pPr>
          </w:p>
        </w:tc>
        <w:tc>
          <w:tcPr>
            <w:tcW w:w="483" w:type="dxa"/>
            <w:vMerge w:val="continue"/>
            <w:tcBorders>
              <w:top w:val="nil"/>
            </w:tcBorders>
            <w:vAlign w:val="center"/>
          </w:tcPr>
          <w:p w14:paraId="7CB62C9D">
            <w:pPr>
              <w:spacing w:line="240" w:lineRule="auto"/>
              <w:jc w:val="center"/>
              <w:rPr>
                <w:b/>
                <w:bCs/>
                <w:color w:val="000000" w:themeColor="text1"/>
                <w:sz w:val="21"/>
                <w:szCs w:val="21"/>
                <w:highlight w:val="none"/>
                <w14:textFill>
                  <w14:solidFill>
                    <w14:schemeClr w14:val="tx1"/>
                  </w14:solidFill>
                </w14:textFill>
              </w:rPr>
            </w:pPr>
          </w:p>
        </w:tc>
        <w:tc>
          <w:tcPr>
            <w:tcW w:w="668" w:type="dxa"/>
            <w:vMerge w:val="continue"/>
            <w:tcBorders>
              <w:top w:val="nil"/>
            </w:tcBorders>
            <w:vAlign w:val="center"/>
          </w:tcPr>
          <w:p w14:paraId="271F9D03">
            <w:pPr>
              <w:spacing w:line="240" w:lineRule="auto"/>
              <w:jc w:val="center"/>
              <w:rPr>
                <w:b/>
                <w:bCs/>
                <w:color w:val="000000" w:themeColor="text1"/>
                <w:sz w:val="21"/>
                <w:szCs w:val="21"/>
                <w:highlight w:val="none"/>
                <w14:textFill>
                  <w14:solidFill>
                    <w14:schemeClr w14:val="tx1"/>
                  </w14:solidFill>
                </w14:textFill>
              </w:rPr>
            </w:pPr>
          </w:p>
        </w:tc>
        <w:tc>
          <w:tcPr>
            <w:tcW w:w="668" w:type="dxa"/>
            <w:vMerge w:val="continue"/>
            <w:tcBorders>
              <w:top w:val="nil"/>
            </w:tcBorders>
            <w:vAlign w:val="center"/>
          </w:tcPr>
          <w:p w14:paraId="3A1E73B1">
            <w:pPr>
              <w:spacing w:line="240" w:lineRule="auto"/>
              <w:jc w:val="center"/>
              <w:rPr>
                <w:b/>
                <w:bCs/>
                <w:color w:val="000000" w:themeColor="text1"/>
                <w:sz w:val="21"/>
                <w:szCs w:val="21"/>
                <w:highlight w:val="none"/>
                <w14:textFill>
                  <w14:solidFill>
                    <w14:schemeClr w14:val="tx1"/>
                  </w14:solidFill>
                </w14:textFill>
              </w:rPr>
            </w:pPr>
          </w:p>
        </w:tc>
        <w:tc>
          <w:tcPr>
            <w:tcW w:w="621" w:type="dxa"/>
            <w:vMerge w:val="continue"/>
            <w:tcBorders>
              <w:top w:val="nil"/>
            </w:tcBorders>
            <w:vAlign w:val="center"/>
          </w:tcPr>
          <w:p w14:paraId="4EC0633D">
            <w:pPr>
              <w:spacing w:line="240" w:lineRule="auto"/>
              <w:jc w:val="center"/>
              <w:rPr>
                <w:b/>
                <w:bCs/>
                <w:color w:val="000000" w:themeColor="text1"/>
                <w:sz w:val="21"/>
                <w:szCs w:val="21"/>
                <w:highlight w:val="none"/>
                <w14:textFill>
                  <w14:solidFill>
                    <w14:schemeClr w14:val="tx1"/>
                  </w14:solidFill>
                </w14:textFill>
              </w:rPr>
            </w:pPr>
          </w:p>
        </w:tc>
        <w:tc>
          <w:tcPr>
            <w:tcW w:w="553" w:type="dxa"/>
            <w:vMerge w:val="continue"/>
            <w:tcBorders>
              <w:top w:val="nil"/>
            </w:tcBorders>
            <w:vAlign w:val="center"/>
          </w:tcPr>
          <w:p w14:paraId="47E6765A">
            <w:pPr>
              <w:spacing w:line="240" w:lineRule="auto"/>
              <w:jc w:val="center"/>
              <w:rPr>
                <w:b/>
                <w:bCs/>
                <w:color w:val="000000" w:themeColor="text1"/>
                <w:sz w:val="21"/>
                <w:szCs w:val="21"/>
                <w:highlight w:val="none"/>
                <w14:textFill>
                  <w14:solidFill>
                    <w14:schemeClr w14:val="tx1"/>
                  </w14:solidFill>
                </w14:textFill>
              </w:rPr>
            </w:pPr>
          </w:p>
        </w:tc>
        <w:tc>
          <w:tcPr>
            <w:tcW w:w="876" w:type="dxa"/>
            <w:vAlign w:val="center"/>
          </w:tcPr>
          <w:p w14:paraId="3C53A11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NH</w:t>
            </w:r>
            <w:r>
              <w:rPr>
                <w:b/>
                <w:bCs/>
                <w:color w:val="000000" w:themeColor="text1"/>
                <w:sz w:val="21"/>
                <w:szCs w:val="21"/>
                <w:highlight w:val="none"/>
                <w:vertAlign w:val="subscript"/>
                <w14:textFill>
                  <w14:solidFill>
                    <w14:schemeClr w14:val="tx1"/>
                  </w14:solidFill>
                </w14:textFill>
              </w:rPr>
              <w:t>3</w:t>
            </w:r>
          </w:p>
        </w:tc>
        <w:tc>
          <w:tcPr>
            <w:tcW w:w="823" w:type="dxa"/>
            <w:vAlign w:val="center"/>
          </w:tcPr>
          <w:p w14:paraId="1E0890E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H</w:t>
            </w:r>
            <w:r>
              <w:rPr>
                <w:b/>
                <w:bCs/>
                <w:color w:val="000000" w:themeColor="text1"/>
                <w:sz w:val="21"/>
                <w:szCs w:val="21"/>
                <w:highlight w:val="none"/>
                <w:vertAlign w:val="subscript"/>
                <w14:textFill>
                  <w14:solidFill>
                    <w14:schemeClr w14:val="tx1"/>
                  </w14:solidFill>
                </w14:textFill>
              </w:rPr>
              <w:t>2</w:t>
            </w:r>
            <w:r>
              <w:rPr>
                <w:b/>
                <w:bCs/>
                <w:color w:val="000000" w:themeColor="text1"/>
                <w:sz w:val="21"/>
                <w:szCs w:val="21"/>
                <w:highlight w:val="none"/>
                <w14:textFill>
                  <w14:solidFill>
                    <w14:schemeClr w14:val="tx1"/>
                  </w14:solidFill>
                </w14:textFill>
              </w:rPr>
              <w:t>S</w:t>
            </w:r>
          </w:p>
        </w:tc>
        <w:tc>
          <w:tcPr>
            <w:tcW w:w="647" w:type="dxa"/>
            <w:vAlign w:val="center"/>
          </w:tcPr>
          <w:p w14:paraId="5D9FCE93">
            <w:pPr>
              <w:spacing w:line="240" w:lineRule="auto"/>
              <w:jc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TSP</w:t>
            </w:r>
          </w:p>
        </w:tc>
      </w:tr>
      <w:tr w14:paraId="3BA497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218" w:type="dxa"/>
            <w:vAlign w:val="center"/>
          </w:tcPr>
          <w:p w14:paraId="56B3800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783" w:type="dxa"/>
            <w:vAlign w:val="center"/>
          </w:tcPr>
          <w:p w14:paraId="30FCA61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圈舍（M001）</w:t>
            </w:r>
          </w:p>
        </w:tc>
        <w:tc>
          <w:tcPr>
            <w:tcW w:w="438" w:type="dxa"/>
            <w:vAlign w:val="center"/>
          </w:tcPr>
          <w:p w14:paraId="1AE74BC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92" w:type="dxa"/>
            <w:vAlign w:val="center"/>
          </w:tcPr>
          <w:p w14:paraId="480F9E9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668" w:type="dxa"/>
            <w:vAlign w:val="center"/>
          </w:tcPr>
          <w:p w14:paraId="326B2048">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302</w:t>
            </w:r>
          </w:p>
        </w:tc>
        <w:tc>
          <w:tcPr>
            <w:tcW w:w="575" w:type="dxa"/>
            <w:vAlign w:val="center"/>
          </w:tcPr>
          <w:p w14:paraId="17814A2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225</w:t>
            </w:r>
          </w:p>
        </w:tc>
        <w:tc>
          <w:tcPr>
            <w:tcW w:w="483" w:type="dxa"/>
            <w:vAlign w:val="center"/>
          </w:tcPr>
          <w:p w14:paraId="762BFE64">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240</w:t>
            </w:r>
          </w:p>
        </w:tc>
        <w:tc>
          <w:tcPr>
            <w:tcW w:w="668" w:type="dxa"/>
            <w:vAlign w:val="center"/>
          </w:tcPr>
          <w:p w14:paraId="771037C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68" w:type="dxa"/>
            <w:vAlign w:val="center"/>
          </w:tcPr>
          <w:p w14:paraId="23104C5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621" w:type="dxa"/>
            <w:vAlign w:val="center"/>
          </w:tcPr>
          <w:p w14:paraId="4D43DCB9">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c>
          <w:tcPr>
            <w:tcW w:w="553" w:type="dxa"/>
            <w:vAlign w:val="center"/>
          </w:tcPr>
          <w:p w14:paraId="6CF5C13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w:t>
            </w:r>
          </w:p>
        </w:tc>
        <w:tc>
          <w:tcPr>
            <w:tcW w:w="876" w:type="dxa"/>
            <w:vAlign w:val="center"/>
          </w:tcPr>
          <w:p w14:paraId="3B3FB6B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0.344</w:t>
            </w:r>
          </w:p>
        </w:tc>
        <w:tc>
          <w:tcPr>
            <w:tcW w:w="823" w:type="dxa"/>
            <w:vAlign w:val="center"/>
          </w:tcPr>
          <w:p w14:paraId="29900C9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0.054</w:t>
            </w:r>
          </w:p>
        </w:tc>
        <w:tc>
          <w:tcPr>
            <w:tcW w:w="647" w:type="dxa"/>
            <w:vAlign w:val="center"/>
          </w:tcPr>
          <w:p w14:paraId="7E271003">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315892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218" w:type="dxa"/>
            <w:vAlign w:val="center"/>
          </w:tcPr>
          <w:p w14:paraId="1117D6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783" w:type="dxa"/>
            <w:vAlign w:val="center"/>
          </w:tcPr>
          <w:p w14:paraId="6121B1D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（M002）</w:t>
            </w:r>
          </w:p>
        </w:tc>
        <w:tc>
          <w:tcPr>
            <w:tcW w:w="438" w:type="dxa"/>
            <w:vAlign w:val="center"/>
          </w:tcPr>
          <w:p w14:paraId="246A179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92" w:type="dxa"/>
            <w:vAlign w:val="center"/>
          </w:tcPr>
          <w:p w14:paraId="34B8549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668" w:type="dxa"/>
            <w:vAlign w:val="center"/>
          </w:tcPr>
          <w:p w14:paraId="65F78C9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302</w:t>
            </w:r>
          </w:p>
        </w:tc>
        <w:tc>
          <w:tcPr>
            <w:tcW w:w="575" w:type="dxa"/>
            <w:vAlign w:val="center"/>
          </w:tcPr>
          <w:p w14:paraId="78E7CFA4">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483" w:type="dxa"/>
            <w:vAlign w:val="center"/>
          </w:tcPr>
          <w:p w14:paraId="798132A1">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668" w:type="dxa"/>
            <w:vAlign w:val="center"/>
          </w:tcPr>
          <w:p w14:paraId="7C5FEE2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68" w:type="dxa"/>
            <w:vAlign w:val="center"/>
          </w:tcPr>
          <w:p w14:paraId="51AFC23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621" w:type="dxa"/>
            <w:vAlign w:val="center"/>
          </w:tcPr>
          <w:p w14:paraId="0845795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c>
          <w:tcPr>
            <w:tcW w:w="553" w:type="dxa"/>
            <w:vAlign w:val="center"/>
          </w:tcPr>
          <w:p w14:paraId="2C42DFB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w:t>
            </w:r>
          </w:p>
        </w:tc>
        <w:tc>
          <w:tcPr>
            <w:tcW w:w="876" w:type="dxa"/>
            <w:vAlign w:val="center"/>
          </w:tcPr>
          <w:p w14:paraId="119C81A7">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0.00</w:t>
            </w:r>
            <w:r>
              <w:rPr>
                <w:rFonts w:hint="eastAsia"/>
                <w:color w:val="000000" w:themeColor="text1"/>
                <w:sz w:val="21"/>
                <w:szCs w:val="21"/>
                <w:highlight w:val="none"/>
                <w:lang w:val="en-US" w:eastAsia="zh-CN"/>
                <w14:textFill>
                  <w14:solidFill>
                    <w14:schemeClr w14:val="tx1"/>
                  </w14:solidFill>
                </w14:textFill>
              </w:rPr>
              <w:t>75</w:t>
            </w:r>
          </w:p>
        </w:tc>
        <w:tc>
          <w:tcPr>
            <w:tcW w:w="823" w:type="dxa"/>
            <w:vAlign w:val="center"/>
          </w:tcPr>
          <w:p w14:paraId="3861D4AA">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0.00</w:t>
            </w:r>
            <w:r>
              <w:rPr>
                <w:rFonts w:hint="eastAsia"/>
                <w:color w:val="000000" w:themeColor="text1"/>
                <w:sz w:val="21"/>
                <w:szCs w:val="21"/>
                <w:highlight w:val="none"/>
                <w:lang w:val="en-US" w:eastAsia="zh-CN"/>
                <w14:textFill>
                  <w14:solidFill>
                    <w14:schemeClr w14:val="tx1"/>
                  </w14:solidFill>
                </w14:textFill>
              </w:rPr>
              <w:t>08</w:t>
            </w:r>
          </w:p>
        </w:tc>
        <w:tc>
          <w:tcPr>
            <w:tcW w:w="647" w:type="dxa"/>
            <w:vAlign w:val="center"/>
          </w:tcPr>
          <w:p w14:paraId="5A918708">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303065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218" w:type="dxa"/>
            <w:vAlign w:val="center"/>
          </w:tcPr>
          <w:p w14:paraId="585F966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783" w:type="dxa"/>
            <w:vAlign w:val="center"/>
          </w:tcPr>
          <w:p w14:paraId="491E80E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（M003）</w:t>
            </w:r>
          </w:p>
        </w:tc>
        <w:tc>
          <w:tcPr>
            <w:tcW w:w="438" w:type="dxa"/>
            <w:vAlign w:val="center"/>
          </w:tcPr>
          <w:p w14:paraId="28259B6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92" w:type="dxa"/>
            <w:vAlign w:val="center"/>
          </w:tcPr>
          <w:p w14:paraId="5C0CD1E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668" w:type="dxa"/>
            <w:vAlign w:val="center"/>
          </w:tcPr>
          <w:p w14:paraId="2F30AC4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302</w:t>
            </w:r>
          </w:p>
        </w:tc>
        <w:tc>
          <w:tcPr>
            <w:tcW w:w="575" w:type="dxa"/>
            <w:shd w:val="clear" w:color="auto" w:fill="auto"/>
            <w:vAlign w:val="center"/>
          </w:tcPr>
          <w:p w14:paraId="0E69A886">
            <w:pPr>
              <w:spacing w:line="240" w:lineRule="auto"/>
              <w:jc w:val="center"/>
              <w:rPr>
                <w:rFonts w:hint="default"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w:t>
            </w:r>
          </w:p>
        </w:tc>
        <w:tc>
          <w:tcPr>
            <w:tcW w:w="483" w:type="dxa"/>
            <w:shd w:val="clear" w:color="auto" w:fill="auto"/>
            <w:vAlign w:val="center"/>
          </w:tcPr>
          <w:p w14:paraId="60A4EA35">
            <w:pPr>
              <w:spacing w:line="240" w:lineRule="auto"/>
              <w:jc w:val="center"/>
              <w:rPr>
                <w:rFonts w:hint="default"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w:t>
            </w:r>
          </w:p>
        </w:tc>
        <w:tc>
          <w:tcPr>
            <w:tcW w:w="668" w:type="dxa"/>
            <w:vAlign w:val="center"/>
          </w:tcPr>
          <w:p w14:paraId="1A3FFA8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68" w:type="dxa"/>
            <w:vAlign w:val="center"/>
          </w:tcPr>
          <w:p w14:paraId="5D85EC6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621" w:type="dxa"/>
            <w:vAlign w:val="center"/>
          </w:tcPr>
          <w:p w14:paraId="6A362D5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c>
          <w:tcPr>
            <w:tcW w:w="553" w:type="dxa"/>
            <w:vAlign w:val="center"/>
          </w:tcPr>
          <w:p w14:paraId="63C3924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w:t>
            </w:r>
          </w:p>
        </w:tc>
        <w:tc>
          <w:tcPr>
            <w:tcW w:w="876" w:type="dxa"/>
            <w:vAlign w:val="center"/>
          </w:tcPr>
          <w:p w14:paraId="6098FFC0">
            <w:pPr>
              <w:spacing w:line="240" w:lineRule="auto"/>
              <w:jc w:val="center"/>
              <w:rPr>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0.002</w:t>
            </w:r>
          </w:p>
        </w:tc>
        <w:tc>
          <w:tcPr>
            <w:tcW w:w="823" w:type="dxa"/>
            <w:vAlign w:val="center"/>
          </w:tcPr>
          <w:p w14:paraId="69E1EC1F">
            <w:pPr>
              <w:spacing w:line="240" w:lineRule="auto"/>
              <w:jc w:val="center"/>
              <w:rPr>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0.00007</w:t>
            </w:r>
          </w:p>
        </w:tc>
        <w:tc>
          <w:tcPr>
            <w:tcW w:w="647" w:type="dxa"/>
            <w:vAlign w:val="center"/>
          </w:tcPr>
          <w:p w14:paraId="3D0670DE">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72017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218" w:type="dxa"/>
            <w:vAlign w:val="center"/>
          </w:tcPr>
          <w:p w14:paraId="373BE1B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783" w:type="dxa"/>
            <w:vAlign w:val="center"/>
          </w:tcPr>
          <w:p w14:paraId="1D76FF5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干湿分离车间（</w:t>
            </w:r>
            <w:r>
              <w:rPr>
                <w:color w:val="000000" w:themeColor="text1"/>
                <w:sz w:val="21"/>
                <w:szCs w:val="21"/>
                <w:highlight w:val="none"/>
                <w14:textFill>
                  <w14:solidFill>
                    <w14:schemeClr w14:val="tx1"/>
                  </w14:solidFill>
                </w14:textFill>
              </w:rPr>
              <w:t>M00</w:t>
            </w:r>
            <w:r>
              <w:rPr>
                <w:rFonts w:hint="eastAsia"/>
                <w:color w:val="000000" w:themeColor="text1"/>
                <w:sz w:val="21"/>
                <w:szCs w:val="21"/>
                <w:highlight w:val="none"/>
                <w14:textFill>
                  <w14:solidFill>
                    <w14:schemeClr w14:val="tx1"/>
                  </w14:solidFill>
                </w14:textFill>
              </w:rPr>
              <w:t>4）</w:t>
            </w:r>
          </w:p>
        </w:tc>
        <w:tc>
          <w:tcPr>
            <w:tcW w:w="438" w:type="dxa"/>
            <w:vAlign w:val="center"/>
          </w:tcPr>
          <w:p w14:paraId="6A24B74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92" w:type="dxa"/>
            <w:vAlign w:val="center"/>
          </w:tcPr>
          <w:p w14:paraId="60E9180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668" w:type="dxa"/>
            <w:vAlign w:val="center"/>
          </w:tcPr>
          <w:p w14:paraId="7894586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302</w:t>
            </w:r>
          </w:p>
        </w:tc>
        <w:tc>
          <w:tcPr>
            <w:tcW w:w="575" w:type="dxa"/>
            <w:shd w:val="clear" w:color="auto" w:fill="auto"/>
            <w:vAlign w:val="center"/>
          </w:tcPr>
          <w:p w14:paraId="2CB01215">
            <w:pPr>
              <w:spacing w:line="240" w:lineRule="auto"/>
              <w:jc w:val="center"/>
              <w:rPr>
                <w:rFonts w:hint="default"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483" w:type="dxa"/>
            <w:shd w:val="clear" w:color="auto" w:fill="auto"/>
            <w:vAlign w:val="center"/>
          </w:tcPr>
          <w:p w14:paraId="18C6476F">
            <w:pPr>
              <w:spacing w:line="240" w:lineRule="auto"/>
              <w:jc w:val="center"/>
              <w:rPr>
                <w:rFonts w:hint="default"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668" w:type="dxa"/>
            <w:vAlign w:val="center"/>
          </w:tcPr>
          <w:p w14:paraId="37426E2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68" w:type="dxa"/>
            <w:vAlign w:val="center"/>
          </w:tcPr>
          <w:p w14:paraId="38AFE0E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621" w:type="dxa"/>
            <w:vAlign w:val="center"/>
          </w:tcPr>
          <w:p w14:paraId="1900A5C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c>
          <w:tcPr>
            <w:tcW w:w="553" w:type="dxa"/>
            <w:vAlign w:val="center"/>
          </w:tcPr>
          <w:p w14:paraId="2DE1CFD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w:t>
            </w:r>
          </w:p>
        </w:tc>
        <w:tc>
          <w:tcPr>
            <w:tcW w:w="876" w:type="dxa"/>
            <w:vAlign w:val="center"/>
          </w:tcPr>
          <w:p w14:paraId="5AA19FF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w:t>
            </w:r>
          </w:p>
        </w:tc>
        <w:tc>
          <w:tcPr>
            <w:tcW w:w="823" w:type="dxa"/>
            <w:vAlign w:val="center"/>
          </w:tcPr>
          <w:p w14:paraId="7F690E3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0.0003</w:t>
            </w:r>
          </w:p>
        </w:tc>
        <w:tc>
          <w:tcPr>
            <w:tcW w:w="647" w:type="dxa"/>
            <w:vAlign w:val="center"/>
          </w:tcPr>
          <w:p w14:paraId="2A4DE2C0">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17E056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218" w:type="dxa"/>
            <w:vAlign w:val="center"/>
          </w:tcPr>
          <w:p w14:paraId="75D75F30">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783" w:type="dxa"/>
            <w:vAlign w:val="center"/>
          </w:tcPr>
          <w:p w14:paraId="4FFD5E4E">
            <w:pPr>
              <w:spacing w:line="240" w:lineRule="auto"/>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饲料加工车间（</w:t>
            </w:r>
            <w:r>
              <w:rPr>
                <w:color w:val="000000" w:themeColor="text1"/>
                <w:sz w:val="21"/>
                <w:szCs w:val="21"/>
                <w:highlight w:val="none"/>
                <w14:textFill>
                  <w14:solidFill>
                    <w14:schemeClr w14:val="tx1"/>
                  </w14:solidFill>
                </w14:textFill>
              </w:rPr>
              <w:t>M00</w:t>
            </w:r>
            <w:r>
              <w:rPr>
                <w:rFonts w:hint="eastAsia"/>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38" w:type="dxa"/>
            <w:vAlign w:val="center"/>
          </w:tcPr>
          <w:p w14:paraId="2F377F09">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92" w:type="dxa"/>
            <w:vAlign w:val="center"/>
          </w:tcPr>
          <w:p w14:paraId="3863E7FB">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68" w:type="dxa"/>
            <w:vAlign w:val="center"/>
          </w:tcPr>
          <w:p w14:paraId="0FB62EA0">
            <w:pPr>
              <w:spacing w:line="240" w:lineRule="auto"/>
              <w:jc w:val="center"/>
              <w:rPr>
                <w:rFonts w:hint="eastAsia"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302</w:t>
            </w:r>
          </w:p>
        </w:tc>
        <w:tc>
          <w:tcPr>
            <w:tcW w:w="575" w:type="dxa"/>
            <w:vAlign w:val="center"/>
          </w:tcPr>
          <w:p w14:paraId="5CDC543A">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483" w:type="dxa"/>
            <w:vAlign w:val="center"/>
          </w:tcPr>
          <w:p w14:paraId="502BA013">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668" w:type="dxa"/>
            <w:vAlign w:val="center"/>
          </w:tcPr>
          <w:p w14:paraId="79BE1C0B">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68" w:type="dxa"/>
            <w:vAlign w:val="center"/>
          </w:tcPr>
          <w:p w14:paraId="1D62D0A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621" w:type="dxa"/>
            <w:vAlign w:val="center"/>
          </w:tcPr>
          <w:p w14:paraId="3B3F987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c>
          <w:tcPr>
            <w:tcW w:w="553" w:type="dxa"/>
            <w:vAlign w:val="center"/>
          </w:tcPr>
          <w:p w14:paraId="6A041A3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w:t>
            </w:r>
          </w:p>
        </w:tc>
        <w:tc>
          <w:tcPr>
            <w:tcW w:w="876" w:type="dxa"/>
            <w:vAlign w:val="center"/>
          </w:tcPr>
          <w:p w14:paraId="130202CC">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23" w:type="dxa"/>
            <w:vAlign w:val="center"/>
          </w:tcPr>
          <w:p w14:paraId="5D229783">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647" w:type="dxa"/>
            <w:vAlign w:val="center"/>
          </w:tcPr>
          <w:p w14:paraId="69C61D0A">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0.014</w:t>
            </w:r>
          </w:p>
        </w:tc>
      </w:tr>
    </w:tbl>
    <w:p w14:paraId="618F95C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（3）估算模型参数</w:t>
      </w:r>
    </w:p>
    <w:p w14:paraId="0ECDB9C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本次评价预测采用《环境影响评价技术导则大气环境》（HJ2.2-2018）推荐的ARESCREEN估算模式，估算污染物的最大落地浓度和距离，估算模型参数见表2.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p>
    <w:p w14:paraId="57B33F4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 xml:space="preserve">  估算模型参数</w:t>
      </w:r>
    </w:p>
    <w:tbl>
      <w:tblPr>
        <w:tblStyle w:val="58"/>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7"/>
        <w:gridCol w:w="2790"/>
        <w:gridCol w:w="3575"/>
      </w:tblGrid>
      <w:tr w14:paraId="10A28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957" w:type="dxa"/>
            <w:gridSpan w:val="2"/>
          </w:tcPr>
          <w:p w14:paraId="591B633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选项</w:t>
            </w:r>
          </w:p>
        </w:tc>
        <w:tc>
          <w:tcPr>
            <w:tcW w:w="3575" w:type="dxa"/>
          </w:tcPr>
          <w:p w14:paraId="46E8CE7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取值</w:t>
            </w:r>
          </w:p>
        </w:tc>
      </w:tr>
      <w:tr w14:paraId="03874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67" w:type="dxa"/>
            <w:vMerge w:val="restart"/>
            <w:tcBorders>
              <w:bottom w:val="nil"/>
            </w:tcBorders>
          </w:tcPr>
          <w:p w14:paraId="0B51F25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城市农村/选项</w:t>
            </w:r>
          </w:p>
        </w:tc>
        <w:tc>
          <w:tcPr>
            <w:tcW w:w="2790" w:type="dxa"/>
          </w:tcPr>
          <w:p w14:paraId="6ECB887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城市/农村</w:t>
            </w:r>
          </w:p>
        </w:tc>
        <w:tc>
          <w:tcPr>
            <w:tcW w:w="3575" w:type="dxa"/>
          </w:tcPr>
          <w:p w14:paraId="72DB7D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农村</w:t>
            </w:r>
          </w:p>
        </w:tc>
      </w:tr>
      <w:tr w14:paraId="0A99DD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67" w:type="dxa"/>
            <w:vMerge w:val="continue"/>
            <w:tcBorders>
              <w:top w:val="nil"/>
            </w:tcBorders>
          </w:tcPr>
          <w:p w14:paraId="53FF5A3A">
            <w:pPr>
              <w:spacing w:line="240" w:lineRule="auto"/>
              <w:jc w:val="center"/>
              <w:rPr>
                <w:color w:val="000000" w:themeColor="text1"/>
                <w:sz w:val="21"/>
                <w:szCs w:val="21"/>
                <w:highlight w:val="none"/>
                <w14:textFill>
                  <w14:solidFill>
                    <w14:schemeClr w14:val="tx1"/>
                  </w14:solidFill>
                </w14:textFill>
              </w:rPr>
            </w:pPr>
          </w:p>
        </w:tc>
        <w:tc>
          <w:tcPr>
            <w:tcW w:w="2790" w:type="dxa"/>
          </w:tcPr>
          <w:p w14:paraId="447D4A3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人口数（城市人口数）</w:t>
            </w:r>
          </w:p>
        </w:tc>
        <w:tc>
          <w:tcPr>
            <w:tcW w:w="3575" w:type="dxa"/>
          </w:tcPr>
          <w:p w14:paraId="47585B4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1D285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957" w:type="dxa"/>
            <w:gridSpan w:val="2"/>
          </w:tcPr>
          <w:p w14:paraId="5D2D536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最高环境温度</w:t>
            </w:r>
          </w:p>
        </w:tc>
        <w:tc>
          <w:tcPr>
            <w:tcW w:w="3575" w:type="dxa"/>
            <w:vAlign w:val="center"/>
          </w:tcPr>
          <w:p w14:paraId="718E7754">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44</w:t>
            </w:r>
            <w:r>
              <w:rPr>
                <w:rFonts w:hint="eastAsia" w:ascii="Times New Roman" w:hAnsi="Times New Roman" w:eastAsia="宋体" w:cs="宋体"/>
                <w:color w:val="000000" w:themeColor="text1"/>
                <w:sz w:val="21"/>
                <w:szCs w:val="21"/>
                <w:highlight w:val="none"/>
                <w14:textFill>
                  <w14:solidFill>
                    <w14:schemeClr w14:val="tx1"/>
                  </w14:solidFill>
                </w14:textFill>
              </w:rPr>
              <w:t>℃</w:t>
            </w:r>
          </w:p>
        </w:tc>
      </w:tr>
      <w:tr w14:paraId="0A802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957" w:type="dxa"/>
            <w:gridSpan w:val="2"/>
          </w:tcPr>
          <w:p w14:paraId="3BCA28E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最低环境温度</w:t>
            </w:r>
          </w:p>
        </w:tc>
        <w:tc>
          <w:tcPr>
            <w:tcW w:w="3575" w:type="dxa"/>
            <w:vAlign w:val="center"/>
          </w:tcPr>
          <w:p w14:paraId="232C3875">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w:t>
            </w:r>
            <w:r>
              <w:rPr>
                <w:rFonts w:ascii="Times New Roman" w:hAnsi="Times New Roman" w:eastAsia="宋体" w:cs="宋体"/>
                <w:color w:val="000000" w:themeColor="text1"/>
                <w:sz w:val="21"/>
                <w:szCs w:val="21"/>
                <w:highlight w:val="none"/>
                <w14:textFill>
                  <w14:solidFill>
                    <w14:schemeClr w14:val="tx1"/>
                  </w14:solidFill>
                </w14:textFill>
              </w:rPr>
              <w:t>1.7</w:t>
            </w:r>
            <w:r>
              <w:rPr>
                <w:rFonts w:hint="eastAsia" w:ascii="Times New Roman" w:hAnsi="Times New Roman" w:eastAsia="宋体" w:cs="宋体"/>
                <w:color w:val="000000" w:themeColor="text1"/>
                <w:sz w:val="21"/>
                <w:szCs w:val="21"/>
                <w:highlight w:val="none"/>
                <w14:textFill>
                  <w14:solidFill>
                    <w14:schemeClr w14:val="tx1"/>
                  </w14:solidFill>
                </w14:textFill>
              </w:rPr>
              <w:t>℃</w:t>
            </w:r>
          </w:p>
        </w:tc>
      </w:tr>
      <w:tr w14:paraId="227F0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57" w:type="dxa"/>
            <w:gridSpan w:val="2"/>
          </w:tcPr>
          <w:p w14:paraId="475CFA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土地利用类型</w:t>
            </w:r>
          </w:p>
        </w:tc>
        <w:tc>
          <w:tcPr>
            <w:tcW w:w="3575" w:type="dxa"/>
          </w:tcPr>
          <w:p w14:paraId="0386065C">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沙漠化荒地</w:t>
            </w:r>
          </w:p>
        </w:tc>
      </w:tr>
      <w:tr w14:paraId="1D2F4B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57" w:type="dxa"/>
            <w:gridSpan w:val="2"/>
          </w:tcPr>
          <w:p w14:paraId="355F94E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区域湿度条件</w:t>
            </w:r>
          </w:p>
        </w:tc>
        <w:tc>
          <w:tcPr>
            <w:tcW w:w="3575" w:type="dxa"/>
          </w:tcPr>
          <w:p w14:paraId="2B6573D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干燥</w:t>
            </w:r>
          </w:p>
        </w:tc>
      </w:tr>
      <w:tr w14:paraId="26874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67" w:type="dxa"/>
            <w:vMerge w:val="restart"/>
            <w:tcBorders>
              <w:bottom w:val="nil"/>
            </w:tcBorders>
          </w:tcPr>
          <w:p w14:paraId="455CB83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是否考虑地形</w:t>
            </w:r>
          </w:p>
        </w:tc>
        <w:tc>
          <w:tcPr>
            <w:tcW w:w="2790" w:type="dxa"/>
          </w:tcPr>
          <w:p w14:paraId="4DD459F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考虑地形</w:t>
            </w:r>
          </w:p>
        </w:tc>
        <w:tc>
          <w:tcPr>
            <w:tcW w:w="3575" w:type="dxa"/>
          </w:tcPr>
          <w:p w14:paraId="0D99C9A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是</w:t>
            </w:r>
          </w:p>
        </w:tc>
      </w:tr>
      <w:tr w14:paraId="026C03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67" w:type="dxa"/>
            <w:vMerge w:val="continue"/>
            <w:tcBorders>
              <w:top w:val="nil"/>
            </w:tcBorders>
          </w:tcPr>
          <w:p w14:paraId="77CBBE3C">
            <w:pPr>
              <w:spacing w:line="240" w:lineRule="auto"/>
              <w:jc w:val="center"/>
              <w:rPr>
                <w:color w:val="000000" w:themeColor="text1"/>
                <w:sz w:val="21"/>
                <w:szCs w:val="21"/>
                <w:highlight w:val="none"/>
                <w14:textFill>
                  <w14:solidFill>
                    <w14:schemeClr w14:val="tx1"/>
                  </w14:solidFill>
                </w14:textFill>
              </w:rPr>
            </w:pPr>
          </w:p>
        </w:tc>
        <w:tc>
          <w:tcPr>
            <w:tcW w:w="2790" w:type="dxa"/>
          </w:tcPr>
          <w:p w14:paraId="6957D6F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地形数据分辨率（m）</w:t>
            </w:r>
          </w:p>
        </w:tc>
        <w:tc>
          <w:tcPr>
            <w:tcW w:w="3575" w:type="dxa"/>
          </w:tcPr>
          <w:p w14:paraId="2643D4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90</w:t>
            </w:r>
          </w:p>
        </w:tc>
      </w:tr>
      <w:tr w14:paraId="4A0D2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67" w:type="dxa"/>
            <w:vMerge w:val="restart"/>
            <w:tcBorders>
              <w:bottom w:val="nil"/>
            </w:tcBorders>
          </w:tcPr>
          <w:p w14:paraId="54E8950A">
            <w:pPr>
              <w:spacing w:line="240" w:lineRule="auto"/>
              <w:jc w:val="center"/>
              <w:rPr>
                <w:color w:val="000000" w:themeColor="text1"/>
                <w:sz w:val="21"/>
                <w:szCs w:val="21"/>
                <w:highlight w:val="none"/>
                <w14:textFill>
                  <w14:solidFill>
                    <w14:schemeClr w14:val="tx1"/>
                  </w14:solidFill>
                </w14:textFill>
              </w:rPr>
            </w:pPr>
          </w:p>
          <w:p w14:paraId="2353B5D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是否考虑海岸线熏烟</w:t>
            </w:r>
          </w:p>
        </w:tc>
        <w:tc>
          <w:tcPr>
            <w:tcW w:w="2790" w:type="dxa"/>
          </w:tcPr>
          <w:p w14:paraId="46FD83E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考虑海岸线熏烟</w:t>
            </w:r>
          </w:p>
        </w:tc>
        <w:tc>
          <w:tcPr>
            <w:tcW w:w="3575" w:type="dxa"/>
          </w:tcPr>
          <w:p w14:paraId="3620412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否</w:t>
            </w:r>
          </w:p>
        </w:tc>
      </w:tr>
      <w:tr w14:paraId="1E5E8B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67" w:type="dxa"/>
            <w:vMerge w:val="continue"/>
            <w:tcBorders>
              <w:top w:val="nil"/>
              <w:bottom w:val="nil"/>
            </w:tcBorders>
          </w:tcPr>
          <w:p w14:paraId="4D3E4302">
            <w:pPr>
              <w:spacing w:line="240" w:lineRule="auto"/>
              <w:jc w:val="center"/>
              <w:rPr>
                <w:color w:val="000000" w:themeColor="text1"/>
                <w:sz w:val="21"/>
                <w:szCs w:val="21"/>
                <w:highlight w:val="none"/>
                <w14:textFill>
                  <w14:solidFill>
                    <w14:schemeClr w14:val="tx1"/>
                  </w14:solidFill>
                </w14:textFill>
              </w:rPr>
            </w:pPr>
          </w:p>
        </w:tc>
        <w:tc>
          <w:tcPr>
            <w:tcW w:w="2790" w:type="dxa"/>
          </w:tcPr>
          <w:p w14:paraId="0818C45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海岸线距离/km</w:t>
            </w:r>
          </w:p>
        </w:tc>
        <w:tc>
          <w:tcPr>
            <w:tcW w:w="3575" w:type="dxa"/>
          </w:tcPr>
          <w:p w14:paraId="28D9AB9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27C39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67" w:type="dxa"/>
            <w:vMerge w:val="continue"/>
            <w:tcBorders>
              <w:top w:val="nil"/>
            </w:tcBorders>
          </w:tcPr>
          <w:p w14:paraId="728D3821">
            <w:pPr>
              <w:spacing w:line="240" w:lineRule="auto"/>
              <w:jc w:val="center"/>
              <w:rPr>
                <w:color w:val="000000" w:themeColor="text1"/>
                <w:sz w:val="21"/>
                <w:szCs w:val="21"/>
                <w:highlight w:val="none"/>
                <w14:textFill>
                  <w14:solidFill>
                    <w14:schemeClr w14:val="tx1"/>
                  </w14:solidFill>
                </w14:textFill>
              </w:rPr>
            </w:pPr>
          </w:p>
        </w:tc>
        <w:tc>
          <w:tcPr>
            <w:tcW w:w="2790" w:type="dxa"/>
          </w:tcPr>
          <w:p w14:paraId="31ED74F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海岸线方向/o</w:t>
            </w:r>
          </w:p>
        </w:tc>
        <w:tc>
          <w:tcPr>
            <w:tcW w:w="3575" w:type="dxa"/>
          </w:tcPr>
          <w:p w14:paraId="0447578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bl>
    <w:p w14:paraId="7E630C8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（4）评价工作等级确定</w:t>
      </w:r>
    </w:p>
    <w:p w14:paraId="186BC57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本项目污染源正常排放污染物的Pmax和D10%预测结果见表2.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w:t>
      </w:r>
    </w:p>
    <w:p w14:paraId="0BD62DD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4</w:t>
      </w:r>
      <w:r>
        <w:rPr>
          <w:b/>
          <w:bCs/>
          <w:color w:val="000000" w:themeColor="text1"/>
          <w:sz w:val="21"/>
          <w:szCs w:val="21"/>
          <w:highlight w:val="none"/>
          <w14:textFill>
            <w14:solidFill>
              <w14:schemeClr w14:val="tx1"/>
            </w14:solidFill>
          </w14:textFill>
        </w:rPr>
        <w:t xml:space="preserve">  Pmax和D10%预测结果一览表</w:t>
      </w:r>
    </w:p>
    <w:tbl>
      <w:tblPr>
        <w:tblStyle w:val="58"/>
        <w:tblW w:w="905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1490"/>
        <w:gridCol w:w="1171"/>
        <w:gridCol w:w="1766"/>
        <w:gridCol w:w="1297"/>
        <w:gridCol w:w="1343"/>
        <w:gridCol w:w="1156"/>
      </w:tblGrid>
      <w:tr w14:paraId="5AB1C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tcBorders>
              <w:top w:val="single" w:color="auto" w:sz="4" w:space="0"/>
              <w:left w:val="single" w:color="auto" w:sz="4" w:space="0"/>
              <w:bottom w:val="single" w:color="auto" w:sz="4" w:space="0"/>
              <w:right w:val="single" w:color="auto" w:sz="4" w:space="0"/>
            </w:tcBorders>
            <w:vAlign w:val="center"/>
          </w:tcPr>
          <w:p w14:paraId="6DEEF6B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工况</w:t>
            </w:r>
          </w:p>
        </w:tc>
        <w:tc>
          <w:tcPr>
            <w:tcW w:w="1490" w:type="dxa"/>
            <w:tcBorders>
              <w:top w:val="single" w:color="auto" w:sz="4" w:space="0"/>
              <w:left w:val="single" w:color="auto" w:sz="4" w:space="0"/>
              <w:bottom w:val="single" w:color="auto" w:sz="4" w:space="0"/>
              <w:right w:val="single" w:color="auto" w:sz="4" w:space="0"/>
            </w:tcBorders>
            <w:vAlign w:val="center"/>
          </w:tcPr>
          <w:p w14:paraId="6E4A3CF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排放源</w:t>
            </w:r>
          </w:p>
        </w:tc>
        <w:tc>
          <w:tcPr>
            <w:tcW w:w="1171" w:type="dxa"/>
            <w:tcBorders>
              <w:top w:val="single" w:color="auto" w:sz="4" w:space="0"/>
              <w:left w:val="single" w:color="auto" w:sz="4" w:space="0"/>
              <w:bottom w:val="single" w:color="auto" w:sz="4" w:space="0"/>
              <w:right w:val="single" w:color="auto" w:sz="4" w:space="0"/>
            </w:tcBorders>
            <w:vAlign w:val="center"/>
          </w:tcPr>
          <w:p w14:paraId="4B2B096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评价因子</w:t>
            </w:r>
          </w:p>
        </w:tc>
        <w:tc>
          <w:tcPr>
            <w:tcW w:w="1766" w:type="dxa"/>
            <w:tcBorders>
              <w:top w:val="single" w:color="auto" w:sz="4" w:space="0"/>
              <w:left w:val="single" w:color="auto" w:sz="4" w:space="0"/>
              <w:bottom w:val="single" w:color="auto" w:sz="4" w:space="0"/>
              <w:right w:val="single" w:color="auto" w:sz="4" w:space="0"/>
            </w:tcBorders>
            <w:vAlign w:val="center"/>
          </w:tcPr>
          <w:p w14:paraId="752B60D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Cmax（</w:t>
            </w:r>
            <w:r>
              <w:rPr>
                <w:rFonts w:hint="eastAsia"/>
                <w:b/>
                <w:bCs/>
                <w:color w:val="000000" w:themeColor="text1"/>
                <w:sz w:val="21"/>
                <w:szCs w:val="21"/>
                <w:highlight w:val="none"/>
                <w:lang w:eastAsia="zh-CN"/>
                <w14:textFill>
                  <w14:solidFill>
                    <w14:schemeClr w14:val="tx1"/>
                  </w14:solidFill>
                </w14:textFill>
              </w:rPr>
              <w:t>μg/m</w:t>
            </w:r>
            <w:r>
              <w:rPr>
                <w:rFonts w:hint="eastAsia"/>
                <w:b/>
                <w:bCs/>
                <w:color w:val="000000" w:themeColor="text1"/>
                <w:sz w:val="21"/>
                <w:szCs w:val="21"/>
                <w:highlight w:val="none"/>
                <w:vertAlign w:val="superscript"/>
                <w:lang w:eastAsia="zh-CN"/>
                <w14:textFill>
                  <w14:solidFill>
                    <w14:schemeClr w14:val="tx1"/>
                  </w14:solidFill>
                </w14:textFill>
              </w:rPr>
              <w:t>3</w:t>
            </w:r>
            <w:r>
              <w:rPr>
                <w:b/>
                <w:bCs/>
                <w:color w:val="000000" w:themeColor="text1"/>
                <w:sz w:val="21"/>
                <w:szCs w:val="21"/>
                <w:highlight w:val="none"/>
                <w14:textFill>
                  <w14:solidFill>
                    <w14:schemeClr w14:val="tx1"/>
                  </w14:solidFill>
                </w14:textFill>
              </w:rPr>
              <w:t>）</w:t>
            </w:r>
          </w:p>
        </w:tc>
        <w:tc>
          <w:tcPr>
            <w:tcW w:w="1297" w:type="dxa"/>
            <w:tcBorders>
              <w:top w:val="single" w:color="auto" w:sz="4" w:space="0"/>
              <w:left w:val="single" w:color="auto" w:sz="4" w:space="0"/>
              <w:bottom w:val="single" w:color="auto" w:sz="4" w:space="0"/>
              <w:right w:val="single" w:color="auto" w:sz="4" w:space="0"/>
            </w:tcBorders>
            <w:vAlign w:val="center"/>
          </w:tcPr>
          <w:p w14:paraId="1388DF5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Pmax（%）</w:t>
            </w:r>
          </w:p>
        </w:tc>
        <w:tc>
          <w:tcPr>
            <w:tcW w:w="1343" w:type="dxa"/>
            <w:tcBorders>
              <w:top w:val="single" w:color="auto" w:sz="4" w:space="0"/>
              <w:left w:val="single" w:color="auto" w:sz="4" w:space="0"/>
              <w:bottom w:val="single" w:color="auto" w:sz="4" w:space="0"/>
              <w:right w:val="single" w:color="auto" w:sz="4" w:space="0"/>
            </w:tcBorders>
            <w:vAlign w:val="center"/>
          </w:tcPr>
          <w:p w14:paraId="653E7A4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D10%（m）</w:t>
            </w:r>
          </w:p>
        </w:tc>
        <w:tc>
          <w:tcPr>
            <w:tcW w:w="1156" w:type="dxa"/>
            <w:tcBorders>
              <w:top w:val="single" w:color="auto" w:sz="4" w:space="0"/>
              <w:left w:val="single" w:color="auto" w:sz="4" w:space="0"/>
              <w:bottom w:val="single" w:color="auto" w:sz="4" w:space="0"/>
              <w:right w:val="single" w:color="auto" w:sz="4" w:space="0"/>
            </w:tcBorders>
            <w:vAlign w:val="center"/>
          </w:tcPr>
          <w:p w14:paraId="0F04E00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评价等级</w:t>
            </w:r>
          </w:p>
        </w:tc>
      </w:tr>
      <w:tr w14:paraId="59225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restart"/>
            <w:tcBorders>
              <w:top w:val="single" w:color="auto" w:sz="4" w:space="0"/>
              <w:left w:val="single" w:color="auto" w:sz="4" w:space="0"/>
              <w:right w:val="single" w:color="auto" w:sz="4" w:space="0"/>
            </w:tcBorders>
            <w:vAlign w:val="center"/>
          </w:tcPr>
          <w:p w14:paraId="17FF93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w:t>
            </w:r>
          </w:p>
          <w:p w14:paraId="5FC2523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工况</w:t>
            </w:r>
          </w:p>
        </w:tc>
        <w:tc>
          <w:tcPr>
            <w:tcW w:w="1490" w:type="dxa"/>
            <w:vMerge w:val="restart"/>
            <w:tcBorders>
              <w:top w:val="single" w:color="auto" w:sz="4" w:space="0"/>
              <w:left w:val="single" w:color="auto" w:sz="4" w:space="0"/>
              <w:bottom w:val="single" w:color="auto" w:sz="4" w:space="0"/>
              <w:right w:val="single" w:color="auto" w:sz="4" w:space="0"/>
            </w:tcBorders>
            <w:vAlign w:val="center"/>
          </w:tcPr>
          <w:p w14:paraId="19B8B6D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圈舍（M001）</w:t>
            </w:r>
          </w:p>
        </w:tc>
        <w:tc>
          <w:tcPr>
            <w:tcW w:w="1171" w:type="dxa"/>
            <w:tcBorders>
              <w:top w:val="single" w:color="auto" w:sz="4" w:space="0"/>
              <w:left w:val="single" w:color="auto" w:sz="4" w:space="0"/>
              <w:bottom w:val="single" w:color="auto" w:sz="4" w:space="0"/>
              <w:right w:val="single" w:color="auto" w:sz="4" w:space="0"/>
            </w:tcBorders>
            <w:vAlign w:val="center"/>
          </w:tcPr>
          <w:p w14:paraId="105362C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p>
        </w:tc>
        <w:tc>
          <w:tcPr>
            <w:tcW w:w="1766" w:type="dxa"/>
            <w:tcBorders>
              <w:top w:val="single" w:color="auto" w:sz="4" w:space="0"/>
              <w:left w:val="single" w:color="auto" w:sz="4" w:space="0"/>
              <w:bottom w:val="single" w:color="auto" w:sz="4" w:space="0"/>
              <w:right w:val="single" w:color="auto" w:sz="4" w:space="0"/>
            </w:tcBorders>
            <w:vAlign w:val="center"/>
          </w:tcPr>
          <w:p w14:paraId="28CAF1E0">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6.25</w:t>
            </w:r>
          </w:p>
        </w:tc>
        <w:tc>
          <w:tcPr>
            <w:tcW w:w="1297" w:type="dxa"/>
            <w:tcBorders>
              <w:top w:val="single" w:color="auto" w:sz="4" w:space="0"/>
              <w:left w:val="single" w:color="auto" w:sz="4" w:space="0"/>
              <w:bottom w:val="single" w:color="auto" w:sz="4" w:space="0"/>
              <w:right w:val="single" w:color="auto" w:sz="4" w:space="0"/>
            </w:tcBorders>
            <w:vAlign w:val="center"/>
          </w:tcPr>
          <w:p w14:paraId="3FC2C15B">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3.12</w:t>
            </w:r>
          </w:p>
        </w:tc>
        <w:tc>
          <w:tcPr>
            <w:tcW w:w="1343" w:type="dxa"/>
            <w:tcBorders>
              <w:top w:val="single" w:color="auto" w:sz="4" w:space="0"/>
              <w:left w:val="single" w:color="auto" w:sz="4" w:space="0"/>
              <w:bottom w:val="single" w:color="auto" w:sz="4" w:space="0"/>
              <w:right w:val="single" w:color="auto" w:sz="4" w:space="0"/>
            </w:tcBorders>
            <w:vAlign w:val="center"/>
          </w:tcPr>
          <w:p w14:paraId="5EC6E2E9">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230</w:t>
            </w:r>
          </w:p>
        </w:tc>
        <w:tc>
          <w:tcPr>
            <w:tcW w:w="1156" w:type="dxa"/>
            <w:tcBorders>
              <w:top w:val="single" w:color="auto" w:sz="4" w:space="0"/>
              <w:left w:val="single" w:color="auto" w:sz="4" w:space="0"/>
              <w:bottom w:val="single" w:color="auto" w:sz="4" w:space="0"/>
              <w:right w:val="single" w:color="auto" w:sz="4" w:space="0"/>
            </w:tcBorders>
            <w:vAlign w:val="center"/>
          </w:tcPr>
          <w:p w14:paraId="7D591AB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2ECE5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448443CA">
            <w:pPr>
              <w:spacing w:line="240" w:lineRule="auto"/>
              <w:jc w:val="center"/>
              <w:rPr>
                <w:color w:val="000000" w:themeColor="text1"/>
                <w:sz w:val="21"/>
                <w:szCs w:val="21"/>
                <w:highlight w:val="none"/>
                <w14:textFill>
                  <w14:solidFill>
                    <w14:schemeClr w14:val="tx1"/>
                  </w14:solidFill>
                </w14:textFill>
              </w:rPr>
            </w:pPr>
          </w:p>
        </w:tc>
        <w:tc>
          <w:tcPr>
            <w:tcW w:w="1490" w:type="dxa"/>
            <w:vMerge w:val="continue"/>
            <w:tcBorders>
              <w:top w:val="single" w:color="auto" w:sz="4" w:space="0"/>
              <w:left w:val="single" w:color="auto" w:sz="4" w:space="0"/>
              <w:bottom w:val="single" w:color="auto" w:sz="4" w:space="0"/>
              <w:right w:val="single" w:color="auto" w:sz="4" w:space="0"/>
            </w:tcBorders>
            <w:vAlign w:val="center"/>
          </w:tcPr>
          <w:p w14:paraId="5840B7B8">
            <w:pPr>
              <w:spacing w:line="240" w:lineRule="auto"/>
              <w:jc w:val="center"/>
              <w:rPr>
                <w:color w:val="000000" w:themeColor="text1"/>
                <w:sz w:val="21"/>
                <w:szCs w:val="21"/>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14:paraId="6084E6F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t>
            </w:r>
            <w:r>
              <w:rPr>
                <w:rFonts w:hint="eastAsia"/>
                <w:color w:val="000000" w:themeColor="text1"/>
                <w:sz w:val="21"/>
                <w:szCs w:val="21"/>
                <w:highlight w:val="none"/>
                <w:vertAlign w:val="sub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S</w:t>
            </w:r>
          </w:p>
        </w:tc>
        <w:tc>
          <w:tcPr>
            <w:tcW w:w="1766" w:type="dxa"/>
            <w:tcBorders>
              <w:top w:val="single" w:color="auto" w:sz="4" w:space="0"/>
              <w:left w:val="single" w:color="auto" w:sz="4" w:space="0"/>
              <w:bottom w:val="single" w:color="auto" w:sz="4" w:space="0"/>
              <w:right w:val="single" w:color="auto" w:sz="4" w:space="0"/>
            </w:tcBorders>
            <w:vAlign w:val="center"/>
          </w:tcPr>
          <w:p w14:paraId="5E153E2C">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0.981</w:t>
            </w:r>
          </w:p>
        </w:tc>
        <w:tc>
          <w:tcPr>
            <w:tcW w:w="1297" w:type="dxa"/>
            <w:tcBorders>
              <w:top w:val="single" w:color="auto" w:sz="4" w:space="0"/>
              <w:left w:val="single" w:color="auto" w:sz="4" w:space="0"/>
              <w:bottom w:val="single" w:color="auto" w:sz="4" w:space="0"/>
              <w:right w:val="single" w:color="auto" w:sz="4" w:space="0"/>
            </w:tcBorders>
            <w:vAlign w:val="center"/>
          </w:tcPr>
          <w:p w14:paraId="2EF6EFCC">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9.81</w:t>
            </w:r>
          </w:p>
        </w:tc>
        <w:tc>
          <w:tcPr>
            <w:tcW w:w="1343" w:type="dxa"/>
            <w:tcBorders>
              <w:top w:val="single" w:color="auto" w:sz="4" w:space="0"/>
              <w:left w:val="single" w:color="auto" w:sz="4" w:space="0"/>
              <w:bottom w:val="single" w:color="auto" w:sz="4" w:space="0"/>
              <w:right w:val="single" w:color="auto" w:sz="4" w:space="0"/>
            </w:tcBorders>
            <w:vAlign w:val="center"/>
          </w:tcPr>
          <w:p w14:paraId="0BD26BD0">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230</w:t>
            </w:r>
          </w:p>
        </w:tc>
        <w:tc>
          <w:tcPr>
            <w:tcW w:w="1156" w:type="dxa"/>
            <w:tcBorders>
              <w:top w:val="single" w:color="auto" w:sz="4" w:space="0"/>
              <w:left w:val="single" w:color="auto" w:sz="4" w:space="0"/>
              <w:bottom w:val="single" w:color="auto" w:sz="4" w:space="0"/>
              <w:right w:val="single" w:color="auto" w:sz="4" w:space="0"/>
            </w:tcBorders>
            <w:vAlign w:val="center"/>
          </w:tcPr>
          <w:p w14:paraId="44BF05C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59769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2DB3DBC2">
            <w:pPr>
              <w:spacing w:line="240" w:lineRule="auto"/>
              <w:jc w:val="center"/>
              <w:rPr>
                <w:color w:val="000000" w:themeColor="text1"/>
                <w:sz w:val="21"/>
                <w:szCs w:val="21"/>
                <w:highlight w:val="none"/>
                <w14:textFill>
                  <w14:solidFill>
                    <w14:schemeClr w14:val="tx1"/>
                  </w14:solidFill>
                </w14:textFill>
              </w:rPr>
            </w:pPr>
          </w:p>
        </w:tc>
        <w:tc>
          <w:tcPr>
            <w:tcW w:w="1490" w:type="dxa"/>
            <w:vMerge w:val="restart"/>
            <w:tcBorders>
              <w:top w:val="single" w:color="auto" w:sz="4" w:space="0"/>
              <w:left w:val="single" w:color="auto" w:sz="4" w:space="0"/>
              <w:bottom w:val="single" w:color="auto" w:sz="4" w:space="0"/>
              <w:right w:val="single" w:color="auto" w:sz="4" w:space="0"/>
            </w:tcBorders>
            <w:vAlign w:val="center"/>
          </w:tcPr>
          <w:p w14:paraId="3E5A698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（M002）</w:t>
            </w:r>
          </w:p>
        </w:tc>
        <w:tc>
          <w:tcPr>
            <w:tcW w:w="1171" w:type="dxa"/>
            <w:tcBorders>
              <w:top w:val="single" w:color="auto" w:sz="4" w:space="0"/>
              <w:left w:val="single" w:color="auto" w:sz="4" w:space="0"/>
              <w:bottom w:val="single" w:color="auto" w:sz="4" w:space="0"/>
              <w:right w:val="single" w:color="auto" w:sz="4" w:space="0"/>
            </w:tcBorders>
            <w:vAlign w:val="center"/>
          </w:tcPr>
          <w:p w14:paraId="6B2CCBD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p>
        </w:tc>
        <w:tc>
          <w:tcPr>
            <w:tcW w:w="1766" w:type="dxa"/>
            <w:tcBorders>
              <w:top w:val="single" w:color="auto" w:sz="4" w:space="0"/>
              <w:left w:val="single" w:color="auto" w:sz="4" w:space="0"/>
              <w:bottom w:val="single" w:color="auto" w:sz="4" w:space="0"/>
              <w:right w:val="single" w:color="auto" w:sz="4" w:space="0"/>
            </w:tcBorders>
            <w:vAlign w:val="center"/>
          </w:tcPr>
          <w:p w14:paraId="35876A8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4.66</w:t>
            </w:r>
          </w:p>
        </w:tc>
        <w:tc>
          <w:tcPr>
            <w:tcW w:w="1297" w:type="dxa"/>
            <w:tcBorders>
              <w:top w:val="single" w:color="auto" w:sz="4" w:space="0"/>
              <w:left w:val="single" w:color="auto" w:sz="4" w:space="0"/>
              <w:bottom w:val="single" w:color="auto" w:sz="4" w:space="0"/>
              <w:right w:val="single" w:color="auto" w:sz="4" w:space="0"/>
            </w:tcBorders>
            <w:vAlign w:val="center"/>
          </w:tcPr>
          <w:p w14:paraId="09B55A6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2.33</w:t>
            </w:r>
          </w:p>
        </w:tc>
        <w:tc>
          <w:tcPr>
            <w:tcW w:w="1343" w:type="dxa"/>
            <w:tcBorders>
              <w:top w:val="single" w:color="auto" w:sz="4" w:space="0"/>
              <w:left w:val="single" w:color="auto" w:sz="4" w:space="0"/>
              <w:bottom w:val="single" w:color="auto" w:sz="4" w:space="0"/>
              <w:right w:val="single" w:color="auto" w:sz="4" w:space="0"/>
            </w:tcBorders>
            <w:vAlign w:val="center"/>
          </w:tcPr>
          <w:p w14:paraId="73CD78E2">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1156" w:type="dxa"/>
            <w:tcBorders>
              <w:top w:val="single" w:color="auto" w:sz="4" w:space="0"/>
              <w:left w:val="single" w:color="auto" w:sz="4" w:space="0"/>
              <w:bottom w:val="single" w:color="auto" w:sz="4" w:space="0"/>
              <w:right w:val="single" w:color="auto" w:sz="4" w:space="0"/>
            </w:tcBorders>
            <w:vAlign w:val="center"/>
          </w:tcPr>
          <w:p w14:paraId="3DBB79B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11D9C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6480E54F">
            <w:pPr>
              <w:spacing w:line="240" w:lineRule="auto"/>
              <w:jc w:val="center"/>
              <w:rPr>
                <w:color w:val="000000" w:themeColor="text1"/>
                <w:sz w:val="21"/>
                <w:szCs w:val="21"/>
                <w:highlight w:val="none"/>
                <w14:textFill>
                  <w14:solidFill>
                    <w14:schemeClr w14:val="tx1"/>
                  </w14:solidFill>
                </w14:textFill>
              </w:rPr>
            </w:pPr>
          </w:p>
        </w:tc>
        <w:tc>
          <w:tcPr>
            <w:tcW w:w="1490" w:type="dxa"/>
            <w:vMerge w:val="continue"/>
            <w:tcBorders>
              <w:top w:val="single" w:color="auto" w:sz="4" w:space="0"/>
              <w:left w:val="single" w:color="auto" w:sz="4" w:space="0"/>
              <w:bottom w:val="single" w:color="auto" w:sz="4" w:space="0"/>
              <w:right w:val="single" w:color="auto" w:sz="4" w:space="0"/>
            </w:tcBorders>
            <w:vAlign w:val="center"/>
          </w:tcPr>
          <w:p w14:paraId="53E9FA44">
            <w:pPr>
              <w:spacing w:line="240" w:lineRule="auto"/>
              <w:jc w:val="center"/>
              <w:rPr>
                <w:color w:val="000000" w:themeColor="text1"/>
                <w:sz w:val="21"/>
                <w:szCs w:val="21"/>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14:paraId="56EDB8A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t>
            </w:r>
            <w:r>
              <w:rPr>
                <w:rFonts w:hint="eastAsia"/>
                <w:color w:val="000000" w:themeColor="text1"/>
                <w:sz w:val="21"/>
                <w:szCs w:val="21"/>
                <w:highlight w:val="none"/>
                <w:vertAlign w:val="sub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S</w:t>
            </w:r>
          </w:p>
        </w:tc>
        <w:tc>
          <w:tcPr>
            <w:tcW w:w="1766" w:type="dxa"/>
            <w:tcBorders>
              <w:top w:val="single" w:color="auto" w:sz="4" w:space="0"/>
              <w:left w:val="single" w:color="auto" w:sz="4" w:space="0"/>
              <w:bottom w:val="single" w:color="auto" w:sz="4" w:space="0"/>
              <w:right w:val="single" w:color="auto" w:sz="4" w:space="0"/>
            </w:tcBorders>
            <w:vAlign w:val="center"/>
          </w:tcPr>
          <w:p w14:paraId="4E15460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0.497</w:t>
            </w:r>
          </w:p>
        </w:tc>
        <w:tc>
          <w:tcPr>
            <w:tcW w:w="1297" w:type="dxa"/>
            <w:tcBorders>
              <w:top w:val="single" w:color="auto" w:sz="4" w:space="0"/>
              <w:left w:val="single" w:color="auto" w:sz="4" w:space="0"/>
              <w:bottom w:val="single" w:color="auto" w:sz="4" w:space="0"/>
              <w:right w:val="single" w:color="auto" w:sz="4" w:space="0"/>
            </w:tcBorders>
            <w:vAlign w:val="center"/>
          </w:tcPr>
          <w:p w14:paraId="0AD86D7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4.97</w:t>
            </w:r>
          </w:p>
        </w:tc>
        <w:tc>
          <w:tcPr>
            <w:tcW w:w="1343" w:type="dxa"/>
            <w:tcBorders>
              <w:top w:val="single" w:color="auto" w:sz="4" w:space="0"/>
              <w:left w:val="single" w:color="auto" w:sz="4" w:space="0"/>
              <w:bottom w:val="single" w:color="auto" w:sz="4" w:space="0"/>
              <w:right w:val="single" w:color="auto" w:sz="4" w:space="0"/>
            </w:tcBorders>
            <w:vAlign w:val="center"/>
          </w:tcPr>
          <w:p w14:paraId="25941CE5">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1156" w:type="dxa"/>
            <w:tcBorders>
              <w:top w:val="single" w:color="auto" w:sz="4" w:space="0"/>
              <w:left w:val="single" w:color="auto" w:sz="4" w:space="0"/>
              <w:bottom w:val="single" w:color="auto" w:sz="4" w:space="0"/>
              <w:right w:val="single" w:color="auto" w:sz="4" w:space="0"/>
            </w:tcBorders>
            <w:vAlign w:val="center"/>
          </w:tcPr>
          <w:p w14:paraId="5020EA8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5C12CD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10EAFB0F">
            <w:pPr>
              <w:spacing w:line="240" w:lineRule="auto"/>
              <w:jc w:val="center"/>
              <w:rPr>
                <w:color w:val="000000" w:themeColor="text1"/>
                <w:sz w:val="21"/>
                <w:szCs w:val="21"/>
                <w:highlight w:val="none"/>
                <w14:textFill>
                  <w14:solidFill>
                    <w14:schemeClr w14:val="tx1"/>
                  </w14:solidFill>
                </w14:textFill>
              </w:rPr>
            </w:pPr>
          </w:p>
        </w:tc>
        <w:tc>
          <w:tcPr>
            <w:tcW w:w="1490" w:type="dxa"/>
            <w:vMerge w:val="restart"/>
            <w:tcBorders>
              <w:top w:val="single" w:color="auto" w:sz="4" w:space="0"/>
              <w:left w:val="single" w:color="auto" w:sz="4" w:space="0"/>
              <w:bottom w:val="single" w:color="auto" w:sz="4" w:space="0"/>
              <w:right w:val="single" w:color="auto" w:sz="4" w:space="0"/>
            </w:tcBorders>
            <w:vAlign w:val="center"/>
          </w:tcPr>
          <w:p w14:paraId="6E4EDEC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（M003）</w:t>
            </w:r>
          </w:p>
        </w:tc>
        <w:tc>
          <w:tcPr>
            <w:tcW w:w="1171" w:type="dxa"/>
            <w:tcBorders>
              <w:top w:val="single" w:color="auto" w:sz="4" w:space="0"/>
              <w:left w:val="single" w:color="auto" w:sz="4" w:space="0"/>
              <w:bottom w:val="single" w:color="auto" w:sz="4" w:space="0"/>
              <w:right w:val="single" w:color="auto" w:sz="4" w:space="0"/>
            </w:tcBorders>
            <w:vAlign w:val="center"/>
          </w:tcPr>
          <w:p w14:paraId="09B2707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p>
        </w:tc>
        <w:tc>
          <w:tcPr>
            <w:tcW w:w="1766" w:type="dxa"/>
            <w:tcBorders>
              <w:top w:val="single" w:color="auto" w:sz="4" w:space="0"/>
              <w:left w:val="single" w:color="auto" w:sz="4" w:space="0"/>
              <w:bottom w:val="single" w:color="auto" w:sz="4" w:space="0"/>
              <w:right w:val="single" w:color="auto" w:sz="4" w:space="0"/>
            </w:tcBorders>
            <w:shd w:val="clear" w:color="auto" w:fill="auto"/>
            <w:vAlign w:val="center"/>
          </w:tcPr>
          <w:p w14:paraId="303F922D">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3.57</w:t>
            </w:r>
          </w:p>
        </w:tc>
        <w:tc>
          <w:tcPr>
            <w:tcW w:w="1297" w:type="dxa"/>
            <w:tcBorders>
              <w:top w:val="single" w:color="auto" w:sz="4" w:space="0"/>
              <w:left w:val="single" w:color="auto" w:sz="4" w:space="0"/>
              <w:bottom w:val="single" w:color="auto" w:sz="4" w:space="0"/>
              <w:right w:val="single" w:color="auto" w:sz="4" w:space="0"/>
            </w:tcBorders>
            <w:shd w:val="clear" w:color="auto" w:fill="auto"/>
            <w:vAlign w:val="center"/>
          </w:tcPr>
          <w:p w14:paraId="26EF69C5">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14:paraId="4BB8936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101</w:t>
            </w:r>
          </w:p>
        </w:tc>
        <w:tc>
          <w:tcPr>
            <w:tcW w:w="1156" w:type="dxa"/>
            <w:tcBorders>
              <w:top w:val="single" w:color="auto" w:sz="4" w:space="0"/>
              <w:left w:val="single" w:color="auto" w:sz="4" w:space="0"/>
              <w:bottom w:val="single" w:color="auto" w:sz="4" w:space="0"/>
              <w:right w:val="single" w:color="auto" w:sz="4" w:space="0"/>
            </w:tcBorders>
            <w:vAlign w:val="center"/>
          </w:tcPr>
          <w:p w14:paraId="5C97798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493C2B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6B44BA54">
            <w:pPr>
              <w:spacing w:line="240" w:lineRule="auto"/>
              <w:jc w:val="center"/>
              <w:rPr>
                <w:color w:val="000000" w:themeColor="text1"/>
                <w:sz w:val="21"/>
                <w:szCs w:val="21"/>
                <w:highlight w:val="none"/>
                <w14:textFill>
                  <w14:solidFill>
                    <w14:schemeClr w14:val="tx1"/>
                  </w14:solidFill>
                </w14:textFill>
              </w:rPr>
            </w:pPr>
          </w:p>
        </w:tc>
        <w:tc>
          <w:tcPr>
            <w:tcW w:w="1490" w:type="dxa"/>
            <w:vMerge w:val="continue"/>
            <w:tcBorders>
              <w:top w:val="single" w:color="auto" w:sz="4" w:space="0"/>
              <w:left w:val="single" w:color="auto" w:sz="4" w:space="0"/>
              <w:bottom w:val="single" w:color="auto" w:sz="4" w:space="0"/>
              <w:right w:val="single" w:color="auto" w:sz="4" w:space="0"/>
            </w:tcBorders>
            <w:vAlign w:val="center"/>
          </w:tcPr>
          <w:p w14:paraId="381830B2">
            <w:pPr>
              <w:spacing w:line="240" w:lineRule="auto"/>
              <w:jc w:val="center"/>
              <w:rPr>
                <w:color w:val="000000" w:themeColor="text1"/>
                <w:sz w:val="21"/>
                <w:szCs w:val="21"/>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14:paraId="0D9255C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t>
            </w:r>
            <w:r>
              <w:rPr>
                <w:rFonts w:hint="eastAsia"/>
                <w:color w:val="000000" w:themeColor="text1"/>
                <w:sz w:val="21"/>
                <w:szCs w:val="21"/>
                <w:highlight w:val="none"/>
                <w:vertAlign w:val="sub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S</w:t>
            </w:r>
          </w:p>
        </w:tc>
        <w:tc>
          <w:tcPr>
            <w:tcW w:w="1766" w:type="dxa"/>
            <w:tcBorders>
              <w:top w:val="single" w:color="auto" w:sz="4" w:space="0"/>
              <w:left w:val="single" w:color="auto" w:sz="4" w:space="0"/>
              <w:bottom w:val="single" w:color="auto" w:sz="4" w:space="0"/>
              <w:right w:val="single" w:color="auto" w:sz="4" w:space="0"/>
            </w:tcBorders>
            <w:vAlign w:val="center"/>
          </w:tcPr>
          <w:p w14:paraId="038FD17D">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0.125</w:t>
            </w:r>
          </w:p>
        </w:tc>
        <w:tc>
          <w:tcPr>
            <w:tcW w:w="1297" w:type="dxa"/>
            <w:tcBorders>
              <w:top w:val="single" w:color="auto" w:sz="4" w:space="0"/>
              <w:left w:val="single" w:color="auto" w:sz="4" w:space="0"/>
              <w:bottom w:val="single" w:color="auto" w:sz="4" w:space="0"/>
              <w:right w:val="single" w:color="auto" w:sz="4" w:space="0"/>
            </w:tcBorders>
            <w:vAlign w:val="center"/>
          </w:tcPr>
          <w:p w14:paraId="3BF0D784">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1.25</w:t>
            </w:r>
          </w:p>
        </w:tc>
        <w:tc>
          <w:tcPr>
            <w:tcW w:w="1343" w:type="dxa"/>
            <w:tcBorders>
              <w:top w:val="single" w:color="auto" w:sz="4" w:space="0"/>
              <w:left w:val="single" w:color="auto" w:sz="4" w:space="0"/>
              <w:bottom w:val="single" w:color="auto" w:sz="4" w:space="0"/>
              <w:right w:val="single" w:color="auto" w:sz="4" w:space="0"/>
            </w:tcBorders>
            <w:vAlign w:val="center"/>
          </w:tcPr>
          <w:p w14:paraId="555051BF">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01</w:t>
            </w:r>
          </w:p>
        </w:tc>
        <w:tc>
          <w:tcPr>
            <w:tcW w:w="1156" w:type="dxa"/>
            <w:tcBorders>
              <w:top w:val="single" w:color="auto" w:sz="4" w:space="0"/>
              <w:left w:val="single" w:color="auto" w:sz="4" w:space="0"/>
              <w:bottom w:val="single" w:color="auto" w:sz="4" w:space="0"/>
              <w:right w:val="single" w:color="auto" w:sz="4" w:space="0"/>
            </w:tcBorders>
            <w:vAlign w:val="center"/>
          </w:tcPr>
          <w:p w14:paraId="00DA249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79FF3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44E6BE42">
            <w:pPr>
              <w:spacing w:line="240" w:lineRule="auto"/>
              <w:jc w:val="center"/>
              <w:rPr>
                <w:color w:val="000000" w:themeColor="text1"/>
                <w:sz w:val="21"/>
                <w:szCs w:val="21"/>
                <w:highlight w:val="none"/>
                <w14:textFill>
                  <w14:solidFill>
                    <w14:schemeClr w14:val="tx1"/>
                  </w14:solidFill>
                </w14:textFill>
              </w:rPr>
            </w:pPr>
          </w:p>
        </w:tc>
        <w:tc>
          <w:tcPr>
            <w:tcW w:w="1490" w:type="dxa"/>
            <w:vMerge w:val="restart"/>
            <w:tcBorders>
              <w:top w:val="single" w:color="auto" w:sz="4" w:space="0"/>
              <w:left w:val="single" w:color="auto" w:sz="4" w:space="0"/>
              <w:bottom w:val="single" w:color="auto" w:sz="4" w:space="0"/>
              <w:right w:val="single" w:color="auto" w:sz="4" w:space="0"/>
            </w:tcBorders>
            <w:vAlign w:val="center"/>
          </w:tcPr>
          <w:p w14:paraId="5637C81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干湿分离车间（M004）</w:t>
            </w:r>
          </w:p>
        </w:tc>
        <w:tc>
          <w:tcPr>
            <w:tcW w:w="1171" w:type="dxa"/>
            <w:tcBorders>
              <w:top w:val="single" w:color="auto" w:sz="4" w:space="0"/>
              <w:left w:val="single" w:color="auto" w:sz="4" w:space="0"/>
              <w:bottom w:val="single" w:color="auto" w:sz="4" w:space="0"/>
              <w:right w:val="single" w:color="auto" w:sz="4" w:space="0"/>
            </w:tcBorders>
            <w:vAlign w:val="center"/>
          </w:tcPr>
          <w:p w14:paraId="118219D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p>
        </w:tc>
        <w:tc>
          <w:tcPr>
            <w:tcW w:w="1766" w:type="dxa"/>
            <w:tcBorders>
              <w:top w:val="single" w:color="auto" w:sz="4" w:space="0"/>
              <w:left w:val="single" w:color="auto" w:sz="4" w:space="0"/>
              <w:bottom w:val="single" w:color="auto" w:sz="4" w:space="0"/>
              <w:right w:val="single" w:color="auto" w:sz="4" w:space="0"/>
            </w:tcBorders>
            <w:vAlign w:val="center"/>
          </w:tcPr>
          <w:p w14:paraId="553ABE6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4.35</w:t>
            </w:r>
          </w:p>
        </w:tc>
        <w:tc>
          <w:tcPr>
            <w:tcW w:w="1297" w:type="dxa"/>
            <w:tcBorders>
              <w:top w:val="single" w:color="auto" w:sz="4" w:space="0"/>
              <w:left w:val="single" w:color="auto" w:sz="4" w:space="0"/>
              <w:bottom w:val="single" w:color="auto" w:sz="4" w:space="0"/>
              <w:right w:val="single" w:color="auto" w:sz="4" w:space="0"/>
            </w:tcBorders>
            <w:vAlign w:val="center"/>
          </w:tcPr>
          <w:p w14:paraId="573B91A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2.17</w:t>
            </w:r>
          </w:p>
        </w:tc>
        <w:tc>
          <w:tcPr>
            <w:tcW w:w="1343" w:type="dxa"/>
            <w:tcBorders>
              <w:top w:val="single" w:color="auto" w:sz="4" w:space="0"/>
              <w:left w:val="single" w:color="auto" w:sz="4" w:space="0"/>
              <w:bottom w:val="single" w:color="auto" w:sz="4" w:space="0"/>
              <w:right w:val="single" w:color="auto" w:sz="4" w:space="0"/>
            </w:tcBorders>
            <w:vAlign w:val="center"/>
          </w:tcPr>
          <w:p w14:paraId="5D8BBEAA">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1156" w:type="dxa"/>
            <w:tcBorders>
              <w:top w:val="single" w:color="auto" w:sz="4" w:space="0"/>
              <w:left w:val="single" w:color="auto" w:sz="4" w:space="0"/>
              <w:bottom w:val="single" w:color="auto" w:sz="4" w:space="0"/>
              <w:right w:val="single" w:color="auto" w:sz="4" w:space="0"/>
            </w:tcBorders>
            <w:vAlign w:val="center"/>
          </w:tcPr>
          <w:p w14:paraId="0E0893C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3BA64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3FD6A64D">
            <w:pPr>
              <w:spacing w:line="240" w:lineRule="auto"/>
              <w:jc w:val="center"/>
              <w:rPr>
                <w:color w:val="000000" w:themeColor="text1"/>
                <w:sz w:val="21"/>
                <w:szCs w:val="21"/>
                <w:highlight w:val="none"/>
                <w14:textFill>
                  <w14:solidFill>
                    <w14:schemeClr w14:val="tx1"/>
                  </w14:solidFill>
                </w14:textFill>
              </w:rPr>
            </w:pPr>
          </w:p>
        </w:tc>
        <w:tc>
          <w:tcPr>
            <w:tcW w:w="1490" w:type="dxa"/>
            <w:vMerge w:val="continue"/>
            <w:tcBorders>
              <w:top w:val="single" w:color="auto" w:sz="4" w:space="0"/>
              <w:left w:val="single" w:color="auto" w:sz="4" w:space="0"/>
              <w:bottom w:val="single" w:color="auto" w:sz="4" w:space="0"/>
              <w:right w:val="single" w:color="auto" w:sz="4" w:space="0"/>
            </w:tcBorders>
            <w:vAlign w:val="center"/>
          </w:tcPr>
          <w:p w14:paraId="1F6D83BF">
            <w:pPr>
              <w:spacing w:line="240" w:lineRule="auto"/>
              <w:jc w:val="center"/>
              <w:rPr>
                <w:color w:val="000000" w:themeColor="text1"/>
                <w:sz w:val="21"/>
                <w:szCs w:val="21"/>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14:paraId="2E73EB5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t>
            </w:r>
            <w:r>
              <w:rPr>
                <w:rFonts w:hint="eastAsia"/>
                <w:color w:val="000000" w:themeColor="text1"/>
                <w:sz w:val="21"/>
                <w:szCs w:val="21"/>
                <w:highlight w:val="none"/>
                <w:vertAlign w:val="sub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S</w:t>
            </w:r>
          </w:p>
        </w:tc>
        <w:tc>
          <w:tcPr>
            <w:tcW w:w="1766" w:type="dxa"/>
            <w:tcBorders>
              <w:top w:val="single" w:color="auto" w:sz="4" w:space="0"/>
              <w:left w:val="single" w:color="auto" w:sz="4" w:space="0"/>
              <w:bottom w:val="single" w:color="auto" w:sz="4" w:space="0"/>
              <w:right w:val="single" w:color="auto" w:sz="4" w:space="0"/>
            </w:tcBorders>
            <w:vAlign w:val="center"/>
          </w:tcPr>
          <w:p w14:paraId="344744E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0.186</w:t>
            </w:r>
          </w:p>
        </w:tc>
        <w:tc>
          <w:tcPr>
            <w:tcW w:w="1297" w:type="dxa"/>
            <w:tcBorders>
              <w:top w:val="single" w:color="auto" w:sz="4" w:space="0"/>
              <w:left w:val="single" w:color="auto" w:sz="4" w:space="0"/>
              <w:bottom w:val="single" w:color="auto" w:sz="4" w:space="0"/>
              <w:right w:val="single" w:color="auto" w:sz="4" w:space="0"/>
            </w:tcBorders>
            <w:vAlign w:val="center"/>
          </w:tcPr>
          <w:p w14:paraId="19DC73A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1.86</w:t>
            </w:r>
          </w:p>
        </w:tc>
        <w:tc>
          <w:tcPr>
            <w:tcW w:w="1343" w:type="dxa"/>
            <w:tcBorders>
              <w:top w:val="single" w:color="auto" w:sz="4" w:space="0"/>
              <w:left w:val="single" w:color="auto" w:sz="4" w:space="0"/>
              <w:bottom w:val="single" w:color="auto" w:sz="4" w:space="0"/>
              <w:right w:val="single" w:color="auto" w:sz="4" w:space="0"/>
            </w:tcBorders>
            <w:vAlign w:val="center"/>
          </w:tcPr>
          <w:p w14:paraId="2295D9D5">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1156" w:type="dxa"/>
            <w:tcBorders>
              <w:top w:val="single" w:color="auto" w:sz="4" w:space="0"/>
              <w:left w:val="single" w:color="auto" w:sz="4" w:space="0"/>
              <w:bottom w:val="single" w:color="auto" w:sz="4" w:space="0"/>
              <w:right w:val="single" w:color="auto" w:sz="4" w:space="0"/>
            </w:tcBorders>
            <w:vAlign w:val="center"/>
          </w:tcPr>
          <w:p w14:paraId="0411182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44B016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bottom w:val="single" w:color="auto" w:sz="4" w:space="0"/>
              <w:right w:val="single" w:color="auto" w:sz="4" w:space="0"/>
            </w:tcBorders>
            <w:vAlign w:val="center"/>
          </w:tcPr>
          <w:p w14:paraId="64DA1C4F">
            <w:pPr>
              <w:spacing w:line="240" w:lineRule="auto"/>
              <w:jc w:val="center"/>
              <w:rPr>
                <w:color w:val="000000" w:themeColor="text1"/>
                <w:sz w:val="21"/>
                <w:szCs w:val="21"/>
                <w:highlight w:val="none"/>
                <w14:textFill>
                  <w14:solidFill>
                    <w14:schemeClr w14:val="tx1"/>
                  </w14:solidFill>
                </w14:textFill>
              </w:rPr>
            </w:pPr>
          </w:p>
        </w:tc>
        <w:tc>
          <w:tcPr>
            <w:tcW w:w="1490" w:type="dxa"/>
            <w:tcBorders>
              <w:top w:val="single" w:color="auto" w:sz="4" w:space="0"/>
              <w:left w:val="single" w:color="auto" w:sz="4" w:space="0"/>
              <w:bottom w:val="single" w:color="auto" w:sz="4" w:space="0"/>
              <w:right w:val="single" w:color="auto" w:sz="4" w:space="0"/>
            </w:tcBorders>
            <w:vAlign w:val="center"/>
          </w:tcPr>
          <w:p w14:paraId="6E0E8897">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饲料加工</w:t>
            </w:r>
            <w:r>
              <w:rPr>
                <w:rFonts w:hint="eastAsia" w:ascii="Times New Roman" w:hAnsi="Times New Roman" w:eastAsia="宋体" w:cs="宋体"/>
                <w:color w:val="000000" w:themeColor="text1"/>
                <w:sz w:val="21"/>
                <w:szCs w:val="21"/>
                <w:highlight w:val="none"/>
                <w14:textFill>
                  <w14:solidFill>
                    <w14:schemeClr w14:val="tx1"/>
                  </w14:solidFill>
                </w14:textFill>
              </w:rPr>
              <w:t>车间（M00</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sz w:val="21"/>
                <w:szCs w:val="21"/>
                <w:highlight w:val="none"/>
                <w14:textFill>
                  <w14:solidFill>
                    <w14:schemeClr w14:val="tx1"/>
                  </w14:solidFill>
                </w14:textFill>
              </w:rPr>
              <w:t>）</w:t>
            </w:r>
          </w:p>
        </w:tc>
        <w:tc>
          <w:tcPr>
            <w:tcW w:w="1171" w:type="dxa"/>
            <w:tcBorders>
              <w:top w:val="single" w:color="auto" w:sz="4" w:space="0"/>
              <w:left w:val="single" w:color="auto" w:sz="4" w:space="0"/>
              <w:bottom w:val="single" w:color="auto" w:sz="4" w:space="0"/>
              <w:right w:val="single" w:color="auto" w:sz="4" w:space="0"/>
            </w:tcBorders>
            <w:vAlign w:val="center"/>
          </w:tcPr>
          <w:p w14:paraId="68AA0A6F">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TSp</w:t>
            </w:r>
          </w:p>
        </w:tc>
        <w:tc>
          <w:tcPr>
            <w:tcW w:w="1766" w:type="dxa"/>
            <w:tcBorders>
              <w:top w:val="single" w:color="auto" w:sz="4" w:space="0"/>
              <w:left w:val="single" w:color="auto" w:sz="4" w:space="0"/>
              <w:bottom w:val="single" w:color="auto" w:sz="4" w:space="0"/>
              <w:right w:val="single" w:color="auto" w:sz="4" w:space="0"/>
            </w:tcBorders>
            <w:vAlign w:val="center"/>
          </w:tcPr>
          <w:p w14:paraId="16559B6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18.3</w:t>
            </w:r>
          </w:p>
        </w:tc>
        <w:tc>
          <w:tcPr>
            <w:tcW w:w="1297" w:type="dxa"/>
            <w:tcBorders>
              <w:top w:val="single" w:color="auto" w:sz="4" w:space="0"/>
              <w:left w:val="single" w:color="auto" w:sz="4" w:space="0"/>
              <w:bottom w:val="single" w:color="auto" w:sz="4" w:space="0"/>
              <w:right w:val="single" w:color="auto" w:sz="4" w:space="0"/>
            </w:tcBorders>
            <w:vAlign w:val="center"/>
          </w:tcPr>
          <w:p w14:paraId="29AEBA1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2.04</w:t>
            </w:r>
          </w:p>
        </w:tc>
        <w:tc>
          <w:tcPr>
            <w:tcW w:w="1343" w:type="dxa"/>
            <w:tcBorders>
              <w:top w:val="single" w:color="auto" w:sz="4" w:space="0"/>
              <w:left w:val="single" w:color="auto" w:sz="4" w:space="0"/>
              <w:bottom w:val="single" w:color="auto" w:sz="4" w:space="0"/>
              <w:right w:val="single" w:color="auto" w:sz="4" w:space="0"/>
            </w:tcBorders>
            <w:vAlign w:val="center"/>
          </w:tcPr>
          <w:p w14:paraId="192D1EDD">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w:t>
            </w:r>
          </w:p>
        </w:tc>
        <w:tc>
          <w:tcPr>
            <w:tcW w:w="1156" w:type="dxa"/>
            <w:tcBorders>
              <w:top w:val="single" w:color="auto" w:sz="4" w:space="0"/>
              <w:left w:val="single" w:color="auto" w:sz="4" w:space="0"/>
              <w:bottom w:val="single" w:color="auto" w:sz="4" w:space="0"/>
              <w:right w:val="single" w:color="auto" w:sz="4" w:space="0"/>
            </w:tcBorders>
            <w:vAlign w:val="center"/>
          </w:tcPr>
          <w:p w14:paraId="1843409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二级</w:t>
            </w:r>
          </w:p>
        </w:tc>
      </w:tr>
    </w:tbl>
    <w:p w14:paraId="08A102E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综合以上分析，本项目Pmax=</w:t>
      </w:r>
      <w:r>
        <w:rPr>
          <w:rFonts w:hint="eastAsia"/>
          <w:color w:val="000000" w:themeColor="text1"/>
          <w:highlight w:val="none"/>
          <w14:textFill>
            <w14:solidFill>
              <w14:schemeClr w14:val="tx1"/>
            </w14:solidFill>
          </w14:textFill>
        </w:rPr>
        <w:t>9.</w:t>
      </w:r>
      <w:r>
        <w:rPr>
          <w:rFonts w:hint="eastAsia"/>
          <w:color w:val="000000" w:themeColor="text1"/>
          <w:highlight w:val="none"/>
          <w:lang w:val="en-US" w:eastAsia="zh-CN"/>
          <w14:textFill>
            <w14:solidFill>
              <w14:schemeClr w14:val="tx1"/>
            </w14:solidFill>
          </w14:textFill>
        </w:rPr>
        <w:t>81</w:t>
      </w:r>
      <w:r>
        <w:rPr>
          <w:color w:val="000000" w:themeColor="text1"/>
          <w:highlight w:val="none"/>
          <w14:textFill>
            <w14:solidFill>
              <w14:schemeClr w14:val="tx1"/>
            </w14:solidFill>
          </w14:textFill>
        </w:rPr>
        <w:t>%&lt;10%，根据《环境影响评价技术导则 大气环境》(HJ2.2-2018)分级判据，确定本项目大气环境影响评价工作等级为二级。</w:t>
      </w:r>
    </w:p>
    <w:p w14:paraId="27F8A0E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"2.7.1.2"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6</w:t>
      </w:r>
      <w:r>
        <w:rPr>
          <w:b/>
          <w:bCs/>
          <w:color w:val="000000" w:themeColor="text1"/>
          <w:highlight w:val="none"/>
          <w14:textFill>
            <w14:solidFill>
              <w14:schemeClr w14:val="tx1"/>
            </w14:solidFill>
          </w14:textFill>
        </w:rPr>
        <w:t>.1.2</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评价范围</w:t>
      </w:r>
    </w:p>
    <w:p w14:paraId="6BF92E04">
      <w:pPr>
        <w:ind w:firstLine="480" w:firstLineChars="200"/>
        <w:rPr>
          <w:color w:val="000000" w:themeColor="text1"/>
          <w:highlight w:val="none"/>
          <w14:textFill>
            <w14:solidFill>
              <w14:schemeClr w14:val="tx1"/>
            </w14:solidFill>
          </w14:textFill>
        </w:rPr>
      </w:pPr>
      <w:bookmarkStart w:id="46" w:name="_Toc31127"/>
      <w:r>
        <w:rPr>
          <w:rFonts w:hint="eastAsia"/>
          <w:color w:val="000000" w:themeColor="text1"/>
          <w:highlight w:val="none"/>
          <w14:textFill>
            <w14:solidFill>
              <w14:schemeClr w14:val="tx1"/>
            </w14:solidFill>
          </w14:textFill>
        </w:rPr>
        <w:t>以场址为中心区域边长</w:t>
      </w:r>
      <w:r>
        <w:rPr>
          <w:color w:val="000000" w:themeColor="text1"/>
          <w:highlight w:val="none"/>
          <w14:textFill>
            <w14:solidFill>
              <w14:schemeClr w14:val="tx1"/>
            </w14:solidFill>
          </w14:textFill>
        </w:rPr>
        <w:t>5.0km</w:t>
      </w:r>
      <w:r>
        <w:rPr>
          <w:rFonts w:hint="eastAsia"/>
          <w:color w:val="000000" w:themeColor="text1"/>
          <w:highlight w:val="none"/>
          <w14:textFill>
            <w14:solidFill>
              <w14:schemeClr w14:val="tx1"/>
            </w14:solidFill>
          </w14:textFill>
        </w:rPr>
        <w:t>的矩形区域。大气评价范围见附图2.6-1。</w:t>
      </w:r>
    </w:p>
    <w:p w14:paraId="4A35ADBE">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.2地表水环境</w:t>
      </w:r>
      <w:bookmarkEnd w:id="46"/>
    </w:p>
    <w:p w14:paraId="0F79CB2A">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本项目粪污水采用《畜禽粪污资源化利用行动方案》（</w:t>
      </w:r>
      <w:r>
        <w:rPr>
          <w:rFonts w:cs="Times New Roman"/>
          <w:color w:val="000000" w:themeColor="text1"/>
          <w:highlight w:val="none"/>
          <w:lang w:bidi="ar"/>
          <w14:textFill>
            <w14:solidFill>
              <w14:schemeClr w14:val="tx1"/>
            </w14:solidFill>
          </w14:textFill>
        </w:rPr>
        <w:t>2017-2020</w:t>
      </w:r>
      <w:r>
        <w:rPr>
          <w:rFonts w:hint="eastAsia" w:ascii="宋体" w:hAnsi="宋体"/>
          <w:color w:val="000000" w:themeColor="text1"/>
          <w:highlight w:val="none"/>
          <w:lang w:bidi="ar"/>
          <w14:textFill>
            <w14:solidFill>
              <w14:schemeClr w14:val="tx1"/>
            </w14:solidFill>
          </w14:textFill>
        </w:rPr>
        <w:t>）推荐的“水肥料化利用”模式，粪污水最终经过“固液分离＋</w:t>
      </w:r>
      <w:r>
        <w:rPr>
          <w:rFonts w:hint="eastAsia" w:ascii="宋体" w:hAnsi="宋体"/>
          <w:color w:val="000000" w:themeColor="text1"/>
          <w:highlight w:val="none"/>
          <w:lang w:eastAsia="zh-CN" w:bidi="ar"/>
          <w14:textFill>
            <w14:solidFill>
              <w14:schemeClr w14:val="tx1"/>
            </w14:solidFill>
          </w14:textFill>
        </w:rPr>
        <w:t>厌氧发酵</w:t>
      </w:r>
      <w:r>
        <w:rPr>
          <w:rFonts w:hint="eastAsia" w:ascii="宋体" w:hAnsi="宋体"/>
          <w:color w:val="000000" w:themeColor="text1"/>
          <w:highlight w:val="none"/>
          <w:lang w:bidi="ar"/>
          <w14:textFill>
            <w14:solidFill>
              <w14:schemeClr w14:val="tx1"/>
            </w14:solidFill>
          </w14:textFill>
        </w:rPr>
        <w:t>”污水处理工艺处理后，产生的废水可以达到无害化标准要求，用于灌溉周边农田，种养结合，非灌溉期在场区</w:t>
      </w:r>
      <w:r>
        <w:rPr>
          <w:rFonts w:hint="eastAsia" w:ascii="宋体" w:hAnsi="宋体"/>
          <w:color w:val="000000" w:themeColor="text1"/>
          <w:highlight w:val="none"/>
          <w:lang w:eastAsia="zh-CN" w:bidi="ar"/>
          <w14:textFill>
            <w14:solidFill>
              <w14:schemeClr w14:val="tx1"/>
            </w14:solidFill>
          </w14:textFill>
        </w:rPr>
        <w:t>黑膜池</w:t>
      </w:r>
      <w:r>
        <w:rPr>
          <w:rFonts w:hint="eastAsia" w:ascii="宋体" w:hAnsi="宋体"/>
          <w:color w:val="000000" w:themeColor="text1"/>
          <w:highlight w:val="none"/>
          <w:lang w:bidi="ar"/>
          <w14:textFill>
            <w14:solidFill>
              <w14:schemeClr w14:val="tx1"/>
            </w14:solidFill>
          </w14:textFill>
        </w:rPr>
        <w:t>对废水进行储存，不排入地表水体。因此本项目地表水按三级</w:t>
      </w:r>
      <w:r>
        <w:rPr>
          <w:rFonts w:cs="Times New Roman"/>
          <w:color w:val="000000" w:themeColor="text1"/>
          <w:highlight w:val="none"/>
          <w:lang w:bidi="ar"/>
          <w14:textFill>
            <w14:solidFill>
              <w14:schemeClr w14:val="tx1"/>
            </w14:solidFill>
          </w14:textFill>
        </w:rPr>
        <w:t>B</w:t>
      </w:r>
      <w:r>
        <w:rPr>
          <w:rFonts w:hint="eastAsia" w:ascii="宋体" w:hAnsi="宋体"/>
          <w:color w:val="000000" w:themeColor="text1"/>
          <w:highlight w:val="none"/>
          <w:lang w:bidi="ar"/>
          <w14:textFill>
            <w14:solidFill>
              <w14:schemeClr w14:val="tx1"/>
            </w14:solidFill>
          </w14:textFill>
        </w:rPr>
        <w:t>评价。</w:t>
      </w:r>
    </w:p>
    <w:p w14:paraId="231F329B">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参照《环境影响评价技术导则地表水环境》（</w:t>
      </w:r>
      <w:r>
        <w:rPr>
          <w:rFonts w:cs="Times New Roman"/>
          <w:color w:val="000000" w:themeColor="text1"/>
          <w:highlight w:val="none"/>
          <w:lang w:bidi="ar"/>
          <w14:textFill>
            <w14:solidFill>
              <w14:schemeClr w14:val="tx1"/>
            </w14:solidFill>
          </w14:textFill>
        </w:rPr>
        <w:t>HJ2.3-2018</w:t>
      </w:r>
      <w:r>
        <w:rPr>
          <w:rFonts w:hint="eastAsia" w:ascii="宋体" w:hAnsi="宋体"/>
          <w:color w:val="000000" w:themeColor="text1"/>
          <w:highlight w:val="none"/>
          <w:lang w:bidi="ar"/>
          <w14:textFill>
            <w14:solidFill>
              <w14:schemeClr w14:val="tx1"/>
            </w14:solidFill>
          </w14:textFill>
        </w:rPr>
        <w:t>）中地表水环境影响评价范围要求，根据评价等级、工程特点、影响方式及程度、地表水环境质量管理要求等确定。项目运营期间生活污水、生产废水不外排。因此，本项目地表水评价不设评价范围，重点分析项目生产废水、生活污水的处理及去向等的可行性。</w:t>
      </w:r>
    </w:p>
    <w:p w14:paraId="2F13AE78">
      <w:pPr>
        <w:pStyle w:val="4"/>
        <w:rPr>
          <w:color w:val="000000" w:themeColor="text1"/>
          <w:highlight w:val="none"/>
          <w14:textFill>
            <w14:solidFill>
              <w14:schemeClr w14:val="tx1"/>
            </w14:solidFill>
          </w14:textFill>
        </w:rPr>
      </w:pPr>
      <w:bookmarkStart w:id="47" w:name="_Toc22828"/>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.3地下水环境</w:t>
      </w:r>
      <w:bookmarkEnd w:id="47"/>
    </w:p>
    <w:p w14:paraId="1DA016A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"2.7.3.1"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6</w:t>
      </w:r>
      <w:r>
        <w:rPr>
          <w:b/>
          <w:bCs/>
          <w:color w:val="000000" w:themeColor="text1"/>
          <w:highlight w:val="none"/>
          <w14:textFill>
            <w14:solidFill>
              <w14:schemeClr w14:val="tx1"/>
            </w14:solidFill>
          </w14:textFill>
        </w:rPr>
        <w:t>.3.1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评价工作等级</w:t>
      </w:r>
    </w:p>
    <w:p w14:paraId="6E75F51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地下水环境》（HJ610-2016）中地下水环境影响评价工作等级划分的依据，确定本项目地下水</w:t>
      </w:r>
      <w:r>
        <w:rPr>
          <w:rFonts w:hint="eastAsia"/>
          <w:color w:val="000000" w:themeColor="text1"/>
          <w:highlight w:val="none"/>
          <w14:textFill>
            <w14:solidFill>
              <w14:schemeClr w14:val="tx1"/>
            </w14:solidFill>
          </w14:textFill>
        </w:rPr>
        <w:t>环境影响</w:t>
      </w:r>
      <w:r>
        <w:rPr>
          <w:color w:val="000000" w:themeColor="text1"/>
          <w:highlight w:val="none"/>
          <w14:textFill>
            <w14:solidFill>
              <w14:schemeClr w14:val="tx1"/>
            </w14:solidFill>
          </w14:textFill>
        </w:rPr>
        <w:t>评价工作等级为三级。</w:t>
      </w:r>
    </w:p>
    <w:p w14:paraId="06A65BD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（1）地下水环境影响评价项目类别</w:t>
      </w:r>
    </w:p>
    <w:p w14:paraId="430DBD9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地下水环境》（HJ610-2016）附录A，本项目行业类别为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畜禽养殖场、养殖小区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，环评类别为报告书，地下水环境影响评价项目类别为Ⅲ类。</w:t>
      </w:r>
    </w:p>
    <w:p w14:paraId="5B86BB4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（2）建设项目场地的地下水环境敏感程度</w:t>
      </w:r>
    </w:p>
    <w:p w14:paraId="7CC2400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项目不在饮用水源保护区范围和水源地的补给径流区内，亦不在特殊地下水资源保护区和保护区外的分布区及分散居民饮用水源等环境敏感区。因此，项目所在区域地下水环境敏感程度为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不敏感</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。见表2.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p>
    <w:p w14:paraId="2E8FC59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5</w:t>
      </w:r>
      <w:r>
        <w:rPr>
          <w:b/>
          <w:bCs/>
          <w:color w:val="000000" w:themeColor="text1"/>
          <w:sz w:val="21"/>
          <w:szCs w:val="21"/>
          <w:highlight w:val="none"/>
          <w14:textFill>
            <w14:solidFill>
              <w14:schemeClr w14:val="tx1"/>
            </w14:solidFill>
          </w14:textFill>
        </w:rPr>
        <w:t xml:space="preserve">  地下水环境敏感程度分级表</w:t>
      </w:r>
    </w:p>
    <w:tbl>
      <w:tblPr>
        <w:tblStyle w:val="58"/>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0"/>
        <w:gridCol w:w="7039"/>
      </w:tblGrid>
      <w:tr w14:paraId="2E9C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10" w:type="dxa"/>
            <w:vAlign w:val="center"/>
          </w:tcPr>
          <w:p w14:paraId="7C0D9FB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敏感程度</w:t>
            </w:r>
          </w:p>
        </w:tc>
        <w:tc>
          <w:tcPr>
            <w:tcW w:w="7039" w:type="dxa"/>
            <w:vAlign w:val="center"/>
          </w:tcPr>
          <w:p w14:paraId="6AFA876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地下水环境敏感特征</w:t>
            </w:r>
          </w:p>
        </w:tc>
      </w:tr>
      <w:tr w14:paraId="3738A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210" w:type="dxa"/>
            <w:vAlign w:val="center"/>
          </w:tcPr>
          <w:p w14:paraId="0DD73E5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敏感</w:t>
            </w:r>
          </w:p>
        </w:tc>
        <w:tc>
          <w:tcPr>
            <w:tcW w:w="7039" w:type="dxa"/>
            <w:vAlign w:val="center"/>
          </w:tcPr>
          <w:p w14:paraId="2B77B70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1C13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 w:hRule="atLeast"/>
          <w:jc w:val="center"/>
        </w:trPr>
        <w:tc>
          <w:tcPr>
            <w:tcW w:w="1210" w:type="dxa"/>
            <w:vAlign w:val="center"/>
          </w:tcPr>
          <w:p w14:paraId="3AA541B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较敏感</w:t>
            </w:r>
          </w:p>
        </w:tc>
        <w:tc>
          <w:tcPr>
            <w:tcW w:w="7039" w:type="dxa"/>
            <w:vAlign w:val="center"/>
          </w:tcPr>
          <w:p w14:paraId="631725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如矿泉水、温泉等）保护区以外的分布区等其他未列入上述敏感分级的环 境敏感区。</w:t>
            </w:r>
          </w:p>
        </w:tc>
      </w:tr>
      <w:tr w14:paraId="0D3F2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3" w:hRule="atLeast"/>
          <w:jc w:val="center"/>
        </w:trPr>
        <w:tc>
          <w:tcPr>
            <w:tcW w:w="1210" w:type="dxa"/>
            <w:vAlign w:val="center"/>
          </w:tcPr>
          <w:p w14:paraId="7E0C2F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不敏感</w:t>
            </w:r>
          </w:p>
        </w:tc>
        <w:tc>
          <w:tcPr>
            <w:tcW w:w="7039" w:type="dxa"/>
            <w:vAlign w:val="center"/>
          </w:tcPr>
          <w:p w14:paraId="58447E9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上述地区之外的其它地区。</w:t>
            </w:r>
          </w:p>
        </w:tc>
      </w:tr>
      <w:tr w14:paraId="7371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249" w:type="dxa"/>
            <w:gridSpan w:val="2"/>
            <w:vAlign w:val="center"/>
          </w:tcPr>
          <w:p w14:paraId="1AE4F64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注：</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环境敏感区</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是指《建设项目环境影响评价分类管理名录》中所界定的涉及地下水的环境敏感区。</w:t>
            </w:r>
          </w:p>
        </w:tc>
      </w:tr>
    </w:tbl>
    <w:p w14:paraId="32E2CA7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（3）评价等级确定</w:t>
      </w:r>
    </w:p>
    <w:p w14:paraId="358120D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地下水环境》（HJ610-2016）中6.2中表2评价工作等级表，本项目行业分类(Ⅲ类）和地下水环境敏感程度分级（不敏感），确定本项目地下水环境影响评价工作等级为三级。</w:t>
      </w:r>
    </w:p>
    <w:p w14:paraId="665B781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 xml:space="preserve">  评价工作等级分级表</w:t>
      </w:r>
    </w:p>
    <w:tbl>
      <w:tblPr>
        <w:tblStyle w:val="58"/>
        <w:tblW w:w="83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54"/>
        <w:gridCol w:w="2127"/>
        <w:gridCol w:w="2024"/>
        <w:gridCol w:w="1997"/>
      </w:tblGrid>
      <w:tr w14:paraId="2E62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0" w:hRule="atLeast"/>
          <w:jc w:val="center"/>
        </w:trPr>
        <w:tc>
          <w:tcPr>
            <w:tcW w:w="2154" w:type="dxa"/>
            <w:tcBorders>
              <w:tl2br w:val="single" w:color="000000" w:sz="6" w:space="0"/>
            </w:tcBorders>
          </w:tcPr>
          <w:p w14:paraId="19BE085C">
            <w:pPr>
              <w:spacing w:line="240" w:lineRule="auto"/>
              <w:ind w:firstLine="843" w:firstLineChars="400"/>
              <w:jc w:val="both"/>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 xml:space="preserve">项目类别 </w:t>
            </w:r>
          </w:p>
          <w:p w14:paraId="42A277E9">
            <w:pPr>
              <w:spacing w:line="240" w:lineRule="auto"/>
              <w:jc w:val="both"/>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环境敏感程度</w:t>
            </w:r>
          </w:p>
        </w:tc>
        <w:tc>
          <w:tcPr>
            <w:tcW w:w="2127" w:type="dxa"/>
          </w:tcPr>
          <w:p w14:paraId="25DC907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Ⅰ类项目</w:t>
            </w:r>
          </w:p>
        </w:tc>
        <w:tc>
          <w:tcPr>
            <w:tcW w:w="2024" w:type="dxa"/>
          </w:tcPr>
          <w:p w14:paraId="02E9DF8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Ⅱ类项目</w:t>
            </w:r>
          </w:p>
        </w:tc>
        <w:tc>
          <w:tcPr>
            <w:tcW w:w="1997" w:type="dxa"/>
          </w:tcPr>
          <w:p w14:paraId="306330B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Ⅲ类项目</w:t>
            </w:r>
          </w:p>
        </w:tc>
      </w:tr>
      <w:tr w14:paraId="76587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9" w:hRule="atLeast"/>
          <w:jc w:val="center"/>
        </w:trPr>
        <w:tc>
          <w:tcPr>
            <w:tcW w:w="2154" w:type="dxa"/>
          </w:tcPr>
          <w:p w14:paraId="3605F76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敏感</w:t>
            </w:r>
          </w:p>
        </w:tc>
        <w:tc>
          <w:tcPr>
            <w:tcW w:w="2127" w:type="dxa"/>
          </w:tcPr>
          <w:p w14:paraId="134F5F3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w:t>
            </w:r>
          </w:p>
        </w:tc>
        <w:tc>
          <w:tcPr>
            <w:tcW w:w="2024" w:type="dxa"/>
          </w:tcPr>
          <w:p w14:paraId="2127FC1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w:t>
            </w:r>
          </w:p>
        </w:tc>
        <w:tc>
          <w:tcPr>
            <w:tcW w:w="1997" w:type="dxa"/>
          </w:tcPr>
          <w:p w14:paraId="5C399BA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w:t>
            </w:r>
          </w:p>
        </w:tc>
      </w:tr>
      <w:tr w14:paraId="5AFA1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1" w:hRule="atLeast"/>
          <w:jc w:val="center"/>
        </w:trPr>
        <w:tc>
          <w:tcPr>
            <w:tcW w:w="2154" w:type="dxa"/>
          </w:tcPr>
          <w:p w14:paraId="6DBCAE1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较敏感</w:t>
            </w:r>
          </w:p>
        </w:tc>
        <w:tc>
          <w:tcPr>
            <w:tcW w:w="2127" w:type="dxa"/>
          </w:tcPr>
          <w:p w14:paraId="5AEE068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w:t>
            </w:r>
          </w:p>
        </w:tc>
        <w:tc>
          <w:tcPr>
            <w:tcW w:w="2024" w:type="dxa"/>
          </w:tcPr>
          <w:p w14:paraId="2CC140C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w:t>
            </w:r>
          </w:p>
        </w:tc>
        <w:tc>
          <w:tcPr>
            <w:tcW w:w="1997" w:type="dxa"/>
          </w:tcPr>
          <w:p w14:paraId="18BD321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w:t>
            </w:r>
          </w:p>
        </w:tc>
      </w:tr>
      <w:tr w14:paraId="1BEA6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2154" w:type="dxa"/>
          </w:tcPr>
          <w:p w14:paraId="235BA5F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不敏感</w:t>
            </w:r>
          </w:p>
        </w:tc>
        <w:tc>
          <w:tcPr>
            <w:tcW w:w="2127" w:type="dxa"/>
          </w:tcPr>
          <w:p w14:paraId="43EA60D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w:t>
            </w:r>
          </w:p>
        </w:tc>
        <w:tc>
          <w:tcPr>
            <w:tcW w:w="2024" w:type="dxa"/>
          </w:tcPr>
          <w:p w14:paraId="50B7AE8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w:t>
            </w:r>
          </w:p>
        </w:tc>
        <w:tc>
          <w:tcPr>
            <w:tcW w:w="1997" w:type="dxa"/>
          </w:tcPr>
          <w:p w14:paraId="35D598E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w:t>
            </w:r>
          </w:p>
        </w:tc>
      </w:tr>
    </w:tbl>
    <w:p w14:paraId="6A2DC1F5">
      <w:pPr>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fldChar w:fldCharType="begin"/>
      </w:r>
      <w:r>
        <w:rPr>
          <w:b/>
          <w:bCs/>
          <w:color w:val="000000" w:themeColor="text1"/>
          <w:highlight w:val="none"/>
          <w14:textFill>
            <w14:solidFill>
              <w14:schemeClr w14:val="tx1"/>
            </w14:solidFill>
          </w14:textFill>
        </w:rPr>
        <w:instrText xml:space="preserve"> HYPERLINK "2.7.3.2" </w:instrText>
      </w:r>
      <w:r>
        <w:rPr>
          <w:b/>
          <w:bCs/>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2.</w:t>
      </w:r>
      <w:r>
        <w:rPr>
          <w:rFonts w:hint="eastAsia"/>
          <w:b/>
          <w:bCs/>
          <w:color w:val="000000" w:themeColor="text1"/>
          <w:highlight w:val="none"/>
          <w:lang w:val="en-US" w:eastAsia="zh-CN"/>
          <w14:textFill>
            <w14:solidFill>
              <w14:schemeClr w14:val="tx1"/>
            </w14:solidFill>
          </w14:textFill>
        </w:rPr>
        <w:t>6</w:t>
      </w:r>
      <w:r>
        <w:rPr>
          <w:b/>
          <w:bCs/>
          <w:color w:val="000000" w:themeColor="text1"/>
          <w:highlight w:val="none"/>
          <w14:textFill>
            <w14:solidFill>
              <w14:schemeClr w14:val="tx1"/>
            </w14:solidFill>
          </w14:textFill>
        </w:rPr>
        <w:t>.3.2</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 xml:space="preserve"> 评价范围</w:t>
      </w:r>
    </w:p>
    <w:p w14:paraId="10F1A0A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本次评价地下水评价范围通过《环境影响评价技术导则 地下水环境》（HJ610-2016）查表法确定。地下水环境现状调查评价范围参照表见表2.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w:t>
      </w:r>
    </w:p>
    <w:p w14:paraId="138C2CD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7</w:t>
      </w:r>
      <w:r>
        <w:rPr>
          <w:b/>
          <w:bCs/>
          <w:color w:val="000000" w:themeColor="text1"/>
          <w:sz w:val="21"/>
          <w:szCs w:val="21"/>
          <w:highlight w:val="none"/>
          <w14:textFill>
            <w14:solidFill>
              <w14:schemeClr w14:val="tx1"/>
            </w14:solidFill>
          </w14:textFill>
        </w:rPr>
        <w:t xml:space="preserve">  地下水环境现状调查评价范围参照表</w:t>
      </w:r>
    </w:p>
    <w:tbl>
      <w:tblPr>
        <w:tblStyle w:val="58"/>
        <w:tblW w:w="80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393"/>
        <w:gridCol w:w="2570"/>
        <w:gridCol w:w="3101"/>
      </w:tblGrid>
      <w:tr w14:paraId="5C17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0" w:hRule="atLeast"/>
          <w:jc w:val="center"/>
        </w:trPr>
        <w:tc>
          <w:tcPr>
            <w:tcW w:w="2393" w:type="dxa"/>
            <w:vAlign w:val="center"/>
          </w:tcPr>
          <w:p w14:paraId="295AE22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评价等级</w:t>
            </w:r>
          </w:p>
        </w:tc>
        <w:tc>
          <w:tcPr>
            <w:tcW w:w="2570" w:type="dxa"/>
            <w:vAlign w:val="center"/>
          </w:tcPr>
          <w:p w14:paraId="52CA935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调查评价面积（km</w:t>
            </w:r>
            <w:r>
              <w:rPr>
                <w:b/>
                <w:bCs/>
                <w:color w:val="000000" w:themeColor="text1"/>
                <w:sz w:val="21"/>
                <w:szCs w:val="21"/>
                <w:highlight w:val="none"/>
                <w:vertAlign w:val="superscript"/>
                <w14:textFill>
                  <w14:solidFill>
                    <w14:schemeClr w14:val="tx1"/>
                  </w14:solidFill>
                </w14:textFill>
              </w:rPr>
              <w:t>2</w:t>
            </w:r>
            <w:r>
              <w:rPr>
                <w:b/>
                <w:bCs/>
                <w:color w:val="000000" w:themeColor="text1"/>
                <w:sz w:val="21"/>
                <w:szCs w:val="21"/>
                <w:highlight w:val="none"/>
                <w14:textFill>
                  <w14:solidFill>
                    <w14:schemeClr w14:val="tx1"/>
                  </w14:solidFill>
                </w14:textFill>
              </w:rPr>
              <w:t>）</w:t>
            </w:r>
          </w:p>
        </w:tc>
        <w:tc>
          <w:tcPr>
            <w:tcW w:w="3101" w:type="dxa"/>
            <w:vAlign w:val="center"/>
          </w:tcPr>
          <w:p w14:paraId="78EECCA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14:paraId="27BE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2393" w:type="dxa"/>
            <w:vAlign w:val="center"/>
          </w:tcPr>
          <w:p w14:paraId="64BF2B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p>
        </w:tc>
        <w:tc>
          <w:tcPr>
            <w:tcW w:w="2570" w:type="dxa"/>
            <w:vAlign w:val="center"/>
          </w:tcPr>
          <w:p w14:paraId="49C69DA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p>
        </w:tc>
        <w:tc>
          <w:tcPr>
            <w:tcW w:w="3101" w:type="dxa"/>
            <w:vMerge w:val="restart"/>
            <w:vAlign w:val="center"/>
          </w:tcPr>
          <w:p w14:paraId="362DCDD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应包括重要的地下水环境保护目 标，必要时适当扩大范围</w:t>
            </w:r>
          </w:p>
        </w:tc>
      </w:tr>
      <w:tr w14:paraId="63DC5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7" w:hRule="atLeast"/>
          <w:jc w:val="center"/>
        </w:trPr>
        <w:tc>
          <w:tcPr>
            <w:tcW w:w="2393" w:type="dxa"/>
            <w:vAlign w:val="center"/>
          </w:tcPr>
          <w:p w14:paraId="1D8AA4E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2570" w:type="dxa"/>
            <w:vAlign w:val="center"/>
          </w:tcPr>
          <w:p w14:paraId="3C74F3B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6-20</w:t>
            </w:r>
          </w:p>
        </w:tc>
        <w:tc>
          <w:tcPr>
            <w:tcW w:w="3101" w:type="dxa"/>
            <w:vMerge w:val="continue"/>
            <w:vAlign w:val="center"/>
          </w:tcPr>
          <w:p w14:paraId="2BE6B0E0">
            <w:pPr>
              <w:spacing w:line="240" w:lineRule="auto"/>
              <w:jc w:val="center"/>
              <w:rPr>
                <w:color w:val="000000" w:themeColor="text1"/>
                <w:sz w:val="21"/>
                <w:szCs w:val="21"/>
                <w:highlight w:val="none"/>
                <w14:textFill>
                  <w14:solidFill>
                    <w14:schemeClr w14:val="tx1"/>
                  </w14:solidFill>
                </w14:textFill>
              </w:rPr>
            </w:pPr>
          </w:p>
        </w:tc>
      </w:tr>
      <w:tr w14:paraId="2765A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2393" w:type="dxa"/>
            <w:vAlign w:val="center"/>
          </w:tcPr>
          <w:p w14:paraId="5A57A5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2570" w:type="dxa"/>
            <w:vAlign w:val="center"/>
          </w:tcPr>
          <w:p w14:paraId="78C5C0B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3101" w:type="dxa"/>
            <w:vMerge w:val="continue"/>
            <w:vAlign w:val="center"/>
          </w:tcPr>
          <w:p w14:paraId="6433BF24">
            <w:pPr>
              <w:spacing w:line="240" w:lineRule="auto"/>
              <w:jc w:val="center"/>
              <w:rPr>
                <w:color w:val="000000" w:themeColor="text1"/>
                <w:sz w:val="21"/>
                <w:szCs w:val="21"/>
                <w:highlight w:val="none"/>
                <w14:textFill>
                  <w14:solidFill>
                    <w14:schemeClr w14:val="tx1"/>
                  </w14:solidFill>
                </w14:textFill>
              </w:rPr>
            </w:pPr>
          </w:p>
        </w:tc>
      </w:tr>
    </w:tbl>
    <w:p w14:paraId="61F090B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本项目地下水评价等级为三级，评价面积＜6km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，按地下水导则确定地下水评价范围，</w:t>
      </w:r>
      <w:r>
        <w:rPr>
          <w:rFonts w:hint="eastAsia"/>
          <w:color w:val="000000" w:themeColor="text1"/>
          <w:highlight w:val="none"/>
          <w14:textFill>
            <w14:solidFill>
              <w14:schemeClr w14:val="tx1"/>
            </w14:solidFill>
          </w14:textFill>
        </w:rPr>
        <w:t>拟定为厂区地下水区域上游</w:t>
      </w:r>
      <w:r>
        <w:rPr>
          <w:color w:val="000000" w:themeColor="text1"/>
          <w:highlight w:val="none"/>
          <w14:textFill>
            <w14:solidFill>
              <w14:schemeClr w14:val="tx1"/>
            </w14:solidFill>
          </w14:textFill>
        </w:rPr>
        <w:t>0.5km</w:t>
      </w:r>
      <w:r>
        <w:rPr>
          <w:rFonts w:hint="eastAsia"/>
          <w:color w:val="000000" w:themeColor="text1"/>
          <w:highlight w:val="none"/>
          <w14:textFill>
            <w14:solidFill>
              <w14:schemeClr w14:val="tx1"/>
            </w14:solidFill>
          </w14:textFill>
        </w:rPr>
        <w:t>，下游</w:t>
      </w:r>
      <w:r>
        <w:rPr>
          <w:color w:val="000000" w:themeColor="text1"/>
          <w:highlight w:val="none"/>
          <w14:textFill>
            <w14:solidFill>
              <w14:schemeClr w14:val="tx1"/>
            </w14:solidFill>
          </w14:textFill>
        </w:rPr>
        <w:t>2.5km</w:t>
      </w:r>
      <w:r>
        <w:rPr>
          <w:rFonts w:hint="eastAsia"/>
          <w:color w:val="000000" w:themeColor="text1"/>
          <w:highlight w:val="none"/>
          <w14:textFill>
            <w14:solidFill>
              <w14:schemeClr w14:val="tx1"/>
            </w14:solidFill>
          </w14:textFill>
        </w:rPr>
        <w:t>，两侧各</w:t>
      </w:r>
      <w:r>
        <w:rPr>
          <w:color w:val="000000" w:themeColor="text1"/>
          <w:highlight w:val="none"/>
          <w14:textFill>
            <w14:solidFill>
              <w14:schemeClr w14:val="tx1"/>
            </w14:solidFill>
          </w14:textFill>
        </w:rPr>
        <w:t>1km</w:t>
      </w:r>
      <w:r>
        <w:rPr>
          <w:rFonts w:hint="eastAsia"/>
          <w:color w:val="000000" w:themeColor="text1"/>
          <w:highlight w:val="none"/>
          <w14:textFill>
            <w14:solidFill>
              <w14:schemeClr w14:val="tx1"/>
            </w14:solidFill>
          </w14:textFill>
        </w:rPr>
        <w:t>的区域，评价范围面积</w:t>
      </w:r>
      <w:r>
        <w:rPr>
          <w:color w:val="000000" w:themeColor="text1"/>
          <w:highlight w:val="none"/>
          <w14:textFill>
            <w14:solidFill>
              <w14:schemeClr w14:val="tx1"/>
            </w14:solidFill>
          </w14:textFill>
        </w:rPr>
        <w:t>6km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。本项目地下水评价范围详见附图2.6-1。</w:t>
      </w:r>
    </w:p>
    <w:p w14:paraId="67DEC037">
      <w:pPr>
        <w:pStyle w:val="4"/>
        <w:rPr>
          <w:color w:val="000000" w:themeColor="text1"/>
          <w:highlight w:val="none"/>
          <w14:textFill>
            <w14:solidFill>
              <w14:schemeClr w14:val="tx1"/>
            </w14:solidFill>
          </w14:textFill>
        </w:rPr>
      </w:pPr>
      <w:bookmarkStart w:id="48" w:name="_Toc7727"/>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.4声环境</w:t>
      </w:r>
      <w:bookmarkEnd w:id="48"/>
    </w:p>
    <w:p w14:paraId="0203ACD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根据《声环境质量标准》（</w:t>
      </w:r>
      <w:r>
        <w:rPr>
          <w:color w:val="000000" w:themeColor="text1"/>
          <w:highlight w:val="none"/>
          <w14:textFill>
            <w14:solidFill>
              <w14:schemeClr w14:val="tx1"/>
            </w14:solidFill>
          </w14:textFill>
        </w:rPr>
        <w:t>GB3096-2008</w:t>
      </w:r>
      <w:r>
        <w:rPr>
          <w:rFonts w:hint="eastAsia"/>
          <w:color w:val="000000" w:themeColor="text1"/>
          <w:highlight w:val="none"/>
          <w14:textFill>
            <w14:solidFill>
              <w14:schemeClr w14:val="tx1"/>
            </w14:solidFill>
          </w14:textFill>
        </w:rPr>
        <w:t>）及《环境影响评价技术导则 声环境》（HJ 2.4-2021）的规定，项目区属于</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类功能区。运营期主要噪声源为猪叫声、水泵、风机等产生的噪声，评价范围内无敏感点分布，建设项目前后评价范围内敏感目标噪声增高量较小且受影响人口数量变化不大，本项目声环境评价等级为二级评价。</w:t>
      </w:r>
    </w:p>
    <w:p w14:paraId="2B55220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8</w:t>
      </w:r>
      <w:r>
        <w:rPr>
          <w:b/>
          <w:bCs/>
          <w:color w:val="000000" w:themeColor="text1"/>
          <w:sz w:val="21"/>
          <w:szCs w:val="21"/>
          <w:highlight w:val="none"/>
          <w14:textFill>
            <w14:solidFill>
              <w14:schemeClr w14:val="tx1"/>
            </w14:solidFill>
          </w14:textFill>
        </w:rPr>
        <w:t xml:space="preserve">  环境噪声影响评价工作等级判定依据表</w:t>
      </w:r>
    </w:p>
    <w:tbl>
      <w:tblPr>
        <w:tblStyle w:val="58"/>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54"/>
        <w:gridCol w:w="1484"/>
        <w:gridCol w:w="2565"/>
        <w:gridCol w:w="1946"/>
      </w:tblGrid>
      <w:tr w14:paraId="2A392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jc w:val="center"/>
        </w:trPr>
        <w:tc>
          <w:tcPr>
            <w:tcW w:w="2254" w:type="dxa"/>
          </w:tcPr>
          <w:p w14:paraId="123569E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评价等级</w:t>
            </w:r>
          </w:p>
        </w:tc>
        <w:tc>
          <w:tcPr>
            <w:tcW w:w="1484" w:type="dxa"/>
          </w:tcPr>
          <w:p w14:paraId="15F9FAD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声环境功能区</w:t>
            </w:r>
          </w:p>
        </w:tc>
        <w:tc>
          <w:tcPr>
            <w:tcW w:w="2565" w:type="dxa"/>
          </w:tcPr>
          <w:p w14:paraId="2C3C349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环境敏感目标噪声级增量</w:t>
            </w:r>
          </w:p>
        </w:tc>
        <w:tc>
          <w:tcPr>
            <w:tcW w:w="1946" w:type="dxa"/>
          </w:tcPr>
          <w:p w14:paraId="4DBA68C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影响人口数量变化</w:t>
            </w:r>
          </w:p>
        </w:tc>
      </w:tr>
      <w:tr w14:paraId="36DF5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2254" w:type="dxa"/>
          </w:tcPr>
          <w:p w14:paraId="7FF417E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p>
        </w:tc>
        <w:tc>
          <w:tcPr>
            <w:tcW w:w="1484" w:type="dxa"/>
          </w:tcPr>
          <w:p w14:paraId="32A097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0类</w:t>
            </w:r>
          </w:p>
        </w:tc>
        <w:tc>
          <w:tcPr>
            <w:tcW w:w="2565" w:type="dxa"/>
          </w:tcPr>
          <w:p w14:paraId="518AF74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&gt;5dB(A)</w:t>
            </w:r>
          </w:p>
        </w:tc>
        <w:tc>
          <w:tcPr>
            <w:tcW w:w="1946" w:type="dxa"/>
          </w:tcPr>
          <w:p w14:paraId="1A82DB8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显著增多</w:t>
            </w:r>
          </w:p>
        </w:tc>
      </w:tr>
      <w:tr w14:paraId="43C2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2254" w:type="dxa"/>
          </w:tcPr>
          <w:p w14:paraId="7835D15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1484" w:type="dxa"/>
          </w:tcPr>
          <w:p w14:paraId="663D9BE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1类2类</w:t>
            </w:r>
          </w:p>
        </w:tc>
        <w:tc>
          <w:tcPr>
            <w:tcW w:w="2565" w:type="dxa"/>
          </w:tcPr>
          <w:p w14:paraId="595F3B5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≥3dB(A)≤5dB(A)</w:t>
            </w:r>
          </w:p>
        </w:tc>
        <w:tc>
          <w:tcPr>
            <w:tcW w:w="1946" w:type="dxa"/>
          </w:tcPr>
          <w:p w14:paraId="3BBC802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较多</w:t>
            </w:r>
          </w:p>
        </w:tc>
      </w:tr>
      <w:tr w14:paraId="436D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2254" w:type="dxa"/>
          </w:tcPr>
          <w:p w14:paraId="1120A95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1484" w:type="dxa"/>
          </w:tcPr>
          <w:p w14:paraId="201BB1E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3类4类</w:t>
            </w:r>
          </w:p>
        </w:tc>
        <w:tc>
          <w:tcPr>
            <w:tcW w:w="2565" w:type="dxa"/>
          </w:tcPr>
          <w:p w14:paraId="2B2FAF4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&lt;3dB(A)</w:t>
            </w:r>
          </w:p>
        </w:tc>
        <w:tc>
          <w:tcPr>
            <w:tcW w:w="1946" w:type="dxa"/>
          </w:tcPr>
          <w:p w14:paraId="60F269D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不大</w:t>
            </w:r>
          </w:p>
        </w:tc>
      </w:tr>
      <w:tr w14:paraId="47FF7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2254" w:type="dxa"/>
          </w:tcPr>
          <w:p w14:paraId="0D240F6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w:t>
            </w:r>
          </w:p>
        </w:tc>
        <w:tc>
          <w:tcPr>
            <w:tcW w:w="1484" w:type="dxa"/>
          </w:tcPr>
          <w:p w14:paraId="77B9EE5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2类</w:t>
            </w:r>
          </w:p>
        </w:tc>
        <w:tc>
          <w:tcPr>
            <w:tcW w:w="2565" w:type="dxa"/>
          </w:tcPr>
          <w:p w14:paraId="02C93F6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&lt;3dB</w:t>
            </w:r>
          </w:p>
        </w:tc>
        <w:tc>
          <w:tcPr>
            <w:tcW w:w="1946" w:type="dxa"/>
          </w:tcPr>
          <w:p w14:paraId="2EA84A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w:t>
            </w:r>
          </w:p>
        </w:tc>
      </w:tr>
      <w:tr w14:paraId="3EF44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2254" w:type="dxa"/>
          </w:tcPr>
          <w:p w14:paraId="4C37E2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单独评价等级</w:t>
            </w:r>
          </w:p>
        </w:tc>
        <w:tc>
          <w:tcPr>
            <w:tcW w:w="1484" w:type="dxa"/>
          </w:tcPr>
          <w:p w14:paraId="3A03107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2565" w:type="dxa"/>
          </w:tcPr>
          <w:p w14:paraId="5FEDD0E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1946" w:type="dxa"/>
          </w:tcPr>
          <w:p w14:paraId="12B17C0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r>
      <w:tr w14:paraId="47EFE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jc w:val="center"/>
        </w:trPr>
        <w:tc>
          <w:tcPr>
            <w:tcW w:w="2254" w:type="dxa"/>
          </w:tcPr>
          <w:p w14:paraId="3D839F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项目评价工作等级确定</w:t>
            </w:r>
          </w:p>
        </w:tc>
        <w:tc>
          <w:tcPr>
            <w:tcW w:w="5995" w:type="dxa"/>
            <w:gridSpan w:val="3"/>
          </w:tcPr>
          <w:p w14:paraId="39B4539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bl>
    <w:p w14:paraId="635EA0F3">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本项目区周围无声环境敏感目标，因此本项目声环境评价范围为厂界外</w:t>
      </w:r>
      <w:r>
        <w:rPr>
          <w:rFonts w:cs="Times New Roman"/>
          <w:color w:val="000000" w:themeColor="text1"/>
          <w:highlight w:val="none"/>
          <w:lang w:bidi="ar"/>
          <w14:textFill>
            <w14:solidFill>
              <w14:schemeClr w14:val="tx1"/>
            </w14:solidFill>
          </w14:textFill>
        </w:rPr>
        <w:t>200m</w:t>
      </w:r>
      <w:r>
        <w:rPr>
          <w:rFonts w:hint="eastAsia" w:ascii="宋体" w:hAnsi="宋体"/>
          <w:color w:val="000000" w:themeColor="text1"/>
          <w:highlight w:val="none"/>
          <w:lang w:bidi="ar"/>
          <w14:textFill>
            <w14:solidFill>
              <w14:schemeClr w14:val="tx1"/>
            </w14:solidFill>
          </w14:textFill>
        </w:rPr>
        <w:t>范围。</w:t>
      </w:r>
      <w:r>
        <w:rPr>
          <w:rFonts w:hint="eastAsia"/>
          <w:color w:val="000000" w:themeColor="text1"/>
          <w:highlight w:val="none"/>
          <w14:textFill>
            <w14:solidFill>
              <w14:schemeClr w14:val="tx1"/>
            </w14:solidFill>
          </w14:textFill>
        </w:rPr>
        <w:t>本项目声环境评价范围详见附图2.6-1。</w:t>
      </w:r>
    </w:p>
    <w:p w14:paraId="0AB3B13A">
      <w:pPr>
        <w:pStyle w:val="4"/>
        <w:rPr>
          <w:color w:val="000000" w:themeColor="text1"/>
          <w:highlight w:val="none"/>
          <w14:textFill>
            <w14:solidFill>
              <w14:schemeClr w14:val="tx1"/>
            </w14:solidFill>
          </w14:textFill>
        </w:rPr>
      </w:pPr>
      <w:bookmarkStart w:id="49" w:name="_Toc7189"/>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.5生态环境影响评价工作等级</w:t>
      </w:r>
      <w:bookmarkEnd w:id="49"/>
    </w:p>
    <w:p w14:paraId="5C31F542">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根据《环境影响评价技术导则 生态影响》（</w:t>
      </w:r>
      <w:r>
        <w:rPr>
          <w:color w:val="000000" w:themeColor="text1"/>
          <w:highlight w:val="none"/>
          <w14:textFill>
            <w14:solidFill>
              <w14:schemeClr w14:val="tx1"/>
            </w14:solidFill>
          </w14:textFill>
        </w:rPr>
        <w:t>HJ1.9-2022</w:t>
      </w:r>
      <w:r>
        <w:rPr>
          <w:rFonts w:hint="eastAsia"/>
          <w:color w:val="000000" w:themeColor="text1"/>
          <w:highlight w:val="none"/>
          <w14:textFill>
            <w14:solidFill>
              <w14:schemeClr w14:val="tx1"/>
            </w14:solidFill>
          </w14:textFill>
        </w:rPr>
        <w:t>），确定生态环境评价工作等级。生态影响评价工作等级划分如下原则确定：</w:t>
      </w:r>
    </w:p>
    <w:p w14:paraId="70E05DC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）涉及国家公园、自然保护区、世界自然遗产、重要生境时，评价等级为一级；</w:t>
      </w:r>
    </w:p>
    <w:p w14:paraId="0A6FD4D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w:t>
      </w:r>
      <w:r>
        <w:rPr>
          <w:rFonts w:hint="eastAsia"/>
          <w:color w:val="000000" w:themeColor="text1"/>
          <w:highlight w:val="none"/>
          <w14:textFill>
            <w14:solidFill>
              <w14:schemeClr w14:val="tx1"/>
            </w14:solidFill>
          </w14:textFill>
        </w:rPr>
        <w:t>）涉及自然公园时，评价等级为二级；</w:t>
      </w:r>
    </w:p>
    <w:p w14:paraId="3EDCD8B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w:t>
      </w:r>
      <w:r>
        <w:rPr>
          <w:rFonts w:hint="eastAsia"/>
          <w:color w:val="000000" w:themeColor="text1"/>
          <w:highlight w:val="none"/>
          <w14:textFill>
            <w14:solidFill>
              <w14:schemeClr w14:val="tx1"/>
            </w14:solidFill>
          </w14:textFill>
        </w:rPr>
        <w:t>）涉及生态保护红线时，评价等级不低于二级：</w:t>
      </w:r>
    </w:p>
    <w:p w14:paraId="137B531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）根据HJ 2.3-2018判断属于水文要素影响型且地表水评价等级不低于二级的建设项目，生态影响评价等级不低于二级；</w:t>
      </w:r>
    </w:p>
    <w:p w14:paraId="7B03434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w:t>
      </w:r>
      <w:r>
        <w:rPr>
          <w:rFonts w:hint="eastAsia"/>
          <w:color w:val="000000" w:themeColor="text1"/>
          <w:highlight w:val="none"/>
          <w14:textFill>
            <w14:solidFill>
              <w14:schemeClr w14:val="tx1"/>
            </w14:solidFill>
          </w14:textFill>
        </w:rPr>
        <w:t>）根据HJ 610-2016、HJ 964-2018判断地下水水位或土壤影响范围内分布有天然林、公益林、湿地等生态保护目标的建设项目，生态影响评价等级不低于二级；</w:t>
      </w:r>
    </w:p>
    <w:p w14:paraId="2F33BF7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f</w:t>
      </w:r>
      <w:r>
        <w:rPr>
          <w:rFonts w:hint="eastAsia"/>
          <w:color w:val="000000" w:themeColor="text1"/>
          <w:highlight w:val="none"/>
          <w14:textFill>
            <w14:solidFill>
              <w14:schemeClr w14:val="tx1"/>
            </w14:solidFill>
          </w14:textFill>
        </w:rPr>
        <w:t>）当工程占地规模大于</w:t>
      </w:r>
      <w:r>
        <w:rPr>
          <w:color w:val="000000" w:themeColor="text1"/>
          <w:highlight w:val="none"/>
          <w14:textFill>
            <w14:solidFill>
              <w14:schemeClr w14:val="tx1"/>
            </w14:solidFill>
          </w14:textFill>
        </w:rPr>
        <w:t>20km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时（包括永久和临时占用陆域和水域），评价等级不低于二级：改扩建项目的占地范围以新增占地（包括陆域和水域）确定；</w:t>
      </w:r>
    </w:p>
    <w:p w14:paraId="27FBF96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w:t>
      </w:r>
      <w:r>
        <w:rPr>
          <w:rFonts w:hint="eastAsia"/>
          <w:color w:val="000000" w:themeColor="text1"/>
          <w:highlight w:val="none"/>
          <w14:textFill>
            <w14:solidFill>
              <w14:schemeClr w14:val="tx1"/>
            </w14:solidFill>
          </w14:textFill>
        </w:rPr>
        <w:t>）除本条</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b</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c</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e</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f</w:t>
      </w:r>
      <w:r>
        <w:rPr>
          <w:rFonts w:hint="eastAsia"/>
          <w:color w:val="000000" w:themeColor="text1"/>
          <w:highlight w:val="none"/>
          <w14:textFill>
            <w14:solidFill>
              <w14:schemeClr w14:val="tx1"/>
            </w14:solidFill>
          </w14:textFill>
        </w:rPr>
        <w:t>）以外的情况，评价等级为三级；</w:t>
      </w:r>
    </w:p>
    <w:p w14:paraId="7E4010A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w:t>
      </w:r>
      <w:r>
        <w:rPr>
          <w:rFonts w:hint="eastAsia"/>
          <w:color w:val="000000" w:themeColor="text1"/>
          <w:highlight w:val="none"/>
          <w14:textFill>
            <w14:solidFill>
              <w14:schemeClr w14:val="tx1"/>
            </w14:solidFill>
          </w14:textFill>
        </w:rPr>
        <w:t>）当评价等级判定同时符合上述多种情况时，应采用其中最高的评价等级。</w:t>
      </w:r>
    </w:p>
    <w:p w14:paraId="5A3DE643">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本项目位于</w:t>
      </w:r>
      <w:r>
        <w:rPr>
          <w:rFonts w:hint="eastAsia"/>
          <w:color w:val="000000" w:themeColor="text1"/>
          <w:highlight w:val="none"/>
          <w:lang w:eastAsia="zh-CN"/>
          <w14:textFill>
            <w14:solidFill>
              <w14:schemeClr w14:val="tx1"/>
            </w14:solidFill>
          </w14:textFill>
        </w:rPr>
        <w:t>胡杨河市125团</w:t>
      </w:r>
      <w:r>
        <w:rPr>
          <w:rFonts w:hint="eastAsia"/>
          <w:color w:val="000000" w:themeColor="text1"/>
          <w:highlight w:val="none"/>
          <w14:textFill>
            <w14:solidFill>
              <w14:schemeClr w14:val="tx1"/>
            </w14:solidFill>
          </w14:textFill>
        </w:rPr>
        <w:t>，项目区域不涉及国家公园、自然保护区、世界自然遗产、重要生境；不涉及自然公园，不涉及生态保护红线；本项目属于水污染影响型，且地表水评价等级为三级</w:t>
      </w:r>
      <w:r>
        <w:rPr>
          <w:color w:val="000000" w:themeColor="text1"/>
          <w:highlight w:val="none"/>
          <w14:textFill>
            <w14:solidFill>
              <w14:schemeClr w14:val="tx1"/>
            </w14:solidFill>
          </w14:textFill>
        </w:rPr>
        <w:t>B</w:t>
      </w:r>
      <w:r>
        <w:rPr>
          <w:rFonts w:hint="eastAsia"/>
          <w:color w:val="000000" w:themeColor="text1"/>
          <w:highlight w:val="none"/>
          <w14:textFill>
            <w14:solidFill>
              <w14:schemeClr w14:val="tx1"/>
            </w14:solidFill>
          </w14:textFill>
        </w:rPr>
        <w:t>；本项目地下水水位及土壤影响范围内无天然林、公益林、湿地等生态保护目标；本项目占地规模小于</w:t>
      </w:r>
      <w:r>
        <w:rPr>
          <w:color w:val="000000" w:themeColor="text1"/>
          <w:highlight w:val="none"/>
          <w14:textFill>
            <w14:solidFill>
              <w14:schemeClr w14:val="tx1"/>
            </w14:solidFill>
          </w14:textFill>
        </w:rPr>
        <w:t>20km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p>
    <w:p w14:paraId="0EB95D2C">
      <w:pPr>
        <w:widowControl/>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综上所述，本项目生态影响评价等级为三级，</w:t>
      </w:r>
      <w:r>
        <w:rPr>
          <w:rFonts w:hint="eastAsia" w:ascii="宋体" w:hAnsi="宋体"/>
          <w:color w:val="000000" w:themeColor="text1"/>
          <w:highlight w:val="none"/>
          <w:lang w:bidi="ar"/>
          <w14:textFill>
            <w14:solidFill>
              <w14:schemeClr w14:val="tx1"/>
            </w14:solidFill>
          </w14:textFill>
        </w:rPr>
        <w:t>根据本项目的特点及项目区周边环境，将项目区周围荒地生态系统为一个生态单元作为本项目的生态评价范围。</w:t>
      </w:r>
    </w:p>
    <w:p w14:paraId="2C61ECF2">
      <w:pPr>
        <w:pStyle w:val="4"/>
        <w:rPr>
          <w:color w:val="000000" w:themeColor="text1"/>
          <w:highlight w:val="none"/>
          <w14:textFill>
            <w14:solidFill>
              <w14:schemeClr w14:val="tx1"/>
            </w14:solidFill>
          </w14:textFill>
        </w:rPr>
      </w:pPr>
      <w:bookmarkStart w:id="50" w:name="_Toc4868"/>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6.6</w:t>
      </w:r>
      <w:r>
        <w:rPr>
          <w:color w:val="000000" w:themeColor="text1"/>
          <w:highlight w:val="none"/>
          <w14:textFill>
            <w14:solidFill>
              <w14:schemeClr w14:val="tx1"/>
            </w14:solidFill>
          </w14:textFill>
        </w:rPr>
        <w:t>土壤环境评价工作等级</w:t>
      </w:r>
      <w:bookmarkEnd w:id="50"/>
    </w:p>
    <w:p w14:paraId="7F7B5E71">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根据《环境影响评价技术导则 土壤环境（试行）》（</w:t>
      </w:r>
      <w:r>
        <w:rPr>
          <w:rFonts w:cs="Times New Roman"/>
          <w:color w:val="000000" w:themeColor="text1"/>
          <w:highlight w:val="none"/>
          <w:lang w:bidi="ar"/>
          <w14:textFill>
            <w14:solidFill>
              <w14:schemeClr w14:val="tx1"/>
            </w14:solidFill>
          </w14:textFill>
        </w:rPr>
        <w:t>HJ964-2018</w:t>
      </w:r>
      <w:r>
        <w:rPr>
          <w:rFonts w:hint="eastAsia" w:ascii="宋体" w:hAnsi="宋体"/>
          <w:color w:val="000000" w:themeColor="text1"/>
          <w:highlight w:val="none"/>
          <w:lang w:bidi="ar"/>
          <w14:textFill>
            <w14:solidFill>
              <w14:schemeClr w14:val="tx1"/>
            </w14:solidFill>
          </w14:textFill>
        </w:rPr>
        <w:t>）评价工作分级规定，项目属于污染影响型，根据污染影响型建设项目类别判定评价等级。项目占地面积约</w:t>
      </w:r>
      <w:r>
        <w:rPr>
          <w:rFonts w:hint="eastAsia" w:cs="Times New Roman"/>
          <w:color w:val="000000" w:themeColor="text1"/>
          <w:highlight w:val="none"/>
          <w:lang w:eastAsia="zh-CN" w:bidi="ar"/>
          <w14:textFill>
            <w14:solidFill>
              <w14:schemeClr w14:val="tx1"/>
            </w14:solidFill>
          </w14:textFill>
        </w:rPr>
        <w:t>16.0391</w:t>
      </w:r>
      <w:r>
        <w:rPr>
          <w:rFonts w:cs="Times New Roman"/>
          <w:color w:val="000000" w:themeColor="text1"/>
          <w:highlight w:val="none"/>
          <w:lang w:bidi="ar"/>
          <w14:textFill>
            <w14:solidFill>
              <w14:schemeClr w14:val="tx1"/>
            </w14:solidFill>
          </w14:textFill>
        </w:rPr>
        <w:t>hm</w:t>
      </w:r>
      <w:r>
        <w:rPr>
          <w:rFonts w:hint="eastAsia" w:cs="Times New Roman"/>
          <w:color w:val="000000" w:themeColor="text1"/>
          <w:highlight w:val="none"/>
          <w:vertAlign w:val="superscript"/>
          <w:lang w:bidi="ar"/>
          <w14:textFill>
            <w14:solidFill>
              <w14:schemeClr w14:val="tx1"/>
            </w14:solidFill>
          </w14:textFill>
        </w:rPr>
        <w:t>2</w:t>
      </w:r>
      <w:r>
        <w:rPr>
          <w:rFonts w:hint="eastAsia" w:ascii="宋体" w:hAnsi="宋体"/>
          <w:color w:val="000000" w:themeColor="text1"/>
          <w:highlight w:val="none"/>
          <w:lang w:bidi="ar"/>
          <w14:textFill>
            <w14:solidFill>
              <w14:schemeClr w14:val="tx1"/>
            </w14:solidFill>
          </w14:textFill>
        </w:rPr>
        <w:t>，占地规模为中型（</w:t>
      </w:r>
      <w:r>
        <w:rPr>
          <w:rFonts w:cs="Times New Roman"/>
          <w:color w:val="000000" w:themeColor="text1"/>
          <w:highlight w:val="none"/>
          <w:lang w:bidi="ar"/>
          <w14:textFill>
            <w14:solidFill>
              <w14:schemeClr w14:val="tx1"/>
            </w14:solidFill>
          </w14:textFill>
        </w:rPr>
        <w:t>5~50hm</w:t>
      </w:r>
      <w:r>
        <w:rPr>
          <w:rFonts w:hint="eastAsia" w:cs="Times New Roman"/>
          <w:color w:val="000000" w:themeColor="text1"/>
          <w:highlight w:val="none"/>
          <w:vertAlign w:val="superscript"/>
          <w:lang w:bidi="ar"/>
          <w14:textFill>
            <w14:solidFill>
              <w14:schemeClr w14:val="tx1"/>
            </w14:solidFill>
          </w14:textFill>
        </w:rPr>
        <w:t>2</w:t>
      </w:r>
      <w:r>
        <w:rPr>
          <w:rFonts w:hint="eastAsia" w:ascii="宋体" w:hAnsi="宋体"/>
          <w:color w:val="000000" w:themeColor="text1"/>
          <w:highlight w:val="none"/>
          <w:lang w:bidi="ar"/>
          <w14:textFill>
            <w14:solidFill>
              <w14:schemeClr w14:val="tx1"/>
            </w14:solidFill>
          </w14:textFill>
        </w:rPr>
        <w:t>）。</w:t>
      </w:r>
    </w:p>
    <w:p w14:paraId="1BB75156">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根据《环境影响评价技术导则 土壤环境（试行）》（</w:t>
      </w:r>
      <w:r>
        <w:rPr>
          <w:rFonts w:cs="Times New Roman"/>
          <w:color w:val="000000" w:themeColor="text1"/>
          <w:highlight w:val="none"/>
          <w:lang w:bidi="ar"/>
          <w14:textFill>
            <w14:solidFill>
              <w14:schemeClr w14:val="tx1"/>
            </w14:solidFill>
          </w14:textFill>
        </w:rPr>
        <w:t>HJ964-2018</w:t>
      </w:r>
      <w:r>
        <w:rPr>
          <w:rFonts w:hint="eastAsia" w:ascii="宋体" w:hAnsi="宋体"/>
          <w:color w:val="000000" w:themeColor="text1"/>
          <w:highlight w:val="none"/>
          <w:lang w:bidi="ar"/>
          <w14:textFill>
            <w14:solidFill>
              <w14:schemeClr w14:val="tx1"/>
            </w14:solidFill>
          </w14:textFill>
        </w:rPr>
        <w:t>）附录</w:t>
      </w:r>
      <w:r>
        <w:rPr>
          <w:rFonts w:cs="Times New Roman"/>
          <w:color w:val="000000" w:themeColor="text1"/>
          <w:highlight w:val="none"/>
          <w:lang w:bidi="ar"/>
          <w14:textFill>
            <w14:solidFill>
              <w14:schemeClr w14:val="tx1"/>
            </w14:solidFill>
          </w14:textFill>
        </w:rPr>
        <w:t>A</w:t>
      </w:r>
      <w:r>
        <w:rPr>
          <w:rFonts w:hint="eastAsia" w:ascii="宋体" w:hAnsi="宋体"/>
          <w:color w:val="000000" w:themeColor="text1"/>
          <w:highlight w:val="none"/>
          <w:lang w:bidi="ar"/>
          <w14:textFill>
            <w14:solidFill>
              <w14:schemeClr w14:val="tx1"/>
            </w14:solidFill>
          </w14:textFill>
        </w:rPr>
        <w:t>土壤环境影响评价项目类别，本项目属于“农林牧渔业——年出栏生猪</w:t>
      </w:r>
      <w:r>
        <w:rPr>
          <w:rFonts w:cs="Times New Roman"/>
          <w:color w:val="000000" w:themeColor="text1"/>
          <w:highlight w:val="none"/>
          <w:lang w:bidi="ar"/>
          <w14:textFill>
            <w14:solidFill>
              <w14:schemeClr w14:val="tx1"/>
            </w14:solidFill>
          </w14:textFill>
        </w:rPr>
        <w:t>5000</w:t>
      </w:r>
      <w:r>
        <w:rPr>
          <w:rFonts w:hint="eastAsia" w:ascii="宋体" w:hAnsi="宋体"/>
          <w:color w:val="000000" w:themeColor="text1"/>
          <w:highlight w:val="none"/>
          <w:lang w:bidi="ar"/>
          <w14:textFill>
            <w14:solidFill>
              <w14:schemeClr w14:val="tx1"/>
            </w14:solidFill>
          </w14:textFill>
        </w:rPr>
        <w:t>头（其他畜禽种类折合猪的养殖规模）及以上的畜禽养殖场或养殖小区”，项目类别为Ⅲ类。</w:t>
      </w:r>
    </w:p>
    <w:p w14:paraId="4A361C60">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建设项目所在地周边的土壤环境敏感程度分为敏感、较敏感、不敏感，判别依据见表</w:t>
      </w:r>
      <w:r>
        <w:rPr>
          <w:rFonts w:cs="Times New Roman"/>
          <w:color w:val="000000" w:themeColor="text1"/>
          <w:highlight w:val="none"/>
          <w:lang w:bidi="ar"/>
          <w14:textFill>
            <w14:solidFill>
              <w14:schemeClr w14:val="tx1"/>
            </w14:solidFill>
          </w14:textFill>
        </w:rPr>
        <w:t>2.</w:t>
      </w:r>
      <w:r>
        <w:rPr>
          <w:rFonts w:hint="eastAsia" w:cs="Times New Roman"/>
          <w:color w:val="000000" w:themeColor="text1"/>
          <w:highlight w:val="none"/>
          <w:lang w:bidi="ar"/>
          <w14:textFill>
            <w14:solidFill>
              <w14:schemeClr w14:val="tx1"/>
            </w14:solidFill>
          </w14:textFill>
        </w:rPr>
        <w:t>6</w:t>
      </w:r>
      <w:r>
        <w:rPr>
          <w:rFonts w:cs="Times New Roman"/>
          <w:color w:val="000000" w:themeColor="text1"/>
          <w:highlight w:val="none"/>
          <w:lang w:bidi="ar"/>
          <w14:textFill>
            <w14:solidFill>
              <w14:schemeClr w14:val="tx1"/>
            </w14:solidFill>
          </w14:textFill>
        </w:rPr>
        <w:t>-</w:t>
      </w:r>
      <w:r>
        <w:rPr>
          <w:rFonts w:hint="eastAsia" w:cs="Times New Roman"/>
          <w:color w:val="000000" w:themeColor="text1"/>
          <w:highlight w:val="none"/>
          <w:lang w:val="en-US" w:eastAsia="zh-CN" w:bidi="ar"/>
          <w14:textFill>
            <w14:solidFill>
              <w14:schemeClr w14:val="tx1"/>
            </w14:solidFill>
          </w14:textFill>
        </w:rPr>
        <w:t>9</w:t>
      </w:r>
      <w:r>
        <w:rPr>
          <w:rFonts w:hint="eastAsia" w:ascii="宋体" w:hAnsi="宋体"/>
          <w:color w:val="000000" w:themeColor="text1"/>
          <w:highlight w:val="none"/>
          <w:lang w:bidi="ar"/>
          <w14:textFill>
            <w14:solidFill>
              <w14:schemeClr w14:val="tx1"/>
            </w14:solidFill>
          </w14:textFill>
        </w:rPr>
        <w:t>所示。</w:t>
      </w:r>
    </w:p>
    <w:p w14:paraId="59DDE12F">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w:t>
      </w:r>
      <w:r>
        <w:rPr>
          <w:b/>
          <w:bCs/>
          <w:color w:val="000000" w:themeColor="text1"/>
          <w:sz w:val="21"/>
          <w:szCs w:val="21"/>
          <w:highlight w:val="none"/>
          <w14:textFill>
            <w14:solidFill>
              <w14:schemeClr w14:val="tx1"/>
            </w14:solidFill>
          </w14:textFill>
        </w:rPr>
        <w:t>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9</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污染影响型敏感程度分级表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7050"/>
      </w:tblGrid>
      <w:tr w14:paraId="01170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14:paraId="36C9E9A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敏感程度</w:t>
            </w:r>
          </w:p>
        </w:tc>
        <w:tc>
          <w:tcPr>
            <w:tcW w:w="7050" w:type="dxa"/>
            <w:vAlign w:val="center"/>
          </w:tcPr>
          <w:p w14:paraId="7B765ED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判别依据</w:t>
            </w:r>
          </w:p>
        </w:tc>
      </w:tr>
      <w:tr w14:paraId="3FAD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14:paraId="0C094F7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敏感</w:t>
            </w:r>
          </w:p>
        </w:tc>
        <w:tc>
          <w:tcPr>
            <w:tcW w:w="7050" w:type="dxa"/>
            <w:vAlign w:val="center"/>
          </w:tcPr>
          <w:p w14:paraId="6FC5D22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建设项目周边存在</w:t>
            </w:r>
            <w:r>
              <w:rPr>
                <w:rFonts w:hint="eastAsia"/>
                <w:color w:val="000000" w:themeColor="text1"/>
                <w:sz w:val="21"/>
                <w:szCs w:val="21"/>
                <w:highlight w:val="none"/>
                <w:lang w:eastAsia="zh-CN"/>
                <w14:textFill>
                  <w14:solidFill>
                    <w14:schemeClr w14:val="tx1"/>
                  </w14:solidFill>
                </w14:textFill>
              </w:rPr>
              <w:t>农田</w:t>
            </w:r>
            <w:r>
              <w:rPr>
                <w:color w:val="000000" w:themeColor="text1"/>
                <w:sz w:val="21"/>
                <w:szCs w:val="21"/>
                <w:highlight w:val="none"/>
                <w14:textFill>
                  <w14:solidFill>
                    <w14:schemeClr w14:val="tx1"/>
                  </w14:solidFill>
                </w14:textFill>
              </w:rPr>
              <w:t>、园地、牧草地、饮用水水源地或居民区、学校、医院、疗养院、养老院等土壤环境敏感目标的</w:t>
            </w:r>
          </w:p>
        </w:tc>
      </w:tr>
      <w:tr w14:paraId="4B006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14:paraId="185A782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较敏感</w:t>
            </w:r>
          </w:p>
        </w:tc>
        <w:tc>
          <w:tcPr>
            <w:tcW w:w="7050" w:type="dxa"/>
            <w:vAlign w:val="center"/>
          </w:tcPr>
          <w:p w14:paraId="7AF268D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建设项目周边存在其他土壤环境敏感目标的</w:t>
            </w:r>
          </w:p>
        </w:tc>
      </w:tr>
      <w:tr w14:paraId="17356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1" w:type="dxa"/>
            <w:vAlign w:val="center"/>
          </w:tcPr>
          <w:p w14:paraId="066BEF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不敏感</w:t>
            </w:r>
          </w:p>
        </w:tc>
        <w:tc>
          <w:tcPr>
            <w:tcW w:w="7050" w:type="dxa"/>
            <w:vAlign w:val="center"/>
          </w:tcPr>
          <w:p w14:paraId="3201A33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其他情况</w:t>
            </w:r>
          </w:p>
        </w:tc>
      </w:tr>
    </w:tbl>
    <w:p w14:paraId="7262A724">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本项目所在地</w:t>
      </w:r>
      <w:r>
        <w:rPr>
          <w:rFonts w:hint="eastAsia" w:ascii="宋体" w:hAnsi="宋体"/>
          <w:color w:val="000000" w:themeColor="text1"/>
          <w:highlight w:val="none"/>
          <w:lang w:val="en-US" w:eastAsia="zh-CN" w:bidi="ar"/>
          <w14:textFill>
            <w14:solidFill>
              <w14:schemeClr w14:val="tx1"/>
            </w14:solidFill>
          </w14:textFill>
        </w:rPr>
        <w:t>东侧、</w:t>
      </w:r>
      <w:r>
        <w:rPr>
          <w:rFonts w:hint="eastAsia" w:ascii="宋体" w:hAnsi="宋体"/>
          <w:color w:val="000000" w:themeColor="text1"/>
          <w:highlight w:val="none"/>
          <w:lang w:bidi="ar"/>
          <w14:textFill>
            <w14:solidFill>
              <w14:schemeClr w14:val="tx1"/>
            </w14:solidFill>
          </w14:textFill>
        </w:rPr>
        <w:t>西侧</w:t>
      </w:r>
      <w:r>
        <w:rPr>
          <w:rFonts w:hint="eastAsia" w:ascii="宋体" w:hAnsi="宋体"/>
          <w:color w:val="000000" w:themeColor="text1"/>
          <w:highlight w:val="none"/>
          <w:lang w:eastAsia="zh-CN" w:bidi="ar"/>
          <w14:textFill>
            <w14:solidFill>
              <w14:schemeClr w14:val="tx1"/>
            </w14:solidFill>
          </w14:textFill>
        </w:rPr>
        <w:t>、</w:t>
      </w:r>
      <w:r>
        <w:rPr>
          <w:rFonts w:hint="eastAsia" w:ascii="宋体" w:hAnsi="宋体"/>
          <w:color w:val="000000" w:themeColor="text1"/>
          <w:highlight w:val="none"/>
          <w:lang w:bidi="ar"/>
          <w14:textFill>
            <w14:solidFill>
              <w14:schemeClr w14:val="tx1"/>
            </w14:solidFill>
          </w14:textFill>
        </w:rPr>
        <w:t>南侧和</w:t>
      </w:r>
      <w:r>
        <w:rPr>
          <w:rFonts w:hint="eastAsia" w:ascii="宋体" w:hAnsi="宋体"/>
          <w:color w:val="000000" w:themeColor="text1"/>
          <w:highlight w:val="none"/>
          <w:lang w:val="en-US" w:eastAsia="zh-CN" w:bidi="ar"/>
          <w14:textFill>
            <w14:solidFill>
              <w14:schemeClr w14:val="tx1"/>
            </w14:solidFill>
          </w14:textFill>
        </w:rPr>
        <w:t>北侧</w:t>
      </w:r>
      <w:r>
        <w:rPr>
          <w:rFonts w:hint="eastAsia" w:ascii="宋体" w:hAnsi="宋体"/>
          <w:color w:val="000000" w:themeColor="text1"/>
          <w:highlight w:val="none"/>
          <w:lang w:bidi="ar"/>
          <w14:textFill>
            <w14:solidFill>
              <w14:schemeClr w14:val="tx1"/>
            </w14:solidFill>
          </w14:textFill>
        </w:rPr>
        <w:t>有农田，敏感程度判别为敏感。</w:t>
      </w:r>
    </w:p>
    <w:p w14:paraId="4809BC02">
      <w:pPr>
        <w:widowControl/>
        <w:ind w:firstLine="480" w:firstLineChars="200"/>
        <w:rPr>
          <w:rFonts w:ascii="宋体" w:hAnsi="宋体"/>
          <w:color w:val="000000" w:themeColor="text1"/>
          <w:highlight w:val="none"/>
          <w:lang w:bidi="ar"/>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根据《环境影响评价技术导则 土壤环境（试行）》（</w:t>
      </w:r>
      <w:r>
        <w:rPr>
          <w:rFonts w:cs="Times New Roman"/>
          <w:color w:val="000000" w:themeColor="text1"/>
          <w:highlight w:val="none"/>
          <w:lang w:bidi="ar"/>
          <w14:textFill>
            <w14:solidFill>
              <w14:schemeClr w14:val="tx1"/>
            </w14:solidFill>
          </w14:textFill>
        </w:rPr>
        <w:t>HJ964-2018</w:t>
      </w:r>
      <w:r>
        <w:rPr>
          <w:rFonts w:hint="eastAsia" w:ascii="宋体" w:hAnsi="宋体"/>
          <w:color w:val="000000" w:themeColor="text1"/>
          <w:highlight w:val="none"/>
          <w:lang w:bidi="ar"/>
          <w14:textFill>
            <w14:solidFill>
              <w14:schemeClr w14:val="tx1"/>
            </w14:solidFill>
          </w14:textFill>
        </w:rPr>
        <w:t>），污染影响型评价工作等级划分表见表</w:t>
      </w:r>
      <w:r>
        <w:rPr>
          <w:rFonts w:cs="Times New Roman"/>
          <w:color w:val="000000" w:themeColor="text1"/>
          <w:highlight w:val="none"/>
          <w:lang w:bidi="ar"/>
          <w14:textFill>
            <w14:solidFill>
              <w14:schemeClr w14:val="tx1"/>
            </w14:solidFill>
          </w14:textFill>
        </w:rPr>
        <w:t>2.</w:t>
      </w:r>
      <w:r>
        <w:rPr>
          <w:rFonts w:hint="eastAsia" w:cs="Times New Roman"/>
          <w:color w:val="000000" w:themeColor="text1"/>
          <w:highlight w:val="none"/>
          <w:lang w:bidi="ar"/>
          <w14:textFill>
            <w14:solidFill>
              <w14:schemeClr w14:val="tx1"/>
            </w14:solidFill>
          </w14:textFill>
        </w:rPr>
        <w:t>6</w:t>
      </w:r>
      <w:r>
        <w:rPr>
          <w:rFonts w:cs="Times New Roman"/>
          <w:color w:val="000000" w:themeColor="text1"/>
          <w:highlight w:val="none"/>
          <w:lang w:bidi="ar"/>
          <w14:textFill>
            <w14:solidFill>
              <w14:schemeClr w14:val="tx1"/>
            </w14:solidFill>
          </w14:textFill>
        </w:rPr>
        <w:t>-</w:t>
      </w:r>
      <w:r>
        <w:rPr>
          <w:rFonts w:hint="eastAsia" w:cs="Times New Roman"/>
          <w:color w:val="000000" w:themeColor="text1"/>
          <w:highlight w:val="none"/>
          <w:lang w:bidi="ar"/>
          <w14:textFill>
            <w14:solidFill>
              <w14:schemeClr w14:val="tx1"/>
            </w14:solidFill>
          </w14:textFill>
        </w:rPr>
        <w:t>1</w:t>
      </w:r>
      <w:r>
        <w:rPr>
          <w:rFonts w:hint="eastAsia" w:cs="Times New Roman"/>
          <w:color w:val="000000" w:themeColor="text1"/>
          <w:highlight w:val="none"/>
          <w:lang w:val="en-US" w:eastAsia="zh-CN" w:bidi="ar"/>
          <w14:textFill>
            <w14:solidFill>
              <w14:schemeClr w14:val="tx1"/>
            </w14:solidFill>
          </w14:textFill>
        </w:rPr>
        <w:t>0</w:t>
      </w:r>
      <w:r>
        <w:rPr>
          <w:rFonts w:hint="eastAsia" w:ascii="宋体" w:hAnsi="宋体"/>
          <w:color w:val="000000" w:themeColor="text1"/>
          <w:highlight w:val="none"/>
          <w:lang w:bidi="ar"/>
          <w14:textFill>
            <w14:solidFill>
              <w14:schemeClr w14:val="tx1"/>
            </w14:solidFill>
          </w14:textFill>
        </w:rPr>
        <w:t>。</w:t>
      </w:r>
    </w:p>
    <w:p w14:paraId="7E3BA84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0</w:t>
      </w:r>
      <w:r>
        <w:rPr>
          <w:b/>
          <w:bCs/>
          <w:color w:val="000000" w:themeColor="text1"/>
          <w:sz w:val="21"/>
          <w:szCs w:val="21"/>
          <w:highlight w:val="none"/>
          <w14:textFill>
            <w14:solidFill>
              <w14:schemeClr w14:val="tx1"/>
            </w14:solidFill>
          </w14:textFill>
        </w:rPr>
        <w:t xml:space="preserve">  污染影响型评价工作等级划分表</w:t>
      </w:r>
    </w:p>
    <w:tbl>
      <w:tblPr>
        <w:tblStyle w:val="58"/>
        <w:tblW w:w="825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6"/>
        <w:gridCol w:w="851"/>
        <w:gridCol w:w="851"/>
        <w:gridCol w:w="852"/>
        <w:gridCol w:w="851"/>
        <w:gridCol w:w="852"/>
        <w:gridCol w:w="852"/>
        <w:gridCol w:w="852"/>
        <w:gridCol w:w="720"/>
        <w:gridCol w:w="718"/>
      </w:tblGrid>
      <w:tr w14:paraId="30E0CD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856" w:type="dxa"/>
            <w:vMerge w:val="restart"/>
            <w:tcBorders>
              <w:bottom w:val="nil"/>
            </w:tcBorders>
            <w:vAlign w:val="center"/>
          </w:tcPr>
          <w:p w14:paraId="3A51586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敏感程度</w:t>
            </w:r>
          </w:p>
        </w:tc>
        <w:tc>
          <w:tcPr>
            <w:tcW w:w="2554" w:type="dxa"/>
            <w:gridSpan w:val="3"/>
            <w:vAlign w:val="center"/>
          </w:tcPr>
          <w:p w14:paraId="78C3102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Ⅰ类</w:t>
            </w:r>
          </w:p>
        </w:tc>
        <w:tc>
          <w:tcPr>
            <w:tcW w:w="2555" w:type="dxa"/>
            <w:gridSpan w:val="3"/>
            <w:vAlign w:val="center"/>
          </w:tcPr>
          <w:p w14:paraId="198E369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Ⅱ类</w:t>
            </w:r>
          </w:p>
        </w:tc>
        <w:tc>
          <w:tcPr>
            <w:tcW w:w="2290" w:type="dxa"/>
            <w:gridSpan w:val="3"/>
            <w:vAlign w:val="center"/>
          </w:tcPr>
          <w:p w14:paraId="4EAA2DC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Ⅲ类</w:t>
            </w:r>
          </w:p>
        </w:tc>
      </w:tr>
      <w:tr w14:paraId="1B53D6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56" w:type="dxa"/>
            <w:vMerge w:val="continue"/>
            <w:tcBorders>
              <w:top w:val="nil"/>
            </w:tcBorders>
            <w:vAlign w:val="center"/>
          </w:tcPr>
          <w:p w14:paraId="5D322F62">
            <w:pPr>
              <w:spacing w:line="240" w:lineRule="auto"/>
              <w:jc w:val="center"/>
              <w:rPr>
                <w:b/>
                <w:bCs/>
                <w:color w:val="000000" w:themeColor="text1"/>
                <w:sz w:val="21"/>
                <w:szCs w:val="21"/>
                <w:highlight w:val="none"/>
                <w14:textFill>
                  <w14:solidFill>
                    <w14:schemeClr w14:val="tx1"/>
                  </w14:solidFill>
                </w14:textFill>
              </w:rPr>
            </w:pPr>
          </w:p>
        </w:tc>
        <w:tc>
          <w:tcPr>
            <w:tcW w:w="851" w:type="dxa"/>
            <w:vAlign w:val="center"/>
          </w:tcPr>
          <w:p w14:paraId="5B63EA0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大</w:t>
            </w:r>
          </w:p>
        </w:tc>
        <w:tc>
          <w:tcPr>
            <w:tcW w:w="851" w:type="dxa"/>
            <w:vAlign w:val="center"/>
          </w:tcPr>
          <w:p w14:paraId="0F84B10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中</w:t>
            </w:r>
          </w:p>
        </w:tc>
        <w:tc>
          <w:tcPr>
            <w:tcW w:w="852" w:type="dxa"/>
            <w:vAlign w:val="center"/>
          </w:tcPr>
          <w:p w14:paraId="0622CBA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小</w:t>
            </w:r>
          </w:p>
        </w:tc>
        <w:tc>
          <w:tcPr>
            <w:tcW w:w="851" w:type="dxa"/>
            <w:vAlign w:val="center"/>
          </w:tcPr>
          <w:p w14:paraId="4F45428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大</w:t>
            </w:r>
          </w:p>
        </w:tc>
        <w:tc>
          <w:tcPr>
            <w:tcW w:w="852" w:type="dxa"/>
            <w:vAlign w:val="center"/>
          </w:tcPr>
          <w:p w14:paraId="2108052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中</w:t>
            </w:r>
          </w:p>
        </w:tc>
        <w:tc>
          <w:tcPr>
            <w:tcW w:w="852" w:type="dxa"/>
            <w:vAlign w:val="center"/>
          </w:tcPr>
          <w:p w14:paraId="6438DC5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小</w:t>
            </w:r>
          </w:p>
        </w:tc>
        <w:tc>
          <w:tcPr>
            <w:tcW w:w="852" w:type="dxa"/>
            <w:vAlign w:val="center"/>
          </w:tcPr>
          <w:p w14:paraId="6853A6E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大</w:t>
            </w:r>
          </w:p>
        </w:tc>
        <w:tc>
          <w:tcPr>
            <w:tcW w:w="720" w:type="dxa"/>
            <w:vAlign w:val="center"/>
          </w:tcPr>
          <w:p w14:paraId="62112BB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中</w:t>
            </w:r>
          </w:p>
        </w:tc>
        <w:tc>
          <w:tcPr>
            <w:tcW w:w="718" w:type="dxa"/>
            <w:vAlign w:val="center"/>
          </w:tcPr>
          <w:p w14:paraId="775812C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小</w:t>
            </w:r>
          </w:p>
        </w:tc>
      </w:tr>
      <w:tr w14:paraId="18820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56" w:type="dxa"/>
            <w:vAlign w:val="center"/>
          </w:tcPr>
          <w:p w14:paraId="3979274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敏感</w:t>
            </w:r>
          </w:p>
        </w:tc>
        <w:tc>
          <w:tcPr>
            <w:tcW w:w="851" w:type="dxa"/>
            <w:vAlign w:val="center"/>
          </w:tcPr>
          <w:p w14:paraId="6AE3D98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p>
        </w:tc>
        <w:tc>
          <w:tcPr>
            <w:tcW w:w="851" w:type="dxa"/>
            <w:vAlign w:val="center"/>
          </w:tcPr>
          <w:p w14:paraId="6F1D587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p>
        </w:tc>
        <w:tc>
          <w:tcPr>
            <w:tcW w:w="852" w:type="dxa"/>
            <w:vAlign w:val="center"/>
          </w:tcPr>
          <w:p w14:paraId="712314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p>
        </w:tc>
        <w:tc>
          <w:tcPr>
            <w:tcW w:w="851" w:type="dxa"/>
            <w:vAlign w:val="center"/>
          </w:tcPr>
          <w:p w14:paraId="267D8AD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852" w:type="dxa"/>
            <w:vAlign w:val="center"/>
          </w:tcPr>
          <w:p w14:paraId="4815A95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852" w:type="dxa"/>
            <w:vAlign w:val="center"/>
          </w:tcPr>
          <w:p w14:paraId="00B3346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852" w:type="dxa"/>
            <w:vAlign w:val="center"/>
          </w:tcPr>
          <w:p w14:paraId="65F2D87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720" w:type="dxa"/>
            <w:vAlign w:val="center"/>
          </w:tcPr>
          <w:p w14:paraId="5A6DDCC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718" w:type="dxa"/>
            <w:vAlign w:val="center"/>
          </w:tcPr>
          <w:p w14:paraId="1033C29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r>
      <w:tr w14:paraId="312EA7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56" w:type="dxa"/>
            <w:vAlign w:val="center"/>
          </w:tcPr>
          <w:p w14:paraId="0D9E885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较敏感</w:t>
            </w:r>
          </w:p>
        </w:tc>
        <w:tc>
          <w:tcPr>
            <w:tcW w:w="851" w:type="dxa"/>
            <w:vAlign w:val="center"/>
          </w:tcPr>
          <w:p w14:paraId="727069B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p>
        </w:tc>
        <w:tc>
          <w:tcPr>
            <w:tcW w:w="851" w:type="dxa"/>
            <w:vAlign w:val="center"/>
          </w:tcPr>
          <w:p w14:paraId="168AB7D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p>
        </w:tc>
        <w:tc>
          <w:tcPr>
            <w:tcW w:w="852" w:type="dxa"/>
            <w:vAlign w:val="center"/>
          </w:tcPr>
          <w:p w14:paraId="67FEA73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851" w:type="dxa"/>
            <w:vAlign w:val="center"/>
          </w:tcPr>
          <w:p w14:paraId="72188C4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852" w:type="dxa"/>
            <w:vAlign w:val="center"/>
          </w:tcPr>
          <w:p w14:paraId="30FD22C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852" w:type="dxa"/>
            <w:vAlign w:val="center"/>
          </w:tcPr>
          <w:p w14:paraId="08B86F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852" w:type="dxa"/>
            <w:vAlign w:val="center"/>
          </w:tcPr>
          <w:p w14:paraId="03D6D8F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720" w:type="dxa"/>
            <w:vAlign w:val="center"/>
          </w:tcPr>
          <w:p w14:paraId="65C4BEC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718" w:type="dxa"/>
            <w:vAlign w:val="center"/>
          </w:tcPr>
          <w:p w14:paraId="527C274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421390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856" w:type="dxa"/>
            <w:vAlign w:val="center"/>
          </w:tcPr>
          <w:p w14:paraId="0C7EEFB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不敏感</w:t>
            </w:r>
          </w:p>
        </w:tc>
        <w:tc>
          <w:tcPr>
            <w:tcW w:w="851" w:type="dxa"/>
            <w:vAlign w:val="center"/>
          </w:tcPr>
          <w:p w14:paraId="64F5EE1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p>
        </w:tc>
        <w:tc>
          <w:tcPr>
            <w:tcW w:w="851" w:type="dxa"/>
            <w:vAlign w:val="center"/>
          </w:tcPr>
          <w:p w14:paraId="57ED8EF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852" w:type="dxa"/>
            <w:vAlign w:val="center"/>
          </w:tcPr>
          <w:p w14:paraId="1B2835D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851" w:type="dxa"/>
            <w:vAlign w:val="center"/>
          </w:tcPr>
          <w:p w14:paraId="03FD3B5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852" w:type="dxa"/>
            <w:vAlign w:val="center"/>
          </w:tcPr>
          <w:p w14:paraId="4D12CA0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852" w:type="dxa"/>
            <w:vAlign w:val="center"/>
          </w:tcPr>
          <w:p w14:paraId="3CEDAE1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852" w:type="dxa"/>
            <w:vAlign w:val="center"/>
          </w:tcPr>
          <w:p w14:paraId="5D76AA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720" w:type="dxa"/>
            <w:vAlign w:val="center"/>
          </w:tcPr>
          <w:p w14:paraId="1E60C21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718" w:type="dxa"/>
            <w:vAlign w:val="center"/>
          </w:tcPr>
          <w:p w14:paraId="7299B1A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465C9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8255" w:type="dxa"/>
            <w:gridSpan w:val="10"/>
            <w:vAlign w:val="center"/>
          </w:tcPr>
          <w:p w14:paraId="6E78278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注：</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表示可不开展土壤环境影响评价工作。</w:t>
            </w:r>
          </w:p>
        </w:tc>
      </w:tr>
    </w:tbl>
    <w:p w14:paraId="23B49219">
      <w:pPr>
        <w:widowControl/>
        <w:ind w:firstLine="720" w:firstLineChars="3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综上所述，根据《环境影响评价技术导则 土壤环境（试行）》（</w:t>
      </w:r>
      <w:r>
        <w:rPr>
          <w:rFonts w:cs="Times New Roman"/>
          <w:color w:val="000000" w:themeColor="text1"/>
          <w:highlight w:val="none"/>
          <w:lang w:bidi="ar"/>
          <w14:textFill>
            <w14:solidFill>
              <w14:schemeClr w14:val="tx1"/>
            </w14:solidFill>
          </w14:textFill>
        </w:rPr>
        <w:t>HJ964-2018</w:t>
      </w:r>
      <w:r>
        <w:rPr>
          <w:rFonts w:hint="eastAsia" w:ascii="宋体" w:hAnsi="宋体"/>
          <w:color w:val="000000" w:themeColor="text1"/>
          <w:highlight w:val="none"/>
          <w:lang w:bidi="ar"/>
          <w14:textFill>
            <w14:solidFill>
              <w14:schemeClr w14:val="tx1"/>
            </w14:solidFill>
          </w14:textFill>
        </w:rPr>
        <w:t>），确定本项目土壤环境评价工作等级为三级。则评价范围为厂界外</w:t>
      </w:r>
      <w:r>
        <w:rPr>
          <w:rFonts w:hint="eastAsia" w:cs="Times New Roman"/>
          <w:color w:val="000000" w:themeColor="text1"/>
          <w:highlight w:val="none"/>
          <w:lang w:bidi="ar"/>
          <w14:textFill>
            <w14:solidFill>
              <w14:schemeClr w14:val="tx1"/>
            </w14:solidFill>
          </w14:textFill>
        </w:rPr>
        <w:t>50m</w:t>
      </w:r>
      <w:r>
        <w:rPr>
          <w:rFonts w:hint="eastAsia" w:ascii="宋体" w:hAnsi="宋体"/>
          <w:color w:val="000000" w:themeColor="text1"/>
          <w:highlight w:val="none"/>
          <w:lang w:bidi="ar"/>
          <w14:textFill>
            <w14:solidFill>
              <w14:schemeClr w14:val="tx1"/>
            </w14:solidFill>
          </w14:textFill>
        </w:rPr>
        <w:t>范围内。</w:t>
      </w:r>
      <w:r>
        <w:rPr>
          <w:rFonts w:hint="eastAsia"/>
          <w:color w:val="000000" w:themeColor="text1"/>
          <w:highlight w:val="none"/>
          <w14:textFill>
            <w14:solidFill>
              <w14:schemeClr w14:val="tx1"/>
            </w14:solidFill>
          </w14:textFill>
        </w:rPr>
        <w:t>本项目土壤评价范围详见附图2.6-1。</w:t>
      </w:r>
    </w:p>
    <w:p w14:paraId="73E4250E">
      <w:pPr>
        <w:pStyle w:val="4"/>
        <w:rPr>
          <w:color w:val="000000" w:themeColor="text1"/>
          <w:highlight w:val="none"/>
          <w14:textFill>
            <w14:solidFill>
              <w14:schemeClr w14:val="tx1"/>
            </w14:solidFill>
          </w14:textFill>
        </w:rPr>
      </w:pPr>
      <w:bookmarkStart w:id="51" w:name="_Toc5631"/>
      <w:r>
        <w:rPr>
          <w:rFonts w:hint="eastAsia"/>
          <w:color w:val="000000" w:themeColor="text1"/>
          <w:highlight w:val="none"/>
          <w14:textFill>
            <w14:solidFill>
              <w14:schemeClr w14:val="tx1"/>
            </w14:solidFill>
          </w14:textFill>
        </w:rPr>
        <w:t>2.6.7</w:t>
      </w:r>
      <w:r>
        <w:rPr>
          <w:color w:val="000000" w:themeColor="text1"/>
          <w:highlight w:val="none"/>
          <w14:textFill>
            <w14:solidFill>
              <w14:schemeClr w14:val="tx1"/>
            </w14:solidFill>
          </w14:textFill>
        </w:rPr>
        <w:t>环境风险</w:t>
      </w:r>
      <w:bookmarkEnd w:id="51"/>
    </w:p>
    <w:p w14:paraId="2092BB9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HJ169-2018）环境风险评价工作等级划分为一级、二级、三级。根据建设项目涉及的物质及工艺系统危险性和所在地的环境敏感性确定环境风险潜势，确定评价工作等级。风险潜势为Ⅳ及以上，进行一级评价；风险潜势为Ⅲ</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进行二级评价；风险潜势为Ⅱ</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进行三级评价；风险潜势为Ⅰ</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可开展简单分析。评价工作等级的划分依据具体见表2.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p>
    <w:p w14:paraId="7233750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1</w:t>
      </w:r>
      <w:r>
        <w:rPr>
          <w:b/>
          <w:bCs/>
          <w:color w:val="000000" w:themeColor="text1"/>
          <w:sz w:val="21"/>
          <w:szCs w:val="21"/>
          <w:highlight w:val="none"/>
          <w14:textFill>
            <w14:solidFill>
              <w14:schemeClr w14:val="tx1"/>
            </w14:solidFill>
          </w14:textFill>
        </w:rPr>
        <w:t xml:space="preserve">  评价工作等级划分表</w:t>
      </w:r>
    </w:p>
    <w:tbl>
      <w:tblPr>
        <w:tblStyle w:val="58"/>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9"/>
        <w:gridCol w:w="1704"/>
        <w:gridCol w:w="1705"/>
        <w:gridCol w:w="1705"/>
        <w:gridCol w:w="1709"/>
      </w:tblGrid>
      <w:tr w14:paraId="54116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09" w:type="dxa"/>
          </w:tcPr>
          <w:p w14:paraId="75101CF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环境风险潜势</w:t>
            </w:r>
          </w:p>
        </w:tc>
        <w:tc>
          <w:tcPr>
            <w:tcW w:w="1704" w:type="dxa"/>
          </w:tcPr>
          <w:p w14:paraId="0A04CB9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Ⅳ 、Ⅳ+</w:t>
            </w:r>
          </w:p>
        </w:tc>
        <w:tc>
          <w:tcPr>
            <w:tcW w:w="1705" w:type="dxa"/>
          </w:tcPr>
          <w:p w14:paraId="342B24F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Ⅲ</w:t>
            </w:r>
          </w:p>
        </w:tc>
        <w:tc>
          <w:tcPr>
            <w:tcW w:w="1705" w:type="dxa"/>
          </w:tcPr>
          <w:p w14:paraId="667A146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Ⅱ</w:t>
            </w:r>
          </w:p>
        </w:tc>
        <w:tc>
          <w:tcPr>
            <w:tcW w:w="1709" w:type="dxa"/>
          </w:tcPr>
          <w:p w14:paraId="5E498F1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Ⅰ</w:t>
            </w:r>
          </w:p>
        </w:tc>
      </w:tr>
      <w:tr w14:paraId="0D526F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09" w:type="dxa"/>
          </w:tcPr>
          <w:p w14:paraId="18C5E64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评价工作等级</w:t>
            </w:r>
          </w:p>
        </w:tc>
        <w:tc>
          <w:tcPr>
            <w:tcW w:w="1704" w:type="dxa"/>
          </w:tcPr>
          <w:p w14:paraId="30B7FFB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w:t>
            </w:r>
          </w:p>
        </w:tc>
        <w:tc>
          <w:tcPr>
            <w:tcW w:w="1705" w:type="dxa"/>
          </w:tcPr>
          <w:p w14:paraId="294A605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w:t>
            </w:r>
          </w:p>
        </w:tc>
        <w:tc>
          <w:tcPr>
            <w:tcW w:w="1705" w:type="dxa"/>
          </w:tcPr>
          <w:p w14:paraId="072EC98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w:t>
            </w:r>
          </w:p>
        </w:tc>
        <w:tc>
          <w:tcPr>
            <w:tcW w:w="1709" w:type="dxa"/>
          </w:tcPr>
          <w:p w14:paraId="23B7BC5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简单分析a</w:t>
            </w:r>
          </w:p>
        </w:tc>
      </w:tr>
      <w:tr w14:paraId="5D00D4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8532" w:type="dxa"/>
            <w:gridSpan w:val="5"/>
          </w:tcPr>
          <w:p w14:paraId="58215EB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a是相对于详细评价工作内容而言，在描述危险物质、环境影响途径、环境危害后果、风险 防范措施等方面给出定性的说明。</w:t>
            </w:r>
          </w:p>
        </w:tc>
      </w:tr>
    </w:tbl>
    <w:p w14:paraId="6499B8B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本项目涉及《建设项目环境风险评价技术导则》（HJ169-2018）附录B中的危险物质为沼气、氨和硫化氢，不进行储存，环境风险潜势为Ⅰ</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环境风险评价工作级别确定为简单分析。根据导则要求对危险物质、环境影响途径、环境危害后果、风险防范措施等方面给出定性的说明。</w:t>
      </w:r>
    </w:p>
    <w:p w14:paraId="72D22CA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综上所述，本次主要评价专题的评价等级、评价范围汇总详见下表2.</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p>
    <w:p w14:paraId="1A8FB4B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2</w:t>
      </w:r>
      <w:r>
        <w:rPr>
          <w:b/>
          <w:bCs/>
          <w:color w:val="000000" w:themeColor="text1"/>
          <w:sz w:val="21"/>
          <w:szCs w:val="21"/>
          <w:highlight w:val="none"/>
          <w14:textFill>
            <w14:solidFill>
              <w14:schemeClr w14:val="tx1"/>
            </w14:solidFill>
          </w14:textFill>
        </w:rPr>
        <w:t xml:space="preserve">  项目评价等级、评价范围汇总表</w:t>
      </w:r>
    </w:p>
    <w:tbl>
      <w:tblPr>
        <w:tblStyle w:val="58"/>
        <w:tblW w:w="82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52"/>
        <w:gridCol w:w="1739"/>
        <w:gridCol w:w="4358"/>
      </w:tblGrid>
      <w:tr w14:paraId="0304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2" w:type="dxa"/>
            <w:vAlign w:val="center"/>
          </w:tcPr>
          <w:p w14:paraId="058E5D0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评价专题</w:t>
            </w:r>
          </w:p>
        </w:tc>
        <w:tc>
          <w:tcPr>
            <w:tcW w:w="1739" w:type="dxa"/>
            <w:vAlign w:val="center"/>
          </w:tcPr>
          <w:p w14:paraId="30D5B27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评价等级</w:t>
            </w:r>
          </w:p>
        </w:tc>
        <w:tc>
          <w:tcPr>
            <w:tcW w:w="4358" w:type="dxa"/>
            <w:vAlign w:val="center"/>
          </w:tcPr>
          <w:p w14:paraId="1B2A775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评价范围</w:t>
            </w:r>
          </w:p>
        </w:tc>
      </w:tr>
      <w:tr w14:paraId="6D2C2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2" w:type="dxa"/>
            <w:vAlign w:val="center"/>
          </w:tcPr>
          <w:p w14:paraId="0E8F761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环境空气</w:t>
            </w:r>
          </w:p>
        </w:tc>
        <w:tc>
          <w:tcPr>
            <w:tcW w:w="1739" w:type="dxa"/>
            <w:vAlign w:val="center"/>
          </w:tcPr>
          <w:p w14:paraId="65325C8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4358" w:type="dxa"/>
            <w:vAlign w:val="center"/>
          </w:tcPr>
          <w:p w14:paraId="3245F64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以厂区为中心，边长5km的矩形范围</w:t>
            </w:r>
          </w:p>
        </w:tc>
      </w:tr>
      <w:tr w14:paraId="1612D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2" w:type="dxa"/>
            <w:vAlign w:val="center"/>
          </w:tcPr>
          <w:p w14:paraId="4B05092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地表水环境</w:t>
            </w:r>
          </w:p>
        </w:tc>
        <w:tc>
          <w:tcPr>
            <w:tcW w:w="1739" w:type="dxa"/>
            <w:vAlign w:val="center"/>
          </w:tcPr>
          <w:p w14:paraId="69D0D04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r>
              <w:rPr>
                <w:rFonts w:hint="eastAsia"/>
                <w:color w:val="000000" w:themeColor="text1"/>
                <w:sz w:val="21"/>
                <w:szCs w:val="21"/>
                <w:highlight w:val="none"/>
                <w14:textFill>
                  <w14:solidFill>
                    <w14:schemeClr w14:val="tx1"/>
                  </w14:solidFill>
                </w14:textFill>
              </w:rPr>
              <w:t>B</w:t>
            </w:r>
          </w:p>
        </w:tc>
        <w:tc>
          <w:tcPr>
            <w:tcW w:w="4358" w:type="dxa"/>
            <w:vAlign w:val="center"/>
          </w:tcPr>
          <w:p w14:paraId="183198A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对项目废水经</w:t>
            </w: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处理后作为有机液肥全部还田利用进行可行性分析</w:t>
            </w:r>
          </w:p>
        </w:tc>
      </w:tr>
      <w:tr w14:paraId="01F2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2" w:type="dxa"/>
            <w:vAlign w:val="center"/>
          </w:tcPr>
          <w:p w14:paraId="210DD3F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地下水环境</w:t>
            </w:r>
          </w:p>
        </w:tc>
        <w:tc>
          <w:tcPr>
            <w:tcW w:w="1739" w:type="dxa"/>
            <w:vAlign w:val="center"/>
          </w:tcPr>
          <w:p w14:paraId="092D2A3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4358" w:type="dxa"/>
            <w:vAlign w:val="center"/>
          </w:tcPr>
          <w:p w14:paraId="7AA04237">
            <w:pPr>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厂区地下水区域上游</w:t>
            </w:r>
            <w:r>
              <w:rPr>
                <w:rFonts w:cs="Times New Roman"/>
                <w:color w:val="000000" w:themeColor="text1"/>
                <w:sz w:val="21"/>
                <w:szCs w:val="21"/>
                <w:highlight w:val="none"/>
                <w:lang w:bidi="ar"/>
                <w14:textFill>
                  <w14:solidFill>
                    <w14:schemeClr w14:val="tx1"/>
                  </w14:solidFill>
                </w14:textFill>
              </w:rPr>
              <w:t>0.5km</w:t>
            </w:r>
            <w:r>
              <w:rPr>
                <w:rFonts w:hint="eastAsia" w:ascii="宋体" w:hAnsi="宋体"/>
                <w:color w:val="000000" w:themeColor="text1"/>
                <w:sz w:val="21"/>
                <w:szCs w:val="21"/>
                <w:highlight w:val="none"/>
                <w:lang w:bidi="ar"/>
                <w14:textFill>
                  <w14:solidFill>
                    <w14:schemeClr w14:val="tx1"/>
                  </w14:solidFill>
                </w14:textFill>
              </w:rPr>
              <w:t>，下游</w:t>
            </w:r>
            <w:r>
              <w:rPr>
                <w:rFonts w:cs="Times New Roman"/>
                <w:color w:val="000000" w:themeColor="text1"/>
                <w:sz w:val="21"/>
                <w:szCs w:val="21"/>
                <w:highlight w:val="none"/>
                <w:lang w:bidi="ar"/>
                <w14:textFill>
                  <w14:solidFill>
                    <w14:schemeClr w14:val="tx1"/>
                  </w14:solidFill>
                </w14:textFill>
              </w:rPr>
              <w:t>2.5km</w:t>
            </w:r>
            <w:r>
              <w:rPr>
                <w:rFonts w:hint="eastAsia" w:ascii="宋体" w:hAnsi="宋体"/>
                <w:color w:val="000000" w:themeColor="text1"/>
                <w:sz w:val="21"/>
                <w:szCs w:val="21"/>
                <w:highlight w:val="none"/>
                <w:lang w:bidi="ar"/>
                <w14:textFill>
                  <w14:solidFill>
                    <w14:schemeClr w14:val="tx1"/>
                  </w14:solidFill>
                </w14:textFill>
              </w:rPr>
              <w:t>，两侧各</w:t>
            </w:r>
            <w:r>
              <w:rPr>
                <w:rFonts w:cs="Times New Roman"/>
                <w:color w:val="000000" w:themeColor="text1"/>
                <w:sz w:val="21"/>
                <w:szCs w:val="21"/>
                <w:highlight w:val="none"/>
                <w:lang w:bidi="ar"/>
                <w14:textFill>
                  <w14:solidFill>
                    <w14:schemeClr w14:val="tx1"/>
                  </w14:solidFill>
                </w14:textFill>
              </w:rPr>
              <w:t>1km</w:t>
            </w:r>
            <w:r>
              <w:rPr>
                <w:rFonts w:hint="eastAsia" w:ascii="宋体" w:hAnsi="宋体"/>
                <w:color w:val="000000" w:themeColor="text1"/>
                <w:sz w:val="21"/>
                <w:szCs w:val="21"/>
                <w:highlight w:val="none"/>
                <w:lang w:bidi="ar"/>
                <w14:textFill>
                  <w14:solidFill>
                    <w14:schemeClr w14:val="tx1"/>
                  </w14:solidFill>
                </w14:textFill>
              </w:rPr>
              <w:t>的区域，评价范围面积</w:t>
            </w:r>
            <w:r>
              <w:rPr>
                <w:rFonts w:cs="Times New Roman"/>
                <w:color w:val="000000" w:themeColor="text1"/>
                <w:sz w:val="21"/>
                <w:szCs w:val="21"/>
                <w:highlight w:val="none"/>
                <w:lang w:bidi="ar"/>
                <w14:textFill>
                  <w14:solidFill>
                    <w14:schemeClr w14:val="tx1"/>
                  </w14:solidFill>
                </w14:textFill>
              </w:rPr>
              <w:t>6</w:t>
            </w:r>
            <w:r>
              <w:rPr>
                <w:color w:val="000000" w:themeColor="text1"/>
                <w:sz w:val="21"/>
                <w:szCs w:val="21"/>
                <w:highlight w:val="none"/>
                <w14:textFill>
                  <w14:solidFill>
                    <w14:schemeClr w14:val="tx1"/>
                  </w14:solidFill>
                </w14:textFill>
              </w:rPr>
              <w:t>km</w:t>
            </w:r>
            <w:r>
              <w:rPr>
                <w:color w:val="000000" w:themeColor="text1"/>
                <w:sz w:val="21"/>
                <w:szCs w:val="21"/>
                <w:highlight w:val="none"/>
                <w:vertAlign w:val="superscript"/>
                <w14:textFill>
                  <w14:solidFill>
                    <w14:schemeClr w14:val="tx1"/>
                  </w14:solidFill>
                </w14:textFill>
              </w:rPr>
              <w:t>2</w:t>
            </w:r>
          </w:p>
        </w:tc>
      </w:tr>
      <w:tr w14:paraId="3EFE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2" w:type="dxa"/>
            <w:vAlign w:val="center"/>
          </w:tcPr>
          <w:p w14:paraId="26A94E7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声环境</w:t>
            </w:r>
          </w:p>
        </w:tc>
        <w:tc>
          <w:tcPr>
            <w:tcW w:w="1739" w:type="dxa"/>
            <w:vAlign w:val="center"/>
          </w:tcPr>
          <w:p w14:paraId="36C2CB6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color w:val="000000" w:themeColor="text1"/>
                <w:sz w:val="21"/>
                <w:szCs w:val="21"/>
                <w:highlight w:val="none"/>
                <w14:textFill>
                  <w14:solidFill>
                    <w14:schemeClr w14:val="tx1"/>
                  </w14:solidFill>
                </w14:textFill>
              </w:rPr>
              <w:t>级</w:t>
            </w:r>
          </w:p>
        </w:tc>
        <w:tc>
          <w:tcPr>
            <w:tcW w:w="4358" w:type="dxa"/>
            <w:vAlign w:val="center"/>
          </w:tcPr>
          <w:p w14:paraId="044807C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厂界外200m范围内</w:t>
            </w:r>
          </w:p>
        </w:tc>
      </w:tr>
      <w:tr w14:paraId="35AC1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2" w:type="dxa"/>
            <w:vAlign w:val="center"/>
          </w:tcPr>
          <w:p w14:paraId="48939EE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生态环境</w:t>
            </w:r>
          </w:p>
        </w:tc>
        <w:tc>
          <w:tcPr>
            <w:tcW w:w="1739" w:type="dxa"/>
            <w:vAlign w:val="center"/>
          </w:tcPr>
          <w:p w14:paraId="1A71FCA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4358" w:type="dxa"/>
            <w:vAlign w:val="center"/>
          </w:tcPr>
          <w:p w14:paraId="7F99079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项目区</w:t>
            </w:r>
          </w:p>
        </w:tc>
      </w:tr>
      <w:tr w14:paraId="6347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2" w:type="dxa"/>
            <w:vAlign w:val="center"/>
          </w:tcPr>
          <w:p w14:paraId="13BFDE1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土壤环境</w:t>
            </w:r>
          </w:p>
        </w:tc>
        <w:tc>
          <w:tcPr>
            <w:tcW w:w="1739" w:type="dxa"/>
            <w:vAlign w:val="center"/>
          </w:tcPr>
          <w:p w14:paraId="3C0A9F8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4358" w:type="dxa"/>
            <w:vAlign w:val="center"/>
          </w:tcPr>
          <w:p w14:paraId="698D3CDB">
            <w:pPr>
              <w:spacing w:line="240" w:lineRule="auto"/>
              <w:jc w:val="center"/>
              <w:rPr>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lang w:bidi="ar"/>
                <w14:textFill>
                  <w14:solidFill>
                    <w14:schemeClr w14:val="tx1"/>
                  </w14:solidFill>
                </w14:textFill>
              </w:rPr>
              <w:t>厂界外</w:t>
            </w:r>
            <w:r>
              <w:rPr>
                <w:rFonts w:hint="eastAsia" w:cs="Times New Roman"/>
                <w:color w:val="000000" w:themeColor="text1"/>
                <w:sz w:val="21"/>
                <w:szCs w:val="21"/>
                <w:highlight w:val="none"/>
                <w:lang w:bidi="ar"/>
                <w14:textFill>
                  <w14:solidFill>
                    <w14:schemeClr w14:val="tx1"/>
                  </w14:solidFill>
                </w14:textFill>
              </w:rPr>
              <w:t>50m</w:t>
            </w:r>
            <w:r>
              <w:rPr>
                <w:rFonts w:hint="eastAsia" w:ascii="宋体" w:hAnsi="宋体"/>
                <w:color w:val="000000" w:themeColor="text1"/>
                <w:sz w:val="21"/>
                <w:szCs w:val="21"/>
                <w:highlight w:val="none"/>
                <w:lang w:bidi="ar"/>
                <w14:textFill>
                  <w14:solidFill>
                    <w14:schemeClr w14:val="tx1"/>
                  </w14:solidFill>
                </w14:textFill>
              </w:rPr>
              <w:t>范围内</w:t>
            </w:r>
          </w:p>
        </w:tc>
      </w:tr>
      <w:tr w14:paraId="0053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2152" w:type="dxa"/>
            <w:vAlign w:val="center"/>
          </w:tcPr>
          <w:p w14:paraId="12EC703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环境风险</w:t>
            </w:r>
          </w:p>
        </w:tc>
        <w:tc>
          <w:tcPr>
            <w:tcW w:w="1739" w:type="dxa"/>
            <w:vAlign w:val="center"/>
          </w:tcPr>
          <w:p w14:paraId="48D350D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简单分析</w:t>
            </w:r>
          </w:p>
        </w:tc>
        <w:tc>
          <w:tcPr>
            <w:tcW w:w="4358" w:type="dxa"/>
            <w:vAlign w:val="center"/>
          </w:tcPr>
          <w:p w14:paraId="08752F4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不设评价范围</w:t>
            </w:r>
          </w:p>
        </w:tc>
      </w:tr>
    </w:tbl>
    <w:p w14:paraId="52EE4C9D">
      <w:pPr>
        <w:pStyle w:val="3"/>
        <w:rPr>
          <w:color w:val="000000" w:themeColor="text1"/>
          <w:highlight w:val="none"/>
          <w14:textFill>
            <w14:solidFill>
              <w14:schemeClr w14:val="tx1"/>
            </w14:solidFill>
          </w14:textFill>
        </w:rPr>
      </w:pPr>
      <w:bookmarkStart w:id="52" w:name="_Toc9502"/>
      <w:bookmarkStart w:id="53" w:name="_Toc26790"/>
      <w:r>
        <w:rPr>
          <w:color w:val="000000" w:themeColor="text1"/>
          <w:highlight w:val="none"/>
          <w:lang w:eastAsia="zh-CN"/>
          <w14:textFill>
            <w14:solidFill>
              <w14:schemeClr w14:val="tx1"/>
            </w14:solidFill>
          </w14:textFill>
        </w:rPr>
        <w:t>2.7</w:t>
      </w:r>
      <w:r>
        <w:rPr>
          <w:rFonts w:hint="eastAsia"/>
          <w:color w:val="000000" w:themeColor="text1"/>
          <w:highlight w:val="none"/>
          <w:lang w:eastAsia="zh-CN"/>
          <w14:textFill>
            <w14:solidFill>
              <w14:schemeClr w14:val="tx1"/>
            </w14:solidFill>
          </w14:textFill>
        </w:rPr>
        <w:t>环境保护目标</w:t>
      </w:r>
      <w:bookmarkEnd w:id="52"/>
      <w:bookmarkEnd w:id="53"/>
    </w:p>
    <w:p w14:paraId="36523892">
      <w:pPr>
        <w:pStyle w:val="4"/>
        <w:rPr>
          <w:color w:val="000000" w:themeColor="text1"/>
          <w:highlight w:val="none"/>
          <w14:textFill>
            <w14:solidFill>
              <w14:schemeClr w14:val="tx1"/>
            </w14:solidFill>
          </w14:textFill>
        </w:rPr>
      </w:pPr>
      <w:bookmarkStart w:id="54" w:name="_Toc25881"/>
      <w:r>
        <w:rPr>
          <w:color w:val="000000" w:themeColor="text1"/>
          <w:highlight w:val="none"/>
          <w14:textFill>
            <w14:solidFill>
              <w14:schemeClr w14:val="tx1"/>
            </w14:solidFill>
          </w14:textFill>
        </w:rPr>
        <w:t>2.7.1</w:t>
      </w:r>
      <w:r>
        <w:rPr>
          <w:rFonts w:hint="eastAsia"/>
          <w:color w:val="000000" w:themeColor="text1"/>
          <w:highlight w:val="none"/>
          <w14:textFill>
            <w14:solidFill>
              <w14:schemeClr w14:val="tx1"/>
            </w14:solidFill>
          </w14:textFill>
        </w:rPr>
        <w:t>大气环境保护目标</w:t>
      </w:r>
      <w:bookmarkEnd w:id="54"/>
    </w:p>
    <w:p w14:paraId="066AEB5B">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大气的保护目标为区域内空气质量，使其满足《环境空气质量标准》（GB 3095-2012）</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级标准。</w:t>
      </w:r>
    </w:p>
    <w:p w14:paraId="00699261">
      <w:pPr>
        <w:pStyle w:val="4"/>
        <w:rPr>
          <w:color w:val="000000" w:themeColor="text1"/>
          <w:highlight w:val="none"/>
          <w14:textFill>
            <w14:solidFill>
              <w14:schemeClr w14:val="tx1"/>
            </w14:solidFill>
          </w14:textFill>
        </w:rPr>
      </w:pPr>
      <w:bookmarkStart w:id="55" w:name="_Toc15608"/>
      <w:r>
        <w:rPr>
          <w:color w:val="000000" w:themeColor="text1"/>
          <w:highlight w:val="none"/>
          <w14:textFill>
            <w14:solidFill>
              <w14:schemeClr w14:val="tx1"/>
            </w14:solidFill>
          </w14:textFill>
        </w:rPr>
        <w:t>2.7.2</w:t>
      </w:r>
      <w:r>
        <w:rPr>
          <w:rFonts w:hint="eastAsia"/>
          <w:color w:val="000000" w:themeColor="text1"/>
          <w:highlight w:val="none"/>
          <w14:textFill>
            <w14:solidFill>
              <w14:schemeClr w14:val="tx1"/>
            </w14:solidFill>
          </w14:textFill>
        </w:rPr>
        <w:t>水环境保护目标</w:t>
      </w:r>
      <w:bookmarkEnd w:id="55"/>
      <w:r>
        <w:rPr>
          <w:rFonts w:hint="eastAsia"/>
          <w:color w:val="000000" w:themeColor="text1"/>
          <w:highlight w:val="none"/>
          <w14:textFill>
            <w14:solidFill>
              <w14:schemeClr w14:val="tx1"/>
            </w14:solidFill>
          </w14:textFill>
        </w:rPr>
        <w:t xml:space="preserve"> </w:t>
      </w:r>
    </w:p>
    <w:p w14:paraId="3E7D69C0">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本项目水环境保护目标为地下水环境质量不因项目的建设而下降，满足《地下水质量标准》（</w:t>
      </w:r>
      <w:r>
        <w:rPr>
          <w:rFonts w:cs="Times New Roman"/>
          <w:color w:val="000000" w:themeColor="text1"/>
          <w:highlight w:val="none"/>
          <w:lang w:bidi="ar"/>
          <w14:textFill>
            <w14:solidFill>
              <w14:schemeClr w14:val="tx1"/>
            </w14:solidFill>
          </w14:textFill>
        </w:rPr>
        <w:t>GB/T14848-2017</w:t>
      </w:r>
      <w:r>
        <w:rPr>
          <w:rFonts w:hint="eastAsia" w:ascii="宋体" w:hAnsi="宋体"/>
          <w:color w:val="000000" w:themeColor="text1"/>
          <w:highlight w:val="none"/>
          <w:lang w:bidi="ar"/>
          <w14:textFill>
            <w14:solidFill>
              <w14:schemeClr w14:val="tx1"/>
            </w14:solidFill>
          </w14:textFill>
        </w:rPr>
        <w:t xml:space="preserve">）中的Ⅲ类标准。 </w:t>
      </w:r>
    </w:p>
    <w:p w14:paraId="644B5ECB">
      <w:pPr>
        <w:pStyle w:val="4"/>
        <w:rPr>
          <w:color w:val="000000" w:themeColor="text1"/>
          <w:highlight w:val="none"/>
          <w14:textFill>
            <w14:solidFill>
              <w14:schemeClr w14:val="tx1"/>
            </w14:solidFill>
          </w14:textFill>
        </w:rPr>
      </w:pPr>
      <w:bookmarkStart w:id="56" w:name="_Toc3683"/>
      <w:r>
        <w:rPr>
          <w:color w:val="000000" w:themeColor="text1"/>
          <w:highlight w:val="none"/>
          <w14:textFill>
            <w14:solidFill>
              <w14:schemeClr w14:val="tx1"/>
            </w14:solidFill>
          </w14:textFill>
        </w:rPr>
        <w:t>2.7.3</w:t>
      </w:r>
      <w:r>
        <w:rPr>
          <w:rFonts w:hint="eastAsia"/>
          <w:color w:val="000000" w:themeColor="text1"/>
          <w:highlight w:val="none"/>
          <w14:textFill>
            <w14:solidFill>
              <w14:schemeClr w14:val="tx1"/>
            </w14:solidFill>
          </w14:textFill>
        </w:rPr>
        <w:t>声环境保护目标</w:t>
      </w:r>
      <w:bookmarkEnd w:id="56"/>
    </w:p>
    <w:p w14:paraId="61F47B1A">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声环境保护目标为厂界四周声环境，保证声环境质量满足《声环境质量标准》（</w:t>
      </w:r>
      <w:r>
        <w:rPr>
          <w:rFonts w:cs="Times New Roman"/>
          <w:color w:val="000000" w:themeColor="text1"/>
          <w:highlight w:val="none"/>
          <w:lang w:bidi="ar"/>
          <w14:textFill>
            <w14:solidFill>
              <w14:schemeClr w14:val="tx1"/>
            </w14:solidFill>
          </w14:textFill>
        </w:rPr>
        <w:t>GB3096-2008</w:t>
      </w:r>
      <w:r>
        <w:rPr>
          <w:rFonts w:hint="eastAsia" w:ascii="宋体" w:hAnsi="宋体"/>
          <w:color w:val="000000" w:themeColor="text1"/>
          <w:highlight w:val="none"/>
          <w:lang w:bidi="ar"/>
          <w14:textFill>
            <w14:solidFill>
              <w14:schemeClr w14:val="tx1"/>
            </w14:solidFill>
          </w14:textFill>
        </w:rPr>
        <w:t>）</w:t>
      </w:r>
      <w:r>
        <w:rPr>
          <w:rFonts w:cs="Times New Roman"/>
          <w:color w:val="000000" w:themeColor="text1"/>
          <w:highlight w:val="none"/>
          <w:lang w:bidi="ar"/>
          <w14:textFill>
            <w14:solidFill>
              <w14:schemeClr w14:val="tx1"/>
            </w14:solidFill>
          </w14:textFill>
        </w:rPr>
        <w:t>2</w:t>
      </w:r>
      <w:r>
        <w:rPr>
          <w:rFonts w:hint="eastAsia" w:ascii="宋体" w:hAnsi="宋体"/>
          <w:color w:val="000000" w:themeColor="text1"/>
          <w:highlight w:val="none"/>
          <w:lang w:bidi="ar"/>
          <w14:textFill>
            <w14:solidFill>
              <w14:schemeClr w14:val="tx1"/>
            </w14:solidFill>
          </w14:textFill>
        </w:rPr>
        <w:t>类区标准要求。</w:t>
      </w:r>
    </w:p>
    <w:p w14:paraId="52B95495">
      <w:pPr>
        <w:pStyle w:val="4"/>
        <w:rPr>
          <w:color w:val="000000" w:themeColor="text1"/>
          <w:highlight w:val="none"/>
          <w14:textFill>
            <w14:solidFill>
              <w14:schemeClr w14:val="tx1"/>
            </w14:solidFill>
          </w14:textFill>
        </w:rPr>
      </w:pPr>
      <w:bookmarkStart w:id="57" w:name="_Toc3327"/>
      <w:r>
        <w:rPr>
          <w:color w:val="000000" w:themeColor="text1"/>
          <w:highlight w:val="none"/>
          <w14:textFill>
            <w14:solidFill>
              <w14:schemeClr w14:val="tx1"/>
            </w14:solidFill>
          </w14:textFill>
        </w:rPr>
        <w:t>2.7.4</w:t>
      </w:r>
      <w:r>
        <w:rPr>
          <w:rFonts w:hint="eastAsia"/>
          <w:color w:val="000000" w:themeColor="text1"/>
          <w:highlight w:val="none"/>
          <w14:textFill>
            <w14:solidFill>
              <w14:schemeClr w14:val="tx1"/>
            </w14:solidFill>
          </w14:textFill>
        </w:rPr>
        <w:t>固体废物环境保护目标</w:t>
      </w:r>
      <w:bookmarkEnd w:id="57"/>
    </w:p>
    <w:p w14:paraId="0103BDD7">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落实本项目固体废物“减量化、资源化和无害化”的途径和数量。防止发生二次污染。</w:t>
      </w:r>
    </w:p>
    <w:p w14:paraId="33BC6A7F">
      <w:pPr>
        <w:pStyle w:val="4"/>
        <w:rPr>
          <w:color w:val="000000" w:themeColor="text1"/>
          <w:highlight w:val="none"/>
          <w14:textFill>
            <w14:solidFill>
              <w14:schemeClr w14:val="tx1"/>
            </w14:solidFill>
          </w14:textFill>
        </w:rPr>
      </w:pPr>
      <w:bookmarkStart w:id="58" w:name="_Toc32455"/>
      <w:r>
        <w:rPr>
          <w:rFonts w:cs="Times New Roman"/>
          <w:bCs/>
          <w:color w:val="000000" w:themeColor="text1"/>
          <w:highlight w:val="none"/>
          <w:lang w:bidi="ar"/>
          <w14:textFill>
            <w14:solidFill>
              <w14:schemeClr w14:val="tx1"/>
            </w14:solidFill>
          </w14:textFill>
        </w:rPr>
        <w:t>2.7.5</w:t>
      </w:r>
      <w:r>
        <w:rPr>
          <w:rFonts w:hint="eastAsia" w:ascii="宋体" w:hAnsi="宋体"/>
          <w:bCs/>
          <w:color w:val="000000" w:themeColor="text1"/>
          <w:highlight w:val="none"/>
          <w:lang w:bidi="ar"/>
          <w14:textFill>
            <w14:solidFill>
              <w14:schemeClr w14:val="tx1"/>
            </w14:solidFill>
          </w14:textFill>
        </w:rPr>
        <w:t>生态环境保护目标</w:t>
      </w:r>
      <w:bookmarkEnd w:id="58"/>
      <w:r>
        <w:rPr>
          <w:rFonts w:hint="eastAsia" w:ascii="宋体" w:hAnsi="宋体"/>
          <w:bCs/>
          <w:color w:val="000000" w:themeColor="text1"/>
          <w:highlight w:val="none"/>
          <w:lang w:bidi="ar"/>
          <w14:textFill>
            <w14:solidFill>
              <w14:schemeClr w14:val="tx1"/>
            </w14:solidFill>
          </w14:textFill>
        </w:rPr>
        <w:t xml:space="preserve"> </w:t>
      </w:r>
    </w:p>
    <w:p w14:paraId="41CDE1C6">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保障本项目的建设对评价区域周边生态不构成显著的影响，不影响项目区</w:t>
      </w:r>
    </w:p>
    <w:p w14:paraId="0C560030">
      <w:pPr>
        <w:widowControl/>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周边的生态系统类型。</w:t>
      </w:r>
    </w:p>
    <w:p w14:paraId="6D0CFCF6">
      <w:pPr>
        <w:pStyle w:val="4"/>
        <w:rPr>
          <w:color w:val="000000" w:themeColor="text1"/>
          <w:highlight w:val="none"/>
          <w14:textFill>
            <w14:solidFill>
              <w14:schemeClr w14:val="tx1"/>
            </w14:solidFill>
          </w14:textFill>
        </w:rPr>
      </w:pPr>
      <w:bookmarkStart w:id="59" w:name="_Toc19977"/>
      <w:r>
        <w:rPr>
          <w:rFonts w:cs="Times New Roman"/>
          <w:bCs/>
          <w:color w:val="000000" w:themeColor="text1"/>
          <w:highlight w:val="none"/>
          <w:lang w:bidi="ar"/>
          <w14:textFill>
            <w14:solidFill>
              <w14:schemeClr w14:val="tx1"/>
            </w14:solidFill>
          </w14:textFill>
        </w:rPr>
        <w:t>2.7.6</w:t>
      </w:r>
      <w:r>
        <w:rPr>
          <w:rFonts w:hint="eastAsia" w:ascii="宋体" w:hAnsi="宋体"/>
          <w:bCs/>
          <w:color w:val="000000" w:themeColor="text1"/>
          <w:highlight w:val="none"/>
          <w:lang w:bidi="ar"/>
          <w14:textFill>
            <w14:solidFill>
              <w14:schemeClr w14:val="tx1"/>
            </w14:solidFill>
          </w14:textFill>
        </w:rPr>
        <w:t>环境风险保护目标</w:t>
      </w:r>
      <w:bookmarkEnd w:id="59"/>
    </w:p>
    <w:p w14:paraId="1BF9FB1C">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保障项目运营过程中发生风险事故得到有效预防和控制，不会对评价范围内环境敏感点带来不利影响。</w:t>
      </w:r>
    </w:p>
    <w:p w14:paraId="30D7AB60">
      <w:pPr>
        <w:pStyle w:val="4"/>
        <w:rPr>
          <w:color w:val="000000" w:themeColor="text1"/>
          <w:highlight w:val="none"/>
          <w14:textFill>
            <w14:solidFill>
              <w14:schemeClr w14:val="tx1"/>
            </w14:solidFill>
          </w14:textFill>
        </w:rPr>
      </w:pPr>
      <w:bookmarkStart w:id="60" w:name="_Toc27173"/>
      <w:r>
        <w:rPr>
          <w:rFonts w:cs="Times New Roman"/>
          <w:bCs/>
          <w:color w:val="000000" w:themeColor="text1"/>
          <w:highlight w:val="none"/>
          <w:lang w:bidi="ar"/>
          <w14:textFill>
            <w14:solidFill>
              <w14:schemeClr w14:val="tx1"/>
            </w14:solidFill>
          </w14:textFill>
        </w:rPr>
        <w:t>2.7.7</w:t>
      </w:r>
      <w:r>
        <w:rPr>
          <w:rFonts w:hint="eastAsia" w:ascii="宋体" w:hAnsi="宋体"/>
          <w:bCs/>
          <w:color w:val="000000" w:themeColor="text1"/>
          <w:highlight w:val="none"/>
          <w:lang w:bidi="ar"/>
          <w14:textFill>
            <w14:solidFill>
              <w14:schemeClr w14:val="tx1"/>
            </w14:solidFill>
          </w14:textFill>
        </w:rPr>
        <w:t>环境保护目标汇总</w:t>
      </w:r>
      <w:bookmarkEnd w:id="60"/>
    </w:p>
    <w:p w14:paraId="43BD5573">
      <w:pPr>
        <w:widowControl/>
        <w:ind w:firstLine="480" w:firstLineChars="200"/>
        <w:rPr>
          <w:color w:val="000000" w:themeColor="text1"/>
          <w:highlight w:val="none"/>
          <w14:textFill>
            <w14:solidFill>
              <w14:schemeClr w14:val="tx1"/>
            </w14:solidFill>
          </w14:textFill>
        </w:rPr>
      </w:pPr>
      <w:r>
        <w:rPr>
          <w:rFonts w:hint="eastAsia" w:ascii="宋体" w:hAnsi="宋体"/>
          <w:color w:val="000000" w:themeColor="text1"/>
          <w:highlight w:val="none"/>
          <w:lang w:bidi="ar"/>
          <w14:textFill>
            <w14:solidFill>
              <w14:schemeClr w14:val="tx1"/>
            </w14:solidFill>
          </w14:textFill>
        </w:rPr>
        <w:t>根据厂址周围环境状况和敏感点具体分布情况，确定本项目环境空气、地下水的环境保护目标，项目周围最近的环境保护目标情况详见表</w:t>
      </w:r>
      <w:r>
        <w:rPr>
          <w:rFonts w:cs="Times New Roman"/>
          <w:color w:val="000000" w:themeColor="text1"/>
          <w:highlight w:val="none"/>
          <w:lang w:bidi="ar"/>
          <w14:textFill>
            <w14:solidFill>
              <w14:schemeClr w14:val="tx1"/>
            </w14:solidFill>
          </w14:textFill>
        </w:rPr>
        <w:t>2.7-1</w:t>
      </w:r>
      <w:r>
        <w:rPr>
          <w:rFonts w:hint="eastAsia" w:ascii="宋体" w:hAnsi="宋体"/>
          <w:color w:val="000000" w:themeColor="text1"/>
          <w:highlight w:val="none"/>
          <w:lang w:bidi="ar"/>
          <w14:textFill>
            <w14:solidFill>
              <w14:schemeClr w14:val="tx1"/>
            </w14:solidFill>
          </w14:textFill>
        </w:rPr>
        <w:t>。项目周围环境保护目标见附图</w:t>
      </w:r>
      <w:r>
        <w:rPr>
          <w:rFonts w:cs="Times New Roman"/>
          <w:color w:val="000000" w:themeColor="text1"/>
          <w:highlight w:val="none"/>
          <w:lang w:bidi="ar"/>
          <w14:textFill>
            <w14:solidFill>
              <w14:schemeClr w14:val="tx1"/>
            </w14:solidFill>
          </w14:textFill>
        </w:rPr>
        <w:t>2.7-1</w:t>
      </w:r>
      <w:r>
        <w:rPr>
          <w:rFonts w:hint="eastAsia" w:cs="Times New Roman"/>
          <w:color w:val="000000" w:themeColor="text1"/>
          <w:highlight w:val="none"/>
          <w:lang w:bidi="ar"/>
          <w14:textFill>
            <w14:solidFill>
              <w14:schemeClr w14:val="tx1"/>
            </w14:solidFill>
          </w14:textFill>
        </w:rPr>
        <w:t>。</w:t>
      </w:r>
    </w:p>
    <w:p w14:paraId="6331ADF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表2.7-1  主要环境保护目标</w:t>
      </w:r>
    </w:p>
    <w:tbl>
      <w:tblPr>
        <w:tblStyle w:val="58"/>
        <w:tblW w:w="8323" w:type="dxa"/>
        <w:tblInd w:w="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0"/>
        <w:gridCol w:w="1324"/>
        <w:gridCol w:w="1044"/>
        <w:gridCol w:w="1082"/>
        <w:gridCol w:w="1961"/>
        <w:gridCol w:w="1372"/>
        <w:gridCol w:w="970"/>
      </w:tblGrid>
      <w:tr w14:paraId="531B4F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570" w:type="dxa"/>
            <w:tcBorders>
              <w:top w:val="single" w:color="auto" w:sz="4" w:space="0"/>
              <w:left w:val="single" w:color="auto" w:sz="4" w:space="0"/>
              <w:bottom w:val="single" w:color="auto" w:sz="4" w:space="0"/>
              <w:right w:val="single" w:color="auto" w:sz="4" w:space="0"/>
            </w:tcBorders>
            <w:vAlign w:val="center"/>
          </w:tcPr>
          <w:p w14:paraId="35AE8BD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环境要素</w:t>
            </w:r>
          </w:p>
        </w:tc>
        <w:tc>
          <w:tcPr>
            <w:tcW w:w="1324" w:type="dxa"/>
            <w:tcBorders>
              <w:top w:val="single" w:color="auto" w:sz="4" w:space="0"/>
              <w:left w:val="single" w:color="auto" w:sz="4" w:space="0"/>
              <w:bottom w:val="single" w:color="auto" w:sz="4" w:space="0"/>
              <w:right w:val="single" w:color="auto" w:sz="4" w:space="0"/>
            </w:tcBorders>
            <w:vAlign w:val="center"/>
          </w:tcPr>
          <w:p w14:paraId="1C952CD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环境保护对象名称</w:t>
            </w:r>
          </w:p>
        </w:tc>
        <w:tc>
          <w:tcPr>
            <w:tcW w:w="1044" w:type="dxa"/>
            <w:tcBorders>
              <w:top w:val="single" w:color="auto" w:sz="4" w:space="0"/>
              <w:left w:val="single" w:color="auto" w:sz="4" w:space="0"/>
              <w:bottom w:val="single" w:color="auto" w:sz="4" w:space="0"/>
              <w:right w:val="single" w:color="auto" w:sz="4" w:space="0"/>
            </w:tcBorders>
            <w:vAlign w:val="center"/>
          </w:tcPr>
          <w:p w14:paraId="4DEEBD8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保护对象</w:t>
            </w:r>
          </w:p>
        </w:tc>
        <w:tc>
          <w:tcPr>
            <w:tcW w:w="1082" w:type="dxa"/>
            <w:tcBorders>
              <w:top w:val="single" w:color="auto" w:sz="4" w:space="0"/>
              <w:left w:val="single" w:color="auto" w:sz="4" w:space="0"/>
              <w:bottom w:val="single" w:color="auto" w:sz="4" w:space="0"/>
              <w:right w:val="single" w:color="auto" w:sz="4" w:space="0"/>
            </w:tcBorders>
            <w:vAlign w:val="center"/>
          </w:tcPr>
          <w:p w14:paraId="53F42CD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保护规模</w:t>
            </w:r>
          </w:p>
        </w:tc>
        <w:tc>
          <w:tcPr>
            <w:tcW w:w="1961" w:type="dxa"/>
            <w:tcBorders>
              <w:top w:val="single" w:color="auto" w:sz="4" w:space="0"/>
              <w:left w:val="single" w:color="auto" w:sz="4" w:space="0"/>
              <w:bottom w:val="single" w:color="auto" w:sz="4" w:space="0"/>
              <w:right w:val="single" w:color="auto" w:sz="4" w:space="0"/>
            </w:tcBorders>
            <w:vAlign w:val="center"/>
          </w:tcPr>
          <w:p w14:paraId="50E2CD4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环境功能区</w:t>
            </w:r>
          </w:p>
        </w:tc>
        <w:tc>
          <w:tcPr>
            <w:tcW w:w="1372" w:type="dxa"/>
            <w:tcBorders>
              <w:top w:val="single" w:color="auto" w:sz="4" w:space="0"/>
              <w:left w:val="single" w:color="auto" w:sz="4" w:space="0"/>
              <w:bottom w:val="single" w:color="auto" w:sz="4" w:space="0"/>
              <w:right w:val="single" w:color="auto" w:sz="4" w:space="0"/>
            </w:tcBorders>
            <w:vAlign w:val="center"/>
          </w:tcPr>
          <w:p w14:paraId="28897C4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相对厂界方位</w:t>
            </w:r>
          </w:p>
        </w:tc>
        <w:tc>
          <w:tcPr>
            <w:tcW w:w="970" w:type="dxa"/>
            <w:tcBorders>
              <w:top w:val="single" w:color="auto" w:sz="4" w:space="0"/>
              <w:left w:val="single" w:color="auto" w:sz="4" w:space="0"/>
              <w:bottom w:val="single" w:color="auto" w:sz="4" w:space="0"/>
              <w:right w:val="single" w:color="auto" w:sz="4" w:space="0"/>
            </w:tcBorders>
            <w:vAlign w:val="center"/>
          </w:tcPr>
          <w:p w14:paraId="7627B38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相对厂界距离</w:t>
            </w:r>
          </w:p>
        </w:tc>
      </w:tr>
      <w:tr w14:paraId="1DA85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70" w:type="dxa"/>
            <w:vMerge w:val="restart"/>
            <w:tcBorders>
              <w:top w:val="single" w:color="auto" w:sz="4" w:space="0"/>
              <w:left w:val="single" w:color="auto" w:sz="4" w:space="0"/>
              <w:right w:val="single" w:color="auto" w:sz="4" w:space="0"/>
            </w:tcBorders>
            <w:vAlign w:val="center"/>
          </w:tcPr>
          <w:p w14:paraId="7236B96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大气环境</w:t>
            </w:r>
          </w:p>
        </w:tc>
        <w:tc>
          <w:tcPr>
            <w:tcW w:w="1324" w:type="dxa"/>
            <w:tcBorders>
              <w:top w:val="single" w:color="auto" w:sz="4" w:space="0"/>
              <w:left w:val="single" w:color="auto" w:sz="4" w:space="0"/>
              <w:bottom w:val="single" w:color="auto" w:sz="4" w:space="0"/>
              <w:right w:val="single" w:color="auto" w:sz="4" w:space="0"/>
            </w:tcBorders>
            <w:vAlign w:val="center"/>
          </w:tcPr>
          <w:p w14:paraId="5AE73793">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125团16连</w:t>
            </w:r>
          </w:p>
        </w:tc>
        <w:tc>
          <w:tcPr>
            <w:tcW w:w="1044" w:type="dxa"/>
            <w:tcBorders>
              <w:top w:val="single" w:color="auto" w:sz="4" w:space="0"/>
              <w:left w:val="single" w:color="auto" w:sz="4" w:space="0"/>
              <w:bottom w:val="single" w:color="auto" w:sz="4" w:space="0"/>
              <w:right w:val="single" w:color="auto" w:sz="4" w:space="0"/>
            </w:tcBorders>
            <w:vAlign w:val="center"/>
          </w:tcPr>
          <w:p w14:paraId="2EC2239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村庄</w:t>
            </w:r>
          </w:p>
        </w:tc>
        <w:tc>
          <w:tcPr>
            <w:tcW w:w="1082" w:type="dxa"/>
            <w:tcBorders>
              <w:top w:val="single" w:color="auto" w:sz="4" w:space="0"/>
              <w:left w:val="single" w:color="auto" w:sz="4" w:space="0"/>
              <w:bottom w:val="single" w:color="auto" w:sz="4" w:space="0"/>
              <w:right w:val="single" w:color="auto" w:sz="4" w:space="0"/>
            </w:tcBorders>
            <w:vAlign w:val="center"/>
          </w:tcPr>
          <w:p w14:paraId="2A7E8C3E">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w:t>
            </w:r>
            <w:r>
              <w:rPr>
                <w:color w:val="000000" w:themeColor="text1"/>
                <w:sz w:val="21"/>
                <w:szCs w:val="21"/>
                <w:highlight w:val="none"/>
                <w14:textFill>
                  <w14:solidFill>
                    <w14:schemeClr w14:val="tx1"/>
                  </w14:solidFill>
                </w14:textFill>
              </w:rPr>
              <w:t>人</w:t>
            </w:r>
          </w:p>
        </w:tc>
        <w:tc>
          <w:tcPr>
            <w:tcW w:w="1961" w:type="dxa"/>
            <w:tcBorders>
              <w:top w:val="single" w:color="auto" w:sz="4" w:space="0"/>
              <w:left w:val="single" w:color="auto" w:sz="4" w:space="0"/>
              <w:bottom w:val="single" w:color="auto" w:sz="4" w:space="0"/>
              <w:right w:val="single" w:color="auto" w:sz="4" w:space="0"/>
            </w:tcBorders>
            <w:vAlign w:val="center"/>
          </w:tcPr>
          <w:p w14:paraId="21AD366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二类区</w:t>
            </w:r>
          </w:p>
        </w:tc>
        <w:tc>
          <w:tcPr>
            <w:tcW w:w="1372" w:type="dxa"/>
            <w:tcBorders>
              <w:top w:val="single" w:color="auto" w:sz="4" w:space="0"/>
              <w:left w:val="single" w:color="auto" w:sz="4" w:space="0"/>
              <w:bottom w:val="single" w:color="auto" w:sz="4" w:space="0"/>
              <w:right w:val="single" w:color="auto" w:sz="4" w:space="0"/>
            </w:tcBorders>
            <w:vAlign w:val="center"/>
          </w:tcPr>
          <w:p w14:paraId="15F937FA">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西南</w:t>
            </w:r>
            <w:r>
              <w:rPr>
                <w:rFonts w:hint="eastAsia"/>
                <w:color w:val="000000" w:themeColor="text1"/>
                <w:sz w:val="21"/>
                <w:szCs w:val="21"/>
                <w:highlight w:val="none"/>
                <w14:textFill>
                  <w14:solidFill>
                    <w14:schemeClr w14:val="tx1"/>
                  </w14:solidFill>
                </w14:textFill>
              </w:rPr>
              <w:t>侧</w:t>
            </w:r>
          </w:p>
        </w:tc>
        <w:tc>
          <w:tcPr>
            <w:tcW w:w="970" w:type="dxa"/>
            <w:tcBorders>
              <w:top w:val="single" w:color="auto" w:sz="4" w:space="0"/>
              <w:left w:val="single" w:color="auto" w:sz="4" w:space="0"/>
              <w:bottom w:val="single" w:color="auto" w:sz="4" w:space="0"/>
              <w:right w:val="single" w:color="auto" w:sz="4" w:space="0"/>
            </w:tcBorders>
            <w:vAlign w:val="center"/>
          </w:tcPr>
          <w:p w14:paraId="12388D7F">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0.8k</w:t>
            </w:r>
            <w:r>
              <w:rPr>
                <w:rFonts w:hint="eastAsia"/>
                <w:color w:val="000000" w:themeColor="text1"/>
                <w:sz w:val="21"/>
                <w:szCs w:val="21"/>
                <w:highlight w:val="none"/>
                <w14:textFill>
                  <w14:solidFill>
                    <w14:schemeClr w14:val="tx1"/>
                  </w14:solidFill>
                </w14:textFill>
              </w:rPr>
              <w:t>m</w:t>
            </w:r>
          </w:p>
        </w:tc>
      </w:tr>
      <w:tr w14:paraId="1DDFA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70" w:type="dxa"/>
            <w:vMerge w:val="continue"/>
            <w:tcBorders>
              <w:left w:val="single" w:color="auto" w:sz="4" w:space="0"/>
              <w:bottom w:val="single" w:color="auto" w:sz="4" w:space="0"/>
              <w:right w:val="single" w:color="auto" w:sz="4" w:space="0"/>
            </w:tcBorders>
            <w:vAlign w:val="center"/>
          </w:tcPr>
          <w:p w14:paraId="63CC4DEF">
            <w:pPr>
              <w:spacing w:line="240" w:lineRule="auto"/>
              <w:jc w:val="center"/>
              <w:rPr>
                <w:color w:val="000000" w:themeColor="text1"/>
                <w:sz w:val="21"/>
                <w:szCs w:val="21"/>
                <w:highlight w:val="none"/>
                <w14:textFill>
                  <w14:solidFill>
                    <w14:schemeClr w14:val="tx1"/>
                  </w14:solidFill>
                </w14:textFill>
              </w:rPr>
            </w:pPr>
          </w:p>
        </w:tc>
        <w:tc>
          <w:tcPr>
            <w:tcW w:w="1324" w:type="dxa"/>
            <w:tcBorders>
              <w:top w:val="single" w:color="auto" w:sz="4" w:space="0"/>
              <w:left w:val="single" w:color="auto" w:sz="4" w:space="0"/>
              <w:bottom w:val="single" w:color="auto" w:sz="4" w:space="0"/>
              <w:right w:val="single" w:color="auto" w:sz="4" w:space="0"/>
            </w:tcBorders>
            <w:vAlign w:val="center"/>
          </w:tcPr>
          <w:p w14:paraId="403EF97C">
            <w:pPr>
              <w:spacing w:line="240" w:lineRule="auto"/>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125团1</w:t>
            </w:r>
            <w:r>
              <w:rPr>
                <w:rFonts w:hint="eastAsia"/>
                <w:color w:val="000000" w:themeColor="text1"/>
                <w:sz w:val="21"/>
                <w:szCs w:val="21"/>
                <w:highlight w:val="none"/>
                <w:lang w:val="en-US" w:eastAsia="zh-CN"/>
                <w14:textFill>
                  <w14:solidFill>
                    <w14:schemeClr w14:val="tx1"/>
                  </w14:solidFill>
                </w14:textFill>
              </w:rPr>
              <w:t>8</w:t>
            </w:r>
            <w:r>
              <w:rPr>
                <w:rFonts w:hint="eastAsia"/>
                <w:color w:val="000000" w:themeColor="text1"/>
                <w:sz w:val="21"/>
                <w:szCs w:val="21"/>
                <w:highlight w:val="none"/>
                <w:lang w:eastAsia="zh-CN"/>
                <w14:textFill>
                  <w14:solidFill>
                    <w14:schemeClr w14:val="tx1"/>
                  </w14:solidFill>
                </w14:textFill>
              </w:rPr>
              <w:t>连</w:t>
            </w:r>
          </w:p>
        </w:tc>
        <w:tc>
          <w:tcPr>
            <w:tcW w:w="1044" w:type="dxa"/>
            <w:tcBorders>
              <w:top w:val="single" w:color="auto" w:sz="4" w:space="0"/>
              <w:left w:val="single" w:color="auto" w:sz="4" w:space="0"/>
              <w:bottom w:val="single" w:color="auto" w:sz="4" w:space="0"/>
              <w:right w:val="single" w:color="auto" w:sz="4" w:space="0"/>
            </w:tcBorders>
            <w:vAlign w:val="center"/>
          </w:tcPr>
          <w:p w14:paraId="7BDAC8E6">
            <w:pPr>
              <w:spacing w:line="240" w:lineRule="auto"/>
              <w:jc w:val="center"/>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村庄</w:t>
            </w:r>
          </w:p>
        </w:tc>
        <w:tc>
          <w:tcPr>
            <w:tcW w:w="1082" w:type="dxa"/>
            <w:tcBorders>
              <w:top w:val="single" w:color="auto" w:sz="4" w:space="0"/>
              <w:left w:val="single" w:color="auto" w:sz="4" w:space="0"/>
              <w:bottom w:val="single" w:color="auto" w:sz="4" w:space="0"/>
              <w:right w:val="single" w:color="auto" w:sz="4" w:space="0"/>
            </w:tcBorders>
            <w:vAlign w:val="center"/>
          </w:tcPr>
          <w:p w14:paraId="76F102CE">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w:t>
            </w:r>
            <w:r>
              <w:rPr>
                <w:color w:val="000000" w:themeColor="text1"/>
                <w:sz w:val="21"/>
                <w:szCs w:val="21"/>
                <w:highlight w:val="none"/>
                <w14:textFill>
                  <w14:solidFill>
                    <w14:schemeClr w14:val="tx1"/>
                  </w14:solidFill>
                </w14:textFill>
              </w:rPr>
              <w:t>人</w:t>
            </w:r>
          </w:p>
        </w:tc>
        <w:tc>
          <w:tcPr>
            <w:tcW w:w="1961" w:type="dxa"/>
            <w:tcBorders>
              <w:top w:val="single" w:color="auto" w:sz="4" w:space="0"/>
              <w:left w:val="single" w:color="auto" w:sz="4" w:space="0"/>
              <w:bottom w:val="single" w:color="auto" w:sz="4" w:space="0"/>
              <w:right w:val="single" w:color="auto" w:sz="4" w:space="0"/>
            </w:tcBorders>
            <w:vAlign w:val="center"/>
          </w:tcPr>
          <w:p w14:paraId="72259A1C">
            <w:pPr>
              <w:spacing w:line="240" w:lineRule="auto"/>
              <w:jc w:val="center"/>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二类区</w:t>
            </w:r>
          </w:p>
        </w:tc>
        <w:tc>
          <w:tcPr>
            <w:tcW w:w="1372" w:type="dxa"/>
            <w:tcBorders>
              <w:top w:val="single" w:color="auto" w:sz="4" w:space="0"/>
              <w:left w:val="single" w:color="auto" w:sz="4" w:space="0"/>
              <w:bottom w:val="single" w:color="auto" w:sz="4" w:space="0"/>
              <w:right w:val="single" w:color="auto" w:sz="4" w:space="0"/>
            </w:tcBorders>
            <w:vAlign w:val="center"/>
          </w:tcPr>
          <w:p w14:paraId="4352961C">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西南</w:t>
            </w:r>
            <w:r>
              <w:rPr>
                <w:rFonts w:hint="eastAsia"/>
                <w:color w:val="000000" w:themeColor="text1"/>
                <w:sz w:val="21"/>
                <w:szCs w:val="21"/>
                <w:highlight w:val="none"/>
                <w14:textFill>
                  <w14:solidFill>
                    <w14:schemeClr w14:val="tx1"/>
                  </w14:solidFill>
                </w14:textFill>
              </w:rPr>
              <w:t>侧</w:t>
            </w:r>
          </w:p>
        </w:tc>
        <w:tc>
          <w:tcPr>
            <w:tcW w:w="970" w:type="dxa"/>
            <w:tcBorders>
              <w:top w:val="single" w:color="auto" w:sz="4" w:space="0"/>
              <w:left w:val="single" w:color="auto" w:sz="4" w:space="0"/>
              <w:bottom w:val="single" w:color="auto" w:sz="4" w:space="0"/>
              <w:right w:val="single" w:color="auto" w:sz="4" w:space="0"/>
            </w:tcBorders>
            <w:vAlign w:val="center"/>
          </w:tcPr>
          <w:p w14:paraId="70A51CDE">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2.3k</w:t>
            </w:r>
            <w:r>
              <w:rPr>
                <w:rFonts w:hint="eastAsia"/>
                <w:color w:val="000000" w:themeColor="text1"/>
                <w:sz w:val="21"/>
                <w:szCs w:val="21"/>
                <w:highlight w:val="none"/>
                <w14:textFill>
                  <w14:solidFill>
                    <w14:schemeClr w14:val="tx1"/>
                  </w14:solidFill>
                </w14:textFill>
              </w:rPr>
              <w:t>m</w:t>
            </w:r>
          </w:p>
        </w:tc>
      </w:tr>
      <w:tr w14:paraId="7E5C20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70" w:type="dxa"/>
            <w:tcBorders>
              <w:top w:val="single" w:color="auto" w:sz="4" w:space="0"/>
            </w:tcBorders>
            <w:vAlign w:val="center"/>
          </w:tcPr>
          <w:p w14:paraId="66B95A1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水环 境</w:t>
            </w:r>
          </w:p>
        </w:tc>
        <w:tc>
          <w:tcPr>
            <w:tcW w:w="1324" w:type="dxa"/>
            <w:tcBorders>
              <w:top w:val="single" w:color="auto" w:sz="4" w:space="0"/>
            </w:tcBorders>
            <w:vAlign w:val="center"/>
          </w:tcPr>
          <w:p w14:paraId="60BB87B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厂址区域内及周边地下水</w:t>
            </w:r>
          </w:p>
        </w:tc>
        <w:tc>
          <w:tcPr>
            <w:tcW w:w="2126" w:type="dxa"/>
            <w:gridSpan w:val="2"/>
            <w:tcBorders>
              <w:top w:val="single" w:color="auto" w:sz="4" w:space="0"/>
            </w:tcBorders>
            <w:vAlign w:val="center"/>
          </w:tcPr>
          <w:p w14:paraId="1B3C81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项目场区及上下游</w:t>
            </w:r>
          </w:p>
        </w:tc>
        <w:tc>
          <w:tcPr>
            <w:tcW w:w="1961" w:type="dxa"/>
            <w:tcBorders>
              <w:top w:val="single" w:color="auto" w:sz="4" w:space="0"/>
            </w:tcBorders>
            <w:vAlign w:val="center"/>
          </w:tcPr>
          <w:p w14:paraId="4AF8287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w:t>
            </w:r>
          </w:p>
          <w:p w14:paraId="2C1BFC2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Ⅲ类</w:t>
            </w:r>
          </w:p>
        </w:tc>
        <w:tc>
          <w:tcPr>
            <w:tcW w:w="1372" w:type="dxa"/>
            <w:tcBorders>
              <w:top w:val="single" w:color="auto" w:sz="4" w:space="0"/>
            </w:tcBorders>
            <w:vAlign w:val="center"/>
          </w:tcPr>
          <w:p w14:paraId="61675A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970" w:type="dxa"/>
            <w:tcBorders>
              <w:top w:val="single" w:color="auto" w:sz="4" w:space="0"/>
            </w:tcBorders>
            <w:vAlign w:val="center"/>
          </w:tcPr>
          <w:p w14:paraId="2E4C239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262727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70" w:type="dxa"/>
            <w:vAlign w:val="center"/>
          </w:tcPr>
          <w:p w14:paraId="0F5A6E3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声环境</w:t>
            </w:r>
          </w:p>
        </w:tc>
        <w:tc>
          <w:tcPr>
            <w:tcW w:w="1324" w:type="dxa"/>
            <w:vAlign w:val="center"/>
          </w:tcPr>
          <w:p w14:paraId="6F70DB3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厂界外200m范围内</w:t>
            </w:r>
          </w:p>
        </w:tc>
        <w:tc>
          <w:tcPr>
            <w:tcW w:w="2126" w:type="dxa"/>
            <w:gridSpan w:val="2"/>
            <w:vAlign w:val="center"/>
          </w:tcPr>
          <w:p w14:paraId="736E1B3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项目场区及厂界外200m</w:t>
            </w:r>
          </w:p>
        </w:tc>
        <w:tc>
          <w:tcPr>
            <w:tcW w:w="1961" w:type="dxa"/>
            <w:vAlign w:val="center"/>
          </w:tcPr>
          <w:p w14:paraId="6B48639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2类区</w:t>
            </w:r>
          </w:p>
        </w:tc>
        <w:tc>
          <w:tcPr>
            <w:tcW w:w="1372" w:type="dxa"/>
            <w:vAlign w:val="center"/>
          </w:tcPr>
          <w:p w14:paraId="7412FCC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970" w:type="dxa"/>
            <w:vAlign w:val="center"/>
          </w:tcPr>
          <w:p w14:paraId="273A8E0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25D77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restart"/>
            <w:vAlign w:val="center"/>
          </w:tcPr>
          <w:p w14:paraId="04AE72D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生态环境</w:t>
            </w:r>
          </w:p>
        </w:tc>
        <w:tc>
          <w:tcPr>
            <w:tcW w:w="1324" w:type="dxa"/>
            <w:vAlign w:val="center"/>
          </w:tcPr>
          <w:p w14:paraId="40DBF1F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农田</w:t>
            </w:r>
          </w:p>
        </w:tc>
        <w:tc>
          <w:tcPr>
            <w:tcW w:w="2126" w:type="dxa"/>
            <w:gridSpan w:val="2"/>
            <w:vMerge w:val="restart"/>
            <w:vAlign w:val="center"/>
          </w:tcPr>
          <w:p w14:paraId="13D67EB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项目有机肥还田灌溉涉及的农田</w:t>
            </w:r>
          </w:p>
        </w:tc>
        <w:tc>
          <w:tcPr>
            <w:tcW w:w="1961" w:type="dxa"/>
            <w:vAlign w:val="center"/>
          </w:tcPr>
          <w:p w14:paraId="6601430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372" w:type="dxa"/>
            <w:vAlign w:val="center"/>
          </w:tcPr>
          <w:p w14:paraId="0C3C2C3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东侧</w:t>
            </w:r>
          </w:p>
        </w:tc>
        <w:tc>
          <w:tcPr>
            <w:tcW w:w="970" w:type="dxa"/>
            <w:vAlign w:val="center"/>
          </w:tcPr>
          <w:p w14:paraId="7209E68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w:t>
            </w:r>
            <w:r>
              <w:rPr>
                <w:color w:val="000000" w:themeColor="text1"/>
                <w:sz w:val="21"/>
                <w:szCs w:val="21"/>
                <w:highlight w:val="none"/>
                <w14:textFill>
                  <w14:solidFill>
                    <w14:schemeClr w14:val="tx1"/>
                  </w14:solidFill>
                </w14:textFill>
              </w:rPr>
              <w:t>m</w:t>
            </w:r>
          </w:p>
        </w:tc>
      </w:tr>
      <w:tr w14:paraId="6BFF3A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vAlign w:val="center"/>
          </w:tcPr>
          <w:p w14:paraId="23E29386">
            <w:pPr>
              <w:spacing w:line="240" w:lineRule="auto"/>
              <w:jc w:val="center"/>
              <w:rPr>
                <w:color w:val="000000" w:themeColor="text1"/>
                <w:sz w:val="21"/>
                <w:szCs w:val="21"/>
                <w:highlight w:val="none"/>
                <w14:textFill>
                  <w14:solidFill>
                    <w14:schemeClr w14:val="tx1"/>
                  </w14:solidFill>
                </w14:textFill>
              </w:rPr>
            </w:pPr>
          </w:p>
        </w:tc>
        <w:tc>
          <w:tcPr>
            <w:tcW w:w="1324" w:type="dxa"/>
            <w:vAlign w:val="center"/>
          </w:tcPr>
          <w:p w14:paraId="28EC2C7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农田</w:t>
            </w:r>
          </w:p>
        </w:tc>
        <w:tc>
          <w:tcPr>
            <w:tcW w:w="2126" w:type="dxa"/>
            <w:gridSpan w:val="2"/>
            <w:vMerge w:val="continue"/>
            <w:vAlign w:val="center"/>
          </w:tcPr>
          <w:p w14:paraId="2E766953">
            <w:pPr>
              <w:spacing w:line="240" w:lineRule="auto"/>
              <w:jc w:val="center"/>
              <w:rPr>
                <w:color w:val="000000" w:themeColor="text1"/>
                <w:sz w:val="21"/>
                <w:szCs w:val="21"/>
                <w:highlight w:val="none"/>
                <w14:textFill>
                  <w14:solidFill>
                    <w14:schemeClr w14:val="tx1"/>
                  </w14:solidFill>
                </w14:textFill>
              </w:rPr>
            </w:pPr>
          </w:p>
        </w:tc>
        <w:tc>
          <w:tcPr>
            <w:tcW w:w="1961" w:type="dxa"/>
            <w:vAlign w:val="center"/>
          </w:tcPr>
          <w:p w14:paraId="6CC8F6D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372" w:type="dxa"/>
            <w:vAlign w:val="center"/>
          </w:tcPr>
          <w:p w14:paraId="59497B9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南</w:t>
            </w:r>
            <w:r>
              <w:rPr>
                <w:rFonts w:hint="eastAsia"/>
                <w:color w:val="000000" w:themeColor="text1"/>
                <w:sz w:val="21"/>
                <w:szCs w:val="21"/>
                <w:highlight w:val="none"/>
                <w14:textFill>
                  <w14:solidFill>
                    <w14:schemeClr w14:val="tx1"/>
                  </w14:solidFill>
                </w14:textFill>
              </w:rPr>
              <w:t>侧</w:t>
            </w:r>
          </w:p>
        </w:tc>
        <w:tc>
          <w:tcPr>
            <w:tcW w:w="970" w:type="dxa"/>
            <w:vAlign w:val="center"/>
          </w:tcPr>
          <w:p w14:paraId="70C1AE2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w:t>
            </w:r>
            <w:r>
              <w:rPr>
                <w:color w:val="000000" w:themeColor="text1"/>
                <w:sz w:val="21"/>
                <w:szCs w:val="21"/>
                <w:highlight w:val="none"/>
                <w14:textFill>
                  <w14:solidFill>
                    <w14:schemeClr w14:val="tx1"/>
                  </w14:solidFill>
                </w14:textFill>
              </w:rPr>
              <w:t>m</w:t>
            </w:r>
          </w:p>
        </w:tc>
      </w:tr>
      <w:tr w14:paraId="6FE07F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vAlign w:val="center"/>
          </w:tcPr>
          <w:p w14:paraId="46D92AB4">
            <w:pPr>
              <w:spacing w:line="240" w:lineRule="auto"/>
              <w:jc w:val="center"/>
              <w:rPr>
                <w:color w:val="000000" w:themeColor="text1"/>
                <w:sz w:val="21"/>
                <w:szCs w:val="21"/>
                <w:highlight w:val="none"/>
                <w14:textFill>
                  <w14:solidFill>
                    <w14:schemeClr w14:val="tx1"/>
                  </w14:solidFill>
                </w14:textFill>
              </w:rPr>
            </w:pPr>
          </w:p>
        </w:tc>
        <w:tc>
          <w:tcPr>
            <w:tcW w:w="1324" w:type="dxa"/>
            <w:vAlign w:val="center"/>
          </w:tcPr>
          <w:p w14:paraId="0974905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农田</w:t>
            </w:r>
          </w:p>
        </w:tc>
        <w:tc>
          <w:tcPr>
            <w:tcW w:w="2126" w:type="dxa"/>
            <w:gridSpan w:val="2"/>
            <w:vMerge w:val="continue"/>
            <w:vAlign w:val="center"/>
          </w:tcPr>
          <w:p w14:paraId="0E9E4528">
            <w:pPr>
              <w:spacing w:line="240" w:lineRule="auto"/>
              <w:jc w:val="center"/>
              <w:rPr>
                <w:color w:val="000000" w:themeColor="text1"/>
                <w:sz w:val="21"/>
                <w:szCs w:val="21"/>
                <w:highlight w:val="none"/>
                <w14:textFill>
                  <w14:solidFill>
                    <w14:schemeClr w14:val="tx1"/>
                  </w14:solidFill>
                </w14:textFill>
              </w:rPr>
            </w:pPr>
          </w:p>
        </w:tc>
        <w:tc>
          <w:tcPr>
            <w:tcW w:w="1961" w:type="dxa"/>
            <w:vAlign w:val="center"/>
          </w:tcPr>
          <w:p w14:paraId="33630F0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372" w:type="dxa"/>
            <w:vAlign w:val="center"/>
          </w:tcPr>
          <w:p w14:paraId="5683B31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西侧</w:t>
            </w:r>
          </w:p>
        </w:tc>
        <w:tc>
          <w:tcPr>
            <w:tcW w:w="970" w:type="dxa"/>
            <w:vAlign w:val="center"/>
          </w:tcPr>
          <w:p w14:paraId="79A0311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w:t>
            </w:r>
            <w:r>
              <w:rPr>
                <w:rFonts w:hint="eastAsia"/>
                <w:color w:val="000000" w:themeColor="text1"/>
                <w:sz w:val="21"/>
                <w:szCs w:val="21"/>
                <w:highlight w:val="none"/>
                <w14:textFill>
                  <w14:solidFill>
                    <w14:schemeClr w14:val="tx1"/>
                  </w14:solidFill>
                </w14:textFill>
              </w:rPr>
              <w:t>m</w:t>
            </w:r>
          </w:p>
        </w:tc>
      </w:tr>
      <w:tr w14:paraId="1F493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70" w:type="dxa"/>
            <w:vMerge w:val="continue"/>
            <w:vAlign w:val="center"/>
          </w:tcPr>
          <w:p w14:paraId="12619675">
            <w:pPr>
              <w:spacing w:line="240" w:lineRule="auto"/>
              <w:jc w:val="center"/>
              <w:rPr>
                <w:color w:val="000000" w:themeColor="text1"/>
                <w:sz w:val="21"/>
                <w:szCs w:val="21"/>
                <w:highlight w:val="none"/>
                <w14:textFill>
                  <w14:solidFill>
                    <w14:schemeClr w14:val="tx1"/>
                  </w14:solidFill>
                </w14:textFill>
              </w:rPr>
            </w:pPr>
          </w:p>
        </w:tc>
        <w:tc>
          <w:tcPr>
            <w:tcW w:w="1324" w:type="dxa"/>
            <w:vAlign w:val="center"/>
          </w:tcPr>
          <w:p w14:paraId="3BB0264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农田</w:t>
            </w:r>
          </w:p>
        </w:tc>
        <w:tc>
          <w:tcPr>
            <w:tcW w:w="2126" w:type="dxa"/>
            <w:gridSpan w:val="2"/>
            <w:vMerge w:val="continue"/>
            <w:vAlign w:val="center"/>
          </w:tcPr>
          <w:p w14:paraId="1BFD1BE2">
            <w:pPr>
              <w:spacing w:line="240" w:lineRule="auto"/>
              <w:jc w:val="center"/>
              <w:rPr>
                <w:color w:val="000000" w:themeColor="text1"/>
                <w:sz w:val="21"/>
                <w:szCs w:val="21"/>
                <w:highlight w:val="none"/>
                <w14:textFill>
                  <w14:solidFill>
                    <w14:schemeClr w14:val="tx1"/>
                  </w14:solidFill>
                </w14:textFill>
              </w:rPr>
            </w:pPr>
          </w:p>
        </w:tc>
        <w:tc>
          <w:tcPr>
            <w:tcW w:w="1961" w:type="dxa"/>
            <w:vAlign w:val="center"/>
          </w:tcPr>
          <w:p w14:paraId="2E8BB1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372" w:type="dxa"/>
            <w:vAlign w:val="center"/>
          </w:tcPr>
          <w:p w14:paraId="297CAE3E">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北侧</w:t>
            </w:r>
          </w:p>
        </w:tc>
        <w:tc>
          <w:tcPr>
            <w:tcW w:w="970" w:type="dxa"/>
            <w:vAlign w:val="center"/>
          </w:tcPr>
          <w:p w14:paraId="6AE4789C">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30m</w:t>
            </w:r>
          </w:p>
        </w:tc>
      </w:tr>
      <w:tr w14:paraId="1618F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70" w:type="dxa"/>
            <w:vAlign w:val="center"/>
          </w:tcPr>
          <w:p w14:paraId="2F88E6D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土壤环境</w:t>
            </w:r>
          </w:p>
        </w:tc>
        <w:tc>
          <w:tcPr>
            <w:tcW w:w="1324" w:type="dxa"/>
            <w:vAlign w:val="center"/>
          </w:tcPr>
          <w:p w14:paraId="71F8C48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项目场界</w:t>
            </w:r>
          </w:p>
        </w:tc>
        <w:tc>
          <w:tcPr>
            <w:tcW w:w="6429" w:type="dxa"/>
            <w:gridSpan w:val="5"/>
            <w:vAlign w:val="center"/>
          </w:tcPr>
          <w:p w14:paraId="0ECCC76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项目区范围内及场址周边</w:t>
            </w:r>
          </w:p>
        </w:tc>
      </w:tr>
      <w:tr w14:paraId="3B0E74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70" w:type="dxa"/>
            <w:vAlign w:val="center"/>
          </w:tcPr>
          <w:p w14:paraId="662EFF7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环境风险</w:t>
            </w:r>
          </w:p>
        </w:tc>
        <w:tc>
          <w:tcPr>
            <w:tcW w:w="1324" w:type="dxa"/>
            <w:vAlign w:val="center"/>
          </w:tcPr>
          <w:p w14:paraId="136B8BC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w:t>
            </w:r>
          </w:p>
        </w:tc>
        <w:tc>
          <w:tcPr>
            <w:tcW w:w="6429" w:type="dxa"/>
            <w:gridSpan w:val="5"/>
            <w:vAlign w:val="center"/>
          </w:tcPr>
          <w:p w14:paraId="299A653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控制突发性事件或事故对周边的影响</w:t>
            </w:r>
          </w:p>
        </w:tc>
      </w:tr>
    </w:tbl>
    <w:p w14:paraId="7EA52B28">
      <w:pPr>
        <w:rPr>
          <w:color w:val="000000" w:themeColor="text1"/>
          <w:highlight w:val="none"/>
          <w14:textFill>
            <w14:solidFill>
              <w14:schemeClr w14:val="tx1"/>
            </w14:solidFill>
          </w14:textFill>
        </w:rPr>
      </w:pPr>
    </w:p>
    <w:p w14:paraId="6CA3E24B">
      <w:pPr>
        <w:rPr>
          <w:color w:val="000000" w:themeColor="text1"/>
          <w:highlight w:val="none"/>
          <w14:textFill>
            <w14:solidFill>
              <w14:schemeClr w14:val="tx1"/>
            </w14:solidFill>
          </w14:textFill>
        </w:rPr>
      </w:pPr>
    </w:p>
    <w:p w14:paraId="1040A798">
      <w:pPr>
        <w:rPr>
          <w:color w:val="000000" w:themeColor="text1"/>
          <w:highlight w:val="none"/>
          <w14:textFill>
            <w14:solidFill>
              <w14:schemeClr w14:val="tx1"/>
            </w14:solidFill>
          </w14:textFill>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F1D5603">
      <w:pPr>
        <w:pStyle w:val="2"/>
        <w:rPr>
          <w:color w:val="000000" w:themeColor="text1"/>
          <w:highlight w:val="none"/>
          <w14:textFill>
            <w14:solidFill>
              <w14:schemeClr w14:val="tx1"/>
            </w14:solidFill>
          </w14:textFill>
        </w:rPr>
      </w:pPr>
      <w:bookmarkStart w:id="61" w:name="_Toc20763"/>
      <w:bookmarkStart w:id="62" w:name="_Toc31284"/>
      <w:r>
        <w:rPr>
          <w:rFonts w:hint="eastAsia"/>
          <w:color w:val="000000" w:themeColor="text1"/>
          <w:highlight w:val="none"/>
          <w14:textFill>
            <w14:solidFill>
              <w14:schemeClr w14:val="tx1"/>
            </w14:solidFill>
          </w14:textFill>
        </w:rPr>
        <w:t>第3章工程分析</w:t>
      </w:r>
      <w:bookmarkEnd w:id="61"/>
      <w:bookmarkEnd w:id="62"/>
    </w:p>
    <w:p w14:paraId="3FEA83E1">
      <w:pPr>
        <w:pStyle w:val="3"/>
        <w:bidi w:val="0"/>
        <w:rPr>
          <w:color w:val="000000" w:themeColor="text1"/>
          <w:highlight w:val="none"/>
          <w14:textFill>
            <w14:solidFill>
              <w14:schemeClr w14:val="tx1"/>
            </w14:solidFill>
          </w14:textFill>
        </w:rPr>
      </w:pPr>
      <w:bookmarkStart w:id="63" w:name="_Toc11929"/>
      <w:bookmarkStart w:id="64" w:name="_Toc15135"/>
      <w:bookmarkStart w:id="65" w:name="_Toc8070"/>
      <w:bookmarkStart w:id="66" w:name="_Toc9569"/>
      <w:bookmarkStart w:id="67" w:name="_Toc19151"/>
      <w:bookmarkStart w:id="68" w:name="_Toc16676"/>
      <w:bookmarkStart w:id="69" w:name="_Toc7317"/>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.1项目背景</w:t>
      </w:r>
      <w:bookmarkEnd w:id="63"/>
      <w:bookmarkEnd w:id="64"/>
      <w:bookmarkEnd w:id="65"/>
      <w:bookmarkEnd w:id="66"/>
    </w:p>
    <w:p w14:paraId="71CC0D10">
      <w:pPr>
        <w:ind w:firstLine="480" w:firstLineChars="200"/>
        <w:rPr>
          <w:rFonts w:eastAsia="宋体" w:cs="宋体"/>
          <w:color w:val="000000" w:themeColor="text1"/>
          <w:highlight w:val="none"/>
          <w14:textFill>
            <w14:solidFill>
              <w14:schemeClr w14:val="tx1"/>
            </w14:solidFill>
          </w14:textFill>
        </w:rPr>
      </w:pPr>
      <w:r>
        <w:rPr>
          <w:rFonts w:eastAsia="宋体" w:cs="宋体"/>
          <w:color w:val="000000" w:themeColor="text1"/>
          <w:highlight w:val="none"/>
          <w14:textFill>
            <w14:solidFill>
              <w14:schemeClr w14:val="tx1"/>
            </w14:solidFill>
          </w14:textFill>
        </w:rPr>
        <w:t>畜牧业作为我国农业农村经济的支柱产业，对保障国家食物安全，增加农民收入，保护和改善生态环境，推进农业现代化，促进国民经济现代化，促进国民经济稳定发展，具有十分重要的现实意义。农业部《关于加快推进畜禽标准化规模养殖的意见》(农牧发[2010]6号)均明确指出：畜禽标准化规模养殖是现代畜牧业发展的必由之路，对畜禽养殖优势区域和畜产品主产区的生猪规模养殖场基础设施进行标准化建设，畜禽标准化规模养殖场的排泄物可实现达标排放或资源化利用，重大动物疫病防控能力显著增强，畜产品质量安全水平明显提升；鼓励龙头企业建设标准化生产基地，开展生物安全隔离区建设。</w:t>
      </w:r>
    </w:p>
    <w:p w14:paraId="5C115F5C">
      <w:pPr>
        <w:ind w:firstLine="480" w:firstLineChars="200"/>
        <w:rPr>
          <w:rFonts w:eastAsia="宋体" w:cs="宋体"/>
          <w:color w:val="000000" w:themeColor="text1"/>
          <w:highlight w:val="none"/>
          <w14:textFill>
            <w14:solidFill>
              <w14:schemeClr w14:val="tx1"/>
            </w14:solidFill>
          </w14:textFill>
        </w:rPr>
      </w:pPr>
      <w:r>
        <w:rPr>
          <w:rFonts w:eastAsia="宋体" w:cs="宋体"/>
          <w:color w:val="000000" w:themeColor="text1"/>
          <w:highlight w:val="none"/>
          <w14:textFill>
            <w14:solidFill>
              <w14:schemeClr w14:val="tx1"/>
            </w14:solidFill>
          </w14:textFill>
        </w:rPr>
        <w:t>202</w:t>
      </w:r>
      <w:r>
        <w:rPr>
          <w:rFonts w:hint="eastAsia" w:eastAsia="宋体" w:cs="宋体"/>
          <w:color w:val="000000" w:themeColor="text1"/>
          <w:highlight w:val="none"/>
          <w:lang w:val="en-US" w:eastAsia="zh-CN"/>
          <w14:textFill>
            <w14:solidFill>
              <w14:schemeClr w14:val="tx1"/>
            </w14:solidFill>
          </w14:textFill>
        </w:rPr>
        <w:t>1</w:t>
      </w:r>
      <w:r>
        <w:rPr>
          <w:rFonts w:eastAsia="宋体" w:cs="宋体"/>
          <w:color w:val="000000" w:themeColor="text1"/>
          <w:highlight w:val="none"/>
          <w14:textFill>
            <w14:solidFill>
              <w14:schemeClr w14:val="tx1"/>
            </w14:solidFill>
          </w14:textFill>
        </w:rPr>
        <w:t>年</w:t>
      </w:r>
      <w:r>
        <w:rPr>
          <w:rFonts w:hint="eastAsia" w:eastAsia="宋体" w:cs="宋体"/>
          <w:color w:val="000000" w:themeColor="text1"/>
          <w:highlight w:val="none"/>
          <w:lang w:val="en-US" w:eastAsia="zh-CN"/>
          <w14:textFill>
            <w14:solidFill>
              <w14:schemeClr w14:val="tx1"/>
            </w14:solidFill>
          </w14:textFill>
        </w:rPr>
        <w:t>5</w:t>
      </w:r>
      <w:r>
        <w:rPr>
          <w:rFonts w:eastAsia="宋体" w:cs="宋体"/>
          <w:color w:val="000000" w:themeColor="text1"/>
          <w:highlight w:val="none"/>
          <w14:textFill>
            <w14:solidFill>
              <w14:schemeClr w14:val="tx1"/>
            </w14:solidFill>
          </w14:textFill>
        </w:rPr>
        <w:t>月2</w:t>
      </w:r>
      <w:r>
        <w:rPr>
          <w:rFonts w:hint="eastAsia" w:eastAsia="宋体" w:cs="宋体"/>
          <w:color w:val="000000" w:themeColor="text1"/>
          <w:highlight w:val="none"/>
          <w:lang w:val="en-US" w:eastAsia="zh-CN"/>
          <w14:textFill>
            <w14:solidFill>
              <w14:schemeClr w14:val="tx1"/>
            </w14:solidFill>
          </w14:textFill>
        </w:rPr>
        <w:t>1</w:t>
      </w:r>
      <w:r>
        <w:rPr>
          <w:rFonts w:eastAsia="宋体" w:cs="宋体"/>
          <w:color w:val="000000" w:themeColor="text1"/>
          <w:highlight w:val="none"/>
          <w14:textFill>
            <w14:solidFill>
              <w14:schemeClr w14:val="tx1"/>
            </w14:solidFill>
          </w14:textFill>
        </w:rPr>
        <w:t>日，</w:t>
      </w:r>
      <w:r>
        <w:rPr>
          <w:rFonts w:hint="eastAsia" w:eastAsia="宋体" w:cs="宋体"/>
          <w:color w:val="000000" w:themeColor="text1"/>
          <w:highlight w:val="none"/>
          <w:lang w:eastAsia="zh-CN"/>
          <w14:textFill>
            <w14:solidFill>
              <w14:schemeClr w14:val="tx1"/>
            </w14:solidFill>
          </w14:textFill>
        </w:rPr>
        <w:t>胡杨河市宏信畜牧养殖有限公司</w:t>
      </w:r>
      <w:r>
        <w:rPr>
          <w:rFonts w:hint="eastAsia" w:eastAsia="宋体" w:cs="宋体"/>
          <w:color w:val="000000" w:themeColor="text1"/>
          <w:highlight w:val="none"/>
          <w14:textFill>
            <w14:solidFill>
              <w14:schemeClr w14:val="tx1"/>
            </w14:solidFill>
          </w14:textFill>
        </w:rPr>
        <w:t>在</w:t>
      </w:r>
      <w:r>
        <w:rPr>
          <w:rFonts w:eastAsia="宋体" w:cs="宋体"/>
          <w:color w:val="000000" w:themeColor="text1"/>
          <w:highlight w:val="none"/>
          <w14:textFill>
            <w14:solidFill>
              <w14:schemeClr w14:val="tx1"/>
            </w14:solidFill>
          </w14:textFill>
        </w:rPr>
        <w:t>第</w:t>
      </w:r>
      <w:r>
        <w:rPr>
          <w:rFonts w:hint="eastAsia" w:eastAsia="宋体" w:cs="宋体"/>
          <w:color w:val="000000" w:themeColor="text1"/>
          <w:highlight w:val="none"/>
          <w:lang w:val="en-US" w:eastAsia="zh-CN"/>
          <w14:textFill>
            <w14:solidFill>
              <w14:schemeClr w14:val="tx1"/>
            </w14:solidFill>
          </w14:textFill>
        </w:rPr>
        <w:t>七</w:t>
      </w:r>
      <w:r>
        <w:rPr>
          <w:rFonts w:eastAsia="宋体" w:cs="宋体"/>
          <w:color w:val="000000" w:themeColor="text1"/>
          <w:highlight w:val="none"/>
          <w14:textFill>
            <w14:solidFill>
              <w14:schemeClr w14:val="tx1"/>
            </w14:solidFill>
          </w14:textFill>
        </w:rPr>
        <w:t>师市场监督管理网局登记注册，地址位于</w:t>
      </w:r>
      <w:r>
        <w:rPr>
          <w:rFonts w:hint="eastAsia" w:eastAsia="宋体" w:cs="宋体"/>
          <w:color w:val="000000" w:themeColor="text1"/>
          <w:highlight w:val="none"/>
          <w14:textFill>
            <w14:solidFill>
              <w14:schemeClr w14:val="tx1"/>
            </w14:solidFill>
          </w14:textFill>
        </w:rPr>
        <w:t>新疆胡杨河市125团16连6栋房屋3号</w:t>
      </w:r>
      <w:r>
        <w:rPr>
          <w:rFonts w:eastAsia="宋体" w:cs="宋体"/>
          <w:color w:val="000000" w:themeColor="text1"/>
          <w:highlight w:val="none"/>
          <w14:textFill>
            <w14:solidFill>
              <w14:schemeClr w14:val="tx1"/>
            </w14:solidFill>
          </w14:textFill>
        </w:rPr>
        <w:t>，出资额</w:t>
      </w:r>
      <w:r>
        <w:rPr>
          <w:rFonts w:hint="eastAsia" w:eastAsia="宋体" w:cs="宋体"/>
          <w:color w:val="000000" w:themeColor="text1"/>
          <w:highlight w:val="none"/>
          <w14:textFill>
            <w14:solidFill>
              <w14:schemeClr w14:val="tx1"/>
            </w14:solidFill>
          </w14:textFill>
        </w:rPr>
        <w:t>4</w:t>
      </w:r>
      <w:r>
        <w:rPr>
          <w:rFonts w:hint="eastAsia" w:eastAsia="宋体" w:cs="宋体"/>
          <w:color w:val="000000" w:themeColor="text1"/>
          <w:highlight w:val="none"/>
          <w:lang w:val="en-US" w:eastAsia="zh-CN"/>
          <w14:textFill>
            <w14:solidFill>
              <w14:schemeClr w14:val="tx1"/>
            </w14:solidFill>
          </w14:textFill>
        </w:rPr>
        <w:t>000</w:t>
      </w:r>
      <w:r>
        <w:rPr>
          <w:rFonts w:eastAsia="宋体" w:cs="宋体"/>
          <w:color w:val="000000" w:themeColor="text1"/>
          <w:highlight w:val="none"/>
          <w14:textFill>
            <w14:solidFill>
              <w14:schemeClr w14:val="tx1"/>
            </w14:solidFill>
          </w14:textFill>
        </w:rPr>
        <w:t>万元，经营</w:t>
      </w:r>
      <w:r>
        <w:rPr>
          <w:rFonts w:hint="eastAsia" w:eastAsia="宋体" w:cs="宋体"/>
          <w:color w:val="000000" w:themeColor="text1"/>
          <w:highlight w:val="none"/>
          <w14:textFill>
            <w14:solidFill>
              <w14:schemeClr w14:val="tx1"/>
            </w14:solidFill>
          </w14:textFill>
        </w:rPr>
        <w:t>范围为：牲畜饲养；种畜禽经营；畜禽收购；牲畜销售；种畜禽生产；饲料原料销售；畜牧渔业饲料销售；畜牧机械销售；肥料销售；饲料生产；畜禽粪污处理（依法须经批准的项目，经相关部门批准后方可开展经营活动）。</w:t>
      </w:r>
    </w:p>
    <w:p w14:paraId="41C83BFC">
      <w:pPr>
        <w:ind w:firstLine="480" w:firstLineChars="200"/>
        <w:rPr>
          <w:rFonts w:hint="eastAsia" w:eastAsia="宋体" w:cs="宋体"/>
          <w:color w:val="000000" w:themeColor="text1"/>
          <w:highlight w:val="none"/>
          <w14:textFill>
            <w14:solidFill>
              <w14:schemeClr w14:val="tx1"/>
            </w14:solidFill>
          </w14:textFill>
        </w:rPr>
      </w:pPr>
      <w:r>
        <w:rPr>
          <w:rFonts w:eastAsia="宋体" w:cs="宋体"/>
          <w:color w:val="000000" w:themeColor="text1"/>
          <w:highlight w:val="none"/>
          <w14:textFill>
            <w14:solidFill>
              <w14:schemeClr w14:val="tx1"/>
            </w14:solidFill>
          </w14:textFill>
        </w:rPr>
        <w:t>202</w:t>
      </w:r>
      <w:r>
        <w:rPr>
          <w:rFonts w:hint="eastAsia" w:eastAsia="宋体" w:cs="宋体"/>
          <w:color w:val="000000" w:themeColor="text1"/>
          <w:highlight w:val="none"/>
          <w:lang w:val="en-US" w:eastAsia="zh-CN"/>
          <w14:textFill>
            <w14:solidFill>
              <w14:schemeClr w14:val="tx1"/>
            </w14:solidFill>
          </w14:textFill>
        </w:rPr>
        <w:t>1</w:t>
      </w:r>
      <w:r>
        <w:rPr>
          <w:rFonts w:eastAsia="宋体" w:cs="宋体"/>
          <w:color w:val="000000" w:themeColor="text1"/>
          <w:highlight w:val="none"/>
          <w14:textFill>
            <w14:solidFill>
              <w14:schemeClr w14:val="tx1"/>
            </w14:solidFill>
          </w14:textFill>
        </w:rPr>
        <w:t>年</w:t>
      </w:r>
      <w:r>
        <w:rPr>
          <w:rFonts w:hint="eastAsia" w:eastAsia="宋体" w:cs="宋体"/>
          <w:color w:val="000000" w:themeColor="text1"/>
          <w:highlight w:val="none"/>
          <w:lang w:val="en-US" w:eastAsia="zh-CN"/>
          <w14:textFill>
            <w14:solidFill>
              <w14:schemeClr w14:val="tx1"/>
            </w14:solidFill>
          </w14:textFill>
        </w:rPr>
        <w:t>6</w:t>
      </w:r>
      <w:r>
        <w:rPr>
          <w:rFonts w:eastAsia="宋体" w:cs="宋体"/>
          <w:color w:val="000000" w:themeColor="text1"/>
          <w:highlight w:val="none"/>
          <w14:textFill>
            <w14:solidFill>
              <w14:schemeClr w14:val="tx1"/>
            </w14:solidFill>
          </w14:textFill>
        </w:rPr>
        <w:t>月1</w:t>
      </w:r>
      <w:r>
        <w:rPr>
          <w:rFonts w:hint="eastAsia" w:eastAsia="宋体" w:cs="宋体"/>
          <w:color w:val="000000" w:themeColor="text1"/>
          <w:highlight w:val="none"/>
          <w:lang w:val="en-US" w:eastAsia="zh-CN"/>
          <w14:textFill>
            <w14:solidFill>
              <w14:schemeClr w14:val="tx1"/>
            </w14:solidFill>
          </w14:textFill>
        </w:rPr>
        <w:t>1</w:t>
      </w:r>
      <w:r>
        <w:rPr>
          <w:rFonts w:eastAsia="宋体" w:cs="宋体"/>
          <w:color w:val="000000" w:themeColor="text1"/>
          <w:highlight w:val="none"/>
          <w14:textFill>
            <w14:solidFill>
              <w14:schemeClr w14:val="tx1"/>
            </w14:solidFill>
          </w14:textFill>
        </w:rPr>
        <w:t>日，新疆生产建设兵团第</w:t>
      </w:r>
      <w:r>
        <w:rPr>
          <w:rFonts w:hint="eastAsia" w:eastAsia="宋体" w:cs="宋体"/>
          <w:color w:val="000000" w:themeColor="text1"/>
          <w:highlight w:val="none"/>
          <w:lang w:val="en-US" w:eastAsia="zh-CN"/>
          <w14:textFill>
            <w14:solidFill>
              <w14:schemeClr w14:val="tx1"/>
            </w14:solidFill>
          </w14:textFill>
        </w:rPr>
        <w:t>七</w:t>
      </w:r>
      <w:r>
        <w:rPr>
          <w:rFonts w:eastAsia="宋体" w:cs="宋体"/>
          <w:color w:val="000000" w:themeColor="text1"/>
          <w:highlight w:val="none"/>
          <w14:textFill>
            <w14:solidFill>
              <w14:schemeClr w14:val="tx1"/>
            </w14:solidFill>
          </w14:textFill>
        </w:rPr>
        <w:t>师</w:t>
      </w:r>
      <w:r>
        <w:rPr>
          <w:rFonts w:hint="eastAsia" w:eastAsia="宋体" w:cs="宋体"/>
          <w:color w:val="000000" w:themeColor="text1"/>
          <w:highlight w:val="none"/>
          <w:lang w:val="en-US" w:eastAsia="zh-CN"/>
          <w14:textFill>
            <w14:solidFill>
              <w14:schemeClr w14:val="tx1"/>
            </w14:solidFill>
          </w14:textFill>
        </w:rPr>
        <w:t>发展和改革委员会</w:t>
      </w:r>
      <w:r>
        <w:rPr>
          <w:rFonts w:eastAsia="宋体" w:cs="宋体"/>
          <w:color w:val="000000" w:themeColor="text1"/>
          <w:highlight w:val="none"/>
          <w14:textFill>
            <w14:solidFill>
              <w14:schemeClr w14:val="tx1"/>
            </w14:solidFill>
          </w14:textFill>
        </w:rPr>
        <w:t>关于对</w:t>
      </w:r>
      <w:r>
        <w:rPr>
          <w:rFonts w:hint="eastAsia" w:eastAsia="宋体" w:cs="宋体"/>
          <w:color w:val="000000" w:themeColor="text1"/>
          <w:highlight w:val="none"/>
          <w:lang w:eastAsia="zh-CN"/>
          <w14:textFill>
            <w14:solidFill>
              <w14:schemeClr w14:val="tx1"/>
            </w14:solidFill>
          </w14:textFill>
        </w:rPr>
        <w:t>胡杨河市宏信畜牧养殖有限公司</w:t>
      </w:r>
      <w:r>
        <w:rPr>
          <w:rFonts w:hint="eastAsia" w:eastAsia="宋体" w:cs="宋体"/>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胡杨河市宏信种猪养殖基地项目</w:t>
      </w:r>
      <w:r>
        <w:rPr>
          <w:rFonts w:hint="eastAsia" w:eastAsia="宋体" w:cs="宋体"/>
          <w:color w:val="000000" w:themeColor="text1"/>
          <w:highlight w:val="none"/>
          <w14:textFill>
            <w14:solidFill>
              <w14:schemeClr w14:val="tx1"/>
            </w14:solidFill>
          </w14:textFill>
        </w:rPr>
        <w:t>”</w:t>
      </w:r>
      <w:r>
        <w:rPr>
          <w:rFonts w:eastAsia="宋体" w:cs="宋体"/>
          <w:color w:val="000000" w:themeColor="text1"/>
          <w:highlight w:val="none"/>
          <w14:textFill>
            <w14:solidFill>
              <w14:schemeClr w14:val="tx1"/>
            </w14:solidFill>
          </w14:textFill>
        </w:rPr>
        <w:t>颁发</w:t>
      </w:r>
      <w:r>
        <w:rPr>
          <w:rFonts w:hint="eastAsia" w:eastAsia="宋体" w:cs="宋体"/>
          <w:color w:val="000000" w:themeColor="text1"/>
          <w:highlight w:val="none"/>
          <w14:textFill>
            <w14:solidFill>
              <w14:schemeClr w14:val="tx1"/>
            </w14:solidFill>
          </w14:textFill>
        </w:rPr>
        <w:t>了</w:t>
      </w:r>
      <w:r>
        <w:rPr>
          <w:rFonts w:eastAsia="宋体" w:cs="宋体"/>
          <w:color w:val="000000" w:themeColor="text1"/>
          <w:highlight w:val="none"/>
          <w14:textFill>
            <w14:solidFill>
              <w14:schemeClr w14:val="tx1"/>
            </w14:solidFill>
          </w14:textFill>
        </w:rPr>
        <w:t>《企业投资项目登记备案证》（</w:t>
      </w:r>
      <w:r>
        <w:rPr>
          <w:rFonts w:hint="eastAsia" w:eastAsia="宋体" w:cs="宋体"/>
          <w:color w:val="000000" w:themeColor="text1"/>
          <w:highlight w:val="none"/>
          <w14:textFill>
            <w14:solidFill>
              <w14:schemeClr w14:val="tx1"/>
            </w14:solidFill>
          </w14:textFill>
        </w:rPr>
        <w:t>第七师(农经)备(2021)47号</w:t>
      </w:r>
      <w:r>
        <w:rPr>
          <w:rFonts w:eastAsia="宋体" w:cs="宋体"/>
          <w:color w:val="000000" w:themeColor="text1"/>
          <w:highlight w:val="none"/>
          <w14:textFill>
            <w14:solidFill>
              <w14:schemeClr w14:val="tx1"/>
            </w14:solidFill>
          </w14:textFill>
        </w:rPr>
        <w:t>）。在</w:t>
      </w:r>
      <w:r>
        <w:rPr>
          <w:rFonts w:hint="eastAsia" w:eastAsia="宋体" w:cs="宋体"/>
          <w:color w:val="000000" w:themeColor="text1"/>
          <w:highlight w:val="none"/>
          <w:lang w:val="en-US" w:eastAsia="zh-CN"/>
          <w14:textFill>
            <w14:solidFill>
              <w14:schemeClr w14:val="tx1"/>
            </w14:solidFill>
          </w14:textFill>
        </w:rPr>
        <w:t>125团16</w:t>
      </w:r>
      <w:r>
        <w:rPr>
          <w:rFonts w:eastAsia="宋体" w:cs="宋体"/>
          <w:color w:val="000000" w:themeColor="text1"/>
          <w:highlight w:val="none"/>
          <w14:textFill>
            <w14:solidFill>
              <w14:schemeClr w14:val="tx1"/>
            </w14:solidFill>
          </w14:textFill>
        </w:rPr>
        <w:t>新建猪场，建设内容及规模：</w:t>
      </w:r>
      <w:r>
        <w:rPr>
          <w:rFonts w:hint="eastAsia" w:eastAsia="宋体" w:cs="宋体"/>
          <w:color w:val="000000" w:themeColor="text1"/>
          <w:highlight w:val="none"/>
          <w14:textFill>
            <w14:solidFill>
              <w14:schemeClr w14:val="tx1"/>
            </w14:solidFill>
          </w14:textFill>
        </w:rPr>
        <w:t>年出栏种猪2万头、仔猪10万头。购置能繁种猪5000头，占地面积230亩，建筑面积28510平方米。配怀舍8幢7500平方米，公猪舍1幢，分娩舍4幢，保育舍2幢，后备母猪舍1幢，空怀、配种、观察舍各1幢，兽医室和医疗库房，办公室，</w:t>
      </w:r>
      <w:r>
        <w:rPr>
          <w:rFonts w:hint="eastAsia" w:cs="宋体"/>
          <w:color w:val="000000" w:themeColor="text1"/>
          <w:highlight w:val="none"/>
          <w:lang w:eastAsia="zh-CN"/>
          <w14:textFill>
            <w14:solidFill>
              <w14:schemeClr w14:val="tx1"/>
            </w14:solidFill>
          </w14:textFill>
        </w:rPr>
        <w:t>卫生室</w:t>
      </w:r>
      <w:r>
        <w:rPr>
          <w:rFonts w:hint="eastAsia" w:eastAsia="宋体" w:cs="宋体"/>
          <w:color w:val="000000" w:themeColor="text1"/>
          <w:highlight w:val="none"/>
          <w14:textFill>
            <w14:solidFill>
              <w14:schemeClr w14:val="tx1"/>
            </w14:solidFill>
          </w14:textFill>
        </w:rPr>
        <w:t>、消毒间，员工宿舍，饲料库房，场地道路</w:t>
      </w:r>
      <w:r>
        <w:rPr>
          <w:rFonts w:hint="eastAsia" w:cs="宋体"/>
          <w:color w:val="000000" w:themeColor="text1"/>
          <w:highlight w:val="none"/>
          <w:lang w:eastAsia="zh-CN"/>
          <w14:textFill>
            <w14:solidFill>
              <w14:schemeClr w14:val="tx1"/>
            </w14:solidFill>
          </w14:textFill>
        </w:rPr>
        <w:t>，</w:t>
      </w:r>
      <w:r>
        <w:rPr>
          <w:rFonts w:hint="eastAsia" w:eastAsia="宋体" w:cs="宋体"/>
          <w:color w:val="000000" w:themeColor="text1"/>
          <w:highlight w:val="none"/>
          <w14:textFill>
            <w14:solidFill>
              <w14:schemeClr w14:val="tx1"/>
            </w14:solidFill>
          </w14:textFill>
        </w:rPr>
        <w:t>绿化，粪便无害化处理，水塔一座及相关配套设施和设备。</w:t>
      </w:r>
    </w:p>
    <w:p w14:paraId="4B3A418F">
      <w:pPr>
        <w:ind w:firstLine="480" w:firstLineChars="200"/>
        <w:rPr>
          <w:rFonts w:hint="eastAsia" w:eastAsia="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月-202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月</w:t>
      </w:r>
      <w:r>
        <w:rPr>
          <w:rFonts w:hint="eastAsia" w:eastAsia="宋体" w:cs="宋体"/>
          <w:color w:val="000000" w:themeColor="text1"/>
          <w:highlight w:val="none"/>
          <w:lang w:val="en-US" w:eastAsia="zh-CN"/>
          <w14:textFill>
            <w14:solidFill>
              <w14:schemeClr w14:val="tx1"/>
            </w14:solidFill>
          </w14:textFill>
        </w:rPr>
        <w:t>已建成圈舍24栋，</w:t>
      </w:r>
      <w:r>
        <w:rPr>
          <w:rFonts w:hint="eastAsia" w:eastAsia="宋体" w:cs="宋体"/>
          <w:color w:val="000000" w:themeColor="text1"/>
          <w:highlight w:val="none"/>
          <w14:textFill>
            <w14:solidFill>
              <w14:schemeClr w14:val="tx1"/>
            </w14:solidFill>
          </w14:textFill>
        </w:rPr>
        <w:t>兽医室和医疗库房，办公室，卫兵室、消毒间，员工宿舍，饲料库房，场地道路</w:t>
      </w:r>
      <w:r>
        <w:rPr>
          <w:rFonts w:hint="eastAsia" w:cs="宋体"/>
          <w:color w:val="000000" w:themeColor="text1"/>
          <w:highlight w:val="none"/>
          <w:lang w:eastAsia="zh-CN"/>
          <w14:textFill>
            <w14:solidFill>
              <w14:schemeClr w14:val="tx1"/>
            </w14:solidFill>
          </w14:textFill>
        </w:rPr>
        <w:t>，</w:t>
      </w:r>
      <w:r>
        <w:rPr>
          <w:rFonts w:hint="eastAsia" w:eastAsia="宋体" w:cs="宋体"/>
          <w:color w:val="000000" w:themeColor="text1"/>
          <w:highlight w:val="none"/>
          <w14:textFill>
            <w14:solidFill>
              <w14:schemeClr w14:val="tx1"/>
            </w14:solidFill>
          </w14:textFill>
        </w:rPr>
        <w:t>绿化，水塔一座及相关配套设施和设备。</w:t>
      </w:r>
    </w:p>
    <w:p w14:paraId="228ED061">
      <w:pPr>
        <w:pStyle w:val="14"/>
        <w:ind w:firstLine="480" w:firstLineChars="200"/>
        <w:rPr>
          <w:rFonts w:hint="default" w:ascii="Times New Roman" w:hAnsi="Times New Roman" w:eastAsia="宋体" w:cs="宋体"/>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为了更好的养殖种猪、仔猪及提高经济效益，</w:t>
      </w:r>
      <w:r>
        <w:rPr>
          <w:rFonts w:hint="eastAsia"/>
          <w:color w:val="000000" w:themeColor="text1"/>
          <w:highlight w:val="none"/>
          <w:lang w:eastAsia="zh-CN"/>
          <w14:textFill>
            <w14:solidFill>
              <w14:schemeClr w14:val="tx1"/>
            </w14:solidFill>
          </w14:textFill>
        </w:rPr>
        <w:t>胡杨河市宏信种猪养殖基地项目</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预计</w:t>
      </w:r>
      <w:r>
        <w:rPr>
          <w:rFonts w:hint="eastAsia" w:eastAsia="宋体" w:cs="宋体"/>
          <w:color w:val="000000" w:themeColor="text1"/>
          <w:sz w:val="24"/>
          <w:szCs w:val="24"/>
          <w:highlight w:val="none"/>
          <w:lang w:val="en-US" w:eastAsia="zh-CN" w:bidi="ar-SA"/>
          <w14:textFill>
            <w14:solidFill>
              <w14:schemeClr w14:val="tx1"/>
            </w14:solidFill>
          </w14:textFill>
        </w:rPr>
        <w:t>再</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新建</w:t>
      </w:r>
      <w:r>
        <w:rPr>
          <w:rFonts w:hint="eastAsia" w:cs="宋体"/>
          <w:color w:val="000000" w:themeColor="text1"/>
          <w:sz w:val="24"/>
          <w:szCs w:val="24"/>
          <w:highlight w:val="none"/>
          <w:lang w:val="en-US" w:eastAsia="zh-CN" w:bidi="ar-SA"/>
          <w14:textFill>
            <w14:solidFill>
              <w14:schemeClr w14:val="tx1"/>
            </w14:solidFill>
          </w14:textFill>
        </w:rPr>
        <w:t>6</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栋圈舍，增加干湿分离车间和堆粪场</w:t>
      </w:r>
      <w:r>
        <w:rPr>
          <w:rFonts w:hint="eastAsia" w:eastAsia="宋体" w:cs="宋体"/>
          <w:color w:val="000000" w:themeColor="text1"/>
          <w:sz w:val="24"/>
          <w:szCs w:val="24"/>
          <w:highlight w:val="none"/>
          <w:lang w:val="en-US" w:eastAsia="zh-CN" w:bidi="ar-SA"/>
          <w14:textFill>
            <w14:solidFill>
              <w14:schemeClr w14:val="tx1"/>
            </w14:solidFill>
          </w14:textFill>
        </w:rPr>
        <w:t>。</w:t>
      </w:r>
    </w:p>
    <w:bookmarkEnd w:id="67"/>
    <w:bookmarkEnd w:id="68"/>
    <w:bookmarkEnd w:id="69"/>
    <w:p w14:paraId="0906FF6B">
      <w:pPr>
        <w:pStyle w:val="3"/>
        <w:bidi w:val="0"/>
        <w:rPr>
          <w:rFonts w:hint="eastAsia" w:eastAsia="宋体" w:cs="宋体"/>
          <w:color w:val="000000" w:themeColor="text1"/>
          <w:highlight w:val="none"/>
          <w14:textFill>
            <w14:solidFill>
              <w14:schemeClr w14:val="tx1"/>
            </w14:solidFill>
          </w14:textFill>
        </w:rPr>
      </w:pPr>
      <w:bookmarkStart w:id="70" w:name="_Toc1163"/>
      <w:r>
        <w:rPr>
          <w:rFonts w:hint="eastAsia" w:eastAsia="宋体" w:cs="宋体"/>
          <w:color w:val="000000" w:themeColor="text1"/>
          <w:highlight w:val="none"/>
          <w:lang w:eastAsia="zh-CN"/>
          <w14:textFill>
            <w14:solidFill>
              <w14:schemeClr w14:val="tx1"/>
            </w14:solidFill>
          </w14:textFill>
        </w:rPr>
        <w:t>3</w:t>
      </w:r>
      <w:r>
        <w:rPr>
          <w:rFonts w:hint="eastAsia" w:eastAsia="宋体" w:cs="宋体"/>
          <w:color w:val="000000" w:themeColor="text1"/>
          <w:highlight w:val="none"/>
          <w14:textFill>
            <w14:solidFill>
              <w14:schemeClr w14:val="tx1"/>
            </w14:solidFill>
          </w14:textFill>
        </w:rPr>
        <w:t>.2项目基本情况</w:t>
      </w:r>
      <w:bookmarkEnd w:id="70"/>
    </w:p>
    <w:p w14:paraId="02E83115">
      <w:pPr>
        <w:pStyle w:val="4"/>
        <w:rPr>
          <w:color w:val="000000" w:themeColor="text1"/>
          <w:highlight w:val="none"/>
          <w14:textFill>
            <w14:solidFill>
              <w14:schemeClr w14:val="tx1"/>
            </w14:solidFill>
          </w14:textFill>
        </w:rPr>
      </w:pPr>
      <w:bookmarkStart w:id="71" w:name="_Toc25612"/>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.2.1项目概况</w:t>
      </w:r>
      <w:bookmarkEnd w:id="71"/>
    </w:p>
    <w:p w14:paraId="481FB541">
      <w:pPr>
        <w:ind w:firstLine="480" w:firstLineChars="20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项目名称</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胡杨河市宏信种猪养殖基地项目</w:t>
      </w:r>
    </w:p>
    <w:p w14:paraId="7FBD1F2F">
      <w:pPr>
        <w:ind w:firstLine="480" w:firstLineChars="20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建设单位：</w:t>
      </w:r>
      <w:r>
        <w:rPr>
          <w:rFonts w:hint="eastAsia"/>
          <w:color w:val="000000" w:themeColor="text1"/>
          <w:highlight w:val="none"/>
          <w:lang w:eastAsia="zh-CN"/>
          <w14:textFill>
            <w14:solidFill>
              <w14:schemeClr w14:val="tx1"/>
            </w14:solidFill>
          </w14:textFill>
        </w:rPr>
        <w:t>胡杨河市宏信畜牧养殖有限公司</w:t>
      </w:r>
    </w:p>
    <w:p w14:paraId="7A7FB29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建设地点：</w:t>
      </w: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项目位于新疆生产建设兵团</w:t>
      </w:r>
      <w:r>
        <w:rPr>
          <w:rFonts w:hint="eastAsia"/>
          <w:color w:val="000000" w:themeColor="text1"/>
          <w:highlight w:val="none"/>
          <w:lang w:eastAsia="zh-CN"/>
          <w14:textFill>
            <w14:solidFill>
              <w14:schemeClr w14:val="tx1"/>
            </w14:solidFill>
          </w14:textFill>
        </w:rPr>
        <w:t>胡杨河市125团16连</w:t>
      </w:r>
      <w:r>
        <w:rPr>
          <w:color w:val="000000" w:themeColor="text1"/>
          <w:highlight w:val="none"/>
          <w14:textFill>
            <w14:solidFill>
              <w14:schemeClr w14:val="tx1"/>
            </w14:solidFill>
          </w14:textFill>
        </w:rPr>
        <w:t>，项目区中心坐标：</w:t>
      </w:r>
      <w:r>
        <w:rPr>
          <w:rFonts w:hint="eastAsia"/>
          <w:color w:val="000000" w:themeColor="text1"/>
          <w:highlight w:val="none"/>
          <w:lang w:eastAsia="zh-CN"/>
          <w14:textFill>
            <w14:solidFill>
              <w14:schemeClr w14:val="tx1"/>
            </w14:solidFill>
          </w14:textFill>
        </w:rPr>
        <w:t>E：84°32′1.246″,N：44°50′21.945″</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项目区西南侧60m为废弃厂房，西南侧0.8km为125团16连，西南侧2.3km为125团18连，东侧2.6km处为车排子水库，东侧、西侧、南侧和北侧均为农田，交通十分便利。</w:t>
      </w:r>
      <w:r>
        <w:rPr>
          <w:color w:val="000000" w:themeColor="text1"/>
          <w:highlight w:val="none"/>
          <w14:textFill>
            <w14:solidFill>
              <w14:schemeClr w14:val="tx1"/>
            </w14:solidFill>
          </w14:textFill>
        </w:rPr>
        <w:t>项目地理位置见</w:t>
      </w:r>
      <w:r>
        <w:rPr>
          <w:rFonts w:hint="eastAsia"/>
          <w:color w:val="000000" w:themeColor="text1"/>
          <w:highlight w:val="none"/>
          <w:lang w:val="en-US" w:eastAsia="zh-CN"/>
          <w14:textFill>
            <w14:solidFill>
              <w14:schemeClr w14:val="tx1"/>
            </w14:solidFill>
          </w14:textFill>
        </w:rPr>
        <w:t>附</w:t>
      </w:r>
      <w:r>
        <w:rPr>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t>3.2</w:t>
      </w:r>
      <w:r>
        <w:rPr>
          <w:color w:val="000000" w:themeColor="text1"/>
          <w:highlight w:val="none"/>
          <w14:textFill>
            <w14:solidFill>
              <w14:schemeClr w14:val="tx1"/>
            </w14:solidFill>
          </w14:textFill>
        </w:rPr>
        <w:t>-1。</w:t>
      </w:r>
    </w:p>
    <w:p w14:paraId="0F09DBE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占地面积：本项目占地面积</w:t>
      </w:r>
      <w:r>
        <w:rPr>
          <w:rFonts w:hint="eastAsia"/>
          <w:color w:val="000000" w:themeColor="text1"/>
          <w:highlight w:val="none"/>
          <w:lang w:eastAsia="zh-CN"/>
          <w14:textFill>
            <w14:solidFill>
              <w14:schemeClr w14:val="tx1"/>
            </w14:solidFill>
          </w14:textFill>
        </w:rPr>
        <w:t>16.0391</w:t>
      </w:r>
      <w:r>
        <w:rPr>
          <w:rFonts w:hint="eastAsia"/>
          <w:color w:val="000000" w:themeColor="text1"/>
          <w:highlight w:val="none"/>
          <w14:textFill>
            <w14:solidFill>
              <w14:schemeClr w14:val="tx1"/>
            </w14:solidFill>
          </w14:textFill>
        </w:rPr>
        <w:t>h</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（根据备案证明，其中农用地</w:t>
      </w:r>
      <w:r>
        <w:rPr>
          <w:rFonts w:hint="eastAsia"/>
          <w:color w:val="000000" w:themeColor="text1"/>
          <w:highlight w:val="none"/>
          <w:lang w:eastAsia="zh-CN"/>
          <w14:textFill>
            <w14:solidFill>
              <w14:schemeClr w14:val="tx1"/>
            </w14:solidFill>
          </w14:textFill>
        </w:rPr>
        <w:t>0.2239</w:t>
      </w:r>
      <w:r>
        <w:rPr>
          <w:rFonts w:hint="eastAsia"/>
          <w:color w:val="000000" w:themeColor="text1"/>
          <w:highlight w:val="none"/>
          <w14:textFill>
            <w14:solidFill>
              <w14:schemeClr w14:val="tx1"/>
            </w14:solidFill>
          </w14:textFill>
        </w:rPr>
        <w:t>h</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，未利用地</w:t>
      </w:r>
      <w:r>
        <w:rPr>
          <w:rFonts w:hint="eastAsia"/>
          <w:color w:val="000000" w:themeColor="text1"/>
          <w:highlight w:val="none"/>
          <w:lang w:eastAsia="zh-CN"/>
          <w14:textFill>
            <w14:solidFill>
              <w14:schemeClr w14:val="tx1"/>
            </w14:solidFill>
          </w14:textFill>
        </w:rPr>
        <w:t>15.8152</w:t>
      </w:r>
      <w:r>
        <w:rPr>
          <w:rFonts w:hint="eastAsia"/>
          <w:color w:val="000000" w:themeColor="text1"/>
          <w:highlight w:val="none"/>
          <w14:textFill>
            <w14:solidFill>
              <w14:schemeClr w14:val="tx1"/>
            </w14:solidFill>
          </w14:textFill>
        </w:rPr>
        <w:t>hm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p>
    <w:p w14:paraId="721A5D2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建设性质：</w:t>
      </w:r>
      <w:r>
        <w:rPr>
          <w:rFonts w:hint="eastAsia"/>
          <w:color w:val="000000" w:themeColor="text1"/>
          <w:highlight w:val="none"/>
          <w:lang w:val="en-US" w:eastAsia="zh-CN"/>
          <w14:textFill>
            <w14:solidFill>
              <w14:schemeClr w14:val="tx1"/>
            </w14:solidFill>
          </w14:textFill>
        </w:rPr>
        <w:t>新建（本项目未经环境影响评价审批便开工建设，项目建设时间已超过两年，所以补做环评，未罚款）</w:t>
      </w:r>
    </w:p>
    <w:p w14:paraId="1018980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总投资：</w:t>
      </w:r>
      <w:r>
        <w:rPr>
          <w:rFonts w:hint="eastAsia"/>
          <w:color w:val="000000" w:themeColor="text1"/>
          <w:highlight w:val="none"/>
          <w:lang w:val="en-US" w:eastAsia="zh-CN"/>
          <w14:textFill>
            <w14:solidFill>
              <w14:schemeClr w14:val="tx1"/>
            </w14:solidFill>
          </w14:textFill>
        </w:rPr>
        <w:t>30000</w:t>
      </w:r>
      <w:r>
        <w:rPr>
          <w:color w:val="000000" w:themeColor="text1"/>
          <w:highlight w:val="none"/>
          <w14:textFill>
            <w14:solidFill>
              <w14:schemeClr w14:val="tx1"/>
            </w14:solidFill>
          </w14:textFill>
        </w:rPr>
        <w:t>万元，其中环保投资</w:t>
      </w:r>
      <w:r>
        <w:rPr>
          <w:rFonts w:hint="eastAsia"/>
          <w:color w:val="000000" w:themeColor="text1"/>
          <w:highlight w:val="none"/>
          <w:lang w:val="en-US" w:eastAsia="zh-CN"/>
          <w14:textFill>
            <w14:solidFill>
              <w14:schemeClr w14:val="tx1"/>
            </w14:solidFill>
          </w14:textFill>
        </w:rPr>
        <w:t>217.5</w:t>
      </w:r>
      <w:r>
        <w:rPr>
          <w:color w:val="000000" w:themeColor="text1"/>
          <w:highlight w:val="none"/>
          <w14:textFill>
            <w14:solidFill>
              <w14:schemeClr w14:val="tx1"/>
            </w14:solidFill>
          </w14:textFill>
        </w:rPr>
        <w:t>万元，环保投资约占总投资的</w:t>
      </w:r>
      <w:r>
        <w:rPr>
          <w:rFonts w:hint="eastAsia"/>
          <w:color w:val="000000" w:themeColor="text1"/>
          <w:highlight w:val="none"/>
          <w:lang w:val="en-US" w:eastAsia="zh-CN"/>
          <w14:textFill>
            <w14:solidFill>
              <w14:schemeClr w14:val="tx1"/>
            </w14:solidFill>
          </w14:textFill>
        </w:rPr>
        <w:t>7.25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p>
    <w:p w14:paraId="7FC2A671">
      <w:pPr>
        <w:ind w:firstLine="480" w:firstLineChars="20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建设周期：202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月-202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月，共计</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个月。</w:t>
      </w:r>
      <w:r>
        <w:rPr>
          <w:rFonts w:hint="eastAsia"/>
          <w:color w:val="000000" w:themeColor="text1"/>
          <w:highlight w:val="none"/>
          <w:lang w:val="en-US" w:eastAsia="zh-CN"/>
          <w14:textFill>
            <w14:solidFill>
              <w14:schemeClr w14:val="tx1"/>
            </w14:solidFill>
          </w14:textFill>
        </w:rPr>
        <w:t>2024年10月-2024年12月，共计3个月</w:t>
      </w:r>
    </w:p>
    <w:p w14:paraId="0348C292">
      <w:pPr>
        <w:ind w:firstLine="480" w:firstLineChars="200"/>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工作制度：</w:t>
      </w:r>
      <w:r>
        <w:rPr>
          <w:rFonts w:hint="eastAsia"/>
          <w:color w:val="000000" w:themeColor="text1"/>
          <w:highlight w:val="none"/>
          <w14:textFill>
            <w14:solidFill>
              <w14:schemeClr w14:val="tx1"/>
            </w14:solidFill>
          </w14:textFill>
        </w:rPr>
        <w:t>本项目建成投产后，劳动定员为</w:t>
      </w:r>
      <w:r>
        <w:rPr>
          <w:rFonts w:hint="eastAsia"/>
          <w:color w:val="000000" w:themeColor="text1"/>
          <w:highlight w:val="none"/>
          <w:lang w:val="en-US" w:eastAsia="zh-CN"/>
          <w14:textFill>
            <w14:solidFill>
              <w14:schemeClr w14:val="tx1"/>
            </w14:solidFill>
          </w14:textFill>
        </w:rPr>
        <w:t>30</w:t>
      </w:r>
      <w:r>
        <w:rPr>
          <w:rFonts w:hint="eastAsia"/>
          <w:color w:val="000000" w:themeColor="text1"/>
          <w:highlight w:val="none"/>
          <w14:textFill>
            <w14:solidFill>
              <w14:schemeClr w14:val="tx1"/>
            </w14:solidFill>
          </w14:textFill>
        </w:rPr>
        <w:t>人，年生产3</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天。</w:t>
      </w:r>
    </w:p>
    <w:p w14:paraId="529DE27A">
      <w:pPr>
        <w:ind w:firstLine="468" w:firstLineChars="200"/>
        <w:rPr>
          <w:rFonts w:hint="eastAsia" w:eastAsia="宋体"/>
          <w:color w:val="000000" w:themeColor="text1"/>
          <w:highlight w:val="none"/>
          <w:lang w:eastAsia="zh-CN"/>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建设规模：</w:t>
      </w:r>
      <w:r>
        <w:rPr>
          <w:rFonts w:hint="eastAsia"/>
          <w:color w:val="000000" w:themeColor="text1"/>
          <w:highlight w:val="none"/>
          <w14:textFill>
            <w14:solidFill>
              <w14:schemeClr w14:val="tx1"/>
            </w14:solidFill>
          </w14:textFill>
        </w:rPr>
        <w:t>年出栏种猪2万头、仔猪10万头。</w:t>
      </w:r>
    </w:p>
    <w:p w14:paraId="2C9B6EEA">
      <w:pPr>
        <w:pStyle w:val="4"/>
        <w:rPr>
          <w:color w:val="000000" w:themeColor="text1"/>
          <w:highlight w:val="none"/>
          <w14:textFill>
            <w14:solidFill>
              <w14:schemeClr w14:val="tx1"/>
            </w14:solidFill>
          </w14:textFill>
        </w:rPr>
      </w:pPr>
      <w:bookmarkStart w:id="72" w:name="_Toc27388"/>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2.2</w:t>
      </w:r>
      <w:r>
        <w:rPr>
          <w:color w:val="000000" w:themeColor="text1"/>
          <w:highlight w:val="none"/>
          <w14:textFill>
            <w14:solidFill>
              <w14:schemeClr w14:val="tx1"/>
            </w14:solidFill>
          </w14:textFill>
        </w:rPr>
        <w:t>建设内容</w:t>
      </w:r>
      <w:bookmarkEnd w:id="72"/>
    </w:p>
    <w:p w14:paraId="7CE292CF">
      <w:pPr>
        <w:spacing w:line="240" w:lineRule="auto"/>
        <w:jc w:val="center"/>
        <w:rPr>
          <w:b/>
          <w:bCs/>
          <w:color w:val="000000" w:themeColor="text1"/>
          <w:sz w:val="21"/>
          <w:szCs w:val="21"/>
          <w:highlight w:val="none"/>
          <w14:textFill>
            <w14:solidFill>
              <w14:schemeClr w14:val="tx1"/>
            </w14:solidFill>
          </w14:textFill>
        </w:rPr>
      </w:pPr>
      <w:bookmarkStart w:id="73" w:name="_Ref395084617"/>
      <w:bookmarkStart w:id="74" w:name="_Ref396806607"/>
      <w:r>
        <w:rPr>
          <w:b/>
          <w:bCs/>
          <w:color w:val="000000" w:themeColor="text1"/>
          <w:sz w:val="21"/>
          <w:szCs w:val="21"/>
          <w:highlight w:val="none"/>
          <w14:textFill>
            <w14:solidFill>
              <w14:schemeClr w14:val="tx1"/>
            </w14:solidFill>
          </w14:textFill>
        </w:rPr>
        <w:t>表</w:t>
      </w:r>
      <w:bookmarkEnd w:id="73"/>
      <w:bookmarkEnd w:id="74"/>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.2-</w:t>
      </w:r>
      <w:r>
        <w:rPr>
          <w:rFonts w:hint="eastAsia"/>
          <w:b/>
          <w:bCs/>
          <w:color w:val="000000" w:themeColor="text1"/>
          <w:sz w:val="21"/>
          <w:szCs w:val="21"/>
          <w:highlight w:val="none"/>
          <w:lang w:val="en-US" w:eastAsia="zh-CN"/>
          <w14:textFill>
            <w14:solidFill>
              <w14:schemeClr w14:val="tx1"/>
            </w14:solidFill>
          </w14:textFill>
        </w:rPr>
        <w:t>1</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项目组成一览表</w:t>
      </w:r>
    </w:p>
    <w:tbl>
      <w:tblPr>
        <w:tblStyle w:val="33"/>
        <w:tblW w:w="84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1083"/>
        <w:gridCol w:w="6041"/>
        <w:gridCol w:w="637"/>
      </w:tblGrid>
      <w:tr w14:paraId="100A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Align w:val="center"/>
          </w:tcPr>
          <w:p w14:paraId="4000D49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1083" w:type="dxa"/>
            <w:vAlign w:val="center"/>
          </w:tcPr>
          <w:p w14:paraId="679E705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组成内容</w:t>
            </w:r>
          </w:p>
        </w:tc>
        <w:tc>
          <w:tcPr>
            <w:tcW w:w="6041" w:type="dxa"/>
            <w:vAlign w:val="center"/>
          </w:tcPr>
          <w:p w14:paraId="03AFF74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内容</w:t>
            </w:r>
          </w:p>
        </w:tc>
        <w:tc>
          <w:tcPr>
            <w:tcW w:w="637" w:type="dxa"/>
            <w:vAlign w:val="center"/>
          </w:tcPr>
          <w:p w14:paraId="1559EBE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14:paraId="557D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restart"/>
            <w:vAlign w:val="center"/>
          </w:tcPr>
          <w:p w14:paraId="385CF22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主体工程</w:t>
            </w:r>
          </w:p>
        </w:tc>
        <w:tc>
          <w:tcPr>
            <w:tcW w:w="1083" w:type="dxa"/>
            <w:vAlign w:val="center"/>
          </w:tcPr>
          <w:p w14:paraId="7B30B52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圈</w:t>
            </w:r>
            <w:r>
              <w:rPr>
                <w:color w:val="000000" w:themeColor="text1"/>
                <w:sz w:val="21"/>
                <w:szCs w:val="21"/>
                <w:highlight w:val="none"/>
                <w14:textFill>
                  <w14:solidFill>
                    <w14:schemeClr w14:val="tx1"/>
                  </w14:solidFill>
                </w14:textFill>
              </w:rPr>
              <w:t>舍</w:t>
            </w:r>
          </w:p>
        </w:tc>
        <w:tc>
          <w:tcPr>
            <w:tcW w:w="6041" w:type="dxa"/>
            <w:vAlign w:val="center"/>
          </w:tcPr>
          <w:p w14:paraId="069406C4">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本项目已建设圈舍24</w:t>
            </w:r>
            <w:r>
              <w:rPr>
                <w:color w:val="000000" w:themeColor="text1"/>
                <w:sz w:val="21"/>
                <w:szCs w:val="21"/>
                <w:highlight w:val="none"/>
                <w14:textFill>
                  <w14:solidFill>
                    <w14:schemeClr w14:val="tx1"/>
                  </w14:solidFill>
                </w14:textFill>
              </w:rPr>
              <w:t>栋</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每栋占地面积</w:t>
            </w:r>
            <w:r>
              <w:rPr>
                <w:rFonts w:hint="eastAsia"/>
                <w:color w:val="000000" w:themeColor="text1"/>
                <w:sz w:val="21"/>
                <w:szCs w:val="21"/>
                <w:highlight w:val="none"/>
                <w:lang w:val="en-US" w:eastAsia="zh-CN"/>
                <w14:textFill>
                  <w14:solidFill>
                    <w14:schemeClr w14:val="tx1"/>
                  </w14:solidFill>
                </w14:textFill>
              </w:rPr>
              <w:t>850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包括</w:t>
            </w:r>
            <w:r>
              <w:rPr>
                <w:rFonts w:hint="eastAsia"/>
                <w:color w:val="000000" w:themeColor="text1"/>
                <w:sz w:val="21"/>
                <w:szCs w:val="21"/>
                <w:highlight w:val="none"/>
                <w14:textFill>
                  <w14:solidFill>
                    <w14:schemeClr w14:val="tx1"/>
                  </w14:solidFill>
                </w14:textFill>
              </w:rPr>
              <w:t>公猪舍</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分娩舍</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保育舍</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后备母猪舍</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空怀、配种、观察舍</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地上一层；上部拱形钢构，内部喷聚氨酯保温层及防火涂料，中间层为圈舍，采用</w:t>
            </w:r>
            <w:r>
              <w:rPr>
                <w:rFonts w:hint="eastAsia"/>
                <w:color w:val="000000" w:themeColor="text1"/>
                <w:sz w:val="21"/>
                <w:szCs w:val="21"/>
                <w:highlight w:val="none"/>
                <w:lang w:eastAsia="zh-CN"/>
                <w14:textFill>
                  <w14:solidFill>
                    <w14:schemeClr w14:val="tx1"/>
                  </w14:solidFill>
                </w14:textFill>
              </w:rPr>
              <w:t>半漏板</w:t>
            </w:r>
            <w:r>
              <w:rPr>
                <w:rFonts w:hint="eastAsia"/>
                <w:color w:val="000000" w:themeColor="text1"/>
                <w:sz w:val="21"/>
                <w:szCs w:val="21"/>
                <w:highlight w:val="none"/>
                <w14:textFill>
                  <w14:solidFill>
                    <w14:schemeClr w14:val="tx1"/>
                  </w14:solidFill>
                </w14:textFill>
              </w:rPr>
              <w:t>；下层高</w:t>
            </w:r>
            <w:r>
              <w:rPr>
                <w:color w:val="000000" w:themeColor="text1"/>
                <w:sz w:val="21"/>
                <w:szCs w:val="21"/>
                <w:highlight w:val="none"/>
                <w14:textFill>
                  <w14:solidFill>
                    <w14:schemeClr w14:val="tx1"/>
                  </w14:solidFill>
                </w14:textFill>
              </w:rPr>
              <w:t>1.1</w:t>
            </w:r>
            <w:r>
              <w:rPr>
                <w:rFonts w:hint="eastAsia"/>
                <w:color w:val="000000" w:themeColor="text1"/>
                <w:sz w:val="21"/>
                <w:szCs w:val="21"/>
                <w:highlight w:val="none"/>
                <w14:textFill>
                  <w14:solidFill>
                    <w14:schemeClr w14:val="tx1"/>
                  </w14:solidFill>
                </w14:textFill>
              </w:rPr>
              <w:t>米混凝土</w:t>
            </w:r>
            <w:r>
              <w:rPr>
                <w:rFonts w:hint="eastAsia"/>
                <w:color w:val="000000" w:themeColor="text1"/>
                <w:sz w:val="21"/>
                <w:szCs w:val="21"/>
                <w:highlight w:val="none"/>
                <w:lang w:eastAsia="zh-CN"/>
                <w14:textFill>
                  <w14:solidFill>
                    <w14:schemeClr w14:val="tx1"/>
                  </w14:solidFill>
                </w14:textFill>
              </w:rPr>
              <w:t>堆粪池</w:t>
            </w:r>
          </w:p>
        </w:tc>
        <w:tc>
          <w:tcPr>
            <w:tcW w:w="637" w:type="dxa"/>
            <w:vAlign w:val="center"/>
          </w:tcPr>
          <w:p w14:paraId="45FE6B7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已</w:t>
            </w:r>
            <w:r>
              <w:rPr>
                <w:color w:val="000000" w:themeColor="text1"/>
                <w:sz w:val="21"/>
                <w:szCs w:val="21"/>
                <w:highlight w:val="none"/>
                <w14:textFill>
                  <w14:solidFill>
                    <w14:schemeClr w14:val="tx1"/>
                  </w14:solidFill>
                </w14:textFill>
              </w:rPr>
              <w:t>建</w:t>
            </w:r>
          </w:p>
        </w:tc>
      </w:tr>
      <w:tr w14:paraId="02C48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4208430E">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3D42953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圈</w:t>
            </w:r>
            <w:r>
              <w:rPr>
                <w:color w:val="000000" w:themeColor="text1"/>
                <w:sz w:val="21"/>
                <w:szCs w:val="21"/>
                <w:highlight w:val="none"/>
                <w14:textFill>
                  <w14:solidFill>
                    <w14:schemeClr w14:val="tx1"/>
                  </w14:solidFill>
                </w14:textFill>
              </w:rPr>
              <w:t>舍</w:t>
            </w:r>
          </w:p>
        </w:tc>
        <w:tc>
          <w:tcPr>
            <w:tcW w:w="6041" w:type="dxa"/>
            <w:vAlign w:val="center"/>
          </w:tcPr>
          <w:p w14:paraId="7A78AA6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新建6</w:t>
            </w:r>
            <w:r>
              <w:rPr>
                <w:color w:val="000000" w:themeColor="text1"/>
                <w:sz w:val="21"/>
                <w:szCs w:val="21"/>
                <w:highlight w:val="none"/>
                <w14:textFill>
                  <w14:solidFill>
                    <w14:schemeClr w14:val="tx1"/>
                  </w14:solidFill>
                </w14:textFill>
              </w:rPr>
              <w:t>栋</w:t>
            </w:r>
            <w:r>
              <w:rPr>
                <w:rFonts w:hint="eastAsia"/>
                <w:color w:val="000000" w:themeColor="text1"/>
                <w:sz w:val="21"/>
                <w:szCs w:val="21"/>
                <w:highlight w:val="none"/>
                <w:lang w:val="en-US" w:eastAsia="zh-CN"/>
                <w14:textFill>
                  <w14:solidFill>
                    <w14:schemeClr w14:val="tx1"/>
                  </w14:solidFill>
                </w14:textFill>
              </w:rPr>
              <w:t>圈</w:t>
            </w:r>
            <w:r>
              <w:rPr>
                <w:color w:val="000000" w:themeColor="text1"/>
                <w:sz w:val="21"/>
                <w:szCs w:val="21"/>
                <w:highlight w:val="none"/>
                <w14:textFill>
                  <w14:solidFill>
                    <w14:schemeClr w14:val="tx1"/>
                  </w14:solidFill>
                </w14:textFill>
              </w:rPr>
              <w:t>舍</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每栋占地面积</w:t>
            </w:r>
            <w:r>
              <w:rPr>
                <w:rFonts w:hint="eastAsia"/>
                <w:color w:val="000000" w:themeColor="text1"/>
                <w:sz w:val="21"/>
                <w:szCs w:val="21"/>
                <w:highlight w:val="none"/>
                <w:lang w:val="en-US" w:eastAsia="zh-CN"/>
                <w14:textFill>
                  <w14:solidFill>
                    <w14:schemeClr w14:val="tx1"/>
                  </w14:solidFill>
                </w14:textFill>
              </w:rPr>
              <w:t>850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vertAlign w:val="baseli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地上一层；上部拱形钢构，内部喷聚氨酯保温层及防火涂料，中间层为圈舍，采用</w:t>
            </w:r>
            <w:r>
              <w:rPr>
                <w:rFonts w:hint="eastAsia"/>
                <w:color w:val="000000" w:themeColor="text1"/>
                <w:sz w:val="21"/>
                <w:szCs w:val="21"/>
                <w:highlight w:val="none"/>
                <w:lang w:eastAsia="zh-CN"/>
                <w14:textFill>
                  <w14:solidFill>
                    <w14:schemeClr w14:val="tx1"/>
                  </w14:solidFill>
                </w14:textFill>
              </w:rPr>
              <w:t>半漏板</w:t>
            </w:r>
            <w:r>
              <w:rPr>
                <w:rFonts w:hint="eastAsia"/>
                <w:color w:val="000000" w:themeColor="text1"/>
                <w:sz w:val="21"/>
                <w:szCs w:val="21"/>
                <w:highlight w:val="none"/>
                <w14:textFill>
                  <w14:solidFill>
                    <w14:schemeClr w14:val="tx1"/>
                  </w14:solidFill>
                </w14:textFill>
              </w:rPr>
              <w:t>；下层高</w:t>
            </w:r>
            <w:r>
              <w:rPr>
                <w:color w:val="000000" w:themeColor="text1"/>
                <w:sz w:val="21"/>
                <w:szCs w:val="21"/>
                <w:highlight w:val="none"/>
                <w14:textFill>
                  <w14:solidFill>
                    <w14:schemeClr w14:val="tx1"/>
                  </w14:solidFill>
                </w14:textFill>
              </w:rPr>
              <w:t>1.1</w:t>
            </w:r>
            <w:r>
              <w:rPr>
                <w:rFonts w:hint="eastAsia"/>
                <w:color w:val="000000" w:themeColor="text1"/>
                <w:sz w:val="21"/>
                <w:szCs w:val="21"/>
                <w:highlight w:val="none"/>
                <w14:textFill>
                  <w14:solidFill>
                    <w14:schemeClr w14:val="tx1"/>
                  </w14:solidFill>
                </w14:textFill>
              </w:rPr>
              <w:t>米混凝土</w:t>
            </w:r>
            <w:r>
              <w:rPr>
                <w:rFonts w:hint="eastAsia"/>
                <w:color w:val="000000" w:themeColor="text1"/>
                <w:sz w:val="21"/>
                <w:szCs w:val="21"/>
                <w:highlight w:val="none"/>
                <w:lang w:eastAsia="zh-CN"/>
                <w14:textFill>
                  <w14:solidFill>
                    <w14:schemeClr w14:val="tx1"/>
                  </w14:solidFill>
                </w14:textFill>
              </w:rPr>
              <w:t>堆粪池</w:t>
            </w:r>
          </w:p>
        </w:tc>
        <w:tc>
          <w:tcPr>
            <w:tcW w:w="637" w:type="dxa"/>
            <w:vAlign w:val="center"/>
          </w:tcPr>
          <w:p w14:paraId="3E9B8264">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新建</w:t>
            </w:r>
          </w:p>
        </w:tc>
      </w:tr>
      <w:tr w14:paraId="471B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restart"/>
            <w:vAlign w:val="center"/>
          </w:tcPr>
          <w:p w14:paraId="3A59976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辅助工程</w:t>
            </w:r>
          </w:p>
          <w:p w14:paraId="387EBACE">
            <w:pPr>
              <w:spacing w:line="240" w:lineRule="auto"/>
              <w:jc w:val="center"/>
              <w:rPr>
                <w:color w:val="000000" w:themeColor="text1"/>
                <w:sz w:val="21"/>
                <w:szCs w:val="21"/>
                <w:highlight w:val="none"/>
                <w14:textFill>
                  <w14:solidFill>
                    <w14:schemeClr w14:val="tx1"/>
                  </w14:solidFill>
                </w14:textFill>
              </w:rPr>
            </w:pPr>
          </w:p>
          <w:p w14:paraId="1C5B2283">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76AF88B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宿舍</w:t>
            </w:r>
          </w:p>
        </w:tc>
        <w:tc>
          <w:tcPr>
            <w:tcW w:w="6041" w:type="dxa"/>
            <w:vAlign w:val="center"/>
          </w:tcPr>
          <w:p w14:paraId="17B9003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14:textFill>
                  <w14:solidFill>
                    <w14:schemeClr w14:val="tx1"/>
                  </w14:solidFill>
                </w14:textFill>
              </w:rPr>
              <w:t>栋，位于厂区南侧，建筑面积</w:t>
            </w:r>
            <w:r>
              <w:rPr>
                <w:rFonts w:hint="eastAsia"/>
                <w:color w:val="000000" w:themeColor="text1"/>
                <w:sz w:val="21"/>
                <w:szCs w:val="21"/>
                <w:highlight w:val="none"/>
                <w:lang w:val="en-US" w:eastAsia="zh-CN"/>
                <w14:textFill>
                  <w14:solidFill>
                    <w14:schemeClr w14:val="tx1"/>
                  </w14:solidFill>
                </w14:textFill>
              </w:rPr>
              <w:t>1000</w:t>
            </w: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，地上一层</w:t>
            </w:r>
          </w:p>
        </w:tc>
        <w:tc>
          <w:tcPr>
            <w:tcW w:w="637" w:type="dxa"/>
            <w:vAlign w:val="center"/>
          </w:tcPr>
          <w:p w14:paraId="23462ED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已</w:t>
            </w:r>
            <w:r>
              <w:rPr>
                <w:color w:val="000000" w:themeColor="text1"/>
                <w:sz w:val="21"/>
                <w:szCs w:val="21"/>
                <w:highlight w:val="none"/>
                <w14:textFill>
                  <w14:solidFill>
                    <w14:schemeClr w14:val="tx1"/>
                  </w14:solidFill>
                </w14:textFill>
              </w:rPr>
              <w:t>建</w:t>
            </w:r>
          </w:p>
        </w:tc>
      </w:tr>
      <w:tr w14:paraId="4B173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7C466AF2">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60864E0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干湿分离车间</w:t>
            </w:r>
          </w:p>
        </w:tc>
        <w:tc>
          <w:tcPr>
            <w:tcW w:w="6041" w:type="dxa"/>
            <w:vAlign w:val="center"/>
          </w:tcPr>
          <w:p w14:paraId="0BE5967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位于黑膜池南侧，建筑面积</w:t>
            </w:r>
            <w:r>
              <w:rPr>
                <w:rFonts w:hint="eastAsia"/>
                <w:color w:val="000000" w:themeColor="text1"/>
                <w:sz w:val="21"/>
                <w:szCs w:val="21"/>
                <w:highlight w:val="none"/>
                <w:lang w:val="en-US" w:eastAsia="zh-CN"/>
                <w14:textFill>
                  <w14:solidFill>
                    <w14:schemeClr w14:val="tx1"/>
                  </w14:solidFill>
                </w14:textFill>
              </w:rPr>
              <w:t>1000</w:t>
            </w:r>
            <w:r>
              <w:rPr>
                <w:rFonts w:hint="eastAsia"/>
                <w:color w:val="000000" w:themeColor="text1"/>
                <w:sz w:val="21"/>
                <w:szCs w:val="21"/>
                <w:highlight w:val="none"/>
                <w14:textFill>
                  <w14:solidFill>
                    <w14:schemeClr w14:val="tx1"/>
                  </w14:solidFill>
                </w14:textFill>
              </w:rPr>
              <w:t>m</w:t>
            </w:r>
            <w:r>
              <w:rPr>
                <w:rFonts w:hint="eastAsia"/>
                <w:color w:val="000000" w:themeColor="text1"/>
                <w:sz w:val="21"/>
                <w:szCs w:val="21"/>
                <w:highlight w:val="none"/>
                <w:vertAlign w:val="superscript"/>
                <w14:textFill>
                  <w14:solidFill>
                    <w14:schemeClr w14:val="tx1"/>
                  </w14:solidFill>
                </w14:textFill>
              </w:rPr>
              <w:t>2</w:t>
            </w:r>
          </w:p>
        </w:tc>
        <w:tc>
          <w:tcPr>
            <w:tcW w:w="637" w:type="dxa"/>
            <w:vAlign w:val="center"/>
          </w:tcPr>
          <w:p w14:paraId="2E87EB7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w:t>
            </w:r>
            <w:r>
              <w:rPr>
                <w:color w:val="000000" w:themeColor="text1"/>
                <w:sz w:val="21"/>
                <w:szCs w:val="21"/>
                <w:highlight w:val="none"/>
                <w14:textFill>
                  <w14:solidFill>
                    <w14:schemeClr w14:val="tx1"/>
                  </w14:solidFill>
                </w14:textFill>
              </w:rPr>
              <w:t>建</w:t>
            </w:r>
          </w:p>
        </w:tc>
      </w:tr>
      <w:tr w14:paraId="08BDA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043E6B2E">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2DE66A69">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饲料库房</w:t>
            </w:r>
          </w:p>
        </w:tc>
        <w:tc>
          <w:tcPr>
            <w:tcW w:w="6041" w:type="dxa"/>
            <w:vAlign w:val="center"/>
          </w:tcPr>
          <w:p w14:paraId="39FB3216">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1座，位于厂区南侧</w:t>
            </w:r>
          </w:p>
        </w:tc>
        <w:tc>
          <w:tcPr>
            <w:tcW w:w="637" w:type="dxa"/>
            <w:vAlign w:val="center"/>
          </w:tcPr>
          <w:p w14:paraId="45CD0504">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已</w:t>
            </w:r>
            <w:r>
              <w:rPr>
                <w:color w:val="000000" w:themeColor="text1"/>
                <w:sz w:val="21"/>
                <w:szCs w:val="21"/>
                <w:highlight w:val="none"/>
                <w14:textFill>
                  <w14:solidFill>
                    <w14:schemeClr w14:val="tx1"/>
                  </w14:solidFill>
                </w14:textFill>
              </w:rPr>
              <w:t>建</w:t>
            </w:r>
          </w:p>
        </w:tc>
      </w:tr>
      <w:tr w14:paraId="2F06B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73DA5A3F">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0B37ACC6">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其他</w:t>
            </w:r>
          </w:p>
        </w:tc>
        <w:tc>
          <w:tcPr>
            <w:tcW w:w="6041" w:type="dxa"/>
            <w:vAlign w:val="center"/>
          </w:tcPr>
          <w:p w14:paraId="38C31DD8">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兽医室和医疗库房，办公室，卫</w:t>
            </w:r>
            <w:r>
              <w:rPr>
                <w:rFonts w:hint="eastAsia"/>
                <w:color w:val="000000" w:themeColor="text1"/>
                <w:sz w:val="21"/>
                <w:szCs w:val="21"/>
                <w:highlight w:val="none"/>
                <w:lang w:eastAsia="zh-CN"/>
                <w14:textFill>
                  <w14:solidFill>
                    <w14:schemeClr w14:val="tx1"/>
                  </w14:solidFill>
                </w14:textFill>
              </w:rPr>
              <w:t>生</w:t>
            </w:r>
            <w:r>
              <w:rPr>
                <w:rFonts w:hint="eastAsia"/>
                <w:color w:val="000000" w:themeColor="text1"/>
                <w:sz w:val="21"/>
                <w:szCs w:val="21"/>
                <w:highlight w:val="none"/>
                <w14:textFill>
                  <w14:solidFill>
                    <w14:schemeClr w14:val="tx1"/>
                  </w14:solidFill>
                </w14:textFill>
              </w:rPr>
              <w:t>室、消毒间，</w:t>
            </w:r>
          </w:p>
        </w:tc>
        <w:tc>
          <w:tcPr>
            <w:tcW w:w="637" w:type="dxa"/>
            <w:vAlign w:val="center"/>
          </w:tcPr>
          <w:p w14:paraId="46BF61B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已</w:t>
            </w:r>
            <w:r>
              <w:rPr>
                <w:color w:val="000000" w:themeColor="text1"/>
                <w:sz w:val="21"/>
                <w:szCs w:val="21"/>
                <w:highlight w:val="none"/>
                <w14:textFill>
                  <w14:solidFill>
                    <w14:schemeClr w14:val="tx1"/>
                  </w14:solidFill>
                </w14:textFill>
              </w:rPr>
              <w:t>建</w:t>
            </w:r>
          </w:p>
        </w:tc>
      </w:tr>
      <w:tr w14:paraId="14D6A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01" w:type="dxa"/>
            <w:vMerge w:val="restart"/>
            <w:vAlign w:val="center"/>
          </w:tcPr>
          <w:p w14:paraId="0362900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储运工程</w:t>
            </w:r>
          </w:p>
        </w:tc>
        <w:tc>
          <w:tcPr>
            <w:tcW w:w="1083" w:type="dxa"/>
            <w:vAlign w:val="center"/>
          </w:tcPr>
          <w:p w14:paraId="2D4EBD0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堆粪场</w:t>
            </w:r>
          </w:p>
        </w:tc>
        <w:tc>
          <w:tcPr>
            <w:tcW w:w="6041" w:type="dxa"/>
            <w:vAlign w:val="center"/>
          </w:tcPr>
          <w:p w14:paraId="6A510DD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1座，位于厂区</w:t>
            </w:r>
            <w:r>
              <w:rPr>
                <w:rFonts w:hint="eastAsia"/>
                <w:color w:val="000000" w:themeColor="text1"/>
                <w:sz w:val="21"/>
                <w:szCs w:val="21"/>
                <w:highlight w:val="none"/>
                <w:lang w:val="en-US" w:eastAsia="zh-CN"/>
                <w14:textFill>
                  <w14:solidFill>
                    <w14:schemeClr w14:val="tx1"/>
                  </w14:solidFill>
                </w14:textFill>
              </w:rPr>
              <w:t>北</w:t>
            </w:r>
            <w:r>
              <w:rPr>
                <w:rFonts w:hint="eastAsia"/>
                <w:color w:val="000000" w:themeColor="text1"/>
                <w:sz w:val="21"/>
                <w:szCs w:val="21"/>
                <w:highlight w:val="none"/>
                <w14:textFill>
                  <w14:solidFill>
                    <w14:schemeClr w14:val="tx1"/>
                  </w14:solidFill>
                </w14:textFill>
              </w:rPr>
              <w:t>侧，干湿分离车间旁，建筑面积</w:t>
            </w:r>
            <w:r>
              <w:rPr>
                <w:rFonts w:hint="eastAsia"/>
                <w:color w:val="000000" w:themeColor="text1"/>
                <w:sz w:val="21"/>
                <w:szCs w:val="21"/>
                <w:highlight w:val="none"/>
                <w:lang w:val="en-US" w:eastAsia="zh-CN"/>
                <w14:textFill>
                  <w14:solidFill>
                    <w14:schemeClr w14:val="tx1"/>
                  </w14:solidFill>
                </w14:textFill>
              </w:rPr>
              <w:t>10</w:t>
            </w:r>
            <w:r>
              <w:rPr>
                <w:rFonts w:hint="eastAsia"/>
                <w:color w:val="000000" w:themeColor="text1"/>
                <w:sz w:val="21"/>
                <w:szCs w:val="21"/>
                <w:highlight w:val="none"/>
                <w14:textFill>
                  <w14:solidFill>
                    <w14:schemeClr w14:val="tx1"/>
                  </w14:solidFill>
                </w14:textFill>
              </w:rPr>
              <w:t>00m</w:t>
            </w:r>
            <w:r>
              <w:rPr>
                <w:rFonts w:hint="eastAsia"/>
                <w:color w:val="000000" w:themeColor="text1"/>
                <w:sz w:val="21"/>
                <w:szCs w:val="21"/>
                <w:highlight w:val="none"/>
                <w:vertAlign w:val="superscript"/>
                <w14:textFill>
                  <w14:solidFill>
                    <w14:schemeClr w14:val="tx1"/>
                  </w14:solidFill>
                </w14:textFill>
              </w:rPr>
              <w:t>2</w:t>
            </w:r>
          </w:p>
        </w:tc>
        <w:tc>
          <w:tcPr>
            <w:tcW w:w="637" w:type="dxa"/>
            <w:vAlign w:val="center"/>
          </w:tcPr>
          <w:p w14:paraId="0A0CE24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新</w:t>
            </w:r>
            <w:r>
              <w:rPr>
                <w:color w:val="000000" w:themeColor="text1"/>
                <w:sz w:val="21"/>
                <w:szCs w:val="21"/>
                <w:highlight w:val="none"/>
                <w14:textFill>
                  <w14:solidFill>
                    <w14:schemeClr w14:val="tx1"/>
                  </w14:solidFill>
                </w14:textFill>
              </w:rPr>
              <w:t>建</w:t>
            </w:r>
          </w:p>
        </w:tc>
      </w:tr>
      <w:tr w14:paraId="08C29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669D3902">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4738369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黑膜池</w:t>
            </w:r>
          </w:p>
        </w:tc>
        <w:tc>
          <w:tcPr>
            <w:tcW w:w="6041" w:type="dxa"/>
            <w:vAlign w:val="center"/>
          </w:tcPr>
          <w:p w14:paraId="588B1C5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2座，位于厂区北侧，</w:t>
            </w:r>
            <w:r>
              <w:rPr>
                <w:rFonts w:hint="eastAsia"/>
                <w:color w:val="000000" w:themeColor="text1"/>
                <w:sz w:val="21"/>
                <w:szCs w:val="21"/>
                <w:highlight w:val="none"/>
                <w:lang w:val="en-US" w:eastAsia="zh-CN"/>
                <w14:textFill>
                  <w14:solidFill>
                    <w14:schemeClr w14:val="tx1"/>
                  </w14:solidFill>
                </w14:textFill>
              </w:rPr>
              <w:t>为梯形锥型，上边</w:t>
            </w:r>
            <w:r>
              <w:rPr>
                <w:rFonts w:hint="eastAsia"/>
                <w:color w:val="000000" w:themeColor="text1"/>
                <w:sz w:val="21"/>
                <w:szCs w:val="21"/>
                <w:highlight w:val="none"/>
                <w14:textFill>
                  <w14:solidFill>
                    <w14:schemeClr w14:val="tx1"/>
                  </w14:solidFill>
                </w14:textFill>
              </w:rPr>
              <w:t>长</w:t>
            </w:r>
            <w:r>
              <w:rPr>
                <w:rFonts w:hint="eastAsia"/>
                <w:color w:val="000000" w:themeColor="text1"/>
                <w:sz w:val="21"/>
                <w:szCs w:val="21"/>
                <w:highlight w:val="none"/>
                <w:lang w:val="en-US" w:eastAsia="zh-CN"/>
                <w14:textFill>
                  <w14:solidFill>
                    <w14:schemeClr w14:val="tx1"/>
                  </w14:solidFill>
                </w14:textFill>
              </w:rPr>
              <w:t>90</w:t>
            </w:r>
            <w:r>
              <w:rPr>
                <w:rFonts w:hint="eastAsia"/>
                <w:color w:val="000000" w:themeColor="text1"/>
                <w:sz w:val="21"/>
                <w:szCs w:val="21"/>
                <w:highlight w:val="none"/>
                <w14:textFill>
                  <w14:solidFill>
                    <w14:schemeClr w14:val="tx1"/>
                  </w14:solidFill>
                </w14:textFill>
              </w:rPr>
              <w:t>米，宽</w:t>
            </w:r>
            <w:r>
              <w:rPr>
                <w:rFonts w:hint="eastAsia"/>
                <w:color w:val="000000" w:themeColor="text1"/>
                <w:sz w:val="21"/>
                <w:szCs w:val="21"/>
                <w:highlight w:val="none"/>
                <w:lang w:val="en-US" w:eastAsia="zh-CN"/>
                <w14:textFill>
                  <w14:solidFill>
                    <w14:schemeClr w14:val="tx1"/>
                  </w14:solidFill>
                </w14:textFill>
              </w:rPr>
              <w:t>35</w:t>
            </w:r>
            <w:r>
              <w:rPr>
                <w:rFonts w:hint="eastAsia"/>
                <w:color w:val="000000" w:themeColor="text1"/>
                <w:sz w:val="21"/>
                <w:szCs w:val="21"/>
                <w:highlight w:val="none"/>
                <w14:textFill>
                  <w14:solidFill>
                    <w14:schemeClr w14:val="tx1"/>
                  </w14:solidFill>
                </w14:textFill>
              </w:rPr>
              <w:t>米，</w:t>
            </w:r>
            <w:r>
              <w:rPr>
                <w:rFonts w:hint="eastAsia"/>
                <w:color w:val="000000" w:themeColor="text1"/>
                <w:sz w:val="21"/>
                <w:szCs w:val="21"/>
                <w:highlight w:val="none"/>
                <w:lang w:val="en-US" w:eastAsia="zh-CN"/>
                <w14:textFill>
                  <w14:solidFill>
                    <w14:schemeClr w14:val="tx1"/>
                  </w14:solidFill>
                </w14:textFill>
              </w:rPr>
              <w:t>下边</w:t>
            </w:r>
            <w:r>
              <w:rPr>
                <w:rFonts w:hint="eastAsia"/>
                <w:color w:val="000000" w:themeColor="text1"/>
                <w:sz w:val="21"/>
                <w:szCs w:val="21"/>
                <w:highlight w:val="none"/>
                <w14:textFill>
                  <w14:solidFill>
                    <w14:schemeClr w14:val="tx1"/>
                  </w14:solidFill>
                </w14:textFill>
              </w:rPr>
              <w:t>长</w:t>
            </w:r>
            <w:r>
              <w:rPr>
                <w:rFonts w:hint="eastAsia"/>
                <w:color w:val="000000" w:themeColor="text1"/>
                <w:sz w:val="21"/>
                <w:szCs w:val="21"/>
                <w:highlight w:val="none"/>
                <w:lang w:val="en-US" w:eastAsia="zh-CN"/>
                <w14:textFill>
                  <w14:solidFill>
                    <w14:schemeClr w14:val="tx1"/>
                  </w14:solidFill>
                </w14:textFill>
              </w:rPr>
              <w:t>70</w:t>
            </w:r>
            <w:r>
              <w:rPr>
                <w:rFonts w:hint="eastAsia"/>
                <w:color w:val="000000" w:themeColor="text1"/>
                <w:sz w:val="21"/>
                <w:szCs w:val="21"/>
                <w:highlight w:val="none"/>
                <w14:textFill>
                  <w14:solidFill>
                    <w14:schemeClr w14:val="tx1"/>
                  </w14:solidFill>
                </w14:textFill>
              </w:rPr>
              <w:t>米，宽</w:t>
            </w:r>
            <w:r>
              <w:rPr>
                <w:rFonts w:hint="eastAsia"/>
                <w:color w:val="000000" w:themeColor="text1"/>
                <w:sz w:val="21"/>
                <w:szCs w:val="21"/>
                <w:highlight w:val="none"/>
                <w:lang w:val="en-US" w:eastAsia="zh-CN"/>
                <w14:textFill>
                  <w14:solidFill>
                    <w14:schemeClr w14:val="tx1"/>
                  </w14:solidFill>
                </w14:textFill>
              </w:rPr>
              <w:t>20</w:t>
            </w:r>
            <w:r>
              <w:rPr>
                <w:rFonts w:hint="eastAsia"/>
                <w:color w:val="000000" w:themeColor="text1"/>
                <w:sz w:val="21"/>
                <w:szCs w:val="21"/>
                <w:highlight w:val="none"/>
                <w14:textFill>
                  <w14:solidFill>
                    <w14:schemeClr w14:val="tx1"/>
                  </w14:solidFill>
                </w14:textFill>
              </w:rPr>
              <w:t>米，深5米，容积</w:t>
            </w:r>
            <w:r>
              <w:rPr>
                <w:rFonts w:hint="eastAsia"/>
                <w:color w:val="000000" w:themeColor="text1"/>
                <w:sz w:val="21"/>
                <w:szCs w:val="21"/>
                <w:highlight w:val="none"/>
                <w:lang w:val="en-US" w:eastAsia="zh-CN"/>
                <w14:textFill>
                  <w14:solidFill>
                    <w14:schemeClr w14:val="tx1"/>
                  </w14:solidFill>
                </w14:textFill>
              </w:rPr>
              <w:t>11125</w:t>
            </w:r>
            <w:r>
              <w:rPr>
                <w:rFonts w:hint="eastAsia"/>
                <w:color w:val="000000" w:themeColor="text1"/>
                <w:sz w:val="21"/>
                <w:szCs w:val="21"/>
                <w:highlight w:val="none"/>
                <w14:textFill>
                  <w14:solidFill>
                    <w14:schemeClr w14:val="tx1"/>
                  </w14:solidFill>
                </w14:textFill>
              </w:rPr>
              <w:t>方，共计</w:t>
            </w:r>
            <w:r>
              <w:rPr>
                <w:rFonts w:hint="eastAsia"/>
                <w:color w:val="000000" w:themeColor="text1"/>
                <w:sz w:val="21"/>
                <w:szCs w:val="21"/>
                <w:highlight w:val="none"/>
                <w:lang w:val="en-US" w:eastAsia="zh-CN"/>
                <w14:textFill>
                  <w14:solidFill>
                    <w14:schemeClr w14:val="tx1"/>
                  </w14:solidFill>
                </w14:textFill>
              </w:rPr>
              <w:t>22250</w:t>
            </w:r>
            <w:r>
              <w:rPr>
                <w:rFonts w:hint="eastAsia"/>
                <w:color w:val="000000" w:themeColor="text1"/>
                <w:sz w:val="21"/>
                <w:szCs w:val="21"/>
                <w:highlight w:val="none"/>
                <w14:textFill>
                  <w14:solidFill>
                    <w14:schemeClr w14:val="tx1"/>
                  </w14:solidFill>
                </w14:textFill>
              </w:rPr>
              <w:t>方</w:t>
            </w:r>
          </w:p>
        </w:tc>
        <w:tc>
          <w:tcPr>
            <w:tcW w:w="637" w:type="dxa"/>
            <w:vAlign w:val="center"/>
          </w:tcPr>
          <w:p w14:paraId="7180DF0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已</w:t>
            </w:r>
            <w:r>
              <w:rPr>
                <w:color w:val="000000" w:themeColor="text1"/>
                <w:sz w:val="21"/>
                <w:szCs w:val="21"/>
                <w:highlight w:val="none"/>
                <w14:textFill>
                  <w14:solidFill>
                    <w14:schemeClr w14:val="tx1"/>
                  </w14:solidFill>
                </w14:textFill>
              </w:rPr>
              <w:t>建</w:t>
            </w:r>
          </w:p>
        </w:tc>
      </w:tr>
      <w:tr w14:paraId="1085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7E09BA02">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1564A9D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水塔一座</w:t>
            </w:r>
          </w:p>
        </w:tc>
        <w:tc>
          <w:tcPr>
            <w:tcW w:w="6041" w:type="dxa"/>
            <w:vAlign w:val="center"/>
          </w:tcPr>
          <w:p w14:paraId="397479E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1座，位于厂区南侧</w:t>
            </w:r>
          </w:p>
        </w:tc>
        <w:tc>
          <w:tcPr>
            <w:tcW w:w="637" w:type="dxa"/>
            <w:vAlign w:val="center"/>
          </w:tcPr>
          <w:p w14:paraId="3A68BB9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已</w:t>
            </w:r>
            <w:r>
              <w:rPr>
                <w:rFonts w:hint="eastAsia"/>
                <w:color w:val="000000" w:themeColor="text1"/>
                <w:sz w:val="21"/>
                <w:szCs w:val="21"/>
                <w:highlight w:val="none"/>
                <w14:textFill>
                  <w14:solidFill>
                    <w14:schemeClr w14:val="tx1"/>
                  </w14:solidFill>
                </w14:textFill>
              </w:rPr>
              <w:t>建</w:t>
            </w:r>
          </w:p>
        </w:tc>
      </w:tr>
      <w:tr w14:paraId="2CC5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restart"/>
            <w:vAlign w:val="center"/>
          </w:tcPr>
          <w:p w14:paraId="783C3EA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公用工程</w:t>
            </w:r>
          </w:p>
        </w:tc>
        <w:tc>
          <w:tcPr>
            <w:tcW w:w="1083" w:type="dxa"/>
            <w:vAlign w:val="center"/>
          </w:tcPr>
          <w:p w14:paraId="3D7F604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供电系统</w:t>
            </w:r>
          </w:p>
        </w:tc>
        <w:tc>
          <w:tcPr>
            <w:tcW w:w="6041" w:type="dxa"/>
            <w:vAlign w:val="center"/>
          </w:tcPr>
          <w:p w14:paraId="7330657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本项目供电依托市政供电管网</w:t>
            </w:r>
          </w:p>
        </w:tc>
        <w:tc>
          <w:tcPr>
            <w:tcW w:w="637" w:type="dxa"/>
            <w:vAlign w:val="center"/>
          </w:tcPr>
          <w:p w14:paraId="540A0E3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已</w:t>
            </w:r>
            <w:r>
              <w:rPr>
                <w:color w:val="000000" w:themeColor="text1"/>
                <w:sz w:val="21"/>
                <w:szCs w:val="21"/>
                <w:highlight w:val="none"/>
                <w14:textFill>
                  <w14:solidFill>
                    <w14:schemeClr w14:val="tx1"/>
                  </w14:solidFill>
                </w14:textFill>
              </w:rPr>
              <w:t>建</w:t>
            </w:r>
          </w:p>
        </w:tc>
      </w:tr>
      <w:tr w14:paraId="0D47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55932FA3">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73DDA5E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供水系统</w:t>
            </w:r>
          </w:p>
        </w:tc>
        <w:tc>
          <w:tcPr>
            <w:tcW w:w="6041" w:type="dxa"/>
            <w:vAlign w:val="center"/>
          </w:tcPr>
          <w:p w14:paraId="22173BF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本项目供水依托</w:t>
            </w:r>
            <w:r>
              <w:rPr>
                <w:rFonts w:hint="eastAsia"/>
                <w:color w:val="000000" w:themeColor="text1"/>
                <w:sz w:val="21"/>
                <w:szCs w:val="21"/>
                <w:highlight w:val="none"/>
                <w:lang w:val="en-US" w:eastAsia="zh-CN"/>
                <w14:textFill>
                  <w14:solidFill>
                    <w14:schemeClr w14:val="tx1"/>
                  </w14:solidFill>
                </w14:textFill>
              </w:rPr>
              <w:t>取水井</w:t>
            </w:r>
            <w:r>
              <w:rPr>
                <w:rFonts w:hint="eastAsia"/>
                <w:color w:val="000000" w:themeColor="text1"/>
                <w:sz w:val="21"/>
                <w:szCs w:val="21"/>
                <w:highlight w:val="none"/>
                <w14:textFill>
                  <w14:solidFill>
                    <w14:schemeClr w14:val="tx1"/>
                  </w14:solidFill>
                </w14:textFill>
              </w:rPr>
              <w:t>供水</w:t>
            </w:r>
          </w:p>
        </w:tc>
        <w:tc>
          <w:tcPr>
            <w:tcW w:w="637" w:type="dxa"/>
            <w:vAlign w:val="center"/>
          </w:tcPr>
          <w:p w14:paraId="4BE94F0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已</w:t>
            </w:r>
            <w:r>
              <w:rPr>
                <w:color w:val="000000" w:themeColor="text1"/>
                <w:sz w:val="21"/>
                <w:szCs w:val="21"/>
                <w:highlight w:val="none"/>
                <w14:textFill>
                  <w14:solidFill>
                    <w14:schemeClr w14:val="tx1"/>
                  </w14:solidFill>
                </w14:textFill>
              </w:rPr>
              <w:t>建</w:t>
            </w:r>
          </w:p>
        </w:tc>
      </w:tr>
      <w:tr w14:paraId="10EC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051F8485">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5170C0F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供热和制冷系统</w:t>
            </w:r>
          </w:p>
        </w:tc>
        <w:tc>
          <w:tcPr>
            <w:tcW w:w="6041" w:type="dxa"/>
            <w:vAlign w:val="center"/>
          </w:tcPr>
          <w:p w14:paraId="13B483C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本项目供暖</w:t>
            </w:r>
            <w:r>
              <w:rPr>
                <w:rFonts w:hint="eastAsia"/>
                <w:color w:val="000000" w:themeColor="text1"/>
                <w:sz w:val="21"/>
                <w:szCs w:val="21"/>
                <w:highlight w:val="none"/>
                <w:lang w:val="en-US" w:eastAsia="zh-CN"/>
                <w14:textFill>
                  <w14:solidFill>
                    <w14:schemeClr w14:val="tx1"/>
                  </w14:solidFill>
                </w14:textFill>
              </w:rPr>
              <w:t>使用电采暖</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猪舍夏季采用</w:t>
            </w:r>
            <w:r>
              <w:rPr>
                <w:rFonts w:hint="eastAsia"/>
                <w:color w:val="000000" w:themeColor="text1"/>
                <w:sz w:val="21"/>
                <w:szCs w:val="21"/>
                <w:highlight w:val="none"/>
                <w14:textFill>
                  <w14:solidFill>
                    <w14:schemeClr w14:val="tx1"/>
                  </w14:solidFill>
                </w14:textFill>
              </w:rPr>
              <w:t>水帘</w:t>
            </w:r>
            <w:r>
              <w:rPr>
                <w:color w:val="000000" w:themeColor="text1"/>
                <w:sz w:val="21"/>
                <w:szCs w:val="21"/>
                <w:highlight w:val="none"/>
                <w14:textFill>
                  <w14:solidFill>
                    <w14:schemeClr w14:val="tx1"/>
                  </w14:solidFill>
                </w14:textFill>
              </w:rPr>
              <w:t>降温；</w:t>
            </w:r>
          </w:p>
        </w:tc>
        <w:tc>
          <w:tcPr>
            <w:tcW w:w="637" w:type="dxa"/>
            <w:vAlign w:val="center"/>
          </w:tcPr>
          <w:p w14:paraId="488CC28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已</w:t>
            </w:r>
            <w:r>
              <w:rPr>
                <w:color w:val="000000" w:themeColor="text1"/>
                <w:sz w:val="21"/>
                <w:szCs w:val="21"/>
                <w:highlight w:val="none"/>
                <w14:textFill>
                  <w14:solidFill>
                    <w14:schemeClr w14:val="tx1"/>
                  </w14:solidFill>
                </w14:textFill>
              </w:rPr>
              <w:t>建</w:t>
            </w:r>
          </w:p>
        </w:tc>
      </w:tr>
      <w:tr w14:paraId="4030F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restart"/>
            <w:vAlign w:val="center"/>
          </w:tcPr>
          <w:p w14:paraId="3237BC2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环保工程</w:t>
            </w:r>
          </w:p>
        </w:tc>
        <w:tc>
          <w:tcPr>
            <w:tcW w:w="1083" w:type="dxa"/>
            <w:vAlign w:val="center"/>
          </w:tcPr>
          <w:p w14:paraId="55439F4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废气治理</w:t>
            </w:r>
          </w:p>
        </w:tc>
        <w:tc>
          <w:tcPr>
            <w:tcW w:w="6041" w:type="dxa"/>
            <w:vAlign w:val="center"/>
          </w:tcPr>
          <w:p w14:paraId="1122BD4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猪舍</w:t>
            </w:r>
            <w:r>
              <w:rPr>
                <w:rFonts w:hint="eastAsia"/>
                <w:color w:val="000000" w:themeColor="text1"/>
                <w:sz w:val="21"/>
                <w:szCs w:val="21"/>
                <w:highlight w:val="none"/>
                <w:lang w:eastAsia="zh-CN"/>
                <w14:textFill>
                  <w14:solidFill>
                    <w14:schemeClr w14:val="tx1"/>
                  </w14:solidFill>
                </w14:textFill>
              </w:rPr>
              <w:t>采用半漏缝地板</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日粮中投放EM菌剂等有益微生物复合剂、</w:t>
            </w:r>
            <w:r>
              <w:rPr>
                <w:color w:val="000000" w:themeColor="text1"/>
                <w:sz w:val="21"/>
                <w:szCs w:val="21"/>
                <w:highlight w:val="none"/>
                <w14:textFill>
                  <w14:solidFill>
                    <w14:schemeClr w14:val="tx1"/>
                  </w14:solidFill>
                </w14:textFill>
              </w:rPr>
              <w:t>猪舍等区域</w:t>
            </w:r>
            <w:r>
              <w:rPr>
                <w:rFonts w:hint="eastAsia"/>
                <w:color w:val="000000" w:themeColor="text1"/>
                <w:sz w:val="21"/>
                <w:szCs w:val="21"/>
                <w:highlight w:val="none"/>
                <w14:textFill>
                  <w14:solidFill>
                    <w14:schemeClr w14:val="tx1"/>
                  </w14:solidFill>
                </w14:textFill>
              </w:rPr>
              <w:t>采用风扇通风</w:t>
            </w:r>
            <w:r>
              <w:rPr>
                <w:color w:val="000000" w:themeColor="text1"/>
                <w:sz w:val="21"/>
                <w:szCs w:val="21"/>
                <w:highlight w:val="none"/>
                <w14:textFill>
                  <w14:solidFill>
                    <w14:schemeClr w14:val="tx1"/>
                  </w14:solidFill>
                </w14:textFill>
              </w:rPr>
              <w:t>喷洒植物型除臭剂，以减轻恶臭气体对场区周边环境的影响；</w:t>
            </w:r>
            <w:r>
              <w:rPr>
                <w:rFonts w:hint="eastAsia"/>
                <w:color w:val="000000" w:themeColor="text1"/>
                <w:sz w:val="21"/>
                <w:szCs w:val="21"/>
                <w:highlight w:val="none"/>
                <w14:textFill>
                  <w14:solidFill>
                    <w14:schemeClr w14:val="tx1"/>
                  </w14:solidFill>
                </w14:textFill>
              </w:rPr>
              <w:t>堆粪场采用喷洒生物除臭剂</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饲料加工车间机器全封闭，洒水降尘</w:t>
            </w:r>
          </w:p>
        </w:tc>
        <w:tc>
          <w:tcPr>
            <w:tcW w:w="637" w:type="dxa"/>
            <w:vAlign w:val="center"/>
          </w:tcPr>
          <w:p w14:paraId="341A7A22">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17C3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7E21EED9">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75AD720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噪声治理</w:t>
            </w:r>
          </w:p>
        </w:tc>
        <w:tc>
          <w:tcPr>
            <w:tcW w:w="6041" w:type="dxa"/>
            <w:vAlign w:val="center"/>
          </w:tcPr>
          <w:p w14:paraId="1E42D77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选用低噪声设备、隔声、保证猪不处于饥饿状态等</w:t>
            </w:r>
          </w:p>
        </w:tc>
        <w:tc>
          <w:tcPr>
            <w:tcW w:w="637" w:type="dxa"/>
            <w:vAlign w:val="center"/>
          </w:tcPr>
          <w:p w14:paraId="5D5CD6D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49EE4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36CF42C4">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31E262F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污水处理</w:t>
            </w:r>
          </w:p>
        </w:tc>
        <w:tc>
          <w:tcPr>
            <w:tcW w:w="6041" w:type="dxa"/>
            <w:vAlign w:val="center"/>
          </w:tcPr>
          <w:p w14:paraId="6620969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猪尿、猪舍冲洗废水、生活污水，均输送至</w:t>
            </w:r>
            <w:r>
              <w:rPr>
                <w:rFonts w:hint="eastAsia"/>
                <w:color w:val="000000" w:themeColor="text1"/>
                <w:sz w:val="21"/>
                <w:szCs w:val="21"/>
                <w:highlight w:val="none"/>
                <w14:textFill>
                  <w14:solidFill>
                    <w14:schemeClr w14:val="tx1"/>
                  </w14:solidFill>
                </w14:textFill>
              </w:rPr>
              <w:t>黑膜</w:t>
            </w:r>
            <w:r>
              <w:rPr>
                <w:color w:val="000000" w:themeColor="text1"/>
                <w:sz w:val="21"/>
                <w:szCs w:val="21"/>
                <w:highlight w:val="none"/>
                <w14:textFill>
                  <w14:solidFill>
                    <w14:schemeClr w14:val="tx1"/>
                  </w14:solidFill>
                </w14:textFill>
              </w:rPr>
              <w:t>池处理，产生的沼液作为肥料还田，不外排。</w:t>
            </w:r>
          </w:p>
        </w:tc>
        <w:tc>
          <w:tcPr>
            <w:tcW w:w="637" w:type="dxa"/>
            <w:vAlign w:val="center"/>
          </w:tcPr>
          <w:p w14:paraId="5E8F680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797A7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2E31AE35">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0EDEF8C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固废暂存</w:t>
            </w:r>
          </w:p>
        </w:tc>
        <w:tc>
          <w:tcPr>
            <w:tcW w:w="6041" w:type="dxa"/>
            <w:vAlign w:val="center"/>
          </w:tcPr>
          <w:p w14:paraId="1E5B6EA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本项目产生的固体废物包括猪粪、沼渣、</w:t>
            </w:r>
            <w:r>
              <w:rPr>
                <w:rFonts w:hint="eastAsia"/>
                <w:color w:val="000000" w:themeColor="text1"/>
                <w:sz w:val="21"/>
                <w:szCs w:val="21"/>
                <w:highlight w:val="none"/>
                <w:lang w:eastAsia="zh-CN"/>
                <w14:textFill>
                  <w14:solidFill>
                    <w14:schemeClr w14:val="tx1"/>
                  </w14:solidFill>
                </w14:textFill>
              </w:rPr>
              <w:t>病死猪、胎衣</w:t>
            </w:r>
            <w:r>
              <w:rPr>
                <w:color w:val="000000" w:themeColor="text1"/>
                <w:sz w:val="21"/>
                <w:szCs w:val="21"/>
                <w:highlight w:val="none"/>
                <w14:textFill>
                  <w14:solidFill>
                    <w14:schemeClr w14:val="tx1"/>
                  </w14:solidFill>
                </w14:textFill>
              </w:rPr>
              <w:t>、医疗废物、生活垃圾</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各固体废物处置方式如下：</w:t>
            </w:r>
          </w:p>
          <w:p w14:paraId="0E98F74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（1）猪粪在</w:t>
            </w:r>
            <w:r>
              <w:rPr>
                <w:rFonts w:hint="eastAsia"/>
                <w:color w:val="000000" w:themeColor="text1"/>
                <w:sz w:val="21"/>
                <w:szCs w:val="21"/>
                <w:highlight w:val="none"/>
                <w:lang w:eastAsia="zh-CN"/>
                <w14:textFill>
                  <w14:solidFill>
                    <w14:schemeClr w14:val="tx1"/>
                  </w14:solidFill>
                </w14:textFill>
              </w:rPr>
              <w:t>集粪池</w:t>
            </w:r>
            <w:r>
              <w:rPr>
                <w:color w:val="000000" w:themeColor="text1"/>
                <w:sz w:val="21"/>
                <w:szCs w:val="21"/>
                <w:highlight w:val="none"/>
                <w14:textFill>
                  <w14:solidFill>
                    <w14:schemeClr w14:val="tx1"/>
                  </w14:solidFill>
                </w14:textFill>
              </w:rPr>
              <w:t>暂存后密闭输送至</w:t>
            </w: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进行固液分离，固粪在</w:t>
            </w: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堆肥处理后外售，液体进入</w:t>
            </w: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处理；（2）沼渣在</w:t>
            </w: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堆肥处理后外售；（3）</w:t>
            </w:r>
            <w:r>
              <w:rPr>
                <w:rFonts w:hint="eastAsia"/>
                <w:color w:val="000000" w:themeColor="text1"/>
                <w:sz w:val="21"/>
                <w:szCs w:val="21"/>
                <w:highlight w:val="none"/>
                <w:lang w:eastAsia="zh-CN"/>
                <w14:textFill>
                  <w14:solidFill>
                    <w14:schemeClr w14:val="tx1"/>
                  </w14:solidFill>
                </w14:textFill>
              </w:rPr>
              <w:t>病死猪、胎衣</w:t>
            </w:r>
            <w:r>
              <w:rPr>
                <w:color w:val="000000" w:themeColor="text1"/>
                <w:sz w:val="21"/>
                <w:szCs w:val="21"/>
                <w:highlight w:val="none"/>
                <w14:textFill>
                  <w14:solidFill>
                    <w14:schemeClr w14:val="tx1"/>
                  </w14:solidFill>
                </w14:textFill>
              </w:rPr>
              <w:t>委托有资质单位处置；（4）医疗废物委托有资质的单位处置；（5）生活垃圾委托当地环卫部门清运</w:t>
            </w:r>
            <w:r>
              <w:rPr>
                <w:rFonts w:hint="eastAsia"/>
                <w:color w:val="000000" w:themeColor="text1"/>
                <w:sz w:val="21"/>
                <w:szCs w:val="21"/>
                <w:highlight w:val="none"/>
                <w14:textFill>
                  <w14:solidFill>
                    <w14:schemeClr w14:val="tx1"/>
                  </w14:solidFill>
                </w14:textFill>
              </w:rPr>
              <w:t>；</w:t>
            </w:r>
          </w:p>
        </w:tc>
        <w:tc>
          <w:tcPr>
            <w:tcW w:w="637" w:type="dxa"/>
            <w:vAlign w:val="center"/>
          </w:tcPr>
          <w:p w14:paraId="68A6DFB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374BC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01" w:type="dxa"/>
            <w:vMerge w:val="continue"/>
            <w:vAlign w:val="center"/>
          </w:tcPr>
          <w:p w14:paraId="235CE6B6">
            <w:pPr>
              <w:spacing w:line="240" w:lineRule="auto"/>
              <w:jc w:val="center"/>
              <w:rPr>
                <w:color w:val="000000" w:themeColor="text1"/>
                <w:sz w:val="21"/>
                <w:szCs w:val="21"/>
                <w:highlight w:val="none"/>
                <w14:textFill>
                  <w14:solidFill>
                    <w14:schemeClr w14:val="tx1"/>
                  </w14:solidFill>
                </w14:textFill>
              </w:rPr>
            </w:pPr>
          </w:p>
        </w:tc>
        <w:tc>
          <w:tcPr>
            <w:tcW w:w="1083" w:type="dxa"/>
            <w:vAlign w:val="center"/>
          </w:tcPr>
          <w:p w14:paraId="6EFFF6B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环境风险</w:t>
            </w:r>
          </w:p>
        </w:tc>
        <w:tc>
          <w:tcPr>
            <w:tcW w:w="6041" w:type="dxa"/>
            <w:vAlign w:val="center"/>
          </w:tcPr>
          <w:p w14:paraId="2E5237D5">
            <w:pPr>
              <w:spacing w:line="240" w:lineRule="auto"/>
              <w:ind w:firstLine="0" w:firstLineChars="0"/>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）对</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黑膜池</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堆粪场、干湿分离车间</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危废暂存间</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、发电机房按照重点防渗区采取措施：等效黏土防渗层 Mb≥6.0m，K≤1.0×10</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7</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cm/s</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 xml:space="preserve">；s；或参照 GB 18598 执行。 </w:t>
            </w:r>
          </w:p>
          <w:p w14:paraId="37EFD44B">
            <w:pPr>
              <w:spacing w:line="240" w:lineRule="auto"/>
              <w:ind w:firstLine="0" w:firstLineChars="0"/>
              <w:rPr>
                <w:rFonts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）对猪舍周围地面按一般防渗区采取防渗措施</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等效黏土防渗层 Mb≥1.5m，K≤1.0</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val="0"/>
                <w:bCs w:val="0"/>
                <w:color w:val="000000" w:themeColor="text1"/>
                <w:sz w:val="21"/>
                <w:szCs w:val="21"/>
                <w:highlight w:val="none"/>
                <w:vertAlign w:val="superscript"/>
                <w:lang w:val="en-US" w:eastAsia="zh-CN"/>
                <w14:textFill>
                  <w14:solidFill>
                    <w14:schemeClr w14:val="tx1"/>
                  </w14:solidFill>
                </w14:textFill>
              </w:rPr>
              <w:t xml:space="preserve"> -7</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cm/s</w:t>
            </w: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；或参照 GB 16889 执行），在</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做好基层防渗的基础上进行水泥硬化。</w:t>
            </w:r>
          </w:p>
          <w:p w14:paraId="34C289D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3</w:t>
            </w:r>
            <w:r>
              <w:rPr>
                <w:rFonts w:hint="eastAsia"/>
                <w:color w:val="000000" w:themeColor="text1"/>
                <w:sz w:val="21"/>
                <w:szCs w:val="21"/>
                <w:highlight w:val="none"/>
                <w14:textFill>
                  <w14:solidFill>
                    <w14:schemeClr w14:val="tx1"/>
                  </w14:solidFill>
                </w14:textFill>
              </w:rPr>
              <w:t>）厂区其他建筑物及道路采取简单防渗，对其地面采用混凝土进行一般地面硬化。</w:t>
            </w:r>
          </w:p>
          <w:p w14:paraId="4988BF6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r>
              <w:rPr>
                <w:rFonts w:hint="eastAsia"/>
                <w:color w:val="000000" w:themeColor="text1"/>
                <w:sz w:val="21"/>
                <w:szCs w:val="21"/>
                <w:highlight w:val="none"/>
                <w:lang w:eastAsia="zh-CN"/>
                <w14:textFill>
                  <w14:solidFill>
                    <w14:schemeClr w14:val="tx1"/>
                  </w14:solidFill>
                </w14:textFill>
              </w:rPr>
              <w:t>应</w:t>
            </w:r>
            <w:r>
              <w:rPr>
                <w:color w:val="000000" w:themeColor="text1"/>
                <w:sz w:val="21"/>
                <w:szCs w:val="21"/>
                <w:highlight w:val="none"/>
                <w14:textFill>
                  <w14:solidFill>
                    <w14:schemeClr w14:val="tx1"/>
                  </w14:solidFill>
                </w14:textFill>
              </w:rPr>
              <w:t>制定突发环境事件应急预案、应急演练、配备应急物资等；建设事故水收集系统</w:t>
            </w:r>
          </w:p>
        </w:tc>
        <w:tc>
          <w:tcPr>
            <w:tcW w:w="637" w:type="dxa"/>
            <w:vAlign w:val="center"/>
          </w:tcPr>
          <w:p w14:paraId="685172F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bl>
    <w:p w14:paraId="37BB6261">
      <w:pPr>
        <w:pStyle w:val="4"/>
        <w:rPr>
          <w:color w:val="000000" w:themeColor="text1"/>
          <w:highlight w:val="none"/>
          <w14:textFill>
            <w14:solidFill>
              <w14:schemeClr w14:val="tx1"/>
            </w14:solidFill>
          </w14:textFill>
        </w:rPr>
      </w:pPr>
      <w:bookmarkStart w:id="75" w:name="_Toc12902"/>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.2.3主要经济技术指标</w:t>
      </w:r>
      <w:bookmarkEnd w:id="75"/>
    </w:p>
    <w:p w14:paraId="36FB339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.2-</w:t>
      </w:r>
      <w:r>
        <w:rPr>
          <w:rFonts w:hint="eastAsia"/>
          <w:b/>
          <w:bCs/>
          <w:color w:val="000000" w:themeColor="text1"/>
          <w:sz w:val="21"/>
          <w:szCs w:val="21"/>
          <w:highlight w:val="none"/>
          <w:lang w:val="en-US" w:eastAsia="zh-CN"/>
          <w14:textFill>
            <w14:solidFill>
              <w14:schemeClr w14:val="tx1"/>
            </w14:solidFill>
          </w14:textFill>
        </w:rPr>
        <w:t>2</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本项目主要经济技术指标</w:t>
      </w:r>
    </w:p>
    <w:tbl>
      <w:tblPr>
        <w:tblStyle w:val="33"/>
        <w:tblW w:w="47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4"/>
        <w:gridCol w:w="2460"/>
        <w:gridCol w:w="1662"/>
        <w:gridCol w:w="3248"/>
      </w:tblGrid>
      <w:tr w14:paraId="1717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84" w:type="dxa"/>
            <w:vAlign w:val="center"/>
          </w:tcPr>
          <w:p w14:paraId="0EC3B7A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460" w:type="dxa"/>
            <w:vAlign w:val="center"/>
          </w:tcPr>
          <w:p w14:paraId="0AEC577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项目名称</w:t>
            </w:r>
          </w:p>
        </w:tc>
        <w:tc>
          <w:tcPr>
            <w:tcW w:w="1662" w:type="dxa"/>
            <w:vAlign w:val="center"/>
          </w:tcPr>
          <w:p w14:paraId="323F5B2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单位</w:t>
            </w:r>
          </w:p>
        </w:tc>
        <w:tc>
          <w:tcPr>
            <w:tcW w:w="3248" w:type="dxa"/>
            <w:vAlign w:val="center"/>
          </w:tcPr>
          <w:p w14:paraId="0373284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数量</w:t>
            </w:r>
          </w:p>
        </w:tc>
      </w:tr>
      <w:tr w14:paraId="4934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4" w:type="dxa"/>
            <w:gridSpan w:val="4"/>
            <w:vAlign w:val="center"/>
          </w:tcPr>
          <w:p w14:paraId="7B1141E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一、用地和建筑指标</w:t>
            </w:r>
          </w:p>
        </w:tc>
      </w:tr>
      <w:tr w14:paraId="2C90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14:paraId="640B326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460" w:type="dxa"/>
            <w:vAlign w:val="center"/>
          </w:tcPr>
          <w:p w14:paraId="53F4D6C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总用地面积</w:t>
            </w:r>
          </w:p>
        </w:tc>
        <w:tc>
          <w:tcPr>
            <w:tcW w:w="1662" w:type="dxa"/>
            <w:vAlign w:val="center"/>
          </w:tcPr>
          <w:p w14:paraId="725C833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w:t>
            </w:r>
            <w:r>
              <w:rPr>
                <w:color w:val="000000" w:themeColor="text1"/>
                <w:sz w:val="21"/>
                <w:szCs w:val="21"/>
                <w:highlight w:val="none"/>
                <w:vertAlign w:val="superscript"/>
                <w14:textFill>
                  <w14:solidFill>
                    <w14:schemeClr w14:val="tx1"/>
                  </w14:solidFill>
                </w14:textFill>
              </w:rPr>
              <w:t>2</w:t>
            </w:r>
          </w:p>
        </w:tc>
        <w:tc>
          <w:tcPr>
            <w:tcW w:w="3248" w:type="dxa"/>
            <w:vAlign w:val="center"/>
          </w:tcPr>
          <w:p w14:paraId="709721CE">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160391</w:t>
            </w:r>
          </w:p>
        </w:tc>
      </w:tr>
      <w:tr w14:paraId="4AAC0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4" w:type="dxa"/>
            <w:gridSpan w:val="4"/>
            <w:vAlign w:val="center"/>
          </w:tcPr>
          <w:p w14:paraId="0D227AA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二、工作制度</w:t>
            </w:r>
          </w:p>
        </w:tc>
      </w:tr>
      <w:tr w14:paraId="6D77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14:paraId="6687E8E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460" w:type="dxa"/>
            <w:vAlign w:val="center"/>
          </w:tcPr>
          <w:p w14:paraId="183536C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年生产天数</w:t>
            </w:r>
          </w:p>
        </w:tc>
        <w:tc>
          <w:tcPr>
            <w:tcW w:w="1662" w:type="dxa"/>
            <w:vAlign w:val="center"/>
          </w:tcPr>
          <w:p w14:paraId="7E76FD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w:t>
            </w:r>
          </w:p>
        </w:tc>
        <w:tc>
          <w:tcPr>
            <w:tcW w:w="3248" w:type="dxa"/>
            <w:vAlign w:val="center"/>
          </w:tcPr>
          <w:p w14:paraId="5DB40A8A">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r>
              <w:rPr>
                <w:rFonts w:hint="eastAsia"/>
                <w:color w:val="000000" w:themeColor="text1"/>
                <w:sz w:val="21"/>
                <w:szCs w:val="21"/>
                <w:highlight w:val="none"/>
                <w:lang w:val="en-US" w:eastAsia="zh-CN"/>
                <w14:textFill>
                  <w14:solidFill>
                    <w14:schemeClr w14:val="tx1"/>
                  </w14:solidFill>
                </w14:textFill>
              </w:rPr>
              <w:t>65</w:t>
            </w:r>
          </w:p>
        </w:tc>
      </w:tr>
      <w:tr w14:paraId="6CD88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14:paraId="613104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460" w:type="dxa"/>
            <w:vAlign w:val="center"/>
          </w:tcPr>
          <w:p w14:paraId="724BFF2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全天工作小时数</w:t>
            </w:r>
          </w:p>
        </w:tc>
        <w:tc>
          <w:tcPr>
            <w:tcW w:w="1662" w:type="dxa"/>
            <w:vAlign w:val="center"/>
          </w:tcPr>
          <w:p w14:paraId="08D3FA1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w:t>
            </w:r>
          </w:p>
        </w:tc>
        <w:tc>
          <w:tcPr>
            <w:tcW w:w="3248" w:type="dxa"/>
            <w:vAlign w:val="center"/>
          </w:tcPr>
          <w:p w14:paraId="3F83380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24</w:t>
            </w:r>
          </w:p>
        </w:tc>
      </w:tr>
      <w:tr w14:paraId="74B4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14:paraId="795A867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460" w:type="dxa"/>
            <w:vAlign w:val="center"/>
          </w:tcPr>
          <w:p w14:paraId="33A218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全年工作小时数</w:t>
            </w:r>
          </w:p>
        </w:tc>
        <w:tc>
          <w:tcPr>
            <w:tcW w:w="1662" w:type="dxa"/>
            <w:vAlign w:val="center"/>
          </w:tcPr>
          <w:p w14:paraId="71DB6A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w:t>
            </w:r>
          </w:p>
        </w:tc>
        <w:tc>
          <w:tcPr>
            <w:tcW w:w="3248" w:type="dxa"/>
            <w:vAlign w:val="center"/>
          </w:tcPr>
          <w:p w14:paraId="26C48372">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r>
      <w:tr w14:paraId="6B00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14:paraId="2DDCA97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460" w:type="dxa"/>
            <w:vAlign w:val="center"/>
          </w:tcPr>
          <w:p w14:paraId="51DD33E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劳动定员</w:t>
            </w:r>
          </w:p>
        </w:tc>
        <w:tc>
          <w:tcPr>
            <w:tcW w:w="1662" w:type="dxa"/>
            <w:vAlign w:val="center"/>
          </w:tcPr>
          <w:p w14:paraId="4811C61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人</w:t>
            </w:r>
          </w:p>
        </w:tc>
        <w:tc>
          <w:tcPr>
            <w:tcW w:w="3248" w:type="dxa"/>
            <w:vAlign w:val="center"/>
          </w:tcPr>
          <w:p w14:paraId="70A081D4">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r>
      <w:tr w14:paraId="6CFFC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4" w:type="dxa"/>
            <w:gridSpan w:val="4"/>
            <w:vAlign w:val="center"/>
          </w:tcPr>
          <w:p w14:paraId="07A5725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三、经济指标</w:t>
            </w:r>
          </w:p>
        </w:tc>
      </w:tr>
      <w:tr w14:paraId="355E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14:paraId="17BBB31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460" w:type="dxa"/>
            <w:vAlign w:val="center"/>
          </w:tcPr>
          <w:p w14:paraId="40A3DBA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总投资</w:t>
            </w:r>
          </w:p>
        </w:tc>
        <w:tc>
          <w:tcPr>
            <w:tcW w:w="1662" w:type="dxa"/>
            <w:vAlign w:val="center"/>
          </w:tcPr>
          <w:p w14:paraId="0CF324A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万元</w:t>
            </w:r>
          </w:p>
        </w:tc>
        <w:tc>
          <w:tcPr>
            <w:tcW w:w="3248" w:type="dxa"/>
            <w:vAlign w:val="center"/>
          </w:tcPr>
          <w:p w14:paraId="3B3460F5">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30000</w:t>
            </w:r>
          </w:p>
        </w:tc>
      </w:tr>
      <w:tr w14:paraId="7A7A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14:paraId="26A7416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460" w:type="dxa"/>
            <w:vAlign w:val="center"/>
          </w:tcPr>
          <w:p w14:paraId="22DFA87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环保投资</w:t>
            </w:r>
          </w:p>
        </w:tc>
        <w:tc>
          <w:tcPr>
            <w:tcW w:w="1662" w:type="dxa"/>
            <w:vAlign w:val="center"/>
          </w:tcPr>
          <w:p w14:paraId="1636FC3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万元</w:t>
            </w:r>
          </w:p>
        </w:tc>
        <w:tc>
          <w:tcPr>
            <w:tcW w:w="3248" w:type="dxa"/>
            <w:vAlign w:val="center"/>
          </w:tcPr>
          <w:p w14:paraId="2841FB22">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217.5</w:t>
            </w:r>
          </w:p>
        </w:tc>
      </w:tr>
      <w:tr w14:paraId="67C3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54" w:type="dxa"/>
            <w:gridSpan w:val="4"/>
            <w:vAlign w:val="center"/>
          </w:tcPr>
          <w:p w14:paraId="575E275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四、生产规模及产品方案</w:t>
            </w:r>
          </w:p>
        </w:tc>
      </w:tr>
      <w:tr w14:paraId="3FAF4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14:paraId="260E3C1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460" w:type="dxa"/>
            <w:vAlign w:val="center"/>
          </w:tcPr>
          <w:p w14:paraId="206E031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常年存栏量</w:t>
            </w:r>
          </w:p>
        </w:tc>
        <w:tc>
          <w:tcPr>
            <w:tcW w:w="1662" w:type="dxa"/>
            <w:vAlign w:val="center"/>
          </w:tcPr>
          <w:p w14:paraId="2DB1C0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头</w:t>
            </w:r>
          </w:p>
        </w:tc>
        <w:tc>
          <w:tcPr>
            <w:tcW w:w="3248" w:type="dxa"/>
            <w:vAlign w:val="center"/>
          </w:tcPr>
          <w:p w14:paraId="65F53C9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年存栏数量折算猪当量值17531头</w:t>
            </w:r>
          </w:p>
        </w:tc>
      </w:tr>
      <w:tr w14:paraId="7D1E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14:paraId="14D3385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460" w:type="dxa"/>
            <w:vAlign w:val="center"/>
          </w:tcPr>
          <w:p w14:paraId="52FE145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仔猪</w:t>
            </w:r>
            <w:r>
              <w:rPr>
                <w:color w:val="000000" w:themeColor="text1"/>
                <w:sz w:val="21"/>
                <w:szCs w:val="21"/>
                <w:highlight w:val="none"/>
                <w14:textFill>
                  <w14:solidFill>
                    <w14:schemeClr w14:val="tx1"/>
                  </w14:solidFill>
                </w14:textFill>
              </w:rPr>
              <w:t>出栏量</w:t>
            </w:r>
          </w:p>
        </w:tc>
        <w:tc>
          <w:tcPr>
            <w:tcW w:w="1662" w:type="dxa"/>
            <w:vAlign w:val="center"/>
          </w:tcPr>
          <w:p w14:paraId="272FA26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头/a</w:t>
            </w:r>
          </w:p>
        </w:tc>
        <w:tc>
          <w:tcPr>
            <w:tcW w:w="3248" w:type="dxa"/>
            <w:vAlign w:val="center"/>
          </w:tcPr>
          <w:p w14:paraId="2931B31D">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100000</w:t>
            </w:r>
          </w:p>
        </w:tc>
      </w:tr>
      <w:tr w14:paraId="7910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84" w:type="dxa"/>
            <w:vAlign w:val="center"/>
          </w:tcPr>
          <w:p w14:paraId="5DBBCF1A">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bookmarkStart w:id="76" w:name="_Toc2795"/>
            <w:r>
              <w:rPr>
                <w:rFonts w:hint="eastAsia"/>
                <w:color w:val="000000" w:themeColor="text1"/>
                <w:sz w:val="21"/>
                <w:szCs w:val="21"/>
                <w:highlight w:val="none"/>
                <w:lang w:val="en-US" w:eastAsia="zh-CN"/>
                <w14:textFill>
                  <w14:solidFill>
                    <w14:schemeClr w14:val="tx1"/>
                  </w14:solidFill>
                </w14:textFill>
              </w:rPr>
              <w:t>3</w:t>
            </w:r>
          </w:p>
        </w:tc>
        <w:tc>
          <w:tcPr>
            <w:tcW w:w="2460" w:type="dxa"/>
            <w:vAlign w:val="center"/>
          </w:tcPr>
          <w:p w14:paraId="6A3A90F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种猪</w:t>
            </w:r>
            <w:r>
              <w:rPr>
                <w:color w:val="000000" w:themeColor="text1"/>
                <w:sz w:val="21"/>
                <w:szCs w:val="21"/>
                <w:highlight w:val="none"/>
                <w14:textFill>
                  <w14:solidFill>
                    <w14:schemeClr w14:val="tx1"/>
                  </w14:solidFill>
                </w14:textFill>
              </w:rPr>
              <w:t>出栏量</w:t>
            </w:r>
          </w:p>
        </w:tc>
        <w:tc>
          <w:tcPr>
            <w:tcW w:w="1662" w:type="dxa"/>
            <w:vAlign w:val="center"/>
          </w:tcPr>
          <w:p w14:paraId="27D9683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头/a</w:t>
            </w:r>
          </w:p>
        </w:tc>
        <w:tc>
          <w:tcPr>
            <w:tcW w:w="3248" w:type="dxa"/>
            <w:vAlign w:val="center"/>
          </w:tcPr>
          <w:p w14:paraId="16DAD9D4">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20000</w:t>
            </w:r>
          </w:p>
        </w:tc>
      </w:tr>
    </w:tbl>
    <w:p w14:paraId="5A0371AC">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.2.4项目平面布置</w:t>
      </w:r>
      <w:bookmarkEnd w:id="76"/>
    </w:p>
    <w:p w14:paraId="3A86AFDB">
      <w:pPr>
        <w:spacing w:line="360" w:lineRule="auto"/>
        <w:ind w:firstLine="480" w:firstLineChars="200"/>
        <w:rPr>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根据建设单位提供的平面布局设计方案，本项目的平面布局情况如下：本项目</w:t>
      </w:r>
      <w:r>
        <w:rPr>
          <w:rFonts w:hint="eastAsia" w:cs="Times New Roman"/>
          <w:b w:val="0"/>
          <w:bCs w:val="0"/>
          <w:color w:val="000000" w:themeColor="text1"/>
          <w:sz w:val="24"/>
          <w:szCs w:val="24"/>
          <w:highlight w:val="none"/>
          <w:lang w:val="en-US" w:eastAsia="zh-CN"/>
          <w14:textFill>
            <w14:solidFill>
              <w14:schemeClr w14:val="tx1"/>
            </w14:solidFill>
          </w14:textFill>
        </w:rPr>
        <w:t>已</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建设</w:t>
      </w:r>
      <w:r>
        <w:rPr>
          <w:rFonts w:hint="eastAsia" w:cs="Times New Roman"/>
          <w:b w:val="0"/>
          <w:bCs w:val="0"/>
          <w:color w:val="000000" w:themeColor="text1"/>
          <w:sz w:val="24"/>
          <w:szCs w:val="24"/>
          <w:highlight w:val="none"/>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栋</w:t>
      </w:r>
      <w:r>
        <w:rPr>
          <w:rFonts w:hint="eastAsia" w:cs="Times New Roman"/>
          <w:b w:val="0"/>
          <w:bCs w:val="0"/>
          <w:color w:val="000000" w:themeColor="text1"/>
          <w:sz w:val="24"/>
          <w:szCs w:val="24"/>
          <w:highlight w:val="none"/>
          <w:lang w:val="en-US" w:eastAsia="zh-CN"/>
          <w14:textFill>
            <w14:solidFill>
              <w14:schemeClr w14:val="tx1"/>
            </w14:solidFill>
          </w14:textFill>
        </w:rPr>
        <w:t>圈</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舍</w:t>
      </w:r>
      <w:r>
        <w:rPr>
          <w:rFonts w:hint="eastAsia" w:cs="Times New Roman"/>
          <w:b w:val="0"/>
          <w:bCs w:val="0"/>
          <w:color w:val="000000" w:themeColor="text1"/>
          <w:sz w:val="24"/>
          <w:szCs w:val="24"/>
          <w:highlight w:val="none"/>
          <w:lang w:eastAsia="zh-CN"/>
          <w14:textFill>
            <w14:solidFill>
              <w14:schemeClr w14:val="tx1"/>
            </w14:solidFill>
          </w14:textFill>
        </w:rPr>
        <w:t>，</w:t>
      </w:r>
      <w:r>
        <w:rPr>
          <w:rFonts w:hint="eastAsia" w:cs="Times New Roman"/>
          <w:b w:val="0"/>
          <w:bCs w:val="0"/>
          <w:color w:val="000000" w:themeColor="text1"/>
          <w:sz w:val="24"/>
          <w:szCs w:val="24"/>
          <w:highlight w:val="none"/>
          <w:lang w:val="en-US" w:eastAsia="zh-CN"/>
          <w14:textFill>
            <w14:solidFill>
              <w14:schemeClr w14:val="tx1"/>
            </w14:solidFill>
          </w14:textFill>
        </w:rPr>
        <w:t>新建6栋圈</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舍</w:t>
      </w:r>
      <w:r>
        <w:rPr>
          <w:rFonts w:hint="eastAsia" w:cs="Times New Roman"/>
          <w:b w:val="0"/>
          <w:bCs w:val="0"/>
          <w:color w:val="000000" w:themeColor="text1"/>
          <w:sz w:val="24"/>
          <w:szCs w:val="24"/>
          <w:highlight w:val="none"/>
          <w:lang w:val="en-US" w:eastAsia="zh-CN"/>
          <w14:textFill>
            <w14:solidFill>
              <w14:schemeClr w14:val="tx1"/>
            </w14:solidFill>
          </w14:textFill>
        </w:rPr>
        <w:t>，30栋圈舍</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位于场中部，2座黑膜池位于厂区最北侧，干湿分离车间位于黑膜池南侧</w:t>
      </w:r>
      <w:r>
        <w:rPr>
          <w:rFonts w:hint="eastAsia" w:cs="Times New Roman"/>
          <w:b w:val="0"/>
          <w:bCs w:val="0"/>
          <w:color w:val="000000" w:themeColor="text1"/>
          <w:sz w:val="24"/>
          <w:szCs w:val="24"/>
          <w:highlight w:val="none"/>
          <w:lang w:val="en-US" w:eastAsia="zh-CN"/>
          <w14:textFill>
            <w14:solidFill>
              <w14:schemeClr w14:val="tx1"/>
            </w14:solidFill>
          </w14:textFill>
        </w:rPr>
        <w:t>圈</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舍的北侧，堆粪场位于干湿分离车间东侧，生活管理区于厂区最南侧（常年主导风向侧风向）。</w:t>
      </w:r>
    </w:p>
    <w:p w14:paraId="55C9C0B2">
      <w:pPr>
        <w:spacing w:line="360" w:lineRule="auto"/>
        <w:ind w:firstLine="480" w:firstLineChars="20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本区域常年主导风向为</w:t>
      </w:r>
      <w:r>
        <w:rPr>
          <w:rFonts w:hint="eastAsia" w:cs="Times New Roman"/>
          <w:b w:val="0"/>
          <w:bCs w:val="0"/>
          <w:color w:val="000000" w:themeColor="text1"/>
          <w:sz w:val="24"/>
          <w:szCs w:val="24"/>
          <w:highlight w:val="none"/>
          <w:lang w:val="en-US" w:eastAsia="zh-CN"/>
          <w14:textFill>
            <w14:solidFill>
              <w14:schemeClr w14:val="tx1"/>
            </w14:solidFill>
          </w14:textFill>
        </w:rPr>
        <w:t>西</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风，距离本项目最近的敏感点为</w:t>
      </w:r>
      <w:r>
        <w:rPr>
          <w:rFonts w:hint="eastAsia" w:cs="Times New Roman"/>
          <w:b w:val="0"/>
          <w:bCs w:val="0"/>
          <w:color w:val="000000" w:themeColor="text1"/>
          <w:sz w:val="24"/>
          <w:szCs w:val="24"/>
          <w:highlight w:val="none"/>
          <w:lang w:val="en-US" w:eastAsia="zh-CN"/>
          <w14:textFill>
            <w14:solidFill>
              <w14:schemeClr w14:val="tx1"/>
            </w14:solidFill>
          </w14:textFill>
        </w:rPr>
        <w:t>西南</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侧</w:t>
      </w:r>
      <w:r>
        <w:rPr>
          <w:rFonts w:hint="eastAsia" w:cs="Times New Roman"/>
          <w:b w:val="0"/>
          <w:bCs w:val="0"/>
          <w:color w:val="000000" w:themeColor="text1"/>
          <w:sz w:val="24"/>
          <w:szCs w:val="24"/>
          <w:highlight w:val="none"/>
          <w:lang w:val="en-US" w:eastAsia="zh-CN"/>
          <w14:textFill>
            <w14:solidFill>
              <w14:schemeClr w14:val="tx1"/>
            </w14:solidFill>
          </w14:textFill>
        </w:rPr>
        <w:t>0.8</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km处的</w:t>
      </w:r>
      <w:r>
        <w:rPr>
          <w:rFonts w:hint="eastAsia" w:cs="Times New Roman"/>
          <w:b w:val="0"/>
          <w:bCs w:val="0"/>
          <w:color w:val="000000" w:themeColor="text1"/>
          <w:sz w:val="24"/>
          <w:szCs w:val="24"/>
          <w:highlight w:val="none"/>
          <w:lang w:val="en-US" w:eastAsia="zh-CN"/>
          <w14:textFill>
            <w14:solidFill>
              <w14:schemeClr w14:val="tx1"/>
            </w14:solidFill>
          </w14:textFill>
        </w:rPr>
        <w:t>125团16连</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，位于场区</w:t>
      </w:r>
      <w:r>
        <w:rPr>
          <w:rFonts w:hint="eastAsia" w:cs="Times New Roman"/>
          <w:b w:val="0"/>
          <w:bCs w:val="0"/>
          <w:color w:val="000000" w:themeColor="text1"/>
          <w:sz w:val="24"/>
          <w:szCs w:val="24"/>
          <w:highlight w:val="none"/>
          <w:lang w:val="en-US" w:eastAsia="zh-CN"/>
          <w14:textFill>
            <w14:solidFill>
              <w14:schemeClr w14:val="tx1"/>
            </w14:solidFill>
          </w14:textFill>
        </w:rPr>
        <w:t>侧</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风向，</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受项目影响较小</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所以项目场区布置较合理</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符合《畜禽养殖业污染防治技术规范》（HJ/T81-2001）以及《畜禽养殖业污染治理工程技术规范》（HJ497-2009）的要求。</w:t>
      </w:r>
    </w:p>
    <w:p w14:paraId="78CE9BC6">
      <w:pPr>
        <w:spacing w:line="360" w:lineRule="auto"/>
        <w:ind w:firstLine="480" w:firstLineChars="200"/>
        <w:rPr>
          <w:rFonts w:hint="default" w:ascii="Times New Roman" w:hAnsi="Times New Roman" w:cs="Times New Roman" w:eastAsiaTheme="minorEastAsia"/>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综上所述，本项目总平面布局设计上体现了功能分区、方便生产、安全管理的原则，符合《畜禽养殖业污染防治技术规范》（HJ/T81-2001）的要求，平面布置基本合理。本项目平面布置图见</w:t>
      </w:r>
      <w:r>
        <w:rPr>
          <w:rFonts w:hint="eastAsia" w:cs="Times New Roman"/>
          <w:b w:val="0"/>
          <w:bCs w:val="0"/>
          <w:color w:val="000000" w:themeColor="text1"/>
          <w:sz w:val="24"/>
          <w:szCs w:val="24"/>
          <w:highlight w:val="none"/>
          <w:lang w:val="en-US" w:eastAsia="zh-CN"/>
          <w14:textFill>
            <w14:solidFill>
              <w14:schemeClr w14:val="tx1"/>
            </w14:solidFill>
          </w14:textFill>
        </w:rPr>
        <w:t>附图</w:t>
      </w:r>
      <w:r>
        <w:rPr>
          <w:rFonts w:hint="default" w:ascii="Times New Roman" w:hAnsi="Times New Roman" w:cs="Times New Roman"/>
          <w:b w:val="0"/>
          <w:bCs w:val="0"/>
          <w:color w:val="000000" w:themeColor="text1"/>
          <w:sz w:val="24"/>
          <w:szCs w:val="24"/>
          <w:highlight w:val="none"/>
          <w:lang w:val="en-US" w:eastAsia="zh-CN"/>
          <w14:textFill>
            <w14:solidFill>
              <w14:schemeClr w14:val="tx1"/>
            </w14:solidFill>
          </w14:textFill>
        </w:rPr>
        <w:t>3.2-2</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p>
    <w:p w14:paraId="7E186675">
      <w:pPr>
        <w:pStyle w:val="3"/>
        <w:rPr>
          <w:color w:val="000000" w:themeColor="text1"/>
          <w:highlight w:val="none"/>
          <w14:textFill>
            <w14:solidFill>
              <w14:schemeClr w14:val="tx1"/>
            </w14:solidFill>
          </w14:textFill>
        </w:rPr>
      </w:pPr>
      <w:bookmarkStart w:id="77" w:name="_Toc24756"/>
      <w:bookmarkStart w:id="78" w:name="_Toc27334"/>
      <w:bookmarkStart w:id="79" w:name="_Toc23983"/>
      <w:bookmarkStart w:id="80" w:name="_Toc22109"/>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.3劳动定员和劳动制度</w:t>
      </w:r>
      <w:bookmarkEnd w:id="77"/>
      <w:bookmarkEnd w:id="78"/>
      <w:bookmarkEnd w:id="79"/>
      <w:bookmarkEnd w:id="80"/>
    </w:p>
    <w:p w14:paraId="31FDCF0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本项目劳动定员</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人，实行</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班工作制，每班8小时，年工作</w:t>
      </w:r>
      <w:r>
        <w:rPr>
          <w:rFonts w:hint="eastAsia"/>
          <w:color w:val="000000" w:themeColor="text1"/>
          <w:highlight w:val="none"/>
          <w:lang w:val="en-US" w:eastAsia="zh-CN"/>
          <w14:textFill>
            <w14:solidFill>
              <w14:schemeClr w14:val="tx1"/>
            </w14:solidFill>
          </w14:textFill>
        </w:rPr>
        <w:t>365</w:t>
      </w:r>
      <w:r>
        <w:rPr>
          <w:color w:val="000000" w:themeColor="text1"/>
          <w:highlight w:val="none"/>
          <w14:textFill>
            <w14:solidFill>
              <w14:schemeClr w14:val="tx1"/>
            </w14:solidFill>
          </w14:textFill>
        </w:rPr>
        <w:t>天。</w:t>
      </w:r>
    </w:p>
    <w:p w14:paraId="2AA419FD">
      <w:pPr>
        <w:pStyle w:val="3"/>
        <w:rPr>
          <w:color w:val="000000" w:themeColor="text1"/>
          <w:highlight w:val="none"/>
          <w:lang w:eastAsia="zh-CN"/>
          <w14:textFill>
            <w14:solidFill>
              <w14:schemeClr w14:val="tx1"/>
            </w14:solidFill>
          </w14:textFill>
        </w:rPr>
      </w:pPr>
      <w:bookmarkStart w:id="81" w:name="_Toc21530"/>
      <w:bookmarkStart w:id="82" w:name="_Toc19218"/>
      <w:bookmarkStart w:id="83" w:name="_Toc28130"/>
      <w:bookmarkStart w:id="84" w:name="_Toc25663"/>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.4</w:t>
      </w:r>
      <w:bookmarkEnd w:id="81"/>
      <w:bookmarkEnd w:id="82"/>
      <w:r>
        <w:rPr>
          <w:rFonts w:hint="eastAsia"/>
          <w:color w:val="000000" w:themeColor="text1"/>
          <w:highlight w:val="none"/>
          <w:lang w:eastAsia="zh-CN"/>
          <w14:textFill>
            <w14:solidFill>
              <w14:schemeClr w14:val="tx1"/>
            </w14:solidFill>
          </w14:textFill>
        </w:rPr>
        <w:t>主要原辅材料</w:t>
      </w:r>
      <w:bookmarkEnd w:id="83"/>
      <w:bookmarkEnd w:id="84"/>
    </w:p>
    <w:p w14:paraId="0B1AD7FF">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本项目养殖场猪饲料采用玉米、豆粕、</w:t>
      </w:r>
      <w:r>
        <w:rPr>
          <w:rFonts w:hint="eastAsia"/>
          <w:color w:val="000000" w:themeColor="text1"/>
          <w:highlight w:val="none"/>
          <w:lang w:eastAsia="zh-CN"/>
          <w14:textFill>
            <w14:solidFill>
              <w14:schemeClr w14:val="tx1"/>
            </w14:solidFill>
          </w14:textFill>
        </w:rPr>
        <w:t>麸皮</w:t>
      </w:r>
      <w:r>
        <w:rPr>
          <w:rFonts w:hint="eastAsia"/>
          <w:color w:val="000000" w:themeColor="text1"/>
          <w:highlight w:val="none"/>
          <w:lang w:val="en-US" w:eastAsia="zh-CN"/>
          <w14:textFill>
            <w14:solidFill>
              <w14:schemeClr w14:val="tx1"/>
            </w14:solidFill>
          </w14:textFill>
        </w:rPr>
        <w:t>和预混料粉碎混合加工</w:t>
      </w:r>
      <w:r>
        <w:rPr>
          <w:rFonts w:hint="eastAsia"/>
          <w:color w:val="000000" w:themeColor="text1"/>
          <w:highlight w:val="none"/>
          <w14:textFill>
            <w14:solidFill>
              <w14:schemeClr w14:val="tx1"/>
            </w14:solidFill>
          </w14:textFill>
        </w:rPr>
        <w:t>。</w:t>
      </w:r>
    </w:p>
    <w:p w14:paraId="7C5F1E3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根据建设单位提供的资料，本项目年需饲</w:t>
      </w:r>
      <w:r>
        <w:rPr>
          <w:rFonts w:hint="eastAsia" w:ascii="Times New Roman" w:hAnsi="Times New Roman" w:eastAsia="宋体" w:cs="宋体"/>
          <w:color w:val="000000" w:themeColor="text1"/>
          <w:highlight w:val="none"/>
          <w14:textFill>
            <w14:solidFill>
              <w14:schemeClr w14:val="tx1"/>
            </w14:solidFill>
          </w14:textFill>
        </w:rPr>
        <w:t>料约为</w:t>
      </w:r>
      <w:r>
        <w:rPr>
          <w:rFonts w:hint="eastAsia" w:ascii="Times New Roman" w:hAnsi="Times New Roman" w:eastAsia="宋体" w:cs="宋体"/>
          <w:color w:val="000000" w:themeColor="text1"/>
          <w:highlight w:val="none"/>
          <w:lang w:val="en-US" w:eastAsia="zh-CN"/>
          <w14:textFill>
            <w14:solidFill>
              <w14:schemeClr w14:val="tx1"/>
            </w14:solidFill>
          </w14:textFill>
        </w:rPr>
        <w:t>15310.84</w:t>
      </w:r>
      <w:r>
        <w:rPr>
          <w:rFonts w:ascii="Times New Roman" w:hAnsi="Times New Roman" w:eastAsia="宋体" w:cs="宋体"/>
          <w:color w:val="000000" w:themeColor="text1"/>
          <w:highlight w:val="none"/>
          <w14:textFill>
            <w14:solidFill>
              <w14:schemeClr w14:val="tx1"/>
            </w14:solidFill>
          </w14:textFill>
        </w:rPr>
        <w:t>t</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本项目生产天数为3</w:t>
      </w:r>
      <w:r>
        <w:rPr>
          <w:rFonts w:hint="eastAsia"/>
          <w:color w:val="000000" w:themeColor="text1"/>
          <w:highlight w:val="none"/>
          <w:lang w:val="en-US" w:eastAsia="zh-CN"/>
          <w14:textFill>
            <w14:solidFill>
              <w14:schemeClr w14:val="tx1"/>
            </w14:solidFill>
          </w14:textFill>
        </w:rPr>
        <w:t>65</w:t>
      </w:r>
      <w:r>
        <w:rPr>
          <w:color w:val="000000" w:themeColor="text1"/>
          <w:highlight w:val="none"/>
          <w14:textFill>
            <w14:solidFill>
              <w14:schemeClr w14:val="tx1"/>
            </w14:solidFill>
          </w14:textFill>
        </w:rPr>
        <w:t>天。本项目饲料用量清单见表</w:t>
      </w:r>
      <w:r>
        <w:rPr>
          <w:rFonts w:hint="eastAsia"/>
          <w:color w:val="000000" w:themeColor="text1"/>
          <w:highlight w:val="none"/>
          <w14:textFill>
            <w14:solidFill>
              <w14:schemeClr w14:val="tx1"/>
            </w14:solidFill>
          </w14:textFill>
        </w:rPr>
        <w:t>3.4</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1，其他辅助材料见表3.4-2</w:t>
      </w:r>
      <w:r>
        <w:rPr>
          <w:color w:val="000000" w:themeColor="text1"/>
          <w:highlight w:val="none"/>
          <w14:textFill>
            <w14:solidFill>
              <w14:schemeClr w14:val="tx1"/>
            </w14:solidFill>
          </w14:textFill>
        </w:rPr>
        <w:t>。</w:t>
      </w:r>
    </w:p>
    <w:p w14:paraId="3A7705E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 xml:space="preserve">3.4-1  </w:t>
      </w:r>
      <w:r>
        <w:rPr>
          <w:b/>
          <w:bCs/>
          <w:color w:val="000000" w:themeColor="text1"/>
          <w:sz w:val="21"/>
          <w:szCs w:val="21"/>
          <w:highlight w:val="none"/>
          <w14:textFill>
            <w14:solidFill>
              <w14:schemeClr w14:val="tx1"/>
            </w14:solidFill>
          </w14:textFill>
        </w:rPr>
        <w:t>本项目主要饲料消耗量</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10145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78488F6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猪群类别</w:t>
            </w:r>
          </w:p>
        </w:tc>
        <w:tc>
          <w:tcPr>
            <w:tcW w:w="1704" w:type="dxa"/>
            <w:vAlign w:val="center"/>
          </w:tcPr>
          <w:p w14:paraId="191634C8">
            <w:pPr>
              <w:keepNext w:val="0"/>
              <w:keepLines w:val="0"/>
              <w:widowControl/>
              <w:suppressLineNumbers w:val="0"/>
              <w:jc w:val="cente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常年</w:t>
            </w:r>
            <w:r>
              <w:rPr>
                <w:rFonts w:hint="eastAsia"/>
                <w:b/>
                <w:bCs/>
                <w:color w:val="000000" w:themeColor="text1"/>
                <w:sz w:val="21"/>
                <w:szCs w:val="21"/>
                <w:highlight w:val="none"/>
                <w:vertAlign w:val="baseline"/>
                <w:lang w:val="en-US" w:eastAsia="zh-CN"/>
                <w14:textFill>
                  <w14:solidFill>
                    <w14:schemeClr w14:val="tx1"/>
                  </w14:solidFill>
                </w14:textFill>
              </w:rPr>
              <w:t>存栏量</w:t>
            </w:r>
          </w:p>
        </w:tc>
        <w:tc>
          <w:tcPr>
            <w:tcW w:w="1704" w:type="dxa"/>
            <w:vAlign w:val="center"/>
          </w:tcPr>
          <w:p w14:paraId="4C53E09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b/>
                <w:bCs/>
                <w:color w:val="000000" w:themeColor="text1"/>
                <w:sz w:val="21"/>
                <w:szCs w:val="21"/>
                <w:highlight w:val="none"/>
                <w14:textFill>
                  <w14:solidFill>
                    <w14:schemeClr w14:val="tx1"/>
                  </w14:solidFill>
                </w14:textFill>
              </w:rPr>
              <w:t>饲料定额（kg/头·d）</w:t>
            </w:r>
          </w:p>
        </w:tc>
        <w:tc>
          <w:tcPr>
            <w:tcW w:w="1705" w:type="dxa"/>
            <w:vAlign w:val="center"/>
          </w:tcPr>
          <w:p w14:paraId="2774B60A">
            <w:pPr>
              <w:keepNext w:val="0"/>
              <w:keepLines w:val="0"/>
              <w:widowControl/>
              <w:suppressLineNumbers w:val="0"/>
              <w:jc w:val="center"/>
              <w:rPr>
                <w:rFonts w:hint="default"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天数</w:t>
            </w:r>
          </w:p>
        </w:tc>
        <w:tc>
          <w:tcPr>
            <w:tcW w:w="1705" w:type="dxa"/>
            <w:vAlign w:val="center"/>
          </w:tcPr>
          <w:p w14:paraId="17E3A3D1">
            <w:pPr>
              <w:spacing w:line="240" w:lineRule="auto"/>
              <w:jc w:val="center"/>
              <w:rPr>
                <w:rFonts w:hint="eastAsia" w:eastAsia="宋体"/>
                <w:b/>
                <w:bCs/>
                <w:color w:val="000000" w:themeColor="text1"/>
                <w:sz w:val="21"/>
                <w:szCs w:val="21"/>
                <w:highlight w:val="none"/>
                <w:vertAlign w:val="baseli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饲料消耗总量</w:t>
            </w:r>
            <w:r>
              <w:rPr>
                <w:rFonts w:hint="eastAsia"/>
                <w:b/>
                <w:bCs/>
                <w:color w:val="000000" w:themeColor="text1"/>
                <w:sz w:val="21"/>
                <w:szCs w:val="21"/>
                <w:highlight w:val="none"/>
                <w:vertAlign w:val="baseline"/>
                <w:lang w:val="en-US"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t</w:t>
            </w:r>
            <w:r>
              <w:rPr>
                <w:b/>
                <w:bCs/>
                <w:color w:val="000000" w:themeColor="text1"/>
                <w:highlight w:val="none"/>
                <w14:textFill>
                  <w14:solidFill>
                    <w14:schemeClr w14:val="tx1"/>
                  </w14:solidFill>
                </w14:textFill>
              </w:rPr>
              <w:t>/a</w:t>
            </w:r>
            <w:r>
              <w:rPr>
                <w:rFonts w:hint="eastAsia"/>
                <w:b/>
                <w:bCs/>
                <w:color w:val="000000" w:themeColor="text1"/>
                <w:sz w:val="21"/>
                <w:szCs w:val="21"/>
                <w:highlight w:val="none"/>
                <w:vertAlign w:val="baseline"/>
                <w:lang w:val="en-US" w:eastAsia="zh-CN"/>
                <w14:textFill>
                  <w14:solidFill>
                    <w14:schemeClr w14:val="tx1"/>
                  </w14:solidFill>
                </w14:textFill>
              </w:rPr>
              <w:t>）</w:t>
            </w:r>
          </w:p>
        </w:tc>
      </w:tr>
      <w:tr w14:paraId="7468E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2B98FB8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成年母猪</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除</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带仔哺乳母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猪</w:t>
            </w:r>
            <w:r>
              <w:rPr>
                <w:rFonts w:hint="eastAsia" w:cs="Times New Roman"/>
                <w:color w:val="000000" w:themeColor="text1"/>
                <w:sz w:val="21"/>
                <w:szCs w:val="21"/>
                <w:highlight w:val="none"/>
                <w:lang w:eastAsia="zh-CN"/>
                <w14:textFill>
                  <w14:solidFill>
                    <w14:schemeClr w14:val="tx1"/>
                  </w14:solidFill>
                </w14:textFill>
              </w:rPr>
              <w:t>）</w:t>
            </w:r>
          </w:p>
        </w:tc>
        <w:tc>
          <w:tcPr>
            <w:tcW w:w="1704" w:type="dxa"/>
            <w:vAlign w:val="center"/>
          </w:tcPr>
          <w:p w14:paraId="6C92C370">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4023</w:t>
            </w:r>
          </w:p>
        </w:tc>
        <w:tc>
          <w:tcPr>
            <w:tcW w:w="1704" w:type="dxa"/>
            <w:vAlign w:val="center"/>
          </w:tcPr>
          <w:p w14:paraId="771D8354">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1705" w:type="dxa"/>
            <w:vMerge w:val="restart"/>
            <w:vAlign w:val="center"/>
          </w:tcPr>
          <w:p w14:paraId="1B00EA21">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365</w:t>
            </w:r>
          </w:p>
        </w:tc>
        <w:tc>
          <w:tcPr>
            <w:tcW w:w="1705" w:type="dxa"/>
            <w:vAlign w:val="center"/>
          </w:tcPr>
          <w:p w14:paraId="7354C634">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3670.99</w:t>
            </w:r>
          </w:p>
        </w:tc>
      </w:tr>
      <w:tr w14:paraId="60F26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704" w:type="dxa"/>
            <w:vAlign w:val="center"/>
          </w:tcPr>
          <w:p w14:paraId="5CFF3C9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后备母猪</w:t>
            </w:r>
          </w:p>
        </w:tc>
        <w:tc>
          <w:tcPr>
            <w:tcW w:w="1704" w:type="dxa"/>
            <w:vAlign w:val="center"/>
          </w:tcPr>
          <w:p w14:paraId="2DDD9C61">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1452</w:t>
            </w:r>
          </w:p>
        </w:tc>
        <w:tc>
          <w:tcPr>
            <w:tcW w:w="1704" w:type="dxa"/>
            <w:vAlign w:val="center"/>
          </w:tcPr>
          <w:p w14:paraId="397AF703">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1705" w:type="dxa"/>
            <w:vMerge w:val="continue"/>
            <w:vAlign w:val="center"/>
          </w:tcPr>
          <w:p w14:paraId="33A6466A">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p>
        </w:tc>
        <w:tc>
          <w:tcPr>
            <w:tcW w:w="1705" w:type="dxa"/>
            <w:vAlign w:val="center"/>
          </w:tcPr>
          <w:p w14:paraId="4EEF3BD1">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1059.96</w:t>
            </w:r>
          </w:p>
        </w:tc>
      </w:tr>
      <w:tr w14:paraId="5AD8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4B6DD87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种公猪</w:t>
            </w:r>
          </w:p>
        </w:tc>
        <w:tc>
          <w:tcPr>
            <w:tcW w:w="1704" w:type="dxa"/>
            <w:vAlign w:val="center"/>
          </w:tcPr>
          <w:p w14:paraId="08F06DA6">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160</w:t>
            </w:r>
          </w:p>
        </w:tc>
        <w:tc>
          <w:tcPr>
            <w:tcW w:w="1704" w:type="dxa"/>
            <w:vAlign w:val="center"/>
          </w:tcPr>
          <w:p w14:paraId="74B5222A">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1705" w:type="dxa"/>
            <w:vMerge w:val="continue"/>
            <w:vAlign w:val="center"/>
          </w:tcPr>
          <w:p w14:paraId="772AD827">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p>
        </w:tc>
        <w:tc>
          <w:tcPr>
            <w:tcW w:w="1705" w:type="dxa"/>
            <w:vAlign w:val="center"/>
          </w:tcPr>
          <w:p w14:paraId="3653A683">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146</w:t>
            </w:r>
          </w:p>
        </w:tc>
      </w:tr>
      <w:tr w14:paraId="06853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384D995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后备公猪</w:t>
            </w:r>
          </w:p>
        </w:tc>
        <w:tc>
          <w:tcPr>
            <w:tcW w:w="1704" w:type="dxa"/>
            <w:vAlign w:val="center"/>
          </w:tcPr>
          <w:p w14:paraId="47D078F1">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80</w:t>
            </w:r>
          </w:p>
        </w:tc>
        <w:tc>
          <w:tcPr>
            <w:tcW w:w="1704" w:type="dxa"/>
            <w:vAlign w:val="center"/>
          </w:tcPr>
          <w:p w14:paraId="66E58454">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1705" w:type="dxa"/>
            <w:vMerge w:val="continue"/>
            <w:vAlign w:val="center"/>
          </w:tcPr>
          <w:p w14:paraId="3C8C5405">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p>
        </w:tc>
        <w:tc>
          <w:tcPr>
            <w:tcW w:w="1705" w:type="dxa"/>
            <w:vAlign w:val="center"/>
          </w:tcPr>
          <w:p w14:paraId="1B0FAE77">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58.4</w:t>
            </w:r>
          </w:p>
        </w:tc>
      </w:tr>
      <w:tr w14:paraId="3FD4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704" w:type="dxa"/>
            <w:vAlign w:val="center"/>
          </w:tcPr>
          <w:p w14:paraId="1FB5974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带仔哺乳母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猪</w:t>
            </w:r>
          </w:p>
        </w:tc>
        <w:tc>
          <w:tcPr>
            <w:tcW w:w="1704" w:type="dxa"/>
            <w:vAlign w:val="center"/>
          </w:tcPr>
          <w:p w14:paraId="0A357AE5">
            <w:pPr>
              <w:spacing w:line="240" w:lineRule="auto"/>
              <w:jc w:val="center"/>
              <w:rPr>
                <w:rFonts w:hint="eastAsia" w:ascii="Times New Roman" w:hAnsi="Times New Roman" w:eastAsia="宋体" w:cs="宋体"/>
                <w:b w:val="0"/>
                <w:bCs w:val="0"/>
                <w:color w:val="000000" w:themeColor="text1"/>
                <w:sz w:val="21"/>
                <w:szCs w:val="21"/>
                <w:highlight w:val="none"/>
                <w:vertAlign w:val="baseli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817</w:t>
            </w:r>
          </w:p>
        </w:tc>
        <w:tc>
          <w:tcPr>
            <w:tcW w:w="1704" w:type="dxa"/>
            <w:vAlign w:val="center"/>
          </w:tcPr>
          <w:p w14:paraId="78B1E63E">
            <w:pPr>
              <w:spacing w:line="240" w:lineRule="auto"/>
              <w:jc w:val="center"/>
              <w:rPr>
                <w:rFonts w:hint="default" w:ascii="Times New Roman" w:hAnsi="Times New Roman" w:eastAsia="宋体" w:cs="宋体"/>
                <w:b w:val="0"/>
                <w:bCs w:val="0"/>
                <w:color w:val="000000" w:themeColor="text1"/>
                <w:sz w:val="21"/>
                <w:szCs w:val="21"/>
                <w:highlight w:val="none"/>
                <w:vertAlign w:val="baseli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w:t>
            </w:r>
          </w:p>
        </w:tc>
        <w:tc>
          <w:tcPr>
            <w:tcW w:w="1705" w:type="dxa"/>
            <w:vMerge w:val="continue"/>
            <w:vAlign w:val="center"/>
          </w:tcPr>
          <w:p w14:paraId="30F6A735">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p>
        </w:tc>
        <w:tc>
          <w:tcPr>
            <w:tcW w:w="1705" w:type="dxa"/>
            <w:vAlign w:val="center"/>
          </w:tcPr>
          <w:p w14:paraId="46C4834B">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1192.82</w:t>
            </w:r>
          </w:p>
        </w:tc>
      </w:tr>
      <w:tr w14:paraId="652C3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721BEB8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保育仔猪</w:t>
            </w:r>
          </w:p>
        </w:tc>
        <w:tc>
          <w:tcPr>
            <w:tcW w:w="1704" w:type="dxa"/>
            <w:vAlign w:val="center"/>
          </w:tcPr>
          <w:p w14:paraId="215F84A2">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11852</w:t>
            </w:r>
          </w:p>
        </w:tc>
        <w:tc>
          <w:tcPr>
            <w:tcW w:w="1704" w:type="dxa"/>
            <w:vAlign w:val="center"/>
          </w:tcPr>
          <w:p w14:paraId="195416AA">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1705" w:type="dxa"/>
            <w:vMerge w:val="continue"/>
            <w:vAlign w:val="center"/>
          </w:tcPr>
          <w:p w14:paraId="04A8097E">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p>
        </w:tc>
        <w:tc>
          <w:tcPr>
            <w:tcW w:w="1705" w:type="dxa"/>
            <w:vAlign w:val="center"/>
          </w:tcPr>
          <w:p w14:paraId="41D7ED4A">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4325.98</w:t>
            </w:r>
          </w:p>
        </w:tc>
      </w:tr>
      <w:tr w14:paraId="645EC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3EADF85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生长育肥猪</w:t>
            </w:r>
          </w:p>
        </w:tc>
        <w:tc>
          <w:tcPr>
            <w:tcW w:w="1704" w:type="dxa"/>
            <w:vAlign w:val="center"/>
          </w:tcPr>
          <w:p w14:paraId="5102C512">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6653</w:t>
            </w:r>
          </w:p>
        </w:tc>
        <w:tc>
          <w:tcPr>
            <w:tcW w:w="1704" w:type="dxa"/>
            <w:vAlign w:val="center"/>
          </w:tcPr>
          <w:p w14:paraId="72162F5B">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1705" w:type="dxa"/>
            <w:vMerge w:val="continue"/>
            <w:vAlign w:val="center"/>
          </w:tcPr>
          <w:p w14:paraId="24B61CF5">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p>
        </w:tc>
        <w:tc>
          <w:tcPr>
            <w:tcW w:w="1705" w:type="dxa"/>
            <w:vAlign w:val="center"/>
          </w:tcPr>
          <w:p w14:paraId="635CEDDB">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4856.69</w:t>
            </w:r>
          </w:p>
        </w:tc>
      </w:tr>
      <w:tr w14:paraId="0F272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0D2C760E">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总计</w:t>
            </w:r>
          </w:p>
        </w:tc>
        <w:tc>
          <w:tcPr>
            <w:tcW w:w="1704" w:type="dxa"/>
            <w:vAlign w:val="center"/>
          </w:tcPr>
          <w:p w14:paraId="34818884">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1704" w:type="dxa"/>
            <w:vAlign w:val="center"/>
          </w:tcPr>
          <w:p w14:paraId="2718334F">
            <w:pPr>
              <w:spacing w:line="240" w:lineRule="auto"/>
              <w:jc w:val="center"/>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1705" w:type="dxa"/>
            <w:vAlign w:val="center"/>
          </w:tcPr>
          <w:p w14:paraId="7FFF5401">
            <w:pPr>
              <w:spacing w:line="240" w:lineRule="auto"/>
              <w:jc w:val="center"/>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1705" w:type="dxa"/>
            <w:vAlign w:val="center"/>
          </w:tcPr>
          <w:p w14:paraId="63334BDE">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15310.84</w:t>
            </w:r>
          </w:p>
        </w:tc>
      </w:tr>
    </w:tbl>
    <w:p w14:paraId="5BB4311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3.4-2</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项目其他</w:t>
      </w:r>
      <w:r>
        <w:rPr>
          <w:b/>
          <w:bCs/>
          <w:color w:val="000000" w:themeColor="text1"/>
          <w:sz w:val="21"/>
          <w:szCs w:val="21"/>
          <w:highlight w:val="none"/>
          <w14:textFill>
            <w14:solidFill>
              <w14:schemeClr w14:val="tx1"/>
            </w14:solidFill>
          </w14:textFill>
        </w:rPr>
        <w:t>辅助材料</w:t>
      </w:r>
      <w:r>
        <w:rPr>
          <w:rFonts w:hint="eastAsia"/>
          <w:b/>
          <w:bCs/>
          <w:color w:val="000000" w:themeColor="text1"/>
          <w:sz w:val="21"/>
          <w:szCs w:val="21"/>
          <w:highlight w:val="none"/>
          <w14:textFill>
            <w14:solidFill>
              <w14:schemeClr w14:val="tx1"/>
            </w14:solidFill>
          </w14:textFill>
        </w:rPr>
        <w:t>消耗量</w:t>
      </w:r>
    </w:p>
    <w:tbl>
      <w:tblPr>
        <w:tblStyle w:val="33"/>
        <w:tblW w:w="50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69"/>
        <w:gridCol w:w="1802"/>
        <w:gridCol w:w="1439"/>
        <w:gridCol w:w="2289"/>
        <w:gridCol w:w="1932"/>
      </w:tblGrid>
      <w:tr w14:paraId="5CCC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1" w:type="pct"/>
            <w:vAlign w:val="center"/>
          </w:tcPr>
          <w:p w14:paraId="4104038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1081" w:type="pct"/>
            <w:vAlign w:val="center"/>
          </w:tcPr>
          <w:p w14:paraId="459FC12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名称</w:t>
            </w:r>
          </w:p>
        </w:tc>
        <w:tc>
          <w:tcPr>
            <w:tcW w:w="863" w:type="pct"/>
            <w:vAlign w:val="center"/>
          </w:tcPr>
          <w:p w14:paraId="47D8401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年用量</w:t>
            </w:r>
          </w:p>
        </w:tc>
        <w:tc>
          <w:tcPr>
            <w:tcW w:w="1373" w:type="pct"/>
            <w:vAlign w:val="center"/>
          </w:tcPr>
          <w:p w14:paraId="5159464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厂内储存情况</w:t>
            </w:r>
          </w:p>
        </w:tc>
        <w:tc>
          <w:tcPr>
            <w:tcW w:w="1159" w:type="pct"/>
            <w:vAlign w:val="center"/>
          </w:tcPr>
          <w:p w14:paraId="3F26DEB2">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备注</w:t>
            </w:r>
          </w:p>
        </w:tc>
      </w:tr>
      <w:tr w14:paraId="268B3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1" w:type="pct"/>
            <w:vAlign w:val="center"/>
          </w:tcPr>
          <w:p w14:paraId="43F38E9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081" w:type="pct"/>
            <w:vAlign w:val="center"/>
          </w:tcPr>
          <w:p w14:paraId="5270512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玉米</w:t>
            </w:r>
          </w:p>
        </w:tc>
        <w:tc>
          <w:tcPr>
            <w:tcW w:w="863" w:type="pct"/>
            <w:vAlign w:val="center"/>
          </w:tcPr>
          <w:p w14:paraId="7652B43E">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10105t/a</w:t>
            </w:r>
          </w:p>
        </w:tc>
        <w:tc>
          <w:tcPr>
            <w:tcW w:w="1373" w:type="pct"/>
            <w:vAlign w:val="center"/>
          </w:tcPr>
          <w:p w14:paraId="05990010">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840t/a</w:t>
            </w:r>
          </w:p>
        </w:tc>
        <w:tc>
          <w:tcPr>
            <w:tcW w:w="1159" w:type="pct"/>
            <w:vAlign w:val="center"/>
          </w:tcPr>
          <w:p w14:paraId="538A5E2B">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外购</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66</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w:t>
            </w:r>
          </w:p>
        </w:tc>
      </w:tr>
      <w:tr w14:paraId="5839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1" w:type="pct"/>
            <w:vAlign w:val="center"/>
          </w:tcPr>
          <w:p w14:paraId="7ABEE47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1081" w:type="pct"/>
            <w:vAlign w:val="center"/>
          </w:tcPr>
          <w:p w14:paraId="17F481A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豆粕</w:t>
            </w:r>
          </w:p>
        </w:tc>
        <w:tc>
          <w:tcPr>
            <w:tcW w:w="863" w:type="pct"/>
            <w:vAlign w:val="center"/>
          </w:tcPr>
          <w:p w14:paraId="5F27EB77">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3060t/a</w:t>
            </w:r>
          </w:p>
        </w:tc>
        <w:tc>
          <w:tcPr>
            <w:tcW w:w="1373" w:type="pct"/>
            <w:vAlign w:val="center"/>
          </w:tcPr>
          <w:p w14:paraId="1C9CA43D">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270t/a</w:t>
            </w:r>
          </w:p>
        </w:tc>
        <w:tc>
          <w:tcPr>
            <w:tcW w:w="1159" w:type="pct"/>
            <w:vAlign w:val="center"/>
          </w:tcPr>
          <w:p w14:paraId="6C4C9DA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外购</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w:t>
            </w:r>
          </w:p>
        </w:tc>
      </w:tr>
      <w:tr w14:paraId="2F8AC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1" w:type="pct"/>
            <w:vAlign w:val="center"/>
          </w:tcPr>
          <w:p w14:paraId="4A8A73A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081" w:type="pct"/>
            <w:vAlign w:val="center"/>
          </w:tcPr>
          <w:p w14:paraId="56A5C47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麸皮</w:t>
            </w:r>
          </w:p>
        </w:tc>
        <w:tc>
          <w:tcPr>
            <w:tcW w:w="863" w:type="pct"/>
            <w:vAlign w:val="center"/>
          </w:tcPr>
          <w:p w14:paraId="5CF78C0E">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1530t/a</w:t>
            </w:r>
          </w:p>
        </w:tc>
        <w:tc>
          <w:tcPr>
            <w:tcW w:w="1373" w:type="pct"/>
            <w:vAlign w:val="center"/>
          </w:tcPr>
          <w:p w14:paraId="532053B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150t/a</w:t>
            </w:r>
          </w:p>
        </w:tc>
        <w:tc>
          <w:tcPr>
            <w:tcW w:w="1159" w:type="pct"/>
            <w:vAlign w:val="center"/>
          </w:tcPr>
          <w:p w14:paraId="3A1F213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外购</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w:t>
            </w:r>
          </w:p>
        </w:tc>
      </w:tr>
      <w:tr w14:paraId="49E3D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1" w:type="pct"/>
            <w:vAlign w:val="center"/>
          </w:tcPr>
          <w:p w14:paraId="7684421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w:t>
            </w:r>
          </w:p>
        </w:tc>
        <w:tc>
          <w:tcPr>
            <w:tcW w:w="1081" w:type="pct"/>
            <w:vAlign w:val="center"/>
          </w:tcPr>
          <w:p w14:paraId="2876641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预混料</w:t>
            </w:r>
          </w:p>
        </w:tc>
        <w:tc>
          <w:tcPr>
            <w:tcW w:w="863" w:type="pct"/>
            <w:vAlign w:val="center"/>
          </w:tcPr>
          <w:p w14:paraId="2F8A5587">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620t/a</w:t>
            </w:r>
          </w:p>
        </w:tc>
        <w:tc>
          <w:tcPr>
            <w:tcW w:w="1373" w:type="pct"/>
            <w:vAlign w:val="center"/>
          </w:tcPr>
          <w:p w14:paraId="1B924DD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90t/a</w:t>
            </w:r>
          </w:p>
        </w:tc>
        <w:tc>
          <w:tcPr>
            <w:tcW w:w="1159" w:type="pct"/>
            <w:vAlign w:val="center"/>
          </w:tcPr>
          <w:p w14:paraId="666342E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外购</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w:t>
            </w:r>
          </w:p>
        </w:tc>
      </w:tr>
      <w:tr w14:paraId="74790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1" w:type="pct"/>
            <w:vAlign w:val="center"/>
          </w:tcPr>
          <w:p w14:paraId="41B3AB25">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1081" w:type="pct"/>
            <w:vAlign w:val="center"/>
          </w:tcPr>
          <w:p w14:paraId="48AEAB0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EM菌</w:t>
            </w:r>
          </w:p>
        </w:tc>
        <w:tc>
          <w:tcPr>
            <w:tcW w:w="863" w:type="pct"/>
            <w:vAlign w:val="center"/>
          </w:tcPr>
          <w:p w14:paraId="1CD1B30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0.5</w:t>
            </w:r>
            <w:r>
              <w:rPr>
                <w:color w:val="000000" w:themeColor="text1"/>
                <w:sz w:val="21"/>
                <w:szCs w:val="21"/>
                <w:highlight w:val="none"/>
                <w14:textFill>
                  <w14:solidFill>
                    <w14:schemeClr w14:val="tx1"/>
                  </w14:solidFill>
                </w14:textFill>
              </w:rPr>
              <w:t>t/a</w:t>
            </w:r>
          </w:p>
        </w:tc>
        <w:tc>
          <w:tcPr>
            <w:tcW w:w="1373" w:type="pct"/>
            <w:vAlign w:val="center"/>
          </w:tcPr>
          <w:p w14:paraId="0197B54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厂内最大储量0.</w:t>
            </w: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t</w:t>
            </w:r>
          </w:p>
        </w:tc>
        <w:tc>
          <w:tcPr>
            <w:tcW w:w="1159" w:type="pct"/>
            <w:vAlign w:val="center"/>
          </w:tcPr>
          <w:p w14:paraId="22FECBF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外购</w:t>
            </w:r>
          </w:p>
        </w:tc>
      </w:tr>
      <w:tr w14:paraId="030B0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1" w:type="pct"/>
            <w:vAlign w:val="center"/>
          </w:tcPr>
          <w:p w14:paraId="79ACBCC0">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w:t>
            </w:r>
          </w:p>
        </w:tc>
        <w:tc>
          <w:tcPr>
            <w:tcW w:w="1081" w:type="pct"/>
            <w:vAlign w:val="center"/>
          </w:tcPr>
          <w:p w14:paraId="6A5D0044">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戊二醛消毒剂</w:t>
            </w:r>
          </w:p>
        </w:tc>
        <w:tc>
          <w:tcPr>
            <w:tcW w:w="863" w:type="pct"/>
            <w:vAlign w:val="center"/>
          </w:tcPr>
          <w:p w14:paraId="03753E6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r>
              <w:rPr>
                <w:color w:val="000000" w:themeColor="text1"/>
                <w:sz w:val="21"/>
                <w:szCs w:val="21"/>
                <w:highlight w:val="none"/>
                <w14:textFill>
                  <w14:solidFill>
                    <w14:schemeClr w14:val="tx1"/>
                  </w14:solidFill>
                </w14:textFill>
              </w:rPr>
              <w:t>t/a</w:t>
            </w:r>
          </w:p>
        </w:tc>
        <w:tc>
          <w:tcPr>
            <w:tcW w:w="1373" w:type="pct"/>
            <w:vAlign w:val="center"/>
          </w:tcPr>
          <w:p w14:paraId="23BC98C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厂内最大储量0.</w:t>
            </w:r>
            <w:r>
              <w:rPr>
                <w:rFonts w:hint="eastAsia"/>
                <w:color w:val="000000" w:themeColor="text1"/>
                <w:sz w:val="21"/>
                <w:szCs w:val="21"/>
                <w:highlight w:val="none"/>
                <w:lang w:val="en-US" w:eastAsia="zh-CN"/>
                <w14:textFill>
                  <w14:solidFill>
                    <w14:schemeClr w14:val="tx1"/>
                  </w14:solidFill>
                </w14:textFill>
              </w:rPr>
              <w:t>3</w:t>
            </w:r>
            <w:r>
              <w:rPr>
                <w:color w:val="000000" w:themeColor="text1"/>
                <w:sz w:val="21"/>
                <w:szCs w:val="21"/>
                <w:highlight w:val="none"/>
                <w14:textFill>
                  <w14:solidFill>
                    <w14:schemeClr w14:val="tx1"/>
                  </w14:solidFill>
                </w14:textFill>
              </w:rPr>
              <w:t>t</w:t>
            </w:r>
          </w:p>
        </w:tc>
        <w:tc>
          <w:tcPr>
            <w:tcW w:w="1159" w:type="pct"/>
            <w:vAlign w:val="center"/>
          </w:tcPr>
          <w:p w14:paraId="3C4964B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外购，消毒</w:t>
            </w:r>
          </w:p>
        </w:tc>
      </w:tr>
      <w:tr w14:paraId="6F786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521" w:type="pct"/>
            <w:vAlign w:val="center"/>
          </w:tcPr>
          <w:p w14:paraId="2768D563">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1081" w:type="pct"/>
            <w:vAlign w:val="center"/>
          </w:tcPr>
          <w:p w14:paraId="31CAAD0B">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过硫酸氢钾消毒剂</w:t>
            </w:r>
          </w:p>
        </w:tc>
        <w:tc>
          <w:tcPr>
            <w:tcW w:w="863" w:type="pct"/>
            <w:vAlign w:val="center"/>
          </w:tcPr>
          <w:p w14:paraId="2AA9DD8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t/a</w:t>
            </w:r>
          </w:p>
        </w:tc>
        <w:tc>
          <w:tcPr>
            <w:tcW w:w="2289" w:type="dxa"/>
            <w:vAlign w:val="center"/>
          </w:tcPr>
          <w:p w14:paraId="1C57257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厂内最大储量0.</w:t>
            </w:r>
            <w:r>
              <w:rPr>
                <w:rFonts w:hint="eastAsia"/>
                <w:color w:val="000000" w:themeColor="text1"/>
                <w:sz w:val="21"/>
                <w:szCs w:val="21"/>
                <w:highlight w:val="none"/>
                <w:lang w:val="en-US" w:eastAsia="zh-CN"/>
                <w14:textFill>
                  <w14:solidFill>
                    <w14:schemeClr w14:val="tx1"/>
                  </w14:solidFill>
                </w14:textFill>
              </w:rPr>
              <w:t>2</w:t>
            </w:r>
            <w:r>
              <w:rPr>
                <w:color w:val="000000" w:themeColor="text1"/>
                <w:sz w:val="21"/>
                <w:szCs w:val="21"/>
                <w:highlight w:val="none"/>
                <w14:textFill>
                  <w14:solidFill>
                    <w14:schemeClr w14:val="tx1"/>
                  </w14:solidFill>
                </w14:textFill>
              </w:rPr>
              <w:t>t</w:t>
            </w:r>
          </w:p>
        </w:tc>
        <w:tc>
          <w:tcPr>
            <w:tcW w:w="1932" w:type="dxa"/>
            <w:vAlign w:val="center"/>
          </w:tcPr>
          <w:p w14:paraId="286BCD7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外购</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消毒</w:t>
            </w:r>
          </w:p>
        </w:tc>
      </w:tr>
    </w:tbl>
    <w:p w14:paraId="784CC89D">
      <w:pPr>
        <w:pStyle w:val="3"/>
        <w:rPr>
          <w:color w:val="000000" w:themeColor="text1"/>
          <w:highlight w:val="none"/>
          <w14:textFill>
            <w14:solidFill>
              <w14:schemeClr w14:val="tx1"/>
            </w14:solidFill>
          </w14:textFill>
        </w:rPr>
      </w:pPr>
      <w:bookmarkStart w:id="85" w:name="_Toc30428"/>
      <w:bookmarkStart w:id="86" w:name="_Toc3061"/>
      <w:bookmarkStart w:id="87" w:name="_Toc8115"/>
      <w:bookmarkStart w:id="88" w:name="_Toc17419"/>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.5产品方案</w:t>
      </w:r>
      <w:bookmarkEnd w:id="85"/>
      <w:bookmarkEnd w:id="86"/>
      <w:bookmarkEnd w:id="87"/>
      <w:bookmarkEnd w:id="88"/>
    </w:p>
    <w:p w14:paraId="71A30D8E">
      <w:pPr>
        <w:ind w:firstLine="480" w:firstLineChars="200"/>
        <w:rPr>
          <w:rFonts w:hint="eastAsia"/>
          <w:color w:val="000000" w:themeColor="text1"/>
          <w:highlight w:val="none"/>
          <w:lang w:val="en-US" w:eastAsia="zh-CN"/>
          <w14:textFill>
            <w14:solidFill>
              <w14:schemeClr w14:val="tx1"/>
            </w14:solidFill>
          </w14:textFill>
        </w:rPr>
      </w:pPr>
      <w:bookmarkStart w:id="89" w:name="_Ref395089457"/>
      <w:bookmarkStart w:id="90" w:name="_Ref395086401"/>
      <w:r>
        <w:rPr>
          <w:rFonts w:hint="eastAsia"/>
          <w:color w:val="000000" w:themeColor="text1"/>
          <w:highlight w:val="none"/>
          <w:lang w:val="en-US" w:eastAsia="zh-CN"/>
          <w14:textFill>
            <w14:solidFill>
              <w14:schemeClr w14:val="tx1"/>
            </w14:solidFill>
          </w14:textFill>
        </w:rPr>
        <w:t xml:space="preserve">①养殖场运行参数 </w:t>
      </w:r>
    </w:p>
    <w:p w14:paraId="56F5DD9F">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年出栏种猪2万头、仔猪10万头</w:t>
      </w:r>
      <w:r>
        <w:rPr>
          <w:rFonts w:hint="eastAsia"/>
          <w:color w:val="000000" w:themeColor="text1"/>
          <w:highlight w:val="none"/>
          <w:lang w:val="en-US" w:eastAsia="zh-CN"/>
          <w14:textFill>
            <w14:solidFill>
              <w14:schemeClr w14:val="tx1"/>
            </w14:solidFill>
          </w14:textFill>
        </w:rPr>
        <w:t>。根据企业提供资料，项目引进父母代种母猪为4840头，引进父母代种公猪160头，种母猪和种公猪比例约为30</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1。根据《规模猪场建设》GB/T 17824.1-2022，</w:t>
      </w:r>
      <w:r>
        <w:rPr>
          <w:color w:val="000000" w:themeColor="text1"/>
          <w:spacing w:val="7"/>
          <w:highlight w:val="none"/>
          <w14:textFill>
            <w14:solidFill>
              <w14:schemeClr w14:val="tx1"/>
            </w14:solidFill>
          </w14:textFill>
        </w:rPr>
        <w:t>母猪年产胎次</w:t>
      </w:r>
      <w:r>
        <w:rPr>
          <w:rFonts w:hint="eastAsia"/>
          <w:color w:val="000000" w:themeColor="text1"/>
          <w:spacing w:val="7"/>
          <w:highlight w:val="none"/>
          <w:lang w:val="en-US" w:eastAsia="zh-CN"/>
          <w14:textFill>
            <w14:solidFill>
              <w14:schemeClr w14:val="tx1"/>
            </w14:solidFill>
          </w14:textFill>
        </w:rPr>
        <w:t>2.2批</w:t>
      </w:r>
      <w:r>
        <w:rPr>
          <w:rFonts w:hint="eastAsia"/>
          <w:color w:val="000000" w:themeColor="text1"/>
          <w:highlight w:val="none"/>
          <w:lang w:val="en-US" w:eastAsia="zh-CN"/>
          <w14:textFill>
            <w14:solidFill>
              <w14:schemeClr w14:val="tx1"/>
            </w14:solidFill>
          </w14:textFill>
        </w:rPr>
        <w:t>，猪场以批次化为主，</w:t>
      </w:r>
      <w:r>
        <w:rPr>
          <w:color w:val="000000" w:themeColor="text1"/>
          <w:spacing w:val="9"/>
          <w:highlight w:val="none"/>
          <w14:textFill>
            <w14:solidFill>
              <w14:schemeClr w14:val="tx1"/>
            </w14:solidFill>
          </w14:textFill>
        </w:rPr>
        <w:t>在空怀</w:t>
      </w:r>
      <w:r>
        <w:rPr>
          <w:rFonts w:hint="eastAsia"/>
          <w:color w:val="000000" w:themeColor="text1"/>
          <w:spacing w:val="9"/>
          <w:highlight w:val="none"/>
          <w:lang w:val="en-US" w:eastAsia="zh-CN"/>
          <w14:textFill>
            <w14:solidFill>
              <w14:schemeClr w14:val="tx1"/>
            </w14:solidFill>
          </w14:textFill>
        </w:rPr>
        <w:t>舍</w:t>
      </w:r>
      <w:r>
        <w:rPr>
          <w:color w:val="000000" w:themeColor="text1"/>
          <w:spacing w:val="9"/>
          <w:highlight w:val="none"/>
          <w14:textFill>
            <w14:solidFill>
              <w14:schemeClr w14:val="tx1"/>
            </w14:solidFill>
          </w14:textFill>
        </w:rPr>
        <w:t>里的观察天数</w:t>
      </w:r>
      <w:r>
        <w:rPr>
          <w:rFonts w:hint="eastAsia"/>
          <w:color w:val="000000" w:themeColor="text1"/>
          <w:spacing w:val="9"/>
          <w:highlight w:val="none"/>
          <w:lang w:val="en-US" w:eastAsia="zh-CN"/>
          <w14:textFill>
            <w14:solidFill>
              <w14:schemeClr w14:val="tx1"/>
            </w14:solidFill>
          </w14:textFill>
        </w:rPr>
        <w:t>21天</w:t>
      </w:r>
      <w:r>
        <w:rPr>
          <w:rFonts w:hint="eastAsia"/>
          <w:color w:val="000000" w:themeColor="text1"/>
          <w:spacing w:val="9"/>
          <w:highlight w:val="none"/>
          <w:lang w:eastAsia="zh-CN"/>
          <w14:textFill>
            <w14:solidFill>
              <w14:schemeClr w14:val="tx1"/>
            </w14:solidFill>
          </w14:textFill>
        </w:rPr>
        <w:t>，</w:t>
      </w:r>
      <w:r>
        <w:rPr>
          <w:color w:val="000000" w:themeColor="text1"/>
          <w:spacing w:val="6"/>
          <w:highlight w:val="none"/>
          <w14:textFill>
            <w14:solidFill>
              <w14:schemeClr w14:val="tx1"/>
            </w14:solidFill>
          </w14:textFill>
        </w:rPr>
        <w:t>妊娠天数</w:t>
      </w:r>
      <w:r>
        <w:rPr>
          <w:rFonts w:hint="eastAsia"/>
          <w:color w:val="000000" w:themeColor="text1"/>
          <w:spacing w:val="6"/>
          <w:highlight w:val="none"/>
          <w:lang w:val="en-US" w:eastAsia="zh-CN"/>
          <w14:textFill>
            <w14:solidFill>
              <w14:schemeClr w14:val="tx1"/>
            </w14:solidFill>
          </w14:textFill>
        </w:rPr>
        <w:t>114天，</w:t>
      </w:r>
      <w:r>
        <w:rPr>
          <w:rFonts w:hint="default" w:ascii="Times New Roman" w:hAnsi="Times New Roman" w:eastAsia="宋体" w:cs="Times New Roman"/>
          <w:color w:val="000000" w:themeColor="text1"/>
          <w:highlight w:val="none"/>
          <w:lang w:eastAsia="zh-CN"/>
          <w14:textFill>
            <w14:solidFill>
              <w14:schemeClr w14:val="tx1"/>
            </w14:solidFill>
          </w14:textFill>
        </w:rPr>
        <w:t>哺乳期按</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28</w:t>
      </w:r>
      <w:r>
        <w:rPr>
          <w:rFonts w:hint="default" w:ascii="Times New Roman" w:hAnsi="Times New Roman" w:eastAsia="宋体" w:cs="Times New Roman"/>
          <w:color w:val="000000" w:themeColor="text1"/>
          <w:highlight w:val="none"/>
          <w:lang w:eastAsia="zh-CN"/>
          <w14:textFill>
            <w14:solidFill>
              <w14:schemeClr w14:val="tx1"/>
            </w14:solidFill>
          </w14:textFill>
        </w:rPr>
        <w:t>天（</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highlight w:val="none"/>
          <w:lang w:eastAsia="zh-CN"/>
          <w14:textFill>
            <w14:solidFill>
              <w14:schemeClr w14:val="tx1"/>
            </w14:solidFill>
          </w14:textFill>
        </w:rPr>
        <w:t>周）计</w:t>
      </w:r>
      <w:r>
        <w:rPr>
          <w:rFonts w:hint="eastAsia" w:ascii="Times New Roman" w:hAnsi="Times New Roman" w:cs="Times New Roman"/>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窝产活仔数</w:t>
      </w: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3头，</w:t>
      </w:r>
      <w:r>
        <w:rPr>
          <w:rFonts w:hint="default" w:ascii="Times New Roman" w:hAnsi="Times New Roman" w:eastAsia="宋体" w:cs="Times New Roman"/>
          <w:color w:val="000000" w:themeColor="text1"/>
          <w:highlight w:val="none"/>
          <w:lang w:eastAsia="zh-CN"/>
          <w14:textFill>
            <w14:solidFill>
              <w14:schemeClr w14:val="tx1"/>
            </w14:solidFill>
          </w14:textFill>
        </w:rPr>
        <w:t>保育期按</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35</w:t>
      </w:r>
      <w:r>
        <w:rPr>
          <w:rFonts w:hint="default" w:ascii="Times New Roman" w:hAnsi="Times New Roman" w:eastAsia="宋体" w:cs="Times New Roman"/>
          <w:color w:val="000000" w:themeColor="text1"/>
          <w:highlight w:val="none"/>
          <w:lang w:eastAsia="zh-CN"/>
          <w14:textFill>
            <w14:solidFill>
              <w14:schemeClr w14:val="tx1"/>
            </w14:solidFill>
          </w14:textFill>
        </w:rPr>
        <w:t>天（</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eastAsia="zh-CN"/>
          <w14:textFill>
            <w14:solidFill>
              <w14:schemeClr w14:val="tx1"/>
            </w14:solidFill>
          </w14:textFill>
        </w:rPr>
        <w:t>周）计</w:t>
      </w:r>
      <w:r>
        <w:rPr>
          <w:rFonts w:hint="eastAsia"/>
          <w:color w:val="000000" w:themeColor="text1"/>
          <w:highlight w:val="none"/>
          <w:lang w:val="en-US" w:eastAsia="zh-CN"/>
          <w14:textFill>
            <w14:solidFill>
              <w14:schemeClr w14:val="tx1"/>
            </w14:solidFill>
          </w14:textFill>
        </w:rPr>
        <w:t>，</w:t>
      </w:r>
      <w:r>
        <w:rPr>
          <w:color w:val="000000" w:themeColor="text1"/>
          <w:spacing w:val="6"/>
          <w:highlight w:val="none"/>
          <w14:textFill>
            <w14:solidFill>
              <w14:schemeClr w14:val="tx1"/>
            </w14:solidFill>
          </w14:textFill>
        </w:rPr>
        <w:t>生长育肥天数</w:t>
      </w:r>
      <w:r>
        <w:rPr>
          <w:rFonts w:hint="eastAsia" w:eastAsia="宋体" w:cs="Times New Roman"/>
          <w:color w:val="000000" w:themeColor="text1"/>
          <w:spacing w:val="6"/>
          <w:highlight w:val="none"/>
          <w:lang w:val="en-US" w:eastAsia="zh-CN"/>
          <w14:textFill>
            <w14:solidFill>
              <w14:schemeClr w14:val="tx1"/>
            </w14:solidFill>
          </w14:textFill>
        </w:rPr>
        <w:t>104天。</w:t>
      </w:r>
      <w:r>
        <w:rPr>
          <w:rFonts w:hint="eastAsia"/>
          <w:color w:val="000000" w:themeColor="text1"/>
          <w:highlight w:val="none"/>
          <w:lang w:val="en-US" w:eastAsia="zh-CN"/>
          <w14:textFill>
            <w14:solidFill>
              <w14:schemeClr w14:val="tx1"/>
            </w14:solidFill>
          </w14:textFill>
        </w:rPr>
        <w:t>哺乳期成活率</w:t>
      </w:r>
      <w:r>
        <w:rPr>
          <w:rFonts w:hint="default"/>
          <w:color w:val="000000" w:themeColor="text1"/>
          <w:highlight w:val="none"/>
          <w:lang w:val="en-US" w:eastAsia="zh-CN"/>
          <w14:textFill>
            <w14:solidFill>
              <w14:schemeClr w14:val="tx1"/>
            </w14:solidFill>
          </w14:textFill>
        </w:rPr>
        <w:t>9</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color w:val="000000" w:themeColor="text1"/>
          <w:spacing w:val="8"/>
          <w:highlight w:val="none"/>
          <w14:textFill>
            <w14:solidFill>
              <w14:schemeClr w14:val="tx1"/>
            </w14:solidFill>
          </w14:textFill>
        </w:rPr>
        <w:t>保育仔猪</w:t>
      </w:r>
      <w:r>
        <w:rPr>
          <w:rFonts w:hint="eastAsia"/>
          <w:color w:val="000000" w:themeColor="text1"/>
          <w:highlight w:val="none"/>
          <w:lang w:val="en-US" w:eastAsia="zh-CN"/>
          <w14:textFill>
            <w14:solidFill>
              <w14:schemeClr w14:val="tx1"/>
            </w14:solidFill>
          </w14:textFill>
        </w:rPr>
        <w:t>成活率</w:t>
      </w:r>
      <w:r>
        <w:rPr>
          <w:rFonts w:hint="default"/>
          <w:color w:val="000000" w:themeColor="text1"/>
          <w:highlight w:val="none"/>
          <w:lang w:val="en-US" w:eastAsia="zh-CN"/>
          <w14:textFill>
            <w14:solidFill>
              <w14:schemeClr w14:val="tx1"/>
            </w14:solidFill>
          </w14:textFill>
        </w:rPr>
        <w:t>9</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，育肥期成活率</w:t>
      </w:r>
      <w:r>
        <w:rPr>
          <w:rFonts w:hint="default"/>
          <w:color w:val="000000" w:themeColor="text1"/>
          <w:highlight w:val="none"/>
          <w:lang w:val="en-US" w:eastAsia="zh-CN"/>
          <w14:textFill>
            <w14:solidFill>
              <w14:schemeClr w14:val="tx1"/>
            </w14:solidFill>
          </w14:textFill>
        </w:rPr>
        <w:t>9</w:t>
      </w:r>
      <w:r>
        <w:rPr>
          <w:rFonts w:hint="eastAsia"/>
          <w:color w:val="000000" w:themeColor="text1"/>
          <w:highlight w:val="none"/>
          <w:lang w:val="en-US" w:eastAsia="zh-CN"/>
          <w14:textFill>
            <w14:solidFill>
              <w14:schemeClr w14:val="tx1"/>
            </w14:solidFill>
          </w14:textFill>
        </w:rPr>
        <w:t>9</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p>
    <w:p w14:paraId="4AB6353B">
      <w:pPr>
        <w:ind w:firstLine="480" w:firstLineChars="200"/>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②存栏及出栏情况</w:t>
      </w:r>
    </w:p>
    <w:p w14:paraId="4A282C25">
      <w:pPr>
        <w:ind w:firstLine="480" w:firstLineChars="200"/>
        <w:rPr>
          <w:rFonts w:hint="default" w:ascii="Times New Roman" w:hAnsi="Times New Roman"/>
          <w:color w:val="000000" w:themeColor="text1"/>
          <w:highlight w:val="none"/>
          <w:lang w:val="en-US" w:eastAsia="zh-CN"/>
          <w14:textFill>
            <w14:solidFill>
              <w14:schemeClr w14:val="tx1"/>
            </w14:solidFill>
          </w14:textFill>
        </w:rPr>
      </w:pPr>
      <w:r>
        <w:rPr>
          <w:rFonts w:hint="default" w:ascii="Times New Roman" w:hAnsi="Times New Roman"/>
          <w:color w:val="000000" w:themeColor="text1"/>
          <w:highlight w:val="none"/>
          <w:lang w:val="en-US" w:eastAsia="zh-CN"/>
          <w14:textFill>
            <w14:solidFill>
              <w14:schemeClr w14:val="tx1"/>
            </w14:solidFill>
          </w14:textFill>
        </w:rPr>
        <w:t>项目成年母猪数为</w:t>
      </w:r>
      <w:r>
        <w:rPr>
          <w:rFonts w:hint="eastAsia" w:ascii="Times New Roman" w:hAnsi="Times New Roman"/>
          <w:color w:val="000000" w:themeColor="text1"/>
          <w:highlight w:val="none"/>
          <w:lang w:val="en-US" w:eastAsia="zh-CN"/>
          <w14:textFill>
            <w14:solidFill>
              <w14:schemeClr w14:val="tx1"/>
            </w14:solidFill>
          </w14:textFill>
        </w:rPr>
        <w:t>4840</w:t>
      </w:r>
      <w:r>
        <w:rPr>
          <w:rFonts w:hint="default" w:ascii="Times New Roman" w:hAnsi="Times New Roman"/>
          <w:color w:val="000000" w:themeColor="text1"/>
          <w:highlight w:val="none"/>
          <w:lang w:val="en-US" w:eastAsia="zh-CN"/>
          <w14:textFill>
            <w14:solidFill>
              <w14:schemeClr w14:val="tx1"/>
            </w14:solidFill>
          </w14:textFill>
        </w:rPr>
        <w:t>头，</w:t>
      </w:r>
      <w:r>
        <w:rPr>
          <w:rFonts w:hint="eastAsia" w:ascii="Times New Roman" w:hAnsi="Times New Roman"/>
          <w:color w:val="000000" w:themeColor="text1"/>
          <w:highlight w:val="none"/>
          <w:lang w:val="en-US" w:eastAsia="zh-CN"/>
          <w14:textFill>
            <w14:solidFill>
              <w14:schemeClr w14:val="tx1"/>
            </w14:solidFill>
          </w14:textFill>
        </w:rPr>
        <w:t>根据本项目可行性研究报告提供的资料，</w:t>
      </w:r>
      <w:r>
        <w:rPr>
          <w:rFonts w:hint="default" w:ascii="Times New Roman" w:hAnsi="Times New Roman"/>
          <w:color w:val="000000" w:themeColor="text1"/>
          <w:highlight w:val="none"/>
          <w:lang w:val="en-US" w:eastAsia="zh-CN"/>
          <w14:textFill>
            <w14:solidFill>
              <w14:schemeClr w14:val="tx1"/>
            </w14:solidFill>
          </w14:textFill>
        </w:rPr>
        <w:t>生猪年存栏总数=成年母猪数+后备母猪数+公猪数+后备公猪数+哺乳仔猪数+保育仔猪数+</w:t>
      </w:r>
      <w:r>
        <w:rPr>
          <w:color w:val="000000" w:themeColor="text1"/>
          <w:spacing w:val="9"/>
          <w:highlight w:val="none"/>
          <w14:textFill>
            <w14:solidFill>
              <w14:schemeClr w14:val="tx1"/>
            </w14:solidFill>
          </w14:textFill>
        </w:rPr>
        <w:t>生长育肥猪数</w:t>
      </w:r>
      <w:r>
        <w:rPr>
          <w:rFonts w:hint="default" w:ascii="Times New Roman" w:hAnsi="Times New Roman"/>
          <w:color w:val="000000" w:themeColor="text1"/>
          <w:highlight w:val="none"/>
          <w:lang w:val="en-US" w:eastAsia="zh-CN"/>
          <w14:textFill>
            <w14:solidFill>
              <w14:schemeClr w14:val="tx1"/>
            </w14:solidFill>
          </w14:textFill>
        </w:rPr>
        <w:t>。</w:t>
      </w:r>
    </w:p>
    <w:p w14:paraId="686132B2">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①成年母猪数=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4840</w:t>
      </w:r>
      <w:r>
        <w:rPr>
          <w:rFonts w:hint="default" w:ascii="Times New Roman" w:hAnsi="Times New Roman" w:eastAsia="宋体" w:cs="Times New Roman"/>
          <w:color w:val="000000" w:themeColor="text1"/>
          <w:highlight w:val="none"/>
          <w:lang w:eastAsia="zh-CN"/>
          <w14:textFill>
            <w14:solidFill>
              <w14:schemeClr w14:val="tx1"/>
            </w14:solidFill>
          </w14:textFill>
        </w:rPr>
        <w:t>头</w:t>
      </w:r>
    </w:p>
    <w:p w14:paraId="57F645AF">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②后备母猪数=成年母猪数×年更新率=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4840</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eastAsia="zh-CN"/>
          <w14:textFill>
            <w14:solidFill>
              <w14:schemeClr w14:val="tx1"/>
            </w14:solidFill>
          </w14:textFill>
        </w:rPr>
        <w:t>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1452</w:t>
      </w:r>
      <w:r>
        <w:rPr>
          <w:rFonts w:hint="default" w:ascii="Times New Roman" w:hAnsi="Times New Roman" w:eastAsia="宋体" w:cs="Times New Roman"/>
          <w:color w:val="000000" w:themeColor="text1"/>
          <w:highlight w:val="none"/>
          <w:lang w:eastAsia="zh-CN"/>
          <w14:textFill>
            <w14:solidFill>
              <w14:schemeClr w14:val="tx1"/>
            </w14:solidFill>
          </w14:textFill>
        </w:rPr>
        <w:t>头</w:t>
      </w:r>
    </w:p>
    <w:p w14:paraId="5901509D">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③公猪数=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160</w:t>
      </w:r>
      <w:r>
        <w:rPr>
          <w:rFonts w:hint="default" w:ascii="Times New Roman" w:hAnsi="Times New Roman" w:eastAsia="宋体" w:cs="Times New Roman"/>
          <w:color w:val="000000" w:themeColor="text1"/>
          <w:highlight w:val="none"/>
          <w:lang w:eastAsia="zh-CN"/>
          <w14:textFill>
            <w14:solidFill>
              <w14:schemeClr w14:val="tx1"/>
            </w14:solidFill>
          </w14:textFill>
        </w:rPr>
        <w:t>头</w:t>
      </w:r>
    </w:p>
    <w:p w14:paraId="44C8FD80">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④后备公猪数=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160</w:t>
      </w:r>
      <w:r>
        <w:rPr>
          <w:rFonts w:hint="default" w:ascii="Times New Roman" w:hAnsi="Times New Roman" w:eastAsia="宋体" w:cs="Times New Roman"/>
          <w:color w:val="000000" w:themeColor="text1"/>
          <w:highlight w:val="none"/>
          <w:lang w:eastAsia="zh-CN"/>
          <w14:textFill>
            <w14:solidFill>
              <w14:schemeClr w14:val="tx1"/>
            </w14:solidFill>
          </w14:textFill>
        </w:rPr>
        <w:t>×年更新率=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160</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highlight w:val="none"/>
          <w:lang w:eastAsia="zh-CN"/>
          <w14:textFill>
            <w14:solidFill>
              <w14:schemeClr w14:val="tx1"/>
            </w14:solidFill>
          </w14:textFill>
        </w:rPr>
        <w:t>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highlight w:val="none"/>
          <w:lang w:eastAsia="zh-CN"/>
          <w14:textFill>
            <w14:solidFill>
              <w14:schemeClr w14:val="tx1"/>
            </w14:solidFill>
          </w14:textFill>
        </w:rPr>
        <w:t>头</w:t>
      </w:r>
    </w:p>
    <w:p w14:paraId="2D172738">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⑤哺乳仔猪头数=（成年母猪数×年产胎次×每胎产活仔数×哺乳成活率×哺乳天数）/365=(</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4840</w:t>
      </w:r>
      <w:r>
        <w:rPr>
          <w:rFonts w:hint="default" w:ascii="Times New Roman" w:hAnsi="Times New Roman" w:eastAsia="宋体" w:cs="Times New Roman"/>
          <w:color w:val="000000" w:themeColor="text1"/>
          <w:highlight w:val="none"/>
          <w:lang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eastAsia="zh-CN"/>
          <w14:textFill>
            <w14:solidFill>
              <w14:schemeClr w14:val="tx1"/>
            </w14:solidFill>
          </w14:textFill>
        </w:rPr>
        <w:t>×0.9</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28</w:t>
      </w:r>
      <w:r>
        <w:rPr>
          <w:rFonts w:hint="default" w:ascii="Times New Roman" w:hAnsi="Times New Roman" w:eastAsia="宋体" w:cs="Times New Roman"/>
          <w:color w:val="000000" w:themeColor="text1"/>
          <w:highlight w:val="none"/>
          <w:lang w:eastAsia="zh-CN"/>
          <w14:textFill>
            <w14:solidFill>
              <w14:schemeClr w14:val="tx1"/>
            </w14:solidFill>
          </w14:textFill>
        </w:rPr>
        <w:t>)/365头=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9876</w:t>
      </w:r>
      <w:r>
        <w:rPr>
          <w:rFonts w:hint="default" w:ascii="Times New Roman" w:hAnsi="Times New Roman" w:eastAsia="宋体" w:cs="Times New Roman"/>
          <w:color w:val="000000" w:themeColor="text1"/>
          <w:highlight w:val="none"/>
          <w:lang w:eastAsia="zh-CN"/>
          <w14:textFill>
            <w14:solidFill>
              <w14:schemeClr w14:val="tx1"/>
            </w14:solidFill>
          </w14:textFill>
        </w:rPr>
        <w:t>头</w:t>
      </w:r>
    </w:p>
    <w:p w14:paraId="6F8971C1">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⑥保育仔猪数=断奶的仔猪数×保育成活率×保育天数/哺乳天数=</w:t>
      </w:r>
      <w:r>
        <w:rPr>
          <w:rFonts w:hint="eastAsia" w:ascii="Times New Roman" w:hAnsi="Times New Roman" w:eastAsia="宋体" w:cs="Times New Roman"/>
          <w:color w:val="000000" w:themeColor="text1"/>
          <w:highlight w:val="none"/>
          <w:lang w:val="en-US" w:eastAsia="zh-CN"/>
          <w14:textFill>
            <w14:solidFill>
              <w14:schemeClr w14:val="tx1"/>
            </w14:solidFill>
          </w14:textFill>
        </w:rPr>
        <w:t>9876</w:t>
      </w:r>
      <w:r>
        <w:rPr>
          <w:rFonts w:hint="default" w:ascii="Times New Roman" w:hAnsi="Times New Roman" w:eastAsia="宋体" w:cs="Times New Roman"/>
          <w:color w:val="000000" w:themeColor="text1"/>
          <w:highlight w:val="none"/>
          <w:lang w:eastAsia="zh-CN"/>
          <w14:textFill>
            <w14:solidFill>
              <w14:schemeClr w14:val="tx1"/>
            </w14:solidFill>
          </w14:textFill>
        </w:rPr>
        <w:t>×0.9</w:t>
      </w:r>
      <w:r>
        <w:rPr>
          <w:rFonts w:hint="eastAsia" w:ascii="Times New Roman" w:hAnsi="Times New Roman" w:eastAsia="宋体" w:cs="Times New Roman"/>
          <w:color w:val="000000" w:themeColor="text1"/>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35/28</w:t>
      </w:r>
      <w:r>
        <w:rPr>
          <w:rFonts w:hint="default" w:ascii="Times New Roman" w:hAnsi="Times New Roman" w:eastAsia="宋体" w:cs="Times New Roman"/>
          <w:color w:val="000000" w:themeColor="text1"/>
          <w:highlight w:val="none"/>
          <w:lang w:eastAsia="zh-CN"/>
          <w14:textFill>
            <w14:solidFill>
              <w14:schemeClr w14:val="tx1"/>
            </w14:solidFill>
          </w14:textFill>
        </w:rPr>
        <w:t>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11852</w:t>
      </w:r>
      <w:r>
        <w:rPr>
          <w:rFonts w:hint="default" w:ascii="Times New Roman" w:hAnsi="Times New Roman" w:eastAsia="宋体" w:cs="Times New Roman"/>
          <w:color w:val="000000" w:themeColor="text1"/>
          <w:highlight w:val="none"/>
          <w:lang w:eastAsia="zh-CN"/>
          <w14:textFill>
            <w14:solidFill>
              <w14:schemeClr w14:val="tx1"/>
            </w14:solidFill>
          </w14:textFill>
        </w:rPr>
        <w:t>头</w:t>
      </w:r>
    </w:p>
    <w:p w14:paraId="73D0B88C">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eastAsia" w:ascii="宋体" w:hAnsi="宋体" w:eastAsia="宋体" w:cs="宋体"/>
          <w:color w:val="000000" w:themeColor="text1"/>
          <w:spacing w:val="9"/>
          <w:highlight w:val="none"/>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eastAsia" w:ascii="Times New Roman" w:hAnsi="Times New Roman" w:cs="Times New Roman"/>
          <w:color w:val="000000" w:themeColor="text1"/>
          <w:highlight w:val="none"/>
          <w:lang w:val="en-US" w:eastAsia="zh-CN"/>
          <w14:textFill>
            <w14:solidFill>
              <w14:schemeClr w14:val="tx1"/>
            </w14:solidFill>
          </w14:textFill>
        </w:rPr>
        <w:t>出栏</w:t>
      </w:r>
      <w:r>
        <w:rPr>
          <w:rFonts w:hint="default" w:ascii="Times New Roman" w:hAnsi="Times New Roman" w:eastAsia="宋体" w:cs="Times New Roman"/>
          <w:color w:val="000000" w:themeColor="text1"/>
          <w:highlight w:val="none"/>
          <w:lang w:eastAsia="zh-CN"/>
          <w14:textFill>
            <w14:solidFill>
              <w14:schemeClr w14:val="tx1"/>
            </w14:solidFill>
          </w14:textFill>
        </w:rPr>
        <w:t>仔猪</w:t>
      </w:r>
      <w:r>
        <w:rPr>
          <w:rFonts w:hint="eastAsia" w:ascii="Times New Roman" w:hAnsi="Times New Roman" w:cs="Times New Roman"/>
          <w:color w:val="000000" w:themeColor="text1"/>
          <w:highlight w:val="none"/>
          <w:lang w:val="en-US" w:eastAsia="zh-CN"/>
          <w14:textFill>
            <w14:solidFill>
              <w14:schemeClr w14:val="tx1"/>
            </w14:solidFill>
          </w14:textFill>
        </w:rPr>
        <w:t>会在保育仔猪期间出栏，</w:t>
      </w:r>
      <w:r>
        <w:rPr>
          <w:rFonts w:hint="default" w:ascii="Times New Roman" w:hAnsi="Times New Roman" w:eastAsia="宋体" w:cs="Times New Roman"/>
          <w:color w:val="000000" w:themeColor="text1"/>
          <w:highlight w:val="none"/>
          <w:lang w:eastAsia="zh-CN"/>
          <w14:textFill>
            <w14:solidFill>
              <w14:schemeClr w14:val="tx1"/>
            </w14:solidFill>
          </w14:textFill>
        </w:rPr>
        <w:t>保育仔猪年</w:t>
      </w:r>
      <w:r>
        <w:rPr>
          <w:rFonts w:hint="eastAsia" w:ascii="Times New Roman" w:hAnsi="Times New Roman" w:cs="Times New Roman"/>
          <w:color w:val="000000" w:themeColor="text1"/>
          <w:highlight w:val="none"/>
          <w:lang w:val="en-US" w:eastAsia="zh-CN"/>
          <w14:textFill>
            <w14:solidFill>
              <w14:schemeClr w14:val="tx1"/>
            </w14:solidFill>
          </w14:textFill>
        </w:rPr>
        <w:t>生产</w:t>
      </w:r>
      <w:r>
        <w:rPr>
          <w:rFonts w:hint="default" w:ascii="Times New Roman" w:hAnsi="Times New Roman" w:eastAsia="宋体" w:cs="Times New Roman"/>
          <w:color w:val="000000" w:themeColor="text1"/>
          <w:highlight w:val="none"/>
          <w:lang w:eastAsia="zh-CN"/>
          <w14:textFill>
            <w14:solidFill>
              <w14:schemeClr w14:val="tx1"/>
            </w14:solidFill>
          </w14:textFill>
        </w:rPr>
        <w:t>量=成年母猪数×年产胎次×每胎产活仔数×哺乳成活率×保育成活率=</w:t>
      </w:r>
      <w:r>
        <w:rPr>
          <w:rFonts w:hint="eastAsia" w:cs="Times New Roman"/>
          <w:color w:val="000000" w:themeColor="text1"/>
          <w:highlight w:val="none"/>
          <w:lang w:val="en-US" w:eastAsia="zh-CN"/>
          <w14:textFill>
            <w14:solidFill>
              <w14:schemeClr w14:val="tx1"/>
            </w14:solidFill>
          </w14:textFill>
        </w:rPr>
        <w:t>4840</w:t>
      </w:r>
      <w:r>
        <w:rPr>
          <w:rFonts w:hint="default" w:ascii="Times New Roman" w:hAnsi="Times New Roman" w:eastAsia="宋体" w:cs="Times New Roman"/>
          <w:color w:val="000000" w:themeColor="text1"/>
          <w:highlight w:val="none"/>
          <w:lang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highlight w:val="none"/>
          <w:lang w:eastAsia="zh-CN"/>
          <w14:textFill>
            <w14:solidFill>
              <w14:schemeClr w14:val="tx1"/>
            </w14:solidFill>
          </w14:textFill>
        </w:rPr>
        <w:t>×0.9</w:t>
      </w:r>
      <w:r>
        <w:rPr>
          <w:rFonts w:hint="eastAsia" w:ascii="Times New Roman" w:hAnsi="Times New Roman" w:cs="Times New Roman"/>
          <w:color w:val="000000" w:themeColor="text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0.96</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cs="Times New Roman"/>
          <w:color w:val="000000" w:themeColor="text1"/>
          <w:highlight w:val="none"/>
          <w:lang w:val="en-US" w:eastAsia="zh-CN"/>
          <w14:textFill>
            <w14:solidFill>
              <w14:schemeClr w14:val="tx1"/>
            </w14:solidFill>
          </w14:textFill>
        </w:rPr>
        <w:t>23585</w:t>
      </w:r>
      <w:r>
        <w:rPr>
          <w:rFonts w:hint="default" w:ascii="Times New Roman" w:hAnsi="Times New Roman" w:eastAsia="宋体" w:cs="Times New Roman"/>
          <w:color w:val="000000" w:themeColor="text1"/>
          <w:highlight w:val="none"/>
          <w:lang w:eastAsia="zh-CN"/>
          <w14:textFill>
            <w14:solidFill>
              <w14:schemeClr w14:val="tx1"/>
            </w14:solidFill>
          </w14:textFill>
        </w:rPr>
        <w:t>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年出栏仔猪10万头，</w:t>
      </w:r>
      <w:r>
        <w:rPr>
          <w:rFonts w:hint="eastAsia" w:ascii="Times New Roman" w:hAnsi="Times New Roman" w:cs="Times New Roman"/>
          <w:color w:val="000000" w:themeColor="text1"/>
          <w:highlight w:val="none"/>
          <w:lang w:val="en-US" w:eastAsia="zh-CN"/>
          <w14:textFill>
            <w14:solidFill>
              <w14:schemeClr w14:val="tx1"/>
            </w14:solidFill>
          </w14:textFill>
        </w:rPr>
        <w:t>剩余23585头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仔猪</w:t>
      </w:r>
      <w:r>
        <w:rPr>
          <w:rFonts w:hint="eastAsia" w:ascii="Times New Roman" w:hAnsi="Times New Roman" w:cs="Times New Roman"/>
          <w:color w:val="000000" w:themeColor="text1"/>
          <w:highlight w:val="none"/>
          <w:lang w:val="en-US" w:eastAsia="zh-CN"/>
          <w14:textFill>
            <w14:solidFill>
              <w14:schemeClr w14:val="tx1"/>
            </w14:solidFill>
          </w14:textFill>
        </w:rPr>
        <w:t>经过育肥可达成年出栏种猪2万头。</w:t>
      </w:r>
    </w:p>
    <w:p w14:paraId="310B3490">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516" w:firstLineChars="200"/>
        <w:jc w:val="both"/>
        <w:textAlignment w:val="auto"/>
        <w:outlineLvl w:val="9"/>
        <w:rPr>
          <w:rFonts w:hint="eastAsia" w:eastAsia="宋体"/>
          <w:color w:val="000000" w:themeColor="text1"/>
          <w:spacing w:val="3"/>
          <w:highlight w:val="none"/>
          <w:lang w:val="en-US" w:eastAsia="zh-CN"/>
          <w14:textFill>
            <w14:solidFill>
              <w14:schemeClr w14:val="tx1"/>
            </w14:solidFill>
          </w14:textFill>
        </w:rPr>
      </w:pPr>
      <w:r>
        <w:rPr>
          <w:rFonts w:hint="eastAsia" w:ascii="宋体" w:hAnsi="宋体" w:eastAsia="宋体" w:cs="宋体"/>
          <w:color w:val="000000" w:themeColor="text1"/>
          <w:spacing w:val="9"/>
          <w:highlight w:val="none"/>
          <w14:textFill>
            <w14:solidFill>
              <w14:schemeClr w14:val="tx1"/>
            </w14:solidFill>
          </w14:textFill>
        </w:rPr>
        <w:t>⑦</w:t>
      </w:r>
      <w:r>
        <w:rPr>
          <w:color w:val="000000" w:themeColor="text1"/>
          <w:spacing w:val="9"/>
          <w:highlight w:val="none"/>
          <w14:textFill>
            <w14:solidFill>
              <w14:schemeClr w14:val="tx1"/>
            </w14:solidFill>
          </w14:textFill>
        </w:rPr>
        <w:t>生长育肥猪数</w:t>
      </w:r>
      <w:r>
        <w:rPr>
          <w:rFonts w:ascii="Times New Roman" w:hAnsi="Times New Roman" w:eastAsia="Times New Roman" w:cs="Times New Roman"/>
          <w:color w:val="000000" w:themeColor="text1"/>
          <w:spacing w:val="9"/>
          <w:highlight w:val="none"/>
          <w14:textFill>
            <w14:solidFill>
              <w14:schemeClr w14:val="tx1"/>
            </w14:solidFill>
          </w14:textFill>
        </w:rPr>
        <w:t>=</w:t>
      </w:r>
      <w:r>
        <w:rPr>
          <w:rFonts w:hint="eastAsia" w:eastAsia="宋体" w:cs="Times New Roman"/>
          <w:color w:val="000000" w:themeColor="text1"/>
          <w:spacing w:val="9"/>
          <w:highlight w:val="none"/>
          <w:lang w:val="en-US" w:eastAsia="zh-CN"/>
          <w14:textFill>
            <w14:solidFill>
              <w14:schemeClr w14:val="tx1"/>
            </w14:solidFill>
          </w14:textFill>
        </w:rPr>
        <w:t>剩余</w:t>
      </w:r>
      <w:r>
        <w:rPr>
          <w:color w:val="000000" w:themeColor="text1"/>
          <w:spacing w:val="9"/>
          <w:highlight w:val="none"/>
          <w14:textFill>
            <w14:solidFill>
              <w14:schemeClr w14:val="tx1"/>
            </w14:solidFill>
          </w14:textFill>
        </w:rPr>
        <w:t>保育仔猪头数</w:t>
      </w:r>
      <w:r>
        <w:rPr>
          <w:rFonts w:ascii="Times New Roman" w:hAnsi="Times New Roman" w:eastAsia="Times New Roman" w:cs="Times New Roman"/>
          <w:color w:val="000000" w:themeColor="text1"/>
          <w:spacing w:val="9"/>
          <w:highlight w:val="none"/>
          <w14:textFill>
            <w14:solidFill>
              <w14:schemeClr w14:val="tx1"/>
            </w14:solidFill>
          </w14:textFill>
        </w:rPr>
        <w:t>×</w:t>
      </w:r>
      <w:r>
        <w:rPr>
          <w:color w:val="000000" w:themeColor="text1"/>
          <w:spacing w:val="9"/>
          <w:highlight w:val="none"/>
          <w14:textFill>
            <w14:solidFill>
              <w14:schemeClr w14:val="tx1"/>
            </w14:solidFill>
          </w14:textFill>
        </w:rPr>
        <w:t>育肥成活率</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color w:val="000000" w:themeColor="text1"/>
          <w:spacing w:val="9"/>
          <w:highlight w:val="none"/>
          <w14:textFill>
            <w14:solidFill>
              <w14:schemeClr w14:val="tx1"/>
            </w14:solidFill>
          </w14:textFill>
        </w:rPr>
        <w:t>育肥</w:t>
      </w:r>
      <w:r>
        <w:rPr>
          <w:rFonts w:hint="default" w:ascii="Times New Roman" w:hAnsi="Times New Roman" w:eastAsia="宋体" w:cs="Times New Roman"/>
          <w:color w:val="000000" w:themeColor="text1"/>
          <w:highlight w:val="none"/>
          <w:lang w:eastAsia="zh-CN"/>
          <w14:textFill>
            <w14:solidFill>
              <w14:schemeClr w14:val="tx1"/>
            </w14:solidFill>
          </w14:textFill>
        </w:rPr>
        <w:t>天数/365</w:t>
      </w:r>
      <w:r>
        <w:rPr>
          <w:rFonts w:ascii="Times New Roman" w:hAnsi="Times New Roman" w:eastAsia="Times New Roman" w:cs="Times New Roman"/>
          <w:color w:val="000000" w:themeColor="text1"/>
          <w:spacing w:val="3"/>
          <w:highlight w:val="none"/>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23585</w:t>
      </w:r>
      <w:r>
        <w:rPr>
          <w:rFonts w:ascii="Times New Roman" w:hAnsi="Times New Roman" w:eastAsia="Times New Roman" w:cs="Times New Roman"/>
          <w:color w:val="000000" w:themeColor="text1"/>
          <w:spacing w:val="9"/>
          <w:highlight w:val="none"/>
          <w14:textFill>
            <w14:solidFill>
              <w14:schemeClr w14:val="tx1"/>
            </w14:solidFill>
          </w14:textFill>
        </w:rPr>
        <w:t>×</w:t>
      </w:r>
      <w:r>
        <w:rPr>
          <w:rFonts w:hint="eastAsia" w:ascii="Times New Roman" w:hAnsi="Times New Roman" w:eastAsia="宋体" w:cs="Times New Roman"/>
          <w:color w:val="000000" w:themeColor="text1"/>
          <w:spacing w:val="9"/>
          <w:highlight w:val="none"/>
          <w:lang w:val="en-US" w:eastAsia="zh-CN"/>
          <w14:textFill>
            <w14:solidFill>
              <w14:schemeClr w14:val="tx1"/>
            </w14:solidFill>
          </w14:textFill>
        </w:rPr>
        <w:t>0.99</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eastAsia="宋体" w:cs="Times New Roman"/>
          <w:color w:val="000000" w:themeColor="text1"/>
          <w:spacing w:val="6"/>
          <w:highlight w:val="none"/>
          <w:lang w:val="en-US" w:eastAsia="zh-CN"/>
          <w14:textFill>
            <w14:solidFill>
              <w14:schemeClr w14:val="tx1"/>
            </w14:solidFill>
          </w14:textFill>
        </w:rPr>
        <w:t>104</w:t>
      </w:r>
      <w:r>
        <w:rPr>
          <w:rFonts w:hint="default" w:ascii="Times New Roman" w:hAnsi="Times New Roman" w:eastAsia="宋体" w:cs="Times New Roman"/>
          <w:color w:val="000000" w:themeColor="text1"/>
          <w:highlight w:val="none"/>
          <w:lang w:eastAsia="zh-CN"/>
          <w14:textFill>
            <w14:solidFill>
              <w14:schemeClr w14:val="tx1"/>
            </w14:solidFill>
          </w14:textFill>
        </w:rPr>
        <w:t>/365</w:t>
      </w:r>
      <w:r>
        <w:rPr>
          <w:color w:val="000000" w:themeColor="text1"/>
          <w:spacing w:val="3"/>
          <w:highlight w:val="none"/>
          <w14:textFill>
            <w14:solidFill>
              <w14:schemeClr w14:val="tx1"/>
            </w14:solidFill>
          </w14:textFill>
        </w:rPr>
        <w:t>头</w:t>
      </w:r>
      <w:r>
        <w:rPr>
          <w:rFonts w:hint="eastAsia"/>
          <w:color w:val="000000" w:themeColor="text1"/>
          <w:spacing w:val="3"/>
          <w:highlight w:val="none"/>
          <w:lang w:val="en-US" w:eastAsia="zh-CN"/>
          <w14:textFill>
            <w14:solidFill>
              <w14:schemeClr w14:val="tx1"/>
            </w14:solidFill>
          </w14:textFill>
        </w:rPr>
        <w:t>=6653</w:t>
      </w:r>
      <w:r>
        <w:rPr>
          <w:rFonts w:hint="default" w:ascii="Times New Roman" w:hAnsi="Times New Roman" w:eastAsia="宋体" w:cs="Times New Roman"/>
          <w:color w:val="000000" w:themeColor="text1"/>
          <w:highlight w:val="none"/>
          <w:lang w:eastAsia="zh-CN"/>
          <w14:textFill>
            <w14:solidFill>
              <w14:schemeClr w14:val="tx1"/>
            </w14:solidFill>
          </w14:textFill>
        </w:rPr>
        <w:t>头</w:t>
      </w:r>
    </w:p>
    <w:p w14:paraId="757060F5">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年存栏量=成年母猪数+后备母猪数+公猪数+后备公猪数+哺乳仔猪数+保育仔猪数+</w:t>
      </w:r>
      <w:r>
        <w:rPr>
          <w:color w:val="000000" w:themeColor="text1"/>
          <w:spacing w:val="9"/>
          <w:highlight w:val="none"/>
          <w14:textFill>
            <w14:solidFill>
              <w14:schemeClr w14:val="tx1"/>
            </w14:solidFill>
          </w14:textFill>
        </w:rPr>
        <w:t>生长育肥猪数</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4840</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1452</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160</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9876</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11852</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color w:val="000000" w:themeColor="text1"/>
          <w:spacing w:val="3"/>
          <w:highlight w:val="none"/>
          <w:lang w:val="en-US" w:eastAsia="zh-CN"/>
          <w14:textFill>
            <w14:solidFill>
              <w14:schemeClr w14:val="tx1"/>
            </w14:solidFill>
          </w14:textFill>
        </w:rPr>
        <w:t>6653</w:t>
      </w:r>
      <w:r>
        <w:rPr>
          <w:rFonts w:hint="default" w:ascii="Times New Roman" w:hAnsi="Times New Roman" w:eastAsia="宋体" w:cs="Times New Roman"/>
          <w:color w:val="000000" w:themeColor="text1"/>
          <w:highlight w:val="none"/>
          <w:lang w:eastAsia="zh-CN"/>
          <w14:textFill>
            <w14:solidFill>
              <w14:schemeClr w14:val="tx1"/>
            </w14:solidFill>
          </w14:textFill>
        </w:rPr>
        <w:t>头=</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34913</w:t>
      </w:r>
      <w:r>
        <w:rPr>
          <w:rFonts w:hint="default" w:ascii="Times New Roman" w:hAnsi="Times New Roman" w:eastAsia="宋体" w:cs="Times New Roman"/>
          <w:color w:val="000000" w:themeColor="text1"/>
          <w:highlight w:val="none"/>
          <w:lang w:eastAsia="zh-CN"/>
          <w14:textFill>
            <w14:solidFill>
              <w14:schemeClr w14:val="tx1"/>
            </w14:solidFill>
          </w14:textFill>
        </w:rPr>
        <w:t>头</w:t>
      </w:r>
    </w:p>
    <w:p w14:paraId="3D8D05AB">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畜禽养殖业污染物排放标准》对猪的存栏数要求就是体重在25kg以上的猪的数量，畜牧一只小猪大约5kg，则5只小猪体重等于一只成年猪的体重，即5头小猪折成1头成年猪，则项目折合成年猪年存栏量=成年母猪数+后备母猪数+公猪数+后备公猪数+（哺乳仔猪数+保育仔猪数）/5+</w:t>
      </w:r>
      <w:r>
        <w:rPr>
          <w:color w:val="000000" w:themeColor="text1"/>
          <w:spacing w:val="9"/>
          <w:highlight w:val="none"/>
          <w14:textFill>
            <w14:solidFill>
              <w14:schemeClr w14:val="tx1"/>
            </w14:solidFill>
          </w14:textFill>
        </w:rPr>
        <w:t>生长育肥猪数</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17531</w:t>
      </w:r>
      <w:r>
        <w:rPr>
          <w:rFonts w:hint="default" w:ascii="Times New Roman" w:hAnsi="Times New Roman" w:eastAsia="宋体" w:cs="Times New Roman"/>
          <w:color w:val="000000" w:themeColor="text1"/>
          <w:highlight w:val="none"/>
          <w:lang w:eastAsia="zh-CN"/>
          <w14:textFill>
            <w14:solidFill>
              <w14:schemeClr w14:val="tx1"/>
            </w14:solidFill>
          </w14:textFill>
        </w:rPr>
        <w:t>头</w:t>
      </w:r>
    </w:p>
    <w:p w14:paraId="649FBE21">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综上所述，项目养殖规模为年存栏量为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34913</w:t>
      </w:r>
      <w:r>
        <w:rPr>
          <w:rFonts w:hint="default" w:ascii="Times New Roman" w:hAnsi="Times New Roman" w:eastAsia="宋体" w:cs="Times New Roman"/>
          <w:color w:val="000000" w:themeColor="text1"/>
          <w:highlight w:val="none"/>
          <w:lang w:eastAsia="zh-CN"/>
          <w14:textFill>
            <w14:solidFill>
              <w14:schemeClr w14:val="tx1"/>
            </w14:solidFill>
          </w14:textFill>
        </w:rPr>
        <w:t>头，折合成猪</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当量</w:t>
      </w:r>
      <w:r>
        <w:rPr>
          <w:rFonts w:hint="default" w:ascii="Times New Roman" w:hAnsi="Times New Roman" w:eastAsia="宋体" w:cs="Times New Roman"/>
          <w:color w:val="000000" w:themeColor="text1"/>
          <w:highlight w:val="none"/>
          <w:lang w:eastAsia="zh-CN"/>
          <w14:textFill>
            <w14:solidFill>
              <w14:schemeClr w14:val="tx1"/>
            </w14:solidFill>
          </w14:textFill>
        </w:rPr>
        <w:t>年存栏量总数约</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17531</w:t>
      </w:r>
      <w:r>
        <w:rPr>
          <w:rFonts w:hint="default" w:ascii="Times New Roman" w:hAnsi="Times New Roman" w:eastAsia="宋体" w:cs="Times New Roman"/>
          <w:color w:val="000000" w:themeColor="text1"/>
          <w:highlight w:val="none"/>
          <w:lang w:eastAsia="zh-CN"/>
          <w14:textFill>
            <w14:solidFill>
              <w14:schemeClr w14:val="tx1"/>
            </w14:solidFill>
          </w14:textFill>
        </w:rPr>
        <w:t>头。</w:t>
      </w:r>
    </w:p>
    <w:p w14:paraId="62CAB004">
      <w:pPr>
        <w:pStyle w:val="78"/>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480" w:firstLineChars="200"/>
        <w:jc w:val="both"/>
        <w:textAlignment w:val="auto"/>
        <w:outlineLvl w:val="9"/>
        <w:rPr>
          <w:rFonts w:hint="default" w:ascii="Times New Roman" w:hAnsi="Times New Roman" w:cs="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项目</w:t>
      </w:r>
      <w:r>
        <w:rPr>
          <w:rFonts w:hint="eastAsia" w:ascii="Times New Roman" w:hAnsi="Times New Roman"/>
          <w:color w:val="000000" w:themeColor="text1"/>
          <w:highlight w:val="none"/>
          <w:lang w:val="en-US" w:eastAsia="zh-CN"/>
          <w14:textFill>
            <w14:solidFill>
              <w14:schemeClr w14:val="tx1"/>
            </w14:solidFill>
          </w14:textFill>
        </w:rPr>
        <w:t>存栏及出栏情况</w:t>
      </w:r>
      <w:r>
        <w:rPr>
          <w:rFonts w:hint="default" w:ascii="Times New Roman" w:hAnsi="Times New Roman" w:eastAsia="宋体" w:cs="Times New Roman"/>
          <w:color w:val="000000" w:themeColor="text1"/>
          <w:highlight w:val="none"/>
          <w:lang w:eastAsia="zh-CN"/>
          <w14:textFill>
            <w14:solidFill>
              <w14:schemeClr w14:val="tx1"/>
            </w14:solidFill>
          </w14:textFill>
        </w:rPr>
        <w:t>详见表</w:t>
      </w:r>
      <w:r>
        <w:rPr>
          <w:rFonts w:hint="eastAsia" w:ascii="Times New Roman" w:hAnsi="Times New Roman" w:cs="Times New Roman"/>
          <w:color w:val="000000" w:themeColor="text1"/>
          <w:highlight w:val="none"/>
          <w:lang w:val="en-US" w:eastAsia="zh-CN"/>
          <w14:textFill>
            <w14:solidFill>
              <w14:schemeClr w14:val="tx1"/>
            </w14:solidFill>
          </w14:textFill>
        </w:rPr>
        <w:t>3.5-1</w:t>
      </w:r>
      <w:r>
        <w:rPr>
          <w:rFonts w:hint="default" w:ascii="Times New Roman" w:hAnsi="Times New Roman" w:eastAsia="宋体" w:cs="Times New Roman"/>
          <w:color w:val="000000" w:themeColor="text1"/>
          <w:highlight w:val="none"/>
          <w:lang w:eastAsia="zh-CN"/>
          <w14:textFill>
            <w14:solidFill>
              <w14:schemeClr w14:val="tx1"/>
            </w14:solidFill>
          </w14:textFill>
        </w:rPr>
        <w:t>。</w:t>
      </w:r>
    </w:p>
    <w:p w14:paraId="60AEE24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 w:val="21"/>
          <w:szCs w:val="21"/>
          <w:highlight w:val="none"/>
          <w:lang w:val="en-US" w:eastAsia="zh-CN"/>
          <w14:textFill>
            <w14:solidFill>
              <w14:schemeClr w14:val="tx1"/>
            </w14:solidFill>
          </w14:textFill>
        </w:rPr>
        <w:t>表3.5-1</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存栏及出栏情况表</w:t>
      </w:r>
    </w:p>
    <w:tbl>
      <w:tblPr>
        <w:tblStyle w:val="33"/>
        <w:tblW w:w="8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557"/>
        <w:gridCol w:w="1194"/>
        <w:gridCol w:w="2430"/>
        <w:gridCol w:w="2413"/>
      </w:tblGrid>
      <w:tr w14:paraId="3711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noWrap w:val="0"/>
            <w:vAlign w:val="center"/>
          </w:tcPr>
          <w:p w14:paraId="7EB1228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序号</w:t>
            </w:r>
          </w:p>
        </w:tc>
        <w:tc>
          <w:tcPr>
            <w:tcW w:w="1557" w:type="dxa"/>
            <w:tcBorders>
              <w:tl2br w:val="nil"/>
              <w:tr2bl w:val="nil"/>
            </w:tcBorders>
            <w:noWrap w:val="0"/>
            <w:vAlign w:val="center"/>
          </w:tcPr>
          <w:p w14:paraId="4209F8C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名称</w:t>
            </w:r>
          </w:p>
        </w:tc>
        <w:tc>
          <w:tcPr>
            <w:tcW w:w="1194" w:type="dxa"/>
            <w:tcBorders>
              <w:tl2br w:val="nil"/>
              <w:tr2bl w:val="nil"/>
            </w:tcBorders>
            <w:noWrap w:val="0"/>
            <w:vAlign w:val="center"/>
          </w:tcPr>
          <w:p w14:paraId="1524C1D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单位</w:t>
            </w:r>
          </w:p>
        </w:tc>
        <w:tc>
          <w:tcPr>
            <w:tcW w:w="2430" w:type="dxa"/>
            <w:tcBorders>
              <w:tl2br w:val="nil"/>
              <w:tr2bl w:val="nil"/>
            </w:tcBorders>
            <w:noWrap w:val="0"/>
            <w:vAlign w:val="bottom"/>
          </w:tcPr>
          <w:p w14:paraId="3FF6129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存栏</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数量</w:t>
            </w:r>
          </w:p>
        </w:tc>
        <w:tc>
          <w:tcPr>
            <w:tcW w:w="2413" w:type="dxa"/>
            <w:tcBorders>
              <w:tl2br w:val="nil"/>
              <w:tr2bl w:val="nil"/>
            </w:tcBorders>
            <w:noWrap w:val="0"/>
            <w:vAlign w:val="bottom"/>
          </w:tcPr>
          <w:p w14:paraId="26CC549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存栏</w:t>
            </w:r>
            <w:r>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t>数量</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折算猪当量值</w:t>
            </w:r>
          </w:p>
        </w:tc>
      </w:tr>
      <w:tr w14:paraId="15A0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noWrap w:val="0"/>
            <w:vAlign w:val="center"/>
          </w:tcPr>
          <w:p w14:paraId="28F957E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557" w:type="dxa"/>
            <w:tcBorders>
              <w:tl2br w:val="nil"/>
              <w:tr2bl w:val="nil"/>
            </w:tcBorders>
            <w:noWrap w:val="0"/>
            <w:vAlign w:val="center"/>
          </w:tcPr>
          <w:p w14:paraId="532C4D3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成年母猪</w:t>
            </w:r>
          </w:p>
        </w:tc>
        <w:tc>
          <w:tcPr>
            <w:tcW w:w="1194" w:type="dxa"/>
            <w:tcBorders>
              <w:tl2br w:val="nil"/>
              <w:tr2bl w:val="nil"/>
            </w:tcBorders>
            <w:noWrap w:val="0"/>
            <w:vAlign w:val="center"/>
          </w:tcPr>
          <w:p w14:paraId="7A0A0EF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bookmarkStart w:id="91" w:name="_Toc486680659"/>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头</w:t>
            </w:r>
            <w:bookmarkEnd w:id="91"/>
          </w:p>
        </w:tc>
        <w:tc>
          <w:tcPr>
            <w:tcW w:w="2430" w:type="dxa"/>
            <w:tcBorders>
              <w:tl2br w:val="nil"/>
              <w:tr2bl w:val="nil"/>
            </w:tcBorders>
            <w:noWrap w:val="0"/>
            <w:vAlign w:val="bottom"/>
          </w:tcPr>
          <w:p w14:paraId="273AAAC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4840</w:t>
            </w:r>
          </w:p>
        </w:tc>
        <w:tc>
          <w:tcPr>
            <w:tcW w:w="2413" w:type="dxa"/>
            <w:tcBorders>
              <w:tl2br w:val="nil"/>
              <w:tr2bl w:val="nil"/>
            </w:tcBorders>
            <w:noWrap w:val="0"/>
            <w:vAlign w:val="bottom"/>
          </w:tcPr>
          <w:p w14:paraId="3780E38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4840</w:t>
            </w:r>
          </w:p>
        </w:tc>
      </w:tr>
      <w:tr w14:paraId="69586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noWrap w:val="0"/>
            <w:vAlign w:val="center"/>
          </w:tcPr>
          <w:p w14:paraId="3CEDB03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w:t>
            </w:r>
          </w:p>
        </w:tc>
        <w:tc>
          <w:tcPr>
            <w:tcW w:w="1557" w:type="dxa"/>
            <w:tcBorders>
              <w:tl2br w:val="nil"/>
              <w:tr2bl w:val="nil"/>
            </w:tcBorders>
            <w:noWrap w:val="0"/>
            <w:vAlign w:val="center"/>
          </w:tcPr>
          <w:p w14:paraId="66FE29B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后备母猪数</w:t>
            </w:r>
          </w:p>
        </w:tc>
        <w:tc>
          <w:tcPr>
            <w:tcW w:w="1194" w:type="dxa"/>
            <w:tcBorders>
              <w:tl2br w:val="nil"/>
              <w:tr2bl w:val="nil"/>
            </w:tcBorders>
            <w:noWrap w:val="0"/>
            <w:vAlign w:val="center"/>
          </w:tcPr>
          <w:p w14:paraId="35521C5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bookmarkStart w:id="92" w:name="_Toc486680663"/>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头</w:t>
            </w:r>
            <w:bookmarkEnd w:id="92"/>
          </w:p>
        </w:tc>
        <w:tc>
          <w:tcPr>
            <w:tcW w:w="2430" w:type="dxa"/>
            <w:tcBorders>
              <w:tl2br w:val="nil"/>
              <w:tr2bl w:val="nil"/>
            </w:tcBorders>
            <w:noWrap w:val="0"/>
            <w:vAlign w:val="bottom"/>
          </w:tcPr>
          <w:p w14:paraId="6898C5F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1452</w:t>
            </w:r>
          </w:p>
        </w:tc>
        <w:tc>
          <w:tcPr>
            <w:tcW w:w="2413" w:type="dxa"/>
            <w:tcBorders>
              <w:tl2br w:val="nil"/>
              <w:tr2bl w:val="nil"/>
            </w:tcBorders>
            <w:noWrap w:val="0"/>
            <w:vAlign w:val="bottom"/>
          </w:tcPr>
          <w:p w14:paraId="20C72C9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1452</w:t>
            </w:r>
          </w:p>
        </w:tc>
      </w:tr>
      <w:tr w14:paraId="6DA9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noWrap w:val="0"/>
            <w:vAlign w:val="center"/>
          </w:tcPr>
          <w:p w14:paraId="35DAAAA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3</w:t>
            </w:r>
          </w:p>
        </w:tc>
        <w:tc>
          <w:tcPr>
            <w:tcW w:w="1557" w:type="dxa"/>
            <w:tcBorders>
              <w:tl2br w:val="nil"/>
              <w:tr2bl w:val="nil"/>
            </w:tcBorders>
            <w:noWrap w:val="0"/>
            <w:vAlign w:val="center"/>
          </w:tcPr>
          <w:p w14:paraId="76FA39D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bookmarkStart w:id="93" w:name="_Toc486680666"/>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种公猪</w:t>
            </w:r>
            <w:bookmarkEnd w:id="93"/>
          </w:p>
        </w:tc>
        <w:tc>
          <w:tcPr>
            <w:tcW w:w="1194" w:type="dxa"/>
            <w:tcBorders>
              <w:tl2br w:val="nil"/>
              <w:tr2bl w:val="nil"/>
            </w:tcBorders>
            <w:noWrap w:val="0"/>
            <w:vAlign w:val="center"/>
          </w:tcPr>
          <w:p w14:paraId="1F1DE72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bookmarkStart w:id="94" w:name="_Toc486680667"/>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头</w:t>
            </w:r>
            <w:bookmarkEnd w:id="94"/>
          </w:p>
        </w:tc>
        <w:tc>
          <w:tcPr>
            <w:tcW w:w="2430" w:type="dxa"/>
            <w:tcBorders>
              <w:tl2br w:val="nil"/>
              <w:tr2bl w:val="nil"/>
            </w:tcBorders>
            <w:noWrap w:val="0"/>
            <w:vAlign w:val="bottom"/>
          </w:tcPr>
          <w:p w14:paraId="3A4F8AE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160</w:t>
            </w:r>
          </w:p>
        </w:tc>
        <w:tc>
          <w:tcPr>
            <w:tcW w:w="2413" w:type="dxa"/>
            <w:tcBorders>
              <w:tl2br w:val="nil"/>
              <w:tr2bl w:val="nil"/>
            </w:tcBorders>
            <w:noWrap w:val="0"/>
            <w:vAlign w:val="bottom"/>
          </w:tcPr>
          <w:p w14:paraId="650AB14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160</w:t>
            </w:r>
          </w:p>
        </w:tc>
      </w:tr>
      <w:tr w14:paraId="343F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noWrap w:val="0"/>
            <w:vAlign w:val="center"/>
          </w:tcPr>
          <w:p w14:paraId="1F0E4BB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4</w:t>
            </w:r>
          </w:p>
        </w:tc>
        <w:tc>
          <w:tcPr>
            <w:tcW w:w="1557" w:type="dxa"/>
            <w:tcBorders>
              <w:tl2br w:val="nil"/>
              <w:tr2bl w:val="nil"/>
            </w:tcBorders>
            <w:noWrap w:val="0"/>
            <w:vAlign w:val="center"/>
          </w:tcPr>
          <w:p w14:paraId="16A2223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后备公猪</w:t>
            </w:r>
          </w:p>
        </w:tc>
        <w:tc>
          <w:tcPr>
            <w:tcW w:w="1194" w:type="dxa"/>
            <w:tcBorders>
              <w:tl2br w:val="nil"/>
              <w:tr2bl w:val="nil"/>
            </w:tcBorders>
            <w:noWrap w:val="0"/>
            <w:vAlign w:val="center"/>
          </w:tcPr>
          <w:p w14:paraId="277882F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头</w:t>
            </w:r>
          </w:p>
        </w:tc>
        <w:tc>
          <w:tcPr>
            <w:tcW w:w="2430" w:type="dxa"/>
            <w:tcBorders>
              <w:tl2br w:val="nil"/>
              <w:tr2bl w:val="nil"/>
            </w:tcBorders>
            <w:noWrap w:val="0"/>
            <w:vAlign w:val="bottom"/>
          </w:tcPr>
          <w:p w14:paraId="6352DC4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2413" w:type="dxa"/>
            <w:tcBorders>
              <w:tl2br w:val="nil"/>
              <w:tr2bl w:val="nil"/>
            </w:tcBorders>
            <w:noWrap w:val="0"/>
            <w:vAlign w:val="bottom"/>
          </w:tcPr>
          <w:p w14:paraId="7D86BD0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r>
      <w:tr w14:paraId="7B0F5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noWrap w:val="0"/>
            <w:vAlign w:val="center"/>
          </w:tcPr>
          <w:p w14:paraId="0EA938E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5</w:t>
            </w:r>
          </w:p>
        </w:tc>
        <w:tc>
          <w:tcPr>
            <w:tcW w:w="1557" w:type="dxa"/>
            <w:tcBorders>
              <w:tl2br w:val="nil"/>
              <w:tr2bl w:val="nil"/>
            </w:tcBorders>
            <w:noWrap w:val="0"/>
            <w:vAlign w:val="center"/>
          </w:tcPr>
          <w:p w14:paraId="7F41EA1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哺乳仔猪</w:t>
            </w:r>
          </w:p>
        </w:tc>
        <w:tc>
          <w:tcPr>
            <w:tcW w:w="1194" w:type="dxa"/>
            <w:tcBorders>
              <w:tl2br w:val="nil"/>
              <w:tr2bl w:val="nil"/>
            </w:tcBorders>
            <w:noWrap w:val="0"/>
            <w:vAlign w:val="center"/>
          </w:tcPr>
          <w:p w14:paraId="2F05FB8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头</w:t>
            </w:r>
          </w:p>
        </w:tc>
        <w:tc>
          <w:tcPr>
            <w:tcW w:w="2430" w:type="dxa"/>
            <w:tcBorders>
              <w:tl2br w:val="nil"/>
              <w:tr2bl w:val="nil"/>
            </w:tcBorders>
            <w:noWrap w:val="0"/>
            <w:vAlign w:val="bottom"/>
          </w:tcPr>
          <w:p w14:paraId="39D85DE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9876</w:t>
            </w:r>
          </w:p>
        </w:tc>
        <w:tc>
          <w:tcPr>
            <w:tcW w:w="2413" w:type="dxa"/>
            <w:tcBorders>
              <w:tl2br w:val="nil"/>
              <w:tr2bl w:val="nil"/>
            </w:tcBorders>
            <w:noWrap w:val="0"/>
            <w:vAlign w:val="bottom"/>
          </w:tcPr>
          <w:p w14:paraId="271FDD6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1975</w:t>
            </w:r>
          </w:p>
        </w:tc>
      </w:tr>
      <w:tr w14:paraId="350A1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noWrap w:val="0"/>
            <w:vAlign w:val="center"/>
          </w:tcPr>
          <w:p w14:paraId="356A7EB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bookmarkStart w:id="95" w:name="_Toc20003"/>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6</w:t>
            </w:r>
          </w:p>
        </w:tc>
        <w:tc>
          <w:tcPr>
            <w:tcW w:w="1557" w:type="dxa"/>
            <w:tcBorders>
              <w:tl2br w:val="nil"/>
              <w:tr2bl w:val="nil"/>
            </w:tcBorders>
            <w:noWrap w:val="0"/>
            <w:vAlign w:val="center"/>
          </w:tcPr>
          <w:p w14:paraId="68B5A20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保育仔猪</w:t>
            </w:r>
          </w:p>
        </w:tc>
        <w:tc>
          <w:tcPr>
            <w:tcW w:w="1194" w:type="dxa"/>
            <w:tcBorders>
              <w:tl2br w:val="nil"/>
              <w:tr2bl w:val="nil"/>
            </w:tcBorders>
            <w:noWrap w:val="0"/>
            <w:vAlign w:val="center"/>
          </w:tcPr>
          <w:p w14:paraId="08E24900">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头</w:t>
            </w:r>
          </w:p>
        </w:tc>
        <w:tc>
          <w:tcPr>
            <w:tcW w:w="2430" w:type="dxa"/>
            <w:tcBorders>
              <w:tl2br w:val="nil"/>
              <w:tr2bl w:val="nil"/>
            </w:tcBorders>
            <w:noWrap w:val="0"/>
            <w:vAlign w:val="bottom"/>
          </w:tcPr>
          <w:p w14:paraId="50A8639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11852</w:t>
            </w:r>
          </w:p>
        </w:tc>
        <w:tc>
          <w:tcPr>
            <w:tcW w:w="2413" w:type="dxa"/>
            <w:tcBorders>
              <w:tl2br w:val="nil"/>
              <w:tr2bl w:val="nil"/>
            </w:tcBorders>
            <w:noWrap w:val="0"/>
            <w:vAlign w:val="bottom"/>
          </w:tcPr>
          <w:p w14:paraId="0C61682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2371</w:t>
            </w:r>
          </w:p>
        </w:tc>
      </w:tr>
      <w:tr w14:paraId="02BD6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3" w:type="dxa"/>
            <w:tcBorders>
              <w:tl2br w:val="nil"/>
              <w:tr2bl w:val="nil"/>
            </w:tcBorders>
            <w:noWrap w:val="0"/>
            <w:vAlign w:val="center"/>
          </w:tcPr>
          <w:p w14:paraId="7335792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7</w:t>
            </w:r>
          </w:p>
        </w:tc>
        <w:tc>
          <w:tcPr>
            <w:tcW w:w="1557" w:type="dxa"/>
            <w:tcBorders>
              <w:tl2br w:val="nil"/>
              <w:tr2bl w:val="nil"/>
            </w:tcBorders>
            <w:noWrap w:val="0"/>
            <w:vAlign w:val="center"/>
          </w:tcPr>
          <w:p w14:paraId="3DA0E89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生长育肥猪</w:t>
            </w:r>
          </w:p>
        </w:tc>
        <w:tc>
          <w:tcPr>
            <w:tcW w:w="1194" w:type="dxa"/>
            <w:tcBorders>
              <w:tl2br w:val="nil"/>
              <w:tr2bl w:val="nil"/>
            </w:tcBorders>
            <w:noWrap w:val="0"/>
            <w:vAlign w:val="center"/>
          </w:tcPr>
          <w:p w14:paraId="6905741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头</w:t>
            </w:r>
          </w:p>
        </w:tc>
        <w:tc>
          <w:tcPr>
            <w:tcW w:w="2430" w:type="dxa"/>
            <w:tcBorders>
              <w:tl2br w:val="nil"/>
              <w:tr2bl w:val="nil"/>
            </w:tcBorders>
            <w:noWrap w:val="0"/>
            <w:vAlign w:val="bottom"/>
          </w:tcPr>
          <w:p w14:paraId="6C49D21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6653</w:t>
            </w:r>
          </w:p>
        </w:tc>
        <w:tc>
          <w:tcPr>
            <w:tcW w:w="2413" w:type="dxa"/>
            <w:tcBorders>
              <w:tl2br w:val="nil"/>
              <w:tr2bl w:val="nil"/>
            </w:tcBorders>
            <w:noWrap w:val="0"/>
            <w:vAlign w:val="bottom"/>
          </w:tcPr>
          <w:p w14:paraId="2392C85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6653</w:t>
            </w:r>
          </w:p>
        </w:tc>
      </w:tr>
      <w:tr w14:paraId="2DDF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80" w:type="dxa"/>
            <w:gridSpan w:val="2"/>
            <w:tcBorders>
              <w:tl2br w:val="nil"/>
              <w:tr2bl w:val="nil"/>
            </w:tcBorders>
            <w:noWrap w:val="0"/>
            <w:vAlign w:val="center"/>
          </w:tcPr>
          <w:p w14:paraId="3FEAA3C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总计</w:t>
            </w:r>
          </w:p>
        </w:tc>
        <w:tc>
          <w:tcPr>
            <w:tcW w:w="1194" w:type="dxa"/>
            <w:tcBorders>
              <w:tl2br w:val="nil"/>
              <w:tr2bl w:val="nil"/>
            </w:tcBorders>
            <w:noWrap w:val="0"/>
            <w:vAlign w:val="center"/>
          </w:tcPr>
          <w:p w14:paraId="3E6794B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头</w:t>
            </w:r>
          </w:p>
        </w:tc>
        <w:tc>
          <w:tcPr>
            <w:tcW w:w="2430" w:type="dxa"/>
            <w:tcBorders>
              <w:tl2br w:val="nil"/>
              <w:tr2bl w:val="nil"/>
            </w:tcBorders>
            <w:noWrap w:val="0"/>
            <w:vAlign w:val="bottom"/>
          </w:tcPr>
          <w:p w14:paraId="3DA66A06">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34913</w:t>
            </w:r>
          </w:p>
        </w:tc>
        <w:tc>
          <w:tcPr>
            <w:tcW w:w="2413" w:type="dxa"/>
            <w:tcBorders>
              <w:tl2br w:val="nil"/>
              <w:tr2bl w:val="nil"/>
            </w:tcBorders>
            <w:noWrap w:val="0"/>
            <w:vAlign w:val="bottom"/>
          </w:tcPr>
          <w:p w14:paraId="4670049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17531</w:t>
            </w:r>
          </w:p>
        </w:tc>
      </w:tr>
      <w:bookmarkEnd w:id="89"/>
      <w:bookmarkEnd w:id="90"/>
      <w:bookmarkEnd w:id="95"/>
    </w:tbl>
    <w:p w14:paraId="737B76B2">
      <w:pPr>
        <w:pStyle w:val="3"/>
        <w:rPr>
          <w:color w:val="000000" w:themeColor="text1"/>
          <w:highlight w:val="none"/>
          <w14:textFill>
            <w14:solidFill>
              <w14:schemeClr w14:val="tx1"/>
            </w14:solidFill>
          </w14:textFill>
        </w:rPr>
      </w:pPr>
      <w:bookmarkStart w:id="96" w:name="_Toc4787"/>
      <w:bookmarkStart w:id="97" w:name="_Toc32278"/>
      <w:bookmarkStart w:id="98" w:name="_Toc3552"/>
      <w:bookmarkStart w:id="99" w:name="_Toc7362"/>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.6主要设备</w:t>
      </w:r>
      <w:bookmarkEnd w:id="96"/>
      <w:bookmarkEnd w:id="97"/>
      <w:bookmarkEnd w:id="98"/>
      <w:bookmarkEnd w:id="99"/>
    </w:p>
    <w:p w14:paraId="4D3CF56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本项目主要设备见表</w:t>
      </w:r>
      <w:r>
        <w:rPr>
          <w:rFonts w:hint="eastAsia"/>
          <w:color w:val="000000" w:themeColor="text1"/>
          <w:highlight w:val="none"/>
          <w14:textFill>
            <w14:solidFill>
              <w14:schemeClr w14:val="tx1"/>
            </w14:solidFill>
          </w14:textFill>
        </w:rPr>
        <w:t>3.6-1</w:t>
      </w:r>
      <w:r>
        <w:rPr>
          <w:color w:val="000000" w:themeColor="text1"/>
          <w:highlight w:val="none"/>
          <w14:textFill>
            <w14:solidFill>
              <w14:schemeClr w14:val="tx1"/>
            </w14:solidFill>
          </w14:textFill>
        </w:rPr>
        <w:t>。</w:t>
      </w:r>
    </w:p>
    <w:p w14:paraId="77D21434">
      <w:pPr>
        <w:spacing w:line="240" w:lineRule="auto"/>
        <w:jc w:val="center"/>
        <w:rPr>
          <w:b/>
          <w:bCs/>
          <w:color w:val="000000" w:themeColor="text1"/>
          <w:sz w:val="21"/>
          <w:szCs w:val="21"/>
          <w:highlight w:val="none"/>
          <w14:textFill>
            <w14:solidFill>
              <w14:schemeClr w14:val="tx1"/>
            </w14:solidFill>
          </w14:textFill>
        </w:rPr>
      </w:pPr>
      <w:bookmarkStart w:id="100" w:name="_Ref395097886"/>
      <w:r>
        <w:rPr>
          <w:b/>
          <w:bCs/>
          <w:color w:val="000000" w:themeColor="text1"/>
          <w:sz w:val="21"/>
          <w:szCs w:val="21"/>
          <w:highlight w:val="none"/>
          <w14:textFill>
            <w14:solidFill>
              <w14:schemeClr w14:val="tx1"/>
            </w14:solidFill>
          </w14:textFill>
        </w:rPr>
        <w:t>表</w:t>
      </w:r>
      <w:bookmarkEnd w:id="100"/>
      <w:r>
        <w:rPr>
          <w:rFonts w:hint="eastAsia"/>
          <w:b/>
          <w:bCs/>
          <w:color w:val="000000" w:themeColor="text1"/>
          <w:sz w:val="21"/>
          <w:szCs w:val="21"/>
          <w:highlight w:val="none"/>
          <w14:textFill>
            <w14:solidFill>
              <w14:schemeClr w14:val="tx1"/>
            </w14:solidFill>
          </w14:textFill>
        </w:rPr>
        <w:t>3.6-1</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项目主要设备</w:t>
      </w:r>
    </w:p>
    <w:tbl>
      <w:tblPr>
        <w:tblStyle w:val="34"/>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362"/>
        <w:gridCol w:w="433"/>
        <w:gridCol w:w="2149"/>
        <w:gridCol w:w="1248"/>
        <w:gridCol w:w="3547"/>
      </w:tblGrid>
      <w:tr w14:paraId="4661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Align w:val="center"/>
          </w:tcPr>
          <w:p w14:paraId="146D3805">
            <w:pPr>
              <w:spacing w:line="240" w:lineRule="auto"/>
              <w:jc w:val="center"/>
              <w:rPr>
                <w:b/>
                <w:bCs/>
                <w:color w:val="000000" w:themeColor="text1"/>
                <w:sz w:val="21"/>
                <w:szCs w:val="21"/>
                <w:highlight w:val="none"/>
                <w14:textFill>
                  <w14:solidFill>
                    <w14:schemeClr w14:val="tx1"/>
                  </w14:solidFill>
                </w14:textFill>
              </w:rPr>
            </w:pPr>
            <w:bookmarkStart w:id="101" w:name="_Toc3988"/>
            <w:bookmarkStart w:id="102" w:name="_Toc13740"/>
            <w:r>
              <w:rPr>
                <w:rFonts w:hint="eastAsia"/>
                <w:b/>
                <w:bCs/>
                <w:color w:val="000000" w:themeColor="text1"/>
                <w:sz w:val="21"/>
                <w:szCs w:val="21"/>
                <w:highlight w:val="none"/>
                <w14:textFill>
                  <w14:solidFill>
                    <w14:schemeClr w14:val="tx1"/>
                  </w14:solidFill>
                </w14:textFill>
              </w:rPr>
              <w:t>序号</w:t>
            </w:r>
          </w:p>
        </w:tc>
        <w:tc>
          <w:tcPr>
            <w:tcW w:w="471" w:type="pct"/>
            <w:gridSpan w:val="2"/>
            <w:vAlign w:val="center"/>
          </w:tcPr>
          <w:p w14:paraId="4F259A75">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类型</w:t>
            </w:r>
          </w:p>
        </w:tc>
        <w:tc>
          <w:tcPr>
            <w:tcW w:w="1275" w:type="pct"/>
            <w:vAlign w:val="center"/>
          </w:tcPr>
          <w:p w14:paraId="24A11C89">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项目名称</w:t>
            </w:r>
          </w:p>
        </w:tc>
        <w:tc>
          <w:tcPr>
            <w:tcW w:w="740" w:type="pct"/>
            <w:vAlign w:val="center"/>
          </w:tcPr>
          <w:p w14:paraId="506C3CED">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数量</w:t>
            </w:r>
          </w:p>
        </w:tc>
        <w:tc>
          <w:tcPr>
            <w:tcW w:w="2104" w:type="pct"/>
            <w:vAlign w:val="center"/>
          </w:tcPr>
          <w:p w14:paraId="6CA88279">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规格型号</w:t>
            </w:r>
          </w:p>
        </w:tc>
      </w:tr>
      <w:tr w14:paraId="2B29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restart"/>
            <w:vAlign w:val="center"/>
          </w:tcPr>
          <w:p w14:paraId="70E3E3D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14" w:type="pct"/>
            <w:vMerge w:val="restart"/>
            <w:vAlign w:val="center"/>
          </w:tcPr>
          <w:p w14:paraId="3EBA42E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养殖设备</w:t>
            </w:r>
          </w:p>
        </w:tc>
        <w:tc>
          <w:tcPr>
            <w:tcW w:w="256" w:type="pct"/>
            <w:vMerge w:val="restart"/>
            <w:vAlign w:val="center"/>
          </w:tcPr>
          <w:p w14:paraId="04EAFE8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猪舍</w:t>
            </w:r>
          </w:p>
        </w:tc>
        <w:tc>
          <w:tcPr>
            <w:tcW w:w="1275" w:type="pct"/>
            <w:vAlign w:val="center"/>
          </w:tcPr>
          <w:p w14:paraId="744F1464">
            <w:pPr>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default" w:cs="Times New Roman"/>
                <w:bCs/>
                <w:color w:val="000000" w:themeColor="text1"/>
                <w:kern w:val="2"/>
                <w:sz w:val="21"/>
                <w:szCs w:val="21"/>
                <w:highlight w:val="none"/>
                <w:lang w:eastAsia="zh-CN" w:bidi="ar-SA"/>
                <w14:textFill>
                  <w14:solidFill>
                    <w14:schemeClr w14:val="tx1"/>
                  </w14:solidFill>
                </w14:textFill>
              </w:rPr>
              <w:t>料塔</w:t>
            </w:r>
          </w:p>
        </w:tc>
        <w:tc>
          <w:tcPr>
            <w:tcW w:w="740" w:type="pct"/>
            <w:vAlign w:val="center"/>
          </w:tcPr>
          <w:p w14:paraId="6D4FC11C">
            <w:pPr>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15</w:t>
            </w: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个</w:t>
            </w:r>
          </w:p>
        </w:tc>
        <w:tc>
          <w:tcPr>
            <w:tcW w:w="2104" w:type="pct"/>
            <w:vAlign w:val="center"/>
          </w:tcPr>
          <w:p w14:paraId="68373F11">
            <w:pPr>
              <w:snapToGrid/>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t>22T</w:t>
            </w:r>
            <w:r>
              <w:rPr>
                <w:rFonts w:hint="eastAsia" w:cs="Times New Roman"/>
                <w:bCs/>
                <w:color w:val="000000" w:themeColor="text1"/>
                <w:kern w:val="2"/>
                <w:sz w:val="21"/>
                <w:szCs w:val="21"/>
                <w:highlight w:val="none"/>
                <w:lang w:val="en-US" w:eastAsia="zh-CN" w:bidi="ar-SA"/>
                <w14:textFill>
                  <w14:solidFill>
                    <w14:schemeClr w14:val="tx1"/>
                  </w14:solidFill>
                </w14:textFill>
              </w:rPr>
              <w:t>/10.5T/32T/5.4T等</w:t>
            </w:r>
          </w:p>
        </w:tc>
      </w:tr>
      <w:tr w14:paraId="63E9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8" w:type="pct"/>
            <w:vMerge w:val="continue"/>
            <w:vAlign w:val="center"/>
          </w:tcPr>
          <w:p w14:paraId="76395269">
            <w:pPr>
              <w:spacing w:line="240" w:lineRule="auto"/>
              <w:jc w:val="center"/>
              <w:rPr>
                <w:color w:val="000000" w:themeColor="text1"/>
                <w:sz w:val="21"/>
                <w:szCs w:val="21"/>
                <w:highlight w:val="none"/>
                <w14:textFill>
                  <w14:solidFill>
                    <w14:schemeClr w14:val="tx1"/>
                  </w14:solidFill>
                </w14:textFill>
              </w:rPr>
            </w:pPr>
          </w:p>
        </w:tc>
        <w:tc>
          <w:tcPr>
            <w:tcW w:w="214" w:type="pct"/>
            <w:vMerge w:val="continue"/>
            <w:vAlign w:val="center"/>
          </w:tcPr>
          <w:p w14:paraId="26098169">
            <w:pPr>
              <w:spacing w:line="240" w:lineRule="auto"/>
              <w:jc w:val="center"/>
              <w:rPr>
                <w:color w:val="000000" w:themeColor="text1"/>
                <w:sz w:val="21"/>
                <w:szCs w:val="21"/>
                <w:highlight w:val="none"/>
                <w14:textFill>
                  <w14:solidFill>
                    <w14:schemeClr w14:val="tx1"/>
                  </w14:solidFill>
                </w14:textFill>
              </w:rPr>
            </w:pPr>
          </w:p>
        </w:tc>
        <w:tc>
          <w:tcPr>
            <w:tcW w:w="256" w:type="pct"/>
            <w:vMerge w:val="continue"/>
            <w:vAlign w:val="center"/>
          </w:tcPr>
          <w:p w14:paraId="48EB3427">
            <w:pPr>
              <w:spacing w:line="240" w:lineRule="auto"/>
              <w:jc w:val="center"/>
              <w:rPr>
                <w:color w:val="000000" w:themeColor="text1"/>
                <w:sz w:val="21"/>
                <w:szCs w:val="21"/>
                <w:highlight w:val="none"/>
                <w14:textFill>
                  <w14:solidFill>
                    <w14:schemeClr w14:val="tx1"/>
                  </w14:solidFill>
                </w14:textFill>
              </w:rPr>
            </w:pPr>
          </w:p>
        </w:tc>
        <w:tc>
          <w:tcPr>
            <w:tcW w:w="1275" w:type="pct"/>
            <w:vAlign w:val="center"/>
          </w:tcPr>
          <w:p w14:paraId="52B3E0E5">
            <w:pPr>
              <w:snapToGrid/>
              <w:spacing w:line="240" w:lineRule="auto"/>
              <w:ind w:firstLine="0" w:firstLineChars="0"/>
              <w:jc w:val="center"/>
              <w:rPr>
                <w:rFonts w:hint="default" w:cs="Times New Roman"/>
                <w:bCs/>
                <w:color w:val="000000" w:themeColor="text1"/>
                <w:kern w:val="2"/>
                <w:sz w:val="21"/>
                <w:szCs w:val="21"/>
                <w:highlight w:val="none"/>
                <w:lang w:eastAsia="zh-CN" w:bidi="ar-SA"/>
                <w14:textFill>
                  <w14:solidFill>
                    <w14:schemeClr w14:val="tx1"/>
                  </w14:solidFill>
                </w14:textFill>
              </w:rPr>
            </w:pPr>
            <w:r>
              <w:rPr>
                <w:rFonts w:hint="default" w:cs="Times New Roman"/>
                <w:bCs/>
                <w:color w:val="000000" w:themeColor="text1"/>
                <w:kern w:val="2"/>
                <w:sz w:val="21"/>
                <w:szCs w:val="21"/>
                <w:highlight w:val="none"/>
                <w:lang w:eastAsia="zh-CN" w:bidi="ar-SA"/>
                <w14:textFill>
                  <w14:solidFill>
                    <w14:schemeClr w14:val="tx1"/>
                  </w14:solidFill>
                </w14:textFill>
              </w:rPr>
              <w:t>饲料输送机</w:t>
            </w:r>
          </w:p>
        </w:tc>
        <w:tc>
          <w:tcPr>
            <w:tcW w:w="740" w:type="pct"/>
            <w:vAlign w:val="center"/>
          </w:tcPr>
          <w:p w14:paraId="334A31FE">
            <w:pPr>
              <w:snapToGrid/>
              <w:spacing w:line="240" w:lineRule="auto"/>
              <w:ind w:firstLine="0" w:firstLineChars="0"/>
              <w:jc w:val="center"/>
              <w:rPr>
                <w:rFonts w:hint="default" w:cs="Times New Roman"/>
                <w:bCs/>
                <w:color w:val="000000" w:themeColor="text1"/>
                <w:kern w:val="2"/>
                <w:sz w:val="21"/>
                <w:szCs w:val="21"/>
                <w:highlight w:val="none"/>
                <w:lang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15套</w:t>
            </w:r>
          </w:p>
        </w:tc>
        <w:tc>
          <w:tcPr>
            <w:tcW w:w="2104" w:type="pct"/>
            <w:vAlign w:val="center"/>
          </w:tcPr>
          <w:p w14:paraId="613C99B4">
            <w:pPr>
              <w:snapToGrid/>
              <w:spacing w:line="240" w:lineRule="auto"/>
              <w:ind w:firstLine="0" w:firstLineChars="0"/>
              <w:jc w:val="center"/>
              <w:rPr>
                <w:rFonts w:hint="default" w:cs="Times New Roman"/>
                <w:bCs/>
                <w:color w:val="000000" w:themeColor="text1"/>
                <w:kern w:val="2"/>
                <w:sz w:val="21"/>
                <w:szCs w:val="21"/>
                <w:highlight w:val="none"/>
                <w:lang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w:t>
            </w:r>
          </w:p>
        </w:tc>
      </w:tr>
      <w:tr w14:paraId="7658A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vAlign w:val="center"/>
          </w:tcPr>
          <w:p w14:paraId="31E62403">
            <w:pPr>
              <w:spacing w:line="240" w:lineRule="auto"/>
              <w:jc w:val="center"/>
              <w:rPr>
                <w:color w:val="000000" w:themeColor="text1"/>
                <w:sz w:val="21"/>
                <w:szCs w:val="21"/>
                <w:highlight w:val="none"/>
                <w14:textFill>
                  <w14:solidFill>
                    <w14:schemeClr w14:val="tx1"/>
                  </w14:solidFill>
                </w14:textFill>
              </w:rPr>
            </w:pPr>
          </w:p>
        </w:tc>
        <w:tc>
          <w:tcPr>
            <w:tcW w:w="214" w:type="pct"/>
            <w:vMerge w:val="continue"/>
            <w:vAlign w:val="center"/>
          </w:tcPr>
          <w:p w14:paraId="21E94F1D">
            <w:pPr>
              <w:spacing w:line="240" w:lineRule="auto"/>
              <w:jc w:val="center"/>
              <w:rPr>
                <w:color w:val="000000" w:themeColor="text1"/>
                <w:sz w:val="21"/>
                <w:szCs w:val="21"/>
                <w:highlight w:val="none"/>
                <w14:textFill>
                  <w14:solidFill>
                    <w14:schemeClr w14:val="tx1"/>
                  </w14:solidFill>
                </w14:textFill>
              </w:rPr>
            </w:pPr>
          </w:p>
        </w:tc>
        <w:tc>
          <w:tcPr>
            <w:tcW w:w="256" w:type="pct"/>
            <w:vMerge w:val="continue"/>
            <w:vAlign w:val="center"/>
          </w:tcPr>
          <w:p w14:paraId="0321FC97">
            <w:pPr>
              <w:spacing w:line="240" w:lineRule="auto"/>
              <w:jc w:val="center"/>
              <w:rPr>
                <w:color w:val="000000" w:themeColor="text1"/>
                <w:sz w:val="21"/>
                <w:szCs w:val="21"/>
                <w:highlight w:val="none"/>
                <w14:textFill>
                  <w14:solidFill>
                    <w14:schemeClr w14:val="tx1"/>
                  </w14:solidFill>
                </w14:textFill>
              </w:rPr>
            </w:pPr>
          </w:p>
        </w:tc>
        <w:tc>
          <w:tcPr>
            <w:tcW w:w="1275" w:type="pct"/>
            <w:vAlign w:val="top"/>
          </w:tcPr>
          <w:p w14:paraId="3D04930A">
            <w:pPr>
              <w:snapToGrid/>
              <w:spacing w:line="240" w:lineRule="auto"/>
              <w:ind w:firstLine="0" w:firstLineChars="0"/>
              <w:jc w:val="center"/>
              <w:rPr>
                <w:rFonts w:hint="default" w:cs="Times New Roman"/>
                <w:bCs/>
                <w:color w:val="000000" w:themeColor="text1"/>
                <w:kern w:val="2"/>
                <w:sz w:val="21"/>
                <w:szCs w:val="21"/>
                <w:highlight w:val="none"/>
                <w:lang w:val="en-US" w:eastAsia="en-US" w:bidi="ar-SA"/>
                <w14:textFill>
                  <w14:solidFill>
                    <w14:schemeClr w14:val="tx1"/>
                  </w14:solidFill>
                </w14:textFill>
              </w:rPr>
            </w:pPr>
            <w:r>
              <w:rPr>
                <w:rFonts w:hint="default" w:cs="Times New Roman"/>
                <w:bCs/>
                <w:color w:val="000000" w:themeColor="text1"/>
                <w:kern w:val="2"/>
                <w:sz w:val="21"/>
                <w:szCs w:val="21"/>
                <w:highlight w:val="none"/>
                <w:lang w:eastAsia="zh-CN" w:bidi="ar-SA"/>
                <w14:textFill>
                  <w14:solidFill>
                    <w14:schemeClr w14:val="tx1"/>
                  </w14:solidFill>
                </w14:textFill>
              </w:rPr>
              <w:t>自动水线</w:t>
            </w:r>
          </w:p>
        </w:tc>
        <w:tc>
          <w:tcPr>
            <w:tcW w:w="740" w:type="pct"/>
            <w:vAlign w:val="top"/>
          </w:tcPr>
          <w:p w14:paraId="3FCF7A25">
            <w:pPr>
              <w:snapToGrid/>
              <w:spacing w:line="240" w:lineRule="auto"/>
              <w:ind w:firstLine="0" w:firstLineChars="0"/>
              <w:jc w:val="center"/>
              <w:rPr>
                <w:rFonts w:hint="default" w:cs="Times New Roman"/>
                <w:bCs/>
                <w:color w:val="000000" w:themeColor="text1"/>
                <w:kern w:val="2"/>
                <w:sz w:val="21"/>
                <w:szCs w:val="21"/>
                <w:highlight w:val="none"/>
                <w:lang w:val="en-US" w:eastAsia="en-US"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1</w:t>
            </w:r>
            <w:r>
              <w:rPr>
                <w:rFonts w:hint="default" w:cs="Times New Roman"/>
                <w:bCs/>
                <w:color w:val="000000" w:themeColor="text1"/>
                <w:kern w:val="2"/>
                <w:sz w:val="21"/>
                <w:szCs w:val="21"/>
                <w:highlight w:val="none"/>
                <w:lang w:eastAsia="zh-CN" w:bidi="ar-SA"/>
                <w14:textFill>
                  <w14:solidFill>
                    <w14:schemeClr w14:val="tx1"/>
                  </w14:solidFill>
                </w14:textFill>
              </w:rPr>
              <w:t>套</w:t>
            </w:r>
          </w:p>
        </w:tc>
        <w:tc>
          <w:tcPr>
            <w:tcW w:w="2104" w:type="pct"/>
            <w:vAlign w:val="center"/>
          </w:tcPr>
          <w:p w14:paraId="49D95C06">
            <w:pPr>
              <w:snapToGrid/>
              <w:spacing w:line="240" w:lineRule="auto"/>
              <w:ind w:firstLine="0" w:firstLineChars="0"/>
              <w:jc w:val="center"/>
              <w:rPr>
                <w:rFonts w:hint="default" w:cs="Times New Roman"/>
                <w:bCs/>
                <w:color w:val="000000" w:themeColor="text1"/>
                <w:kern w:val="2"/>
                <w:sz w:val="21"/>
                <w:szCs w:val="21"/>
                <w:highlight w:val="none"/>
                <w:lang w:val="en-US"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w:t>
            </w:r>
          </w:p>
        </w:tc>
      </w:tr>
      <w:tr w14:paraId="69FCF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vAlign w:val="center"/>
          </w:tcPr>
          <w:p w14:paraId="4515BDF3">
            <w:pPr>
              <w:spacing w:line="240" w:lineRule="auto"/>
              <w:jc w:val="center"/>
              <w:rPr>
                <w:color w:val="000000" w:themeColor="text1"/>
                <w:sz w:val="21"/>
                <w:szCs w:val="21"/>
                <w:highlight w:val="none"/>
                <w14:textFill>
                  <w14:solidFill>
                    <w14:schemeClr w14:val="tx1"/>
                  </w14:solidFill>
                </w14:textFill>
              </w:rPr>
            </w:pPr>
          </w:p>
        </w:tc>
        <w:tc>
          <w:tcPr>
            <w:tcW w:w="214" w:type="pct"/>
            <w:vMerge w:val="continue"/>
            <w:vAlign w:val="center"/>
          </w:tcPr>
          <w:p w14:paraId="7DA0057E">
            <w:pPr>
              <w:spacing w:line="240" w:lineRule="auto"/>
              <w:jc w:val="center"/>
              <w:rPr>
                <w:color w:val="000000" w:themeColor="text1"/>
                <w:sz w:val="21"/>
                <w:szCs w:val="21"/>
                <w:highlight w:val="none"/>
                <w14:textFill>
                  <w14:solidFill>
                    <w14:schemeClr w14:val="tx1"/>
                  </w14:solidFill>
                </w14:textFill>
              </w:rPr>
            </w:pPr>
          </w:p>
        </w:tc>
        <w:tc>
          <w:tcPr>
            <w:tcW w:w="256" w:type="pct"/>
            <w:vMerge w:val="continue"/>
            <w:vAlign w:val="center"/>
          </w:tcPr>
          <w:p w14:paraId="3853B90A">
            <w:pPr>
              <w:spacing w:line="240" w:lineRule="auto"/>
              <w:jc w:val="center"/>
              <w:rPr>
                <w:color w:val="000000" w:themeColor="text1"/>
                <w:sz w:val="21"/>
                <w:szCs w:val="21"/>
                <w:highlight w:val="none"/>
                <w14:textFill>
                  <w14:solidFill>
                    <w14:schemeClr w14:val="tx1"/>
                  </w14:solidFill>
                </w14:textFill>
              </w:rPr>
            </w:pPr>
          </w:p>
        </w:tc>
        <w:tc>
          <w:tcPr>
            <w:tcW w:w="1275" w:type="pct"/>
            <w:vAlign w:val="center"/>
          </w:tcPr>
          <w:p w14:paraId="1C77EFD0">
            <w:pPr>
              <w:snapToGrid/>
              <w:spacing w:line="240" w:lineRule="auto"/>
              <w:ind w:firstLine="0" w:firstLineChars="0"/>
              <w:jc w:val="center"/>
              <w:rPr>
                <w:rFonts w:hint="default" w:cs="Times New Roman"/>
                <w:bCs/>
                <w:color w:val="000000" w:themeColor="text1"/>
                <w:kern w:val="2"/>
                <w:sz w:val="21"/>
                <w:szCs w:val="21"/>
                <w:highlight w:val="none"/>
                <w:lang w:eastAsia="zh-CN" w:bidi="ar-SA"/>
                <w14:textFill>
                  <w14:solidFill>
                    <w14:schemeClr w14:val="tx1"/>
                  </w14:solidFill>
                </w14:textFill>
              </w:rPr>
            </w:pPr>
            <w:r>
              <w:rPr>
                <w:rFonts w:hint="eastAsia" w:cs="Times New Roman"/>
                <w:bCs/>
                <w:color w:val="000000" w:themeColor="text1"/>
                <w:kern w:val="2"/>
                <w:sz w:val="21"/>
                <w:szCs w:val="21"/>
                <w:highlight w:val="none"/>
                <w:lang w:eastAsia="zh-CN" w:bidi="ar-SA"/>
                <w14:textFill>
                  <w14:solidFill>
                    <w14:schemeClr w14:val="tx1"/>
                  </w14:solidFill>
                </w14:textFill>
              </w:rPr>
              <w:t>负压风机</w:t>
            </w:r>
            <w:r>
              <w:rPr>
                <w:rFonts w:hint="default" w:cs="Times New Roman"/>
                <w:bCs/>
                <w:color w:val="000000" w:themeColor="text1"/>
                <w:kern w:val="2"/>
                <w:sz w:val="21"/>
                <w:szCs w:val="21"/>
                <w:highlight w:val="none"/>
                <w:lang w:eastAsia="zh-CN" w:bidi="ar-SA"/>
                <w14:textFill>
                  <w14:solidFill>
                    <w14:schemeClr w14:val="tx1"/>
                  </w14:solidFill>
                </w14:textFill>
              </w:rPr>
              <w:t>+</w:t>
            </w:r>
            <w:r>
              <w:rPr>
                <w:rFonts w:hint="eastAsia" w:cs="Times New Roman"/>
                <w:bCs/>
                <w:color w:val="000000" w:themeColor="text1"/>
                <w:kern w:val="2"/>
                <w:sz w:val="21"/>
                <w:szCs w:val="21"/>
                <w:highlight w:val="none"/>
                <w:lang w:eastAsia="zh-CN" w:bidi="ar-SA"/>
                <w14:textFill>
                  <w14:solidFill>
                    <w14:schemeClr w14:val="tx1"/>
                  </w14:solidFill>
                </w14:textFill>
              </w:rPr>
              <w:t>水帘</w:t>
            </w:r>
          </w:p>
        </w:tc>
        <w:tc>
          <w:tcPr>
            <w:tcW w:w="740" w:type="pct"/>
            <w:vAlign w:val="center"/>
          </w:tcPr>
          <w:p w14:paraId="11F2B042">
            <w:pPr>
              <w:snapToGrid/>
              <w:spacing w:line="240" w:lineRule="auto"/>
              <w:ind w:firstLine="0" w:firstLineChars="0"/>
              <w:jc w:val="center"/>
              <w:rPr>
                <w:rFonts w:hint="eastAsia" w:cs="Times New Roman"/>
                <w:bCs/>
                <w:color w:val="000000" w:themeColor="text1"/>
                <w:kern w:val="2"/>
                <w:sz w:val="21"/>
                <w:szCs w:val="21"/>
                <w:highlight w:val="none"/>
                <w:lang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120套</w:t>
            </w:r>
          </w:p>
        </w:tc>
        <w:tc>
          <w:tcPr>
            <w:tcW w:w="2104" w:type="pct"/>
            <w:vAlign w:val="center"/>
          </w:tcPr>
          <w:p w14:paraId="6BA38F86">
            <w:pPr>
              <w:snapToGrid/>
              <w:spacing w:line="240" w:lineRule="auto"/>
              <w:ind w:firstLine="0" w:firstLineChars="0"/>
              <w:jc w:val="center"/>
              <w:rPr>
                <w:rFonts w:hint="default" w:cs="Times New Roman"/>
                <w:bCs/>
                <w:color w:val="000000" w:themeColor="text1"/>
                <w:kern w:val="2"/>
                <w:sz w:val="21"/>
                <w:szCs w:val="21"/>
                <w:highlight w:val="none"/>
                <w:lang w:eastAsia="zh-CN" w:bidi="ar-SA"/>
                <w14:textFill>
                  <w14:solidFill>
                    <w14:schemeClr w14:val="tx1"/>
                  </w14:solidFill>
                </w14:textFill>
              </w:rPr>
            </w:pPr>
            <w:r>
              <w:rPr>
                <w:rFonts w:hint="eastAsia" w:cs="Times New Roman"/>
                <w:bCs/>
                <w:color w:val="000000" w:themeColor="text1"/>
                <w:kern w:val="2"/>
                <w:sz w:val="21"/>
                <w:szCs w:val="21"/>
                <w:highlight w:val="none"/>
                <w:lang w:val="en-US" w:eastAsia="zh-CN" w:bidi="ar-SA"/>
                <w14:textFill>
                  <w14:solidFill>
                    <w14:schemeClr w14:val="tx1"/>
                  </w14:solidFill>
                </w14:textFill>
              </w:rPr>
              <w:t>1.1kw/1.5kw/1.8kw等</w:t>
            </w:r>
          </w:p>
        </w:tc>
      </w:tr>
      <w:tr w14:paraId="6568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restart"/>
            <w:vAlign w:val="center"/>
          </w:tcPr>
          <w:p w14:paraId="1909C7E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471" w:type="pct"/>
            <w:gridSpan w:val="2"/>
            <w:vMerge w:val="restart"/>
            <w:vAlign w:val="center"/>
          </w:tcPr>
          <w:p w14:paraId="764BB24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消毒公共设备</w:t>
            </w:r>
          </w:p>
        </w:tc>
        <w:tc>
          <w:tcPr>
            <w:tcW w:w="1275" w:type="pct"/>
            <w:vAlign w:val="center"/>
          </w:tcPr>
          <w:p w14:paraId="37522ED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消毒冲洗设备</w:t>
            </w:r>
          </w:p>
        </w:tc>
        <w:tc>
          <w:tcPr>
            <w:tcW w:w="740" w:type="pct"/>
            <w:vAlign w:val="center"/>
          </w:tcPr>
          <w:p w14:paraId="28946F8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1套</w:t>
            </w:r>
          </w:p>
        </w:tc>
        <w:tc>
          <w:tcPr>
            <w:tcW w:w="2104" w:type="pct"/>
            <w:vAlign w:val="center"/>
          </w:tcPr>
          <w:p w14:paraId="6702194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60DD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vAlign w:val="center"/>
          </w:tcPr>
          <w:p w14:paraId="50D87706">
            <w:pPr>
              <w:spacing w:line="240" w:lineRule="auto"/>
              <w:jc w:val="center"/>
              <w:rPr>
                <w:color w:val="000000" w:themeColor="text1"/>
                <w:sz w:val="21"/>
                <w:szCs w:val="21"/>
                <w:highlight w:val="none"/>
                <w14:textFill>
                  <w14:solidFill>
                    <w14:schemeClr w14:val="tx1"/>
                  </w14:solidFill>
                </w14:textFill>
              </w:rPr>
            </w:pPr>
          </w:p>
        </w:tc>
        <w:tc>
          <w:tcPr>
            <w:tcW w:w="471" w:type="pct"/>
            <w:gridSpan w:val="2"/>
            <w:vMerge w:val="continue"/>
            <w:vAlign w:val="center"/>
          </w:tcPr>
          <w:p w14:paraId="4EC52954">
            <w:pPr>
              <w:spacing w:line="240" w:lineRule="auto"/>
              <w:jc w:val="center"/>
              <w:rPr>
                <w:color w:val="000000" w:themeColor="text1"/>
                <w:sz w:val="21"/>
                <w:szCs w:val="21"/>
                <w:highlight w:val="none"/>
                <w14:textFill>
                  <w14:solidFill>
                    <w14:schemeClr w14:val="tx1"/>
                  </w14:solidFill>
                </w14:textFill>
              </w:rPr>
            </w:pPr>
          </w:p>
        </w:tc>
        <w:tc>
          <w:tcPr>
            <w:tcW w:w="1275" w:type="pct"/>
            <w:vAlign w:val="center"/>
          </w:tcPr>
          <w:p w14:paraId="656BD8B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猪场管理软件</w:t>
            </w:r>
          </w:p>
        </w:tc>
        <w:tc>
          <w:tcPr>
            <w:tcW w:w="740" w:type="pct"/>
            <w:vAlign w:val="center"/>
          </w:tcPr>
          <w:p w14:paraId="5719CF7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1套</w:t>
            </w:r>
          </w:p>
        </w:tc>
        <w:tc>
          <w:tcPr>
            <w:tcW w:w="2104" w:type="pct"/>
            <w:vAlign w:val="center"/>
          </w:tcPr>
          <w:p w14:paraId="4112F0B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0FB59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vAlign w:val="center"/>
          </w:tcPr>
          <w:p w14:paraId="593FD76D">
            <w:pPr>
              <w:spacing w:line="240" w:lineRule="auto"/>
              <w:jc w:val="center"/>
              <w:rPr>
                <w:color w:val="000000" w:themeColor="text1"/>
                <w:sz w:val="21"/>
                <w:szCs w:val="21"/>
                <w:highlight w:val="none"/>
                <w14:textFill>
                  <w14:solidFill>
                    <w14:schemeClr w14:val="tx1"/>
                  </w14:solidFill>
                </w14:textFill>
              </w:rPr>
            </w:pPr>
          </w:p>
        </w:tc>
        <w:tc>
          <w:tcPr>
            <w:tcW w:w="471" w:type="pct"/>
            <w:gridSpan w:val="2"/>
            <w:vMerge w:val="continue"/>
            <w:vAlign w:val="center"/>
          </w:tcPr>
          <w:p w14:paraId="435B1459">
            <w:pPr>
              <w:spacing w:line="240" w:lineRule="auto"/>
              <w:jc w:val="center"/>
              <w:rPr>
                <w:color w:val="000000" w:themeColor="text1"/>
                <w:sz w:val="21"/>
                <w:szCs w:val="21"/>
                <w:highlight w:val="none"/>
                <w14:textFill>
                  <w14:solidFill>
                    <w14:schemeClr w14:val="tx1"/>
                  </w14:solidFill>
                </w14:textFill>
              </w:rPr>
            </w:pPr>
          </w:p>
        </w:tc>
        <w:tc>
          <w:tcPr>
            <w:tcW w:w="1275" w:type="pct"/>
            <w:vAlign w:val="center"/>
          </w:tcPr>
          <w:p w14:paraId="18DC6EA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厂区监控系统</w:t>
            </w:r>
          </w:p>
        </w:tc>
        <w:tc>
          <w:tcPr>
            <w:tcW w:w="740" w:type="pct"/>
            <w:vAlign w:val="center"/>
          </w:tcPr>
          <w:p w14:paraId="6A183E1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1套</w:t>
            </w:r>
          </w:p>
        </w:tc>
        <w:tc>
          <w:tcPr>
            <w:tcW w:w="2104" w:type="pct"/>
            <w:vAlign w:val="center"/>
          </w:tcPr>
          <w:p w14:paraId="31D8EC8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14206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restart"/>
            <w:vAlign w:val="center"/>
          </w:tcPr>
          <w:p w14:paraId="4A7DFB9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471" w:type="pct"/>
            <w:gridSpan w:val="2"/>
            <w:vMerge w:val="restart"/>
            <w:vAlign w:val="center"/>
          </w:tcPr>
          <w:p w14:paraId="5101D03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环保设备</w:t>
            </w:r>
          </w:p>
        </w:tc>
        <w:tc>
          <w:tcPr>
            <w:tcW w:w="1275" w:type="pct"/>
            <w:vAlign w:val="center"/>
          </w:tcPr>
          <w:p w14:paraId="40C33B5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固液分离机</w:t>
            </w:r>
          </w:p>
        </w:tc>
        <w:tc>
          <w:tcPr>
            <w:tcW w:w="740" w:type="pct"/>
            <w:vAlign w:val="center"/>
          </w:tcPr>
          <w:p w14:paraId="75632A4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套</w:t>
            </w:r>
          </w:p>
        </w:tc>
        <w:tc>
          <w:tcPr>
            <w:tcW w:w="2104" w:type="pct"/>
            <w:vAlign w:val="center"/>
          </w:tcPr>
          <w:p w14:paraId="17DB65A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6EB0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vAlign w:val="center"/>
          </w:tcPr>
          <w:p w14:paraId="498651F2">
            <w:pPr>
              <w:spacing w:line="240" w:lineRule="auto"/>
              <w:jc w:val="center"/>
              <w:rPr>
                <w:color w:val="000000" w:themeColor="text1"/>
                <w:sz w:val="21"/>
                <w:szCs w:val="21"/>
                <w:highlight w:val="none"/>
                <w14:textFill>
                  <w14:solidFill>
                    <w14:schemeClr w14:val="tx1"/>
                  </w14:solidFill>
                </w14:textFill>
              </w:rPr>
            </w:pPr>
          </w:p>
        </w:tc>
        <w:tc>
          <w:tcPr>
            <w:tcW w:w="471" w:type="pct"/>
            <w:gridSpan w:val="2"/>
            <w:vMerge w:val="continue"/>
            <w:vAlign w:val="center"/>
          </w:tcPr>
          <w:p w14:paraId="373AB449">
            <w:pPr>
              <w:spacing w:line="240" w:lineRule="auto"/>
              <w:jc w:val="center"/>
              <w:rPr>
                <w:color w:val="000000" w:themeColor="text1"/>
                <w:sz w:val="21"/>
                <w:szCs w:val="21"/>
                <w:highlight w:val="none"/>
                <w14:textFill>
                  <w14:solidFill>
                    <w14:schemeClr w14:val="tx1"/>
                  </w14:solidFill>
                </w14:textFill>
              </w:rPr>
            </w:pPr>
          </w:p>
        </w:tc>
        <w:tc>
          <w:tcPr>
            <w:tcW w:w="1275" w:type="pct"/>
            <w:vAlign w:val="center"/>
          </w:tcPr>
          <w:p w14:paraId="1A2F7FB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粪污运输车辆</w:t>
            </w:r>
          </w:p>
        </w:tc>
        <w:tc>
          <w:tcPr>
            <w:tcW w:w="740" w:type="pct"/>
            <w:vAlign w:val="center"/>
          </w:tcPr>
          <w:p w14:paraId="00E8273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1量</w:t>
            </w:r>
          </w:p>
        </w:tc>
        <w:tc>
          <w:tcPr>
            <w:tcW w:w="2104" w:type="pct"/>
            <w:vAlign w:val="center"/>
          </w:tcPr>
          <w:p w14:paraId="52AB1CA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02BC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vAlign w:val="center"/>
          </w:tcPr>
          <w:p w14:paraId="2EB33020">
            <w:pPr>
              <w:spacing w:line="240" w:lineRule="auto"/>
              <w:jc w:val="center"/>
              <w:rPr>
                <w:color w:val="000000" w:themeColor="text1"/>
                <w:sz w:val="21"/>
                <w:szCs w:val="21"/>
                <w:highlight w:val="none"/>
                <w14:textFill>
                  <w14:solidFill>
                    <w14:schemeClr w14:val="tx1"/>
                  </w14:solidFill>
                </w14:textFill>
              </w:rPr>
            </w:pPr>
          </w:p>
        </w:tc>
        <w:tc>
          <w:tcPr>
            <w:tcW w:w="471" w:type="pct"/>
            <w:gridSpan w:val="2"/>
            <w:vMerge w:val="continue"/>
            <w:vAlign w:val="center"/>
          </w:tcPr>
          <w:p w14:paraId="672E0EA5">
            <w:pPr>
              <w:spacing w:line="240" w:lineRule="auto"/>
              <w:jc w:val="center"/>
              <w:rPr>
                <w:color w:val="000000" w:themeColor="text1"/>
                <w:sz w:val="21"/>
                <w:szCs w:val="21"/>
                <w:highlight w:val="none"/>
                <w14:textFill>
                  <w14:solidFill>
                    <w14:schemeClr w14:val="tx1"/>
                  </w14:solidFill>
                </w14:textFill>
              </w:rPr>
            </w:pPr>
          </w:p>
        </w:tc>
        <w:tc>
          <w:tcPr>
            <w:tcW w:w="1275" w:type="pct"/>
            <w:vAlign w:val="center"/>
          </w:tcPr>
          <w:p w14:paraId="0B2B4F10">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漏粪地板</w:t>
            </w:r>
          </w:p>
        </w:tc>
        <w:tc>
          <w:tcPr>
            <w:tcW w:w="740" w:type="pct"/>
            <w:vAlign w:val="center"/>
          </w:tcPr>
          <w:p w14:paraId="589B6354">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2104" w:type="pct"/>
            <w:vAlign w:val="center"/>
          </w:tcPr>
          <w:p w14:paraId="71AA0618">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半粪漏</w:t>
            </w:r>
          </w:p>
        </w:tc>
      </w:tr>
    </w:tbl>
    <w:p w14:paraId="6D33FBFE">
      <w:pPr>
        <w:pStyle w:val="3"/>
        <w:rPr>
          <w:color w:val="000000" w:themeColor="text1"/>
          <w:highlight w:val="none"/>
          <w14:textFill>
            <w14:solidFill>
              <w14:schemeClr w14:val="tx1"/>
            </w14:solidFill>
          </w14:textFill>
        </w:rPr>
      </w:pPr>
      <w:bookmarkStart w:id="103" w:name="_Toc970"/>
      <w:bookmarkStart w:id="104" w:name="_Toc2993"/>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.7公用工程</w:t>
      </w:r>
      <w:bookmarkEnd w:id="101"/>
      <w:bookmarkEnd w:id="102"/>
      <w:bookmarkEnd w:id="103"/>
      <w:bookmarkEnd w:id="104"/>
    </w:p>
    <w:p w14:paraId="2A67191C">
      <w:pPr>
        <w:pStyle w:val="4"/>
        <w:rPr>
          <w:color w:val="000000" w:themeColor="text1"/>
          <w:highlight w:val="none"/>
          <w14:textFill>
            <w14:solidFill>
              <w14:schemeClr w14:val="tx1"/>
            </w14:solidFill>
          </w14:textFill>
        </w:rPr>
      </w:pPr>
      <w:bookmarkStart w:id="105" w:name="_Toc19872"/>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.7.1供水</w:t>
      </w:r>
      <w:bookmarkEnd w:id="105"/>
    </w:p>
    <w:p w14:paraId="4C8DE39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本项目供水</w:t>
      </w:r>
      <w:r>
        <w:rPr>
          <w:rFonts w:hint="eastAsia"/>
          <w:color w:val="000000" w:themeColor="text1"/>
          <w:highlight w:val="none"/>
          <w14:textFill>
            <w14:solidFill>
              <w14:schemeClr w14:val="tx1"/>
            </w14:solidFill>
          </w14:textFill>
        </w:rPr>
        <w:t>依托</w:t>
      </w:r>
      <w:r>
        <w:rPr>
          <w:rFonts w:hint="eastAsia"/>
          <w:color w:val="000000" w:themeColor="text1"/>
          <w:highlight w:val="none"/>
          <w:lang w:val="en-US" w:eastAsia="zh-CN"/>
          <w14:textFill>
            <w14:solidFill>
              <w14:schemeClr w14:val="tx1"/>
            </w14:solidFill>
          </w14:textFill>
        </w:rPr>
        <w:t>项目区取水井</w:t>
      </w:r>
      <w:r>
        <w:rPr>
          <w:rFonts w:hint="eastAsia"/>
          <w:color w:val="000000" w:themeColor="text1"/>
          <w:highlight w:val="none"/>
          <w14:textFill>
            <w14:solidFill>
              <w14:schemeClr w14:val="tx1"/>
            </w14:solidFill>
          </w14:textFill>
        </w:rPr>
        <w:t>供水</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取水井坐标84°32′2.289″,44°50′11.064″，</w:t>
      </w:r>
      <w:r>
        <w:rPr>
          <w:color w:val="000000" w:themeColor="text1"/>
          <w:highlight w:val="none"/>
          <w14:textFill>
            <w14:solidFill>
              <w14:schemeClr w14:val="tx1"/>
            </w14:solidFill>
          </w14:textFill>
        </w:rPr>
        <w:t>主要包括职工生活用水、生猪饮用水、猪舍清洗用水、猪舍降温用水、消毒液以及除臭剂配制用水。根据核算，本项目总用</w:t>
      </w:r>
      <w:r>
        <w:rPr>
          <w:rFonts w:hint="eastAsia"/>
          <w:color w:val="000000" w:themeColor="text1"/>
          <w:highlight w:val="none"/>
          <w14:textFill>
            <w14:solidFill>
              <w14:schemeClr w14:val="tx1"/>
            </w14:solidFill>
          </w14:textFill>
        </w:rPr>
        <w:t>水</w:t>
      </w:r>
      <w:r>
        <w:rPr>
          <w:color w:val="000000" w:themeColor="text1"/>
          <w:highlight w:val="none"/>
          <w14:textFill>
            <w14:solidFill>
              <w14:schemeClr w14:val="tx1"/>
            </w14:solidFill>
          </w14:textFill>
        </w:rPr>
        <w:t>量为</w:t>
      </w:r>
      <w:r>
        <w:rPr>
          <w:rFonts w:hint="eastAsia"/>
          <w:color w:val="000000" w:themeColor="text1"/>
          <w:highlight w:val="none"/>
          <w:lang w:val="en-US" w:eastAsia="zh-CN"/>
          <w14:textFill>
            <w14:solidFill>
              <w14:schemeClr w14:val="tx1"/>
            </w14:solidFill>
          </w14:textFill>
        </w:rPr>
        <w:t>80856.81</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p>
    <w:p w14:paraId="0DE39A7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（1）生活用水</w:t>
      </w:r>
    </w:p>
    <w:p w14:paraId="176C03A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本项目劳动定员</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人，年工作时间为3</w:t>
      </w:r>
      <w:r>
        <w:rPr>
          <w:rFonts w:hint="eastAsia"/>
          <w:color w:val="000000" w:themeColor="text1"/>
          <w:highlight w:val="none"/>
          <w:lang w:val="en-US" w:eastAsia="zh-CN"/>
          <w14:textFill>
            <w14:solidFill>
              <w14:schemeClr w14:val="tx1"/>
            </w14:solidFill>
          </w14:textFill>
        </w:rPr>
        <w:t>65</w:t>
      </w:r>
      <w:r>
        <w:rPr>
          <w:color w:val="000000" w:themeColor="text1"/>
          <w:highlight w:val="none"/>
          <w14:textFill>
            <w14:solidFill>
              <w14:schemeClr w14:val="tx1"/>
            </w14:solidFill>
          </w14:textFill>
        </w:rPr>
        <w:t>天，生活区内设置洗浴间，根据《</w:t>
      </w:r>
      <w:r>
        <w:rPr>
          <w:rFonts w:hint="eastAsia"/>
          <w:color w:val="000000" w:themeColor="text1"/>
          <w:highlight w:val="none"/>
          <w14:textFill>
            <w14:solidFill>
              <w14:schemeClr w14:val="tx1"/>
            </w14:solidFill>
          </w14:textFill>
        </w:rPr>
        <w:t>建筑给水排水设计标准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GB 50015-2019</w:t>
      </w:r>
      <w:r>
        <w:rPr>
          <w:color w:val="000000" w:themeColor="text1"/>
          <w:highlight w:val="none"/>
          <w14:textFill>
            <w14:solidFill>
              <w14:schemeClr w14:val="tx1"/>
            </w14:solidFill>
          </w14:textFill>
        </w:rPr>
        <w:t>），职工生活用水定额按120L/（人·d）计，则生活用水量为</w:t>
      </w:r>
      <w:r>
        <w:rPr>
          <w:rFonts w:hint="eastAsia"/>
          <w:color w:val="000000" w:themeColor="text1"/>
          <w:highlight w:val="none"/>
          <w:lang w:val="en-US" w:eastAsia="zh-CN"/>
          <w14:textFill>
            <w14:solidFill>
              <w14:schemeClr w14:val="tx1"/>
            </w14:solidFill>
          </w14:textFill>
        </w:rPr>
        <w:t>3.6</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1314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p>
    <w:p w14:paraId="61B8467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（2）生猪饮水</w:t>
      </w:r>
    </w:p>
    <w:p w14:paraId="342249F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《规模化养猪场的科学用水管理》</w:t>
      </w:r>
      <w:r>
        <w:rPr>
          <w:color w:val="000000" w:themeColor="text1"/>
          <w:highlight w:val="none"/>
          <w14:textFill>
            <w14:solidFill>
              <w14:schemeClr w14:val="tx1"/>
            </w14:solidFill>
          </w14:textFill>
        </w:rPr>
        <w:t>，结合新疆泰昆集团有限责任公司已投入运营的</w:t>
      </w:r>
      <w:r>
        <w:rPr>
          <w:rFonts w:hint="eastAsia"/>
          <w:color w:val="000000" w:themeColor="text1"/>
          <w:highlight w:val="none"/>
          <w:lang w:val="en-US" w:eastAsia="zh-CN"/>
          <w14:textFill>
            <w14:solidFill>
              <w14:schemeClr w14:val="tx1"/>
            </w14:solidFill>
          </w14:textFill>
        </w:rPr>
        <w:t>生</w:t>
      </w:r>
      <w:r>
        <w:rPr>
          <w:color w:val="000000" w:themeColor="text1"/>
          <w:highlight w:val="none"/>
          <w14:textFill>
            <w14:solidFill>
              <w14:schemeClr w14:val="tx1"/>
            </w14:solidFill>
          </w14:textFill>
        </w:rPr>
        <w:t>猪场猪只饮用水的实际情况，本工程</w:t>
      </w:r>
      <w:r>
        <w:rPr>
          <w:rFonts w:hint="eastAsia"/>
          <w:color w:val="000000" w:themeColor="text1"/>
          <w:highlight w:val="none"/>
          <w:lang w:val="en-US" w:eastAsia="zh-CN"/>
          <w14:textFill>
            <w14:solidFill>
              <w14:schemeClr w14:val="tx1"/>
            </w14:solidFill>
          </w14:textFill>
        </w:rPr>
        <w:t>生</w:t>
      </w:r>
      <w:r>
        <w:rPr>
          <w:color w:val="000000" w:themeColor="text1"/>
          <w:highlight w:val="none"/>
          <w14:textFill>
            <w14:solidFill>
              <w14:schemeClr w14:val="tx1"/>
            </w14:solidFill>
          </w14:textFill>
        </w:rPr>
        <w:t>猪饮水情况见表</w:t>
      </w:r>
      <w:r>
        <w:rPr>
          <w:rFonts w:hint="eastAsia"/>
          <w:color w:val="000000" w:themeColor="text1"/>
          <w:highlight w:val="none"/>
          <w14:textFill>
            <w14:solidFill>
              <w14:schemeClr w14:val="tx1"/>
            </w14:solidFill>
          </w14:textFill>
        </w:rPr>
        <w:t>3.7-1</w:t>
      </w:r>
      <w:r>
        <w:rPr>
          <w:color w:val="000000" w:themeColor="text1"/>
          <w:highlight w:val="none"/>
          <w14:textFill>
            <w14:solidFill>
              <w14:schemeClr w14:val="tx1"/>
            </w14:solidFill>
          </w14:textFill>
        </w:rPr>
        <w:t>。</w:t>
      </w:r>
    </w:p>
    <w:p w14:paraId="069845DF">
      <w:pPr>
        <w:spacing w:line="240" w:lineRule="auto"/>
        <w:jc w:val="center"/>
        <w:rPr>
          <w:rFonts w:hint="default" w:eastAsia="宋体"/>
          <w:b/>
          <w:bCs/>
          <w:color w:val="000000" w:themeColor="text1"/>
          <w:sz w:val="21"/>
          <w:szCs w:val="2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3.7-1</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项目</w:t>
      </w:r>
      <w:r>
        <w:rPr>
          <w:rFonts w:hint="eastAsia"/>
          <w:b/>
          <w:bCs/>
          <w:color w:val="000000" w:themeColor="text1"/>
          <w:sz w:val="21"/>
          <w:szCs w:val="21"/>
          <w:highlight w:val="none"/>
          <w:lang w:val="en-US" w:eastAsia="zh-CN"/>
          <w14:textFill>
            <w14:solidFill>
              <w14:schemeClr w14:val="tx1"/>
            </w14:solidFill>
          </w14:textFill>
        </w:rPr>
        <w:t>猪群饮水量</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1705"/>
        <w:gridCol w:w="1705"/>
      </w:tblGrid>
      <w:tr w14:paraId="7A982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710E5C8F">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猪群类别</w:t>
            </w:r>
          </w:p>
        </w:tc>
        <w:tc>
          <w:tcPr>
            <w:tcW w:w="1704" w:type="dxa"/>
            <w:vAlign w:val="center"/>
          </w:tcPr>
          <w:p w14:paraId="0DC2ACB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饮水量（L/d·头）</w:t>
            </w:r>
          </w:p>
        </w:tc>
        <w:tc>
          <w:tcPr>
            <w:tcW w:w="1704" w:type="dxa"/>
            <w:vAlign w:val="center"/>
          </w:tcPr>
          <w:p w14:paraId="4DCEB968">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本项目取值（L/d·头）</w:t>
            </w:r>
          </w:p>
        </w:tc>
        <w:tc>
          <w:tcPr>
            <w:tcW w:w="1705" w:type="dxa"/>
            <w:vAlign w:val="center"/>
          </w:tcPr>
          <w:p w14:paraId="26B8C6D3">
            <w:pPr>
              <w:keepNext w:val="0"/>
              <w:keepLines w:val="0"/>
              <w:widowControl/>
              <w:suppressLineNumbers w:val="0"/>
              <w:jc w:val="center"/>
              <w:rPr>
                <w:rFonts w:hint="default" w:eastAsia="宋体"/>
                <w:b/>
                <w:bCs/>
                <w:color w:val="000000" w:themeColor="text1"/>
                <w:sz w:val="21"/>
                <w:szCs w:val="21"/>
                <w:highlight w:val="none"/>
                <w:vertAlign w:val="baseline"/>
                <w:lang w:val="en-US" w:eastAsia="zh-CN"/>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常年</w:t>
            </w:r>
            <w:r>
              <w:rPr>
                <w:rFonts w:hint="eastAsia"/>
                <w:b/>
                <w:bCs/>
                <w:color w:val="000000" w:themeColor="text1"/>
                <w:sz w:val="21"/>
                <w:szCs w:val="21"/>
                <w:highlight w:val="none"/>
                <w:vertAlign w:val="baseline"/>
                <w:lang w:val="en-US" w:eastAsia="zh-CN"/>
                <w14:textFill>
                  <w14:solidFill>
                    <w14:schemeClr w14:val="tx1"/>
                  </w14:solidFill>
                </w14:textFill>
              </w:rPr>
              <w:t>存栏量</w:t>
            </w:r>
          </w:p>
        </w:tc>
        <w:tc>
          <w:tcPr>
            <w:tcW w:w="1705" w:type="dxa"/>
            <w:vAlign w:val="center"/>
          </w:tcPr>
          <w:p w14:paraId="4D54037A">
            <w:pPr>
              <w:spacing w:line="240" w:lineRule="auto"/>
              <w:jc w:val="center"/>
              <w:rPr>
                <w:rFonts w:hint="eastAsia" w:eastAsia="宋体"/>
                <w:b/>
                <w:bCs/>
                <w:color w:val="000000" w:themeColor="text1"/>
                <w:sz w:val="21"/>
                <w:szCs w:val="21"/>
                <w:highlight w:val="none"/>
                <w:vertAlign w:val="baseline"/>
                <w:lang w:val="en-US" w:eastAsia="zh-CN"/>
                <w14:textFill>
                  <w14:solidFill>
                    <w14:schemeClr w14:val="tx1"/>
                  </w14:solidFill>
                </w14:textFill>
              </w:rPr>
            </w:pPr>
            <w:r>
              <w:rPr>
                <w:rFonts w:hint="eastAsia"/>
                <w:b/>
                <w:bCs/>
                <w:color w:val="000000" w:themeColor="text1"/>
                <w:sz w:val="21"/>
                <w:szCs w:val="21"/>
                <w:highlight w:val="none"/>
                <w:vertAlign w:val="baseline"/>
                <w:lang w:val="en-US" w:eastAsia="zh-CN"/>
                <w14:textFill>
                  <w14:solidFill>
                    <w14:schemeClr w14:val="tx1"/>
                  </w14:solidFill>
                </w14:textFill>
              </w:rPr>
              <w:t>年用水量（</w:t>
            </w:r>
            <w:r>
              <w:rPr>
                <w:b/>
                <w:bCs/>
                <w:color w:val="000000" w:themeColor="text1"/>
                <w:highlight w:val="none"/>
                <w14:textFill>
                  <w14:solidFill>
                    <w14:schemeClr w14:val="tx1"/>
                  </w14:solidFill>
                </w14:textFill>
              </w:rPr>
              <w:t>m</w:t>
            </w:r>
            <w:r>
              <w:rPr>
                <w:b/>
                <w:bCs/>
                <w:color w:val="000000" w:themeColor="text1"/>
                <w:highlight w:val="none"/>
                <w:vertAlign w:val="superscript"/>
                <w14:textFill>
                  <w14:solidFill>
                    <w14:schemeClr w14:val="tx1"/>
                  </w14:solidFill>
                </w14:textFill>
              </w:rPr>
              <w:t>3</w:t>
            </w:r>
            <w:r>
              <w:rPr>
                <w:b/>
                <w:bCs/>
                <w:color w:val="000000" w:themeColor="text1"/>
                <w:highlight w:val="none"/>
                <w14:textFill>
                  <w14:solidFill>
                    <w14:schemeClr w14:val="tx1"/>
                  </w14:solidFill>
                </w14:textFill>
              </w:rPr>
              <w:t>/a</w:t>
            </w:r>
            <w:r>
              <w:rPr>
                <w:rFonts w:hint="eastAsia"/>
                <w:b/>
                <w:bCs/>
                <w:color w:val="000000" w:themeColor="text1"/>
                <w:sz w:val="21"/>
                <w:szCs w:val="21"/>
                <w:highlight w:val="none"/>
                <w:vertAlign w:val="baseline"/>
                <w:lang w:val="en-US" w:eastAsia="zh-CN"/>
                <w14:textFill>
                  <w14:solidFill>
                    <w14:schemeClr w14:val="tx1"/>
                  </w14:solidFill>
                </w14:textFill>
              </w:rPr>
              <w:t>）</w:t>
            </w:r>
          </w:p>
        </w:tc>
      </w:tr>
      <w:tr w14:paraId="434A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7B43A50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成年母猪</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除</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带仔哺乳母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猪</w:t>
            </w:r>
            <w:r>
              <w:rPr>
                <w:rFonts w:hint="eastAsia" w:cs="Times New Roman"/>
                <w:color w:val="000000" w:themeColor="text1"/>
                <w:sz w:val="21"/>
                <w:szCs w:val="21"/>
                <w:highlight w:val="none"/>
                <w:lang w:eastAsia="zh-CN"/>
                <w14:textFill>
                  <w14:solidFill>
                    <w14:schemeClr w14:val="tx1"/>
                  </w14:solidFill>
                </w14:textFill>
              </w:rPr>
              <w:t>）</w:t>
            </w:r>
          </w:p>
        </w:tc>
        <w:tc>
          <w:tcPr>
            <w:tcW w:w="1704" w:type="dxa"/>
            <w:vAlign w:val="center"/>
          </w:tcPr>
          <w:p w14:paraId="5CAFC1BB">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10-15</w:t>
            </w:r>
          </w:p>
        </w:tc>
        <w:tc>
          <w:tcPr>
            <w:tcW w:w="1704" w:type="dxa"/>
            <w:vAlign w:val="center"/>
          </w:tcPr>
          <w:p w14:paraId="23274B4B">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12.5</w:t>
            </w:r>
          </w:p>
        </w:tc>
        <w:tc>
          <w:tcPr>
            <w:tcW w:w="1705" w:type="dxa"/>
            <w:vAlign w:val="center"/>
          </w:tcPr>
          <w:p w14:paraId="45466AFF">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4023</w:t>
            </w:r>
          </w:p>
        </w:tc>
        <w:tc>
          <w:tcPr>
            <w:tcW w:w="1705" w:type="dxa"/>
            <w:vAlign w:val="center"/>
          </w:tcPr>
          <w:p w14:paraId="2DD24127">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18354.94</w:t>
            </w:r>
          </w:p>
        </w:tc>
      </w:tr>
      <w:tr w14:paraId="7882F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371CB8E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后备母猪</w:t>
            </w:r>
          </w:p>
        </w:tc>
        <w:tc>
          <w:tcPr>
            <w:tcW w:w="1704" w:type="dxa"/>
            <w:vAlign w:val="center"/>
          </w:tcPr>
          <w:p w14:paraId="771DD20C">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10-15</w:t>
            </w:r>
          </w:p>
        </w:tc>
        <w:tc>
          <w:tcPr>
            <w:tcW w:w="1704" w:type="dxa"/>
            <w:vAlign w:val="center"/>
          </w:tcPr>
          <w:p w14:paraId="68BE12BE">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12.5</w:t>
            </w:r>
          </w:p>
        </w:tc>
        <w:tc>
          <w:tcPr>
            <w:tcW w:w="1705" w:type="dxa"/>
            <w:vAlign w:val="center"/>
          </w:tcPr>
          <w:p w14:paraId="76979539">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1452</w:t>
            </w:r>
          </w:p>
        </w:tc>
        <w:tc>
          <w:tcPr>
            <w:tcW w:w="1705" w:type="dxa"/>
            <w:vAlign w:val="center"/>
          </w:tcPr>
          <w:p w14:paraId="3926A660">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6624.75</w:t>
            </w:r>
          </w:p>
        </w:tc>
      </w:tr>
      <w:tr w14:paraId="690A1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3D67570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种公猪</w:t>
            </w:r>
          </w:p>
        </w:tc>
        <w:tc>
          <w:tcPr>
            <w:tcW w:w="1704" w:type="dxa"/>
            <w:vAlign w:val="center"/>
          </w:tcPr>
          <w:p w14:paraId="159229FA">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10-15</w:t>
            </w:r>
          </w:p>
        </w:tc>
        <w:tc>
          <w:tcPr>
            <w:tcW w:w="1704" w:type="dxa"/>
            <w:vAlign w:val="center"/>
          </w:tcPr>
          <w:p w14:paraId="2773F9B4">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12.5</w:t>
            </w:r>
          </w:p>
        </w:tc>
        <w:tc>
          <w:tcPr>
            <w:tcW w:w="1705" w:type="dxa"/>
            <w:vAlign w:val="center"/>
          </w:tcPr>
          <w:p w14:paraId="7B926F8F">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160</w:t>
            </w:r>
          </w:p>
        </w:tc>
        <w:tc>
          <w:tcPr>
            <w:tcW w:w="1705" w:type="dxa"/>
            <w:vAlign w:val="center"/>
          </w:tcPr>
          <w:p w14:paraId="49D3A5DE">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730</w:t>
            </w:r>
          </w:p>
        </w:tc>
      </w:tr>
      <w:tr w14:paraId="76D8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7051577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后备公猪</w:t>
            </w:r>
          </w:p>
        </w:tc>
        <w:tc>
          <w:tcPr>
            <w:tcW w:w="1704" w:type="dxa"/>
            <w:vAlign w:val="center"/>
          </w:tcPr>
          <w:p w14:paraId="69C680BE">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10-15</w:t>
            </w:r>
          </w:p>
        </w:tc>
        <w:tc>
          <w:tcPr>
            <w:tcW w:w="1704" w:type="dxa"/>
            <w:vAlign w:val="center"/>
          </w:tcPr>
          <w:p w14:paraId="1968FE8F">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12.5</w:t>
            </w:r>
          </w:p>
        </w:tc>
        <w:tc>
          <w:tcPr>
            <w:tcW w:w="1705" w:type="dxa"/>
            <w:vAlign w:val="center"/>
          </w:tcPr>
          <w:p w14:paraId="6DF0AA34">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80</w:t>
            </w:r>
          </w:p>
        </w:tc>
        <w:tc>
          <w:tcPr>
            <w:tcW w:w="1705" w:type="dxa"/>
            <w:vAlign w:val="center"/>
          </w:tcPr>
          <w:p w14:paraId="42155D67">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365</w:t>
            </w:r>
          </w:p>
        </w:tc>
      </w:tr>
      <w:tr w14:paraId="21A3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4AD81A2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带仔哺乳母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猪</w:t>
            </w:r>
          </w:p>
        </w:tc>
        <w:tc>
          <w:tcPr>
            <w:tcW w:w="1704" w:type="dxa"/>
            <w:vAlign w:val="center"/>
          </w:tcPr>
          <w:p w14:paraId="3B1A0730">
            <w:pPr>
              <w:spacing w:line="240" w:lineRule="auto"/>
              <w:jc w:val="center"/>
              <w:rPr>
                <w:rFonts w:hint="eastAsia" w:ascii="Times New Roman" w:hAnsi="Times New Roman" w:eastAsia="宋体" w:cs="宋体"/>
                <w:b w:val="0"/>
                <w:bCs w:val="0"/>
                <w:color w:val="000000" w:themeColor="text1"/>
                <w:sz w:val="21"/>
                <w:szCs w:val="21"/>
                <w:highlight w:val="none"/>
                <w:vertAlign w:val="baseli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20-25</w:t>
            </w:r>
          </w:p>
        </w:tc>
        <w:tc>
          <w:tcPr>
            <w:tcW w:w="1704" w:type="dxa"/>
            <w:vAlign w:val="center"/>
          </w:tcPr>
          <w:p w14:paraId="119C769B">
            <w:pPr>
              <w:spacing w:line="240" w:lineRule="auto"/>
              <w:jc w:val="center"/>
              <w:rPr>
                <w:rFonts w:hint="default" w:ascii="Times New Roman" w:hAnsi="Times New Roman" w:eastAsia="宋体" w:cs="宋体"/>
                <w:b w:val="0"/>
                <w:bCs w:val="0"/>
                <w:color w:val="000000" w:themeColor="text1"/>
                <w:sz w:val="21"/>
                <w:szCs w:val="21"/>
                <w:highlight w:val="none"/>
                <w:vertAlign w:val="baseline"/>
                <w:lang w:val="en-US" w:eastAsia="zh-CN" w:bidi="ar-SA"/>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22.5</w:t>
            </w:r>
          </w:p>
        </w:tc>
        <w:tc>
          <w:tcPr>
            <w:tcW w:w="1705" w:type="dxa"/>
            <w:vAlign w:val="center"/>
          </w:tcPr>
          <w:p w14:paraId="0E6DE4F1">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817</w:t>
            </w:r>
          </w:p>
        </w:tc>
        <w:tc>
          <w:tcPr>
            <w:tcW w:w="1705" w:type="dxa"/>
            <w:vAlign w:val="center"/>
          </w:tcPr>
          <w:p w14:paraId="6975BB39">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6709.61</w:t>
            </w:r>
          </w:p>
        </w:tc>
      </w:tr>
      <w:tr w14:paraId="72B1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01B7874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eastAsia="宋体"/>
                <w:b w:val="0"/>
                <w:bCs w:val="0"/>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保育仔猪</w:t>
            </w:r>
          </w:p>
        </w:tc>
        <w:tc>
          <w:tcPr>
            <w:tcW w:w="1704" w:type="dxa"/>
            <w:vAlign w:val="center"/>
          </w:tcPr>
          <w:p w14:paraId="55F930D0">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1.5-2.5</w:t>
            </w:r>
          </w:p>
        </w:tc>
        <w:tc>
          <w:tcPr>
            <w:tcW w:w="1704" w:type="dxa"/>
            <w:vAlign w:val="center"/>
          </w:tcPr>
          <w:p w14:paraId="68F052EA">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w:t>
            </w:r>
          </w:p>
        </w:tc>
        <w:tc>
          <w:tcPr>
            <w:tcW w:w="1705" w:type="dxa"/>
            <w:vAlign w:val="center"/>
          </w:tcPr>
          <w:p w14:paraId="65C0017B">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11852</w:t>
            </w:r>
          </w:p>
        </w:tc>
        <w:tc>
          <w:tcPr>
            <w:tcW w:w="1705" w:type="dxa"/>
            <w:vAlign w:val="center"/>
          </w:tcPr>
          <w:p w14:paraId="1D4F9E72">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8651.96</w:t>
            </w:r>
          </w:p>
        </w:tc>
      </w:tr>
      <w:tr w14:paraId="5843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35303F0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b w:val="0"/>
                <w:bCs w:val="0"/>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生长育肥猪</w:t>
            </w:r>
          </w:p>
        </w:tc>
        <w:tc>
          <w:tcPr>
            <w:tcW w:w="1704" w:type="dxa"/>
            <w:vAlign w:val="center"/>
          </w:tcPr>
          <w:p w14:paraId="30D0EDB2">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6-7.5</w:t>
            </w:r>
          </w:p>
        </w:tc>
        <w:tc>
          <w:tcPr>
            <w:tcW w:w="1704" w:type="dxa"/>
            <w:vAlign w:val="center"/>
          </w:tcPr>
          <w:p w14:paraId="26CFE397">
            <w:pPr>
              <w:spacing w:line="240" w:lineRule="auto"/>
              <w:jc w:val="center"/>
              <w:rPr>
                <w:rFonts w:hint="default" w:eastAsia="宋体"/>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6.75</w:t>
            </w:r>
          </w:p>
        </w:tc>
        <w:tc>
          <w:tcPr>
            <w:tcW w:w="1705" w:type="dxa"/>
            <w:vAlign w:val="center"/>
          </w:tcPr>
          <w:p w14:paraId="76D40944">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6653</w:t>
            </w:r>
          </w:p>
        </w:tc>
        <w:tc>
          <w:tcPr>
            <w:tcW w:w="1705" w:type="dxa"/>
            <w:vAlign w:val="center"/>
          </w:tcPr>
          <w:p w14:paraId="7DF4453E">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16391.33</w:t>
            </w:r>
          </w:p>
        </w:tc>
      </w:tr>
      <w:tr w14:paraId="2A673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04" w:type="dxa"/>
            <w:vAlign w:val="center"/>
          </w:tcPr>
          <w:p w14:paraId="515E628B">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总计</w:t>
            </w:r>
          </w:p>
        </w:tc>
        <w:tc>
          <w:tcPr>
            <w:tcW w:w="1704" w:type="dxa"/>
            <w:vAlign w:val="center"/>
          </w:tcPr>
          <w:p w14:paraId="6A2B71F3">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1704" w:type="dxa"/>
            <w:vAlign w:val="center"/>
          </w:tcPr>
          <w:p w14:paraId="3A80F1FE">
            <w:pPr>
              <w:spacing w:line="240" w:lineRule="auto"/>
              <w:jc w:val="center"/>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1705" w:type="dxa"/>
            <w:vAlign w:val="center"/>
          </w:tcPr>
          <w:p w14:paraId="2E9C8CE6">
            <w:pPr>
              <w:spacing w:line="240" w:lineRule="auto"/>
              <w:jc w:val="center"/>
              <w:rPr>
                <w:rFonts w:hint="eastAsia"/>
                <w:b w:val="0"/>
                <w:bCs w:val="0"/>
                <w:color w:val="000000" w:themeColor="text1"/>
                <w:sz w:val="21"/>
                <w:szCs w:val="21"/>
                <w:highlight w:val="none"/>
                <w:vertAlign w:val="baseli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w:t>
            </w:r>
          </w:p>
        </w:tc>
        <w:tc>
          <w:tcPr>
            <w:tcW w:w="1705" w:type="dxa"/>
            <w:vAlign w:val="center"/>
          </w:tcPr>
          <w:p w14:paraId="52422508">
            <w:pPr>
              <w:spacing w:line="240" w:lineRule="auto"/>
              <w:jc w:val="center"/>
              <w:rPr>
                <w:rFonts w:hint="default"/>
                <w:b w:val="0"/>
                <w:bCs w:val="0"/>
                <w:color w:val="000000" w:themeColor="text1"/>
                <w:sz w:val="21"/>
                <w:szCs w:val="21"/>
                <w:highlight w:val="none"/>
                <w:vertAlign w:val="baseline"/>
                <w:lang w:val="en-US" w:eastAsia="zh-CN"/>
                <w14:textFill>
                  <w14:solidFill>
                    <w14:schemeClr w14:val="tx1"/>
                  </w14:solidFill>
                </w14:textFill>
              </w:rPr>
            </w:pPr>
            <w:r>
              <w:rPr>
                <w:rFonts w:hint="eastAsia" w:ascii="Times New Roman" w:hAnsi="Times New Roman" w:eastAsia="宋体" w:cs="宋体"/>
                <w:b w:val="0"/>
                <w:bCs w:val="0"/>
                <w:color w:val="000000" w:themeColor="text1"/>
                <w:sz w:val="21"/>
                <w:szCs w:val="21"/>
                <w:highlight w:val="none"/>
                <w:vertAlign w:val="baseline"/>
                <w:lang w:val="en-US" w:eastAsia="zh-CN"/>
                <w14:textFill>
                  <w14:solidFill>
                    <w14:schemeClr w14:val="tx1"/>
                  </w14:solidFill>
                </w14:textFill>
              </w:rPr>
              <w:t>57827.19</w:t>
            </w:r>
          </w:p>
        </w:tc>
      </w:tr>
    </w:tbl>
    <w:p w14:paraId="79EB719B">
      <w:pPr>
        <w:ind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备注：</w:t>
      </w:r>
      <w:r>
        <w:rPr>
          <w:rFonts w:hint="eastAsia" w:ascii="Times New Roman" w:hAnsi="Times New Roman"/>
          <w:color w:val="000000" w:themeColor="text1"/>
          <w:spacing w:val="8"/>
          <w:highlight w:val="none"/>
          <w:lang w:val="en-US" w:eastAsia="zh-CN"/>
          <w14:textFill>
            <w14:solidFill>
              <w14:schemeClr w14:val="tx1"/>
            </w14:solidFill>
          </w14:textFill>
        </w:rPr>
        <w:t>带仔哺乳</w:t>
      </w:r>
      <w:r>
        <w:rPr>
          <w:rFonts w:hint="eastAsia"/>
          <w:color w:val="000000" w:themeColor="text1"/>
          <w:spacing w:val="8"/>
          <w:highlight w:val="none"/>
          <w:lang w:val="en-US" w:eastAsia="zh-CN"/>
          <w14:textFill>
            <w14:solidFill>
              <w14:schemeClr w14:val="tx1"/>
            </w14:solidFill>
          </w14:textFill>
        </w:rPr>
        <w:t>母</w:t>
      </w:r>
      <w:r>
        <w:rPr>
          <w:rFonts w:hint="default"/>
          <w:color w:val="000000" w:themeColor="text1"/>
          <w:spacing w:val="8"/>
          <w:highlight w:val="none"/>
          <w:lang w:eastAsia="zh-CN"/>
          <w14:textFill>
            <w14:solidFill>
              <w14:schemeClr w14:val="tx1"/>
            </w14:solidFill>
          </w14:textFill>
        </w:rPr>
        <w:t>猪</w:t>
      </w:r>
      <w:r>
        <w:rPr>
          <w:rFonts w:hint="eastAsia"/>
          <w:color w:val="000000" w:themeColor="text1"/>
          <w:spacing w:val="8"/>
          <w:highlight w:val="none"/>
          <w:lang w:val="en-US" w:eastAsia="zh-CN"/>
          <w14:textFill>
            <w14:solidFill>
              <w14:schemeClr w14:val="tx1"/>
            </w14:solidFill>
          </w14:textFill>
        </w:rPr>
        <w:t>常年存栏量</w:t>
      </w:r>
      <w:r>
        <w:rPr>
          <w:color w:val="000000" w:themeColor="text1"/>
          <w:spacing w:val="8"/>
          <w:highlight w:val="none"/>
          <w14:textFill>
            <w14:solidFill>
              <w14:schemeClr w14:val="tx1"/>
            </w14:solidFill>
          </w14:textFill>
        </w:rPr>
        <w:t>头数=成年母猪头数</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color w:val="000000" w:themeColor="text1"/>
          <w:spacing w:val="8"/>
          <w:highlight w:val="none"/>
          <w14:textFill>
            <w14:solidFill>
              <w14:schemeClr w14:val="tx1"/>
            </w14:solidFill>
          </w14:textFill>
        </w:rPr>
        <w:t>年产胎次</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color w:val="000000" w:themeColor="text1"/>
          <w:spacing w:val="8"/>
          <w:highlight w:val="none"/>
          <w14:textFill>
            <w14:solidFill>
              <w14:schemeClr w14:val="tx1"/>
            </w14:solidFill>
          </w14:textFill>
        </w:rPr>
        <w:t>饲养天数</w:t>
      </w:r>
      <w:r>
        <w:rPr>
          <w:rFonts w:ascii="Times New Roman" w:hAnsi="Times New Roman" w:eastAsia="Times New Roman" w:cs="Times New Roman"/>
          <w:color w:val="000000" w:themeColor="text1"/>
          <w:spacing w:val="8"/>
          <w:highlight w:val="none"/>
          <w14:textFill>
            <w14:solidFill>
              <w14:schemeClr w14:val="tx1"/>
            </w14:solidFill>
          </w14:textFill>
        </w:rPr>
        <w:t>/365</w:t>
      </w:r>
      <w:r>
        <w:rPr>
          <w:rFonts w:hint="eastAsia"/>
          <w:color w:val="000000" w:themeColor="text1"/>
          <w:spacing w:val="7"/>
          <w:highlight w:val="none"/>
          <w:lang w:val="en-US" w:eastAsia="zh-CN"/>
          <w14:textFill>
            <w14:solidFill>
              <w14:schemeClr w14:val="tx1"/>
            </w14:solidFill>
          </w14:textFill>
        </w:rPr>
        <w:t xml:space="preserve">=4840 </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color w:val="000000" w:themeColor="text1"/>
          <w:spacing w:val="7"/>
          <w:highlight w:val="none"/>
          <w:lang w:val="en-US" w:eastAsia="zh-CN"/>
          <w14:textFill>
            <w14:solidFill>
              <w14:schemeClr w14:val="tx1"/>
            </w14:solidFill>
          </w14:textFill>
        </w:rPr>
        <w:t>2.2</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color w:val="000000" w:themeColor="text1"/>
          <w:spacing w:val="7"/>
          <w:highlight w:val="none"/>
          <w:lang w:val="en-US" w:eastAsia="zh-CN"/>
          <w14:textFill>
            <w14:solidFill>
              <w14:schemeClr w14:val="tx1"/>
            </w14:solidFill>
          </w14:textFill>
        </w:rPr>
        <w:t>28/365</w:t>
      </w:r>
      <w:r>
        <w:rPr>
          <w:rFonts w:ascii="Times New Roman" w:hAnsi="Times New Roman" w:eastAsia="Times New Roman" w:cs="Times New Roman"/>
          <w:color w:val="000000" w:themeColor="text1"/>
          <w:spacing w:val="7"/>
          <w:highlight w:val="none"/>
          <w14:textFill>
            <w14:solidFill>
              <w14:schemeClr w14:val="tx1"/>
            </w14:solidFill>
          </w14:textFill>
        </w:rPr>
        <w:t>=</w:t>
      </w:r>
      <w:r>
        <w:rPr>
          <w:rFonts w:hint="eastAsia" w:ascii="Times New Roman" w:hAnsi="Times New Roman" w:eastAsia="宋体" w:cs="Times New Roman"/>
          <w:color w:val="000000" w:themeColor="text1"/>
          <w:spacing w:val="7"/>
          <w:highlight w:val="none"/>
          <w:lang w:val="en-US" w:eastAsia="zh-CN"/>
          <w14:textFill>
            <w14:solidFill>
              <w14:schemeClr w14:val="tx1"/>
            </w14:solidFill>
          </w14:textFill>
        </w:rPr>
        <w:t>817</w:t>
      </w:r>
      <w:r>
        <w:rPr>
          <w:color w:val="000000" w:themeColor="text1"/>
          <w:spacing w:val="7"/>
          <w:highlight w:val="none"/>
          <w14:textFill>
            <w14:solidFill>
              <w14:schemeClr w14:val="tx1"/>
            </w14:solidFill>
          </w14:textFill>
        </w:rPr>
        <w:t>头</w:t>
      </w:r>
    </w:p>
    <w:p w14:paraId="748B5677">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则</w:t>
      </w:r>
      <w:r>
        <w:rPr>
          <w:rFonts w:hint="eastAsia"/>
          <w:color w:val="000000" w:themeColor="text1"/>
          <w:highlight w:val="none"/>
          <w14:textFill>
            <w14:solidFill>
              <w14:schemeClr w14:val="tx1"/>
            </w14:solidFill>
          </w14:textFill>
        </w:rPr>
        <w:t>本项目猪饮水</w:t>
      </w:r>
      <w:r>
        <w:rPr>
          <w:rFonts w:hint="eastAsia" w:ascii="Times New Roman" w:hAnsi="Times New Roman"/>
          <w:color w:val="000000" w:themeColor="text1"/>
          <w:highlight w:val="none"/>
          <w14:textFill>
            <w14:solidFill>
              <w14:schemeClr w14:val="tx1"/>
            </w14:solidFill>
          </w14:textFill>
        </w:rPr>
        <w:t>量</w:t>
      </w:r>
      <w:r>
        <w:rPr>
          <w:rFonts w:hint="eastAsia" w:ascii="Times New Roman" w:hAnsi="Times New Roman"/>
          <w:color w:val="000000" w:themeColor="text1"/>
          <w:highlight w:val="none"/>
          <w:lang w:val="en-US"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57827.19</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p>
    <w:p w14:paraId="20D23C6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猪舍</w:t>
      </w:r>
      <w:r>
        <w:rPr>
          <w:color w:val="000000" w:themeColor="text1"/>
          <w:highlight w:val="none"/>
          <w14:textFill>
            <w14:solidFill>
              <w14:schemeClr w14:val="tx1"/>
            </w14:solidFill>
          </w14:textFill>
        </w:rPr>
        <w:t>冲洗用水</w:t>
      </w:r>
    </w:p>
    <w:p w14:paraId="1CBA78A3">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ascii="宋体" w:hAnsi="宋体" w:eastAsia="宋体" w:cs="宋体"/>
          <w:color w:val="000000" w:themeColor="text1"/>
          <w:spacing w:val="-3"/>
          <w:sz w:val="24"/>
          <w:szCs w:val="24"/>
          <w:highlight w:val="none"/>
          <w14:textFill>
            <w14:solidFill>
              <w14:schemeClr w14:val="tx1"/>
            </w14:solidFill>
          </w14:textFill>
        </w:rPr>
        <w:t>圈舍粪便清理宜采用干清粪处理工艺，即粪便</w:t>
      </w:r>
      <w:r>
        <w:rPr>
          <w:rFonts w:ascii="宋体" w:hAnsi="宋体" w:eastAsia="宋体" w:cs="宋体"/>
          <w:color w:val="000000" w:themeColor="text1"/>
          <w:spacing w:val="-1"/>
          <w:sz w:val="24"/>
          <w:szCs w:val="24"/>
          <w:highlight w:val="none"/>
          <w14:textFill>
            <w14:solidFill>
              <w14:schemeClr w14:val="tx1"/>
            </w14:solidFill>
          </w14:textFill>
        </w:rPr>
        <w:t>经漏缝地板</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w:t>
      </w:r>
      <w:r>
        <w:rPr>
          <w:rFonts w:ascii="宋体" w:hAnsi="宋体" w:eastAsia="宋体" w:cs="宋体"/>
          <w:color w:val="000000" w:themeColor="text1"/>
          <w:spacing w:val="-1"/>
          <w:sz w:val="24"/>
          <w:szCs w:val="24"/>
          <w:highlight w:val="none"/>
          <w14:textFill>
            <w14:solidFill>
              <w14:schemeClr w14:val="tx1"/>
            </w14:solidFill>
          </w14:textFill>
        </w:rPr>
        <w:t>虹吸管收集沟收集后（清粪的比例宜</w:t>
      </w:r>
      <w:r>
        <w:rPr>
          <w:rFonts w:ascii="宋体" w:hAnsi="宋体" w:eastAsia="宋体" w:cs="宋体"/>
          <w:color w:val="000000" w:themeColor="text1"/>
          <w:spacing w:val="-2"/>
          <w:sz w:val="24"/>
          <w:szCs w:val="24"/>
          <w:highlight w:val="none"/>
          <w14:textFill>
            <w14:solidFill>
              <w14:schemeClr w14:val="tx1"/>
            </w14:solidFill>
          </w14:textFill>
        </w:rPr>
        <w:t>大于等于</w:t>
      </w:r>
      <w:r>
        <w:rPr>
          <w:rFonts w:ascii="Times New Roman" w:hAnsi="Times New Roman" w:eastAsia="Times New Roman" w:cs="Times New Roman"/>
          <w:color w:val="000000" w:themeColor="text1"/>
          <w:spacing w:val="-2"/>
          <w:sz w:val="24"/>
          <w:szCs w:val="24"/>
          <w:highlight w:val="none"/>
          <w14:textFill>
            <w14:solidFill>
              <w14:schemeClr w14:val="tx1"/>
            </w14:solidFill>
          </w14:textFill>
        </w:rPr>
        <w:t>70%</w:t>
      </w:r>
      <w:r>
        <w:rPr>
          <w:rFonts w:ascii="宋体" w:hAnsi="宋体" w:eastAsia="宋体" w:cs="宋体"/>
          <w:color w:val="000000" w:themeColor="text1"/>
          <w:spacing w:val="-13"/>
          <w:sz w:val="24"/>
          <w:szCs w:val="24"/>
          <w:highlight w:val="none"/>
          <w14:textFill>
            <w14:solidFill>
              <w14:schemeClr w14:val="tx1"/>
            </w14:solidFill>
          </w14:textFill>
        </w:rPr>
        <w:t>），</w:t>
      </w:r>
      <w:r>
        <w:rPr>
          <w:rFonts w:ascii="宋体" w:hAnsi="宋体" w:eastAsia="宋体" w:cs="宋体"/>
          <w:color w:val="000000" w:themeColor="text1"/>
          <w:spacing w:val="-2"/>
          <w:sz w:val="24"/>
          <w:szCs w:val="24"/>
          <w:highlight w:val="none"/>
          <w14:textFill>
            <w14:solidFill>
              <w14:schemeClr w14:val="tx1"/>
            </w14:solidFill>
          </w14:textFill>
        </w:rPr>
        <w:t>并采用机械</w:t>
      </w:r>
      <w:r>
        <w:rPr>
          <w:rFonts w:ascii="宋体" w:hAnsi="宋体" w:eastAsia="宋体" w:cs="宋体"/>
          <w:color w:val="000000" w:themeColor="text1"/>
          <w:spacing w:val="-7"/>
          <w:sz w:val="24"/>
          <w:szCs w:val="24"/>
          <w:highlight w:val="none"/>
          <w14:textFill>
            <w14:solidFill>
              <w14:schemeClr w14:val="tx1"/>
            </w14:solidFill>
          </w14:textFill>
        </w:rPr>
        <w:t>（人工辅助）清除圈舍粪便，再用水冲洗，以减少冲洗水用量，从而减少污水量。</w:t>
      </w:r>
      <w:r>
        <w:rPr>
          <w:rFonts w:hint="eastAsia"/>
          <w:color w:val="000000" w:themeColor="text1"/>
          <w:highlight w:val="none"/>
          <w14:textFill>
            <w14:solidFill>
              <w14:schemeClr w14:val="tx1"/>
            </w14:solidFill>
          </w14:textFill>
        </w:rPr>
        <w:t>本项目冲洗用水</w:t>
      </w:r>
      <w:r>
        <w:rPr>
          <w:color w:val="000000" w:themeColor="text1"/>
          <w:highlight w:val="none"/>
          <w14:textFill>
            <w14:solidFill>
              <w14:schemeClr w14:val="tx1"/>
            </w14:solidFill>
          </w14:textFill>
        </w:rPr>
        <w:t>量取2L/m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圈舍面积850m</w:t>
      </w:r>
      <w:r>
        <w:rPr>
          <w:rFonts w:hint="eastAsia"/>
          <w:color w:val="000000" w:themeColor="text1"/>
          <w:highlight w:val="none"/>
          <w:vertAlign w:val="superscript"/>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，共30座，</w:t>
      </w:r>
      <w:r>
        <w:rPr>
          <w:rFonts w:hint="eastAsia"/>
          <w:color w:val="000000" w:themeColor="text1"/>
          <w:highlight w:val="none"/>
          <w14:textFill>
            <w14:solidFill>
              <w14:schemeClr w14:val="tx1"/>
            </w14:solidFill>
          </w14:textFill>
        </w:rPr>
        <w:t>则本项目猪舍冲洗用水量为</w:t>
      </w:r>
      <w:r>
        <w:rPr>
          <w:rFonts w:hint="eastAsia"/>
          <w:color w:val="000000" w:themeColor="text1"/>
          <w:highlight w:val="none"/>
          <w:lang w:val="en-US" w:eastAsia="zh-CN"/>
          <w14:textFill>
            <w14:solidFill>
              <w14:schemeClr w14:val="tx1"/>
            </w14:solidFill>
          </w14:textFill>
        </w:rPr>
        <w:t>18615</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p>
    <w:p w14:paraId="239D255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本项目生猪转栏后需对猪舍进行冲洗，猪舍冲洗水用水量参数见表</w:t>
      </w:r>
      <w:r>
        <w:rPr>
          <w:rFonts w:hint="eastAsia"/>
          <w:color w:val="000000" w:themeColor="text1"/>
          <w:highlight w:val="none"/>
          <w14:textFill>
            <w14:solidFill>
              <w14:schemeClr w14:val="tx1"/>
            </w14:solidFill>
          </w14:textFill>
        </w:rPr>
        <w:t>3.7-2</w:t>
      </w:r>
      <w:r>
        <w:rPr>
          <w:color w:val="000000" w:themeColor="text1"/>
          <w:highlight w:val="none"/>
          <w14:textFill>
            <w14:solidFill>
              <w14:schemeClr w14:val="tx1"/>
            </w14:solidFill>
          </w14:textFill>
        </w:rPr>
        <w:t>。</w:t>
      </w:r>
    </w:p>
    <w:p w14:paraId="78E1ADF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3.7-2</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猪舍冲洗用水量一览表</w:t>
      </w:r>
    </w:p>
    <w:tbl>
      <w:tblPr>
        <w:tblStyle w:val="33"/>
        <w:tblW w:w="47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73"/>
        <w:gridCol w:w="772"/>
        <w:gridCol w:w="1222"/>
        <w:gridCol w:w="1204"/>
        <w:gridCol w:w="1454"/>
        <w:gridCol w:w="1741"/>
      </w:tblGrid>
      <w:tr w14:paraId="036B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6" w:type="pct"/>
            <w:vMerge w:val="restart"/>
            <w:vAlign w:val="center"/>
          </w:tcPr>
          <w:p w14:paraId="4215172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种类</w:t>
            </w:r>
          </w:p>
        </w:tc>
        <w:tc>
          <w:tcPr>
            <w:tcW w:w="473" w:type="pct"/>
            <w:vMerge w:val="restart"/>
            <w:vAlign w:val="center"/>
          </w:tcPr>
          <w:p w14:paraId="412FF357">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猪舍数量</w:t>
            </w:r>
          </w:p>
        </w:tc>
        <w:tc>
          <w:tcPr>
            <w:tcW w:w="748" w:type="pct"/>
            <w:vMerge w:val="restart"/>
            <w:vAlign w:val="center"/>
          </w:tcPr>
          <w:p w14:paraId="3C1BBB7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冲洗次数（次/a）</w:t>
            </w:r>
          </w:p>
        </w:tc>
        <w:tc>
          <w:tcPr>
            <w:tcW w:w="737" w:type="pct"/>
            <w:vMerge w:val="restart"/>
            <w:vAlign w:val="center"/>
          </w:tcPr>
          <w:p w14:paraId="093DB70F">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单个猪舍面积m</w:t>
            </w:r>
            <w:r>
              <w:rPr>
                <w:rFonts w:hint="eastAsia"/>
                <w:b/>
                <w:bCs/>
                <w:color w:val="000000" w:themeColor="text1"/>
                <w:sz w:val="21"/>
                <w:szCs w:val="21"/>
                <w:highlight w:val="none"/>
                <w:vertAlign w:val="superscript"/>
                <w14:textFill>
                  <w14:solidFill>
                    <w14:schemeClr w14:val="tx1"/>
                  </w14:solidFill>
                </w14:textFill>
              </w:rPr>
              <w:t>2</w:t>
            </w:r>
          </w:p>
        </w:tc>
        <w:tc>
          <w:tcPr>
            <w:tcW w:w="890" w:type="pct"/>
            <w:vMerge w:val="restart"/>
            <w:vAlign w:val="center"/>
          </w:tcPr>
          <w:p w14:paraId="74FC2AB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每次冲水量（</w:t>
            </w:r>
            <w:r>
              <w:rPr>
                <w:rFonts w:hint="eastAsia"/>
                <w:b/>
                <w:bCs/>
                <w:color w:val="000000" w:themeColor="text1"/>
                <w:sz w:val="21"/>
                <w:szCs w:val="21"/>
                <w:highlight w:val="none"/>
                <w14:textFill>
                  <w14:solidFill>
                    <w14:schemeClr w14:val="tx1"/>
                  </w14:solidFill>
                </w14:textFill>
              </w:rPr>
              <w:t>L/m</w:t>
            </w:r>
            <w:r>
              <w:rPr>
                <w:rFonts w:hint="eastAsia"/>
                <w:b/>
                <w:bCs/>
                <w:color w:val="000000" w:themeColor="text1"/>
                <w:sz w:val="21"/>
                <w:szCs w:val="21"/>
                <w:highlight w:val="none"/>
                <w:vertAlign w:val="superscript"/>
                <w14:textFill>
                  <w14:solidFill>
                    <w14:schemeClr w14:val="tx1"/>
                  </w14:solidFill>
                </w14:textFill>
              </w:rPr>
              <w:t>2</w:t>
            </w:r>
            <w:r>
              <w:rPr>
                <w:rFonts w:hint="eastAsia"/>
                <w:b/>
                <w:bCs/>
                <w:color w:val="000000" w:themeColor="text1"/>
                <w:sz w:val="21"/>
                <w:szCs w:val="21"/>
                <w:highlight w:val="none"/>
                <w14:textFill>
                  <w14:solidFill>
                    <w14:schemeClr w14:val="tx1"/>
                  </w14:solidFill>
                </w14:textFill>
              </w:rPr>
              <w:t>）</w:t>
            </w:r>
          </w:p>
        </w:tc>
        <w:tc>
          <w:tcPr>
            <w:tcW w:w="1064" w:type="pct"/>
            <w:vAlign w:val="center"/>
          </w:tcPr>
          <w:p w14:paraId="27B7844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猪舍冲洗用水</w:t>
            </w:r>
          </w:p>
        </w:tc>
      </w:tr>
      <w:tr w14:paraId="5D15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6" w:type="pct"/>
            <w:vMerge w:val="continue"/>
            <w:vAlign w:val="center"/>
          </w:tcPr>
          <w:p w14:paraId="679BFD52">
            <w:pPr>
              <w:spacing w:line="240" w:lineRule="auto"/>
              <w:jc w:val="center"/>
              <w:rPr>
                <w:b/>
                <w:bCs/>
                <w:color w:val="000000" w:themeColor="text1"/>
                <w:sz w:val="21"/>
                <w:szCs w:val="21"/>
                <w:highlight w:val="none"/>
                <w14:textFill>
                  <w14:solidFill>
                    <w14:schemeClr w14:val="tx1"/>
                  </w14:solidFill>
                </w14:textFill>
              </w:rPr>
            </w:pPr>
          </w:p>
        </w:tc>
        <w:tc>
          <w:tcPr>
            <w:tcW w:w="473" w:type="pct"/>
            <w:vMerge w:val="continue"/>
            <w:vAlign w:val="center"/>
          </w:tcPr>
          <w:p w14:paraId="4DF1F9BB">
            <w:pPr>
              <w:spacing w:line="240" w:lineRule="auto"/>
              <w:jc w:val="center"/>
              <w:rPr>
                <w:b/>
                <w:bCs/>
                <w:color w:val="000000" w:themeColor="text1"/>
                <w:sz w:val="21"/>
                <w:szCs w:val="21"/>
                <w:highlight w:val="none"/>
                <w14:textFill>
                  <w14:solidFill>
                    <w14:schemeClr w14:val="tx1"/>
                  </w14:solidFill>
                </w14:textFill>
              </w:rPr>
            </w:pPr>
          </w:p>
        </w:tc>
        <w:tc>
          <w:tcPr>
            <w:tcW w:w="748" w:type="pct"/>
            <w:vMerge w:val="continue"/>
            <w:vAlign w:val="center"/>
          </w:tcPr>
          <w:p w14:paraId="1B7FDB9F">
            <w:pPr>
              <w:spacing w:line="240" w:lineRule="auto"/>
              <w:jc w:val="center"/>
              <w:rPr>
                <w:b/>
                <w:bCs/>
                <w:color w:val="000000" w:themeColor="text1"/>
                <w:sz w:val="21"/>
                <w:szCs w:val="21"/>
                <w:highlight w:val="none"/>
                <w14:textFill>
                  <w14:solidFill>
                    <w14:schemeClr w14:val="tx1"/>
                  </w14:solidFill>
                </w14:textFill>
              </w:rPr>
            </w:pPr>
          </w:p>
        </w:tc>
        <w:tc>
          <w:tcPr>
            <w:tcW w:w="737" w:type="pct"/>
            <w:vMerge w:val="continue"/>
            <w:vAlign w:val="center"/>
          </w:tcPr>
          <w:p w14:paraId="47404FB3">
            <w:pPr>
              <w:spacing w:line="240" w:lineRule="auto"/>
              <w:jc w:val="center"/>
              <w:rPr>
                <w:b/>
                <w:bCs/>
                <w:color w:val="000000" w:themeColor="text1"/>
                <w:sz w:val="21"/>
                <w:szCs w:val="21"/>
                <w:highlight w:val="none"/>
                <w14:textFill>
                  <w14:solidFill>
                    <w14:schemeClr w14:val="tx1"/>
                  </w14:solidFill>
                </w14:textFill>
              </w:rPr>
            </w:pPr>
          </w:p>
        </w:tc>
        <w:tc>
          <w:tcPr>
            <w:tcW w:w="890" w:type="pct"/>
            <w:vMerge w:val="continue"/>
            <w:vAlign w:val="center"/>
          </w:tcPr>
          <w:p w14:paraId="4F5CD898">
            <w:pPr>
              <w:spacing w:line="240" w:lineRule="auto"/>
              <w:jc w:val="center"/>
              <w:rPr>
                <w:b/>
                <w:bCs/>
                <w:color w:val="000000" w:themeColor="text1"/>
                <w:sz w:val="21"/>
                <w:szCs w:val="21"/>
                <w:highlight w:val="none"/>
                <w14:textFill>
                  <w14:solidFill>
                    <w14:schemeClr w14:val="tx1"/>
                  </w14:solidFill>
                </w14:textFill>
              </w:rPr>
            </w:pPr>
          </w:p>
        </w:tc>
        <w:tc>
          <w:tcPr>
            <w:tcW w:w="1064" w:type="pct"/>
            <w:vAlign w:val="center"/>
          </w:tcPr>
          <w:p w14:paraId="468717A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总量（m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/a）</w:t>
            </w:r>
          </w:p>
        </w:tc>
      </w:tr>
      <w:tr w14:paraId="52F9F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6" w:type="pct"/>
            <w:vAlign w:val="center"/>
          </w:tcPr>
          <w:p w14:paraId="191F7D5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圈</w:t>
            </w:r>
            <w:r>
              <w:rPr>
                <w:color w:val="000000" w:themeColor="text1"/>
                <w:sz w:val="21"/>
                <w:szCs w:val="21"/>
                <w:highlight w:val="none"/>
                <w14:textFill>
                  <w14:solidFill>
                    <w14:schemeClr w14:val="tx1"/>
                  </w14:solidFill>
                </w14:textFill>
              </w:rPr>
              <w:t>舍</w:t>
            </w:r>
          </w:p>
        </w:tc>
        <w:tc>
          <w:tcPr>
            <w:tcW w:w="473" w:type="pct"/>
            <w:vAlign w:val="center"/>
          </w:tcPr>
          <w:p w14:paraId="1CB1B6C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w:t>
            </w:r>
          </w:p>
        </w:tc>
        <w:tc>
          <w:tcPr>
            <w:tcW w:w="748" w:type="pct"/>
            <w:vAlign w:val="center"/>
          </w:tcPr>
          <w:p w14:paraId="2A01E25E">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365</w:t>
            </w:r>
          </w:p>
        </w:tc>
        <w:tc>
          <w:tcPr>
            <w:tcW w:w="737" w:type="pct"/>
            <w:vAlign w:val="center"/>
          </w:tcPr>
          <w:p w14:paraId="71ACF697">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850</w:t>
            </w:r>
          </w:p>
        </w:tc>
        <w:tc>
          <w:tcPr>
            <w:tcW w:w="890" w:type="pct"/>
            <w:vAlign w:val="center"/>
          </w:tcPr>
          <w:p w14:paraId="6D9313A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064" w:type="pct"/>
            <w:vAlign w:val="center"/>
          </w:tcPr>
          <w:p w14:paraId="678A116B">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18615</w:t>
            </w:r>
          </w:p>
        </w:tc>
      </w:tr>
      <w:tr w14:paraId="043E9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6"/>
            <w:vAlign w:val="center"/>
          </w:tcPr>
          <w:p w14:paraId="36CB312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备注：</w:t>
            </w:r>
            <w:r>
              <w:rPr>
                <w:rFonts w:hint="eastAsia"/>
                <w:color w:val="000000" w:themeColor="text1"/>
                <w:sz w:val="21"/>
                <w:szCs w:val="21"/>
                <w:highlight w:val="none"/>
                <w14:textFill>
                  <w14:solidFill>
                    <w14:schemeClr w14:val="tx1"/>
                  </w14:solidFill>
                </w14:textFill>
              </w:rPr>
              <w:t>①</w:t>
            </w:r>
            <w:r>
              <w:rPr>
                <w:color w:val="000000" w:themeColor="text1"/>
                <w:sz w:val="21"/>
                <w:szCs w:val="21"/>
                <w:highlight w:val="none"/>
                <w14:textFill>
                  <w14:solidFill>
                    <w14:schemeClr w14:val="tx1"/>
                  </w14:solidFill>
                </w14:textFill>
              </w:rPr>
              <w:t>猪舍冲洗水定额来源于同行业其他养殖场的统计数据；</w:t>
            </w:r>
          </w:p>
        </w:tc>
      </w:tr>
    </w:tbl>
    <w:p w14:paraId="773A199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水帘降温用水</w:t>
      </w:r>
    </w:p>
    <w:p w14:paraId="7DDAF2C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本项目通风降温系统使用“负压风机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水帘”系统，循环用水量约</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0m</w:t>
      </w:r>
      <w:r>
        <w:rPr>
          <w:rFonts w:hint="eastAsia"/>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，通风降温系统用水为循环使用，不排放，每天补充</w:t>
      </w:r>
      <w:r>
        <w:rPr>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的损耗用水量，约</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5m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。降温水帘只在每年夏季使用，每年降温天数按1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0天计。则年用水量为</w:t>
      </w:r>
      <w:r>
        <w:rPr>
          <w:rFonts w:hint="eastAsia"/>
          <w:color w:val="000000" w:themeColor="text1"/>
          <w:highlight w:val="none"/>
          <w:lang w:val="en-US" w:eastAsia="zh-CN"/>
          <w14:textFill>
            <w14:solidFill>
              <w14:schemeClr w14:val="tx1"/>
            </w14:solidFill>
          </w14:textFill>
        </w:rPr>
        <w:t>1885</w:t>
      </w:r>
      <w:r>
        <w:rPr>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p>
    <w:p w14:paraId="672BB3A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）消毒液以及除臭剂配制用水</w:t>
      </w:r>
    </w:p>
    <w:p w14:paraId="0BE72976">
      <w:pPr>
        <w:bidi w:val="0"/>
        <w:spacing w:line="360" w:lineRule="auto"/>
        <w:ind w:firstLine="480" w:firstLineChars="20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本项目消毒时消毒液和喷雾治疗所用药品均需用水配制后使用，</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戊二醛消毒剂</w:t>
      </w:r>
      <w:r>
        <w:rPr>
          <w:rFonts w:hint="default" w:ascii="Times New Roman" w:hAnsi="Times New Roman" w:eastAsia="宋体" w:cs="Times New Roman"/>
          <w:b w:val="0"/>
          <w:bCs w:val="0"/>
          <w:color w:val="000000" w:themeColor="text1"/>
          <w:highlight w:val="none"/>
          <w14:textFill>
            <w14:solidFill>
              <w14:schemeClr w14:val="tx1"/>
            </w14:solidFill>
          </w14:textFill>
        </w:rPr>
        <w:t>配制比例约为1:</w:t>
      </w:r>
      <w:r>
        <w:rPr>
          <w:rFonts w:hint="eastAsia" w:cs="Times New Roman"/>
          <w:b w:val="0"/>
          <w:bCs w:val="0"/>
          <w:color w:val="000000" w:themeColor="text1"/>
          <w:highlight w:val="none"/>
          <w:lang w:val="en-US" w:eastAsia="zh-CN"/>
          <w14:textFill>
            <w14:solidFill>
              <w14:schemeClr w14:val="tx1"/>
            </w14:solidFill>
          </w14:textFill>
        </w:rPr>
        <w:t>49</w:t>
      </w:r>
      <w:r>
        <w:rPr>
          <w:rFonts w:hint="default" w:ascii="Times New Roman" w:hAnsi="Times New Roman" w:eastAsia="宋体" w:cs="Times New Roman"/>
          <w:b w:val="0"/>
          <w:bCs w:val="0"/>
          <w:color w:val="000000" w:themeColor="text1"/>
          <w:highlight w:val="none"/>
          <w14:textFill>
            <w14:solidFill>
              <w14:schemeClr w14:val="tx1"/>
            </w14:solidFill>
          </w14:textFill>
        </w:rPr>
        <w:t>，年用量约</w:t>
      </w:r>
      <w:r>
        <w:rPr>
          <w:rFonts w:hint="eastAsia" w:cs="Times New Roman"/>
          <w:b w:val="0"/>
          <w:bCs w:val="0"/>
          <w:color w:val="000000" w:themeColor="text1"/>
          <w:highlight w:val="none"/>
          <w:lang w:val="en-US" w:eastAsia="zh-CN"/>
          <w14:textFill>
            <w14:solidFill>
              <w14:schemeClr w14:val="tx1"/>
            </w14:solidFill>
          </w14:textFill>
        </w:rPr>
        <w:t>1.5</w:t>
      </w:r>
      <w:r>
        <w:rPr>
          <w:rFonts w:hint="default" w:ascii="Times New Roman" w:hAnsi="Times New Roman" w:eastAsia="宋体" w:cs="Times New Roman"/>
          <w:b w:val="0"/>
          <w:bCs w:val="0"/>
          <w:color w:val="000000" w:themeColor="text1"/>
          <w:highlight w:val="none"/>
          <w14:textFill>
            <w14:solidFill>
              <w14:schemeClr w14:val="tx1"/>
            </w14:solidFill>
          </w14:textFill>
        </w:rPr>
        <w:t>t/a，年用水量约</w:t>
      </w:r>
      <w:r>
        <w:rPr>
          <w:rFonts w:hint="eastAsia" w:cs="Times New Roman"/>
          <w:b w:val="0"/>
          <w:bCs w:val="0"/>
          <w:color w:val="000000" w:themeColor="text1"/>
          <w:highlight w:val="none"/>
          <w:lang w:val="en-US" w:eastAsia="zh-CN"/>
          <w14:textFill>
            <w14:solidFill>
              <w14:schemeClr w14:val="tx1"/>
            </w14:solidFill>
          </w14:textFill>
        </w:rPr>
        <w:t>73.5</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过硫酸氢钾消毒剂</w:t>
      </w:r>
      <w:r>
        <w:rPr>
          <w:rFonts w:hint="default" w:ascii="Times New Roman" w:hAnsi="Times New Roman" w:eastAsia="宋体" w:cs="Times New Roman"/>
          <w:b w:val="0"/>
          <w:bCs w:val="0"/>
          <w:color w:val="000000" w:themeColor="text1"/>
          <w:highlight w:val="none"/>
          <w14:textFill>
            <w14:solidFill>
              <w14:schemeClr w14:val="tx1"/>
            </w14:solidFill>
          </w14:textFill>
        </w:rPr>
        <w:t>配制比例约为1:</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4</w:t>
      </w:r>
      <w:r>
        <w:rPr>
          <w:rFonts w:hint="eastAsia" w:cs="Times New Roman"/>
          <w:b w:val="0"/>
          <w:bCs w:val="0"/>
          <w:color w:val="000000" w:themeColor="text1"/>
          <w:highlight w:val="none"/>
          <w:lang w:val="en-US" w:eastAsia="zh-CN"/>
          <w14:textFill>
            <w14:solidFill>
              <w14:schemeClr w14:val="tx1"/>
            </w14:solidFill>
          </w14:textFill>
        </w:rPr>
        <w:t>00</w:t>
      </w:r>
      <w:r>
        <w:rPr>
          <w:rFonts w:hint="default" w:ascii="Times New Roman" w:hAnsi="Times New Roman" w:eastAsia="宋体" w:cs="Times New Roman"/>
          <w:b w:val="0"/>
          <w:bCs w:val="0"/>
          <w:color w:val="000000" w:themeColor="text1"/>
          <w:highlight w:val="none"/>
          <w14:textFill>
            <w14:solidFill>
              <w14:schemeClr w14:val="tx1"/>
            </w14:solidFill>
          </w14:textFill>
        </w:rPr>
        <w:t>，年用量约</w:t>
      </w:r>
      <w:r>
        <w:rPr>
          <w:rFonts w:hint="eastAsia" w:cs="Times New Roman"/>
          <w:b w:val="0"/>
          <w:bCs w:val="0"/>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highlight w:val="none"/>
          <w14:textFill>
            <w14:solidFill>
              <w14:schemeClr w14:val="tx1"/>
            </w14:solidFill>
          </w14:textFill>
        </w:rPr>
        <w:t>t/a，年用水量约</w:t>
      </w:r>
      <w:r>
        <w:rPr>
          <w:rFonts w:hint="eastAsia" w:cs="Times New Roman"/>
          <w:b w:val="0"/>
          <w:bCs w:val="0"/>
          <w:color w:val="000000" w:themeColor="text1"/>
          <w:highlight w:val="none"/>
          <w:lang w:val="en-US" w:eastAsia="zh-CN"/>
          <w14:textFill>
            <w14:solidFill>
              <w14:schemeClr w14:val="tx1"/>
            </w14:solidFill>
          </w14:textFill>
        </w:rPr>
        <w:t>400</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；除臭剂加水配比后使用喷雾装置进行喷洒，配制比例约为1:100，除臭剂年用量约</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0.5</w:t>
      </w:r>
      <w:r>
        <w:rPr>
          <w:rFonts w:hint="default" w:ascii="Times New Roman" w:hAnsi="Times New Roman" w:eastAsia="宋体" w:cs="Times New Roman"/>
          <w:b w:val="0"/>
          <w:bCs w:val="0"/>
          <w:color w:val="000000" w:themeColor="text1"/>
          <w:highlight w:val="none"/>
          <w14:textFill>
            <w14:solidFill>
              <w14:schemeClr w14:val="tx1"/>
            </w14:solidFill>
          </w14:textFill>
        </w:rPr>
        <w:t>t/a，年用水量约</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。消毒液配制用水以及除臭剂配制用水量为</w:t>
      </w:r>
      <w:r>
        <w:rPr>
          <w:rFonts w:hint="eastAsia" w:cs="Times New Roman"/>
          <w:b w:val="0"/>
          <w:bCs w:val="0"/>
          <w:color w:val="000000" w:themeColor="text1"/>
          <w:highlight w:val="none"/>
          <w:lang w:val="en-US" w:eastAsia="zh-CN"/>
          <w14:textFill>
            <w14:solidFill>
              <w14:schemeClr w14:val="tx1"/>
            </w14:solidFill>
          </w14:textFill>
        </w:rPr>
        <w:t>523.5</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/a，</w:t>
      </w:r>
      <w:r>
        <w:rPr>
          <w:rFonts w:hint="eastAsia" w:cs="Times New Roman"/>
          <w:b w:val="0"/>
          <w:bCs w:val="0"/>
          <w:color w:val="000000" w:themeColor="text1"/>
          <w:highlight w:val="none"/>
          <w:lang w:val="en-US" w:eastAsia="zh-CN"/>
          <w14:textFill>
            <w14:solidFill>
              <w14:schemeClr w14:val="tx1"/>
            </w14:solidFill>
          </w14:textFill>
        </w:rPr>
        <w:t>1.43</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/d。</w:t>
      </w:r>
    </w:p>
    <w:p w14:paraId="025FAA0B">
      <w:pPr>
        <w:keepNext w:val="0"/>
        <w:keepLines w:val="0"/>
        <w:widowControl/>
        <w:suppressLineNumbers w:val="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（6）分娩设备清洗消毒用水 </w:t>
      </w:r>
    </w:p>
    <w:p w14:paraId="24E0FDC1">
      <w:pPr>
        <w:keepNext w:val="0"/>
        <w:keepLines w:val="0"/>
        <w:widowControl/>
        <w:suppressLineNumbers w:val="0"/>
        <w:ind w:firstLine="480" w:firstLineChars="200"/>
        <w:jc w:val="left"/>
        <w:rPr>
          <w:rFonts w:hint="default"/>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每次分娩完必须对产床等设备器具进行洗涤消毒，用水量按</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65L/</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头计算，根据计算，本项目母猪平均每年进行</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次分娩，年分娩次数为</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10648</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次，则用水量为</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692.12</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/a</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（约</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1.90</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/d</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14:paraId="0E1357D6">
      <w:pPr>
        <w:bidi w:val="0"/>
        <w:spacing w:line="360" w:lineRule="auto"/>
        <w:ind w:firstLine="480" w:firstLineChars="200"/>
        <w:rPr>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综上，本项目用水量为</w:t>
      </w:r>
      <w:r>
        <w:rPr>
          <w:rFonts w:hint="eastAsia" w:cs="Times New Roman"/>
          <w:b w:val="0"/>
          <w:bCs w:val="0"/>
          <w:color w:val="000000" w:themeColor="text1"/>
          <w:highlight w:val="none"/>
          <w:lang w:val="en-US" w:eastAsia="zh-CN"/>
          <w14:textFill>
            <w14:solidFill>
              <w14:schemeClr w14:val="tx1"/>
            </w14:solidFill>
          </w14:textFill>
        </w:rPr>
        <w:t>80856.81</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/a。</w:t>
      </w:r>
    </w:p>
    <w:p w14:paraId="4922528F">
      <w:pPr>
        <w:pStyle w:val="4"/>
        <w:rPr>
          <w:color w:val="000000" w:themeColor="text1"/>
          <w:highlight w:val="none"/>
          <w14:textFill>
            <w14:solidFill>
              <w14:schemeClr w14:val="tx1"/>
            </w14:solidFill>
          </w14:textFill>
        </w:rPr>
      </w:pPr>
      <w:bookmarkStart w:id="106" w:name="_Toc19585"/>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.7.2排水</w:t>
      </w:r>
      <w:bookmarkEnd w:id="106"/>
    </w:p>
    <w:p w14:paraId="0A173D5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本项目废水主要为猪尿、猪舍冲洗废水、生活污水，厂区内将设置粪尿收集管网，在</w:t>
      </w:r>
      <w:r>
        <w:rPr>
          <w:rFonts w:hint="eastAsia"/>
          <w:color w:val="000000" w:themeColor="text1"/>
          <w:highlight w:val="none"/>
          <w:lang w:eastAsia="zh-CN"/>
          <w14:textFill>
            <w14:solidFill>
              <w14:schemeClr w14:val="tx1"/>
            </w14:solidFill>
          </w14:textFill>
        </w:rPr>
        <w:t>集粪池</w:t>
      </w:r>
      <w:r>
        <w:rPr>
          <w:color w:val="000000" w:themeColor="text1"/>
          <w:highlight w:val="none"/>
          <w14:textFill>
            <w14:solidFill>
              <w14:schemeClr w14:val="tx1"/>
            </w14:solidFill>
          </w14:textFill>
        </w:rPr>
        <w:t>暂存后，密闭输送至</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经固液分离，液体部分进</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处理，固粪进</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堆肥处理后外售。</w:t>
      </w:r>
      <w:r>
        <w:rPr>
          <w:rFonts w:hint="eastAsia"/>
          <w:color w:val="000000" w:themeColor="text1"/>
          <w:highlight w:val="none"/>
          <w14:textFill>
            <w14:solidFill>
              <w14:schemeClr w14:val="tx1"/>
            </w14:solidFill>
          </w14:textFill>
        </w:rPr>
        <w:t>黑膜</w:t>
      </w:r>
      <w:r>
        <w:rPr>
          <w:color w:val="000000" w:themeColor="text1"/>
          <w:highlight w:val="none"/>
          <w14:textFill>
            <w14:solidFill>
              <w14:schemeClr w14:val="tx1"/>
            </w14:solidFill>
          </w14:textFill>
        </w:rPr>
        <w:t>池产生的沼气</w:t>
      </w:r>
      <w:r>
        <w:rPr>
          <w:rFonts w:hint="eastAsia"/>
          <w:color w:val="000000" w:themeColor="text1"/>
          <w:highlight w:val="none"/>
          <w14:textFill>
            <w14:solidFill>
              <w14:schemeClr w14:val="tx1"/>
            </w14:solidFill>
          </w14:textFill>
        </w:rPr>
        <w:t>通过排气孔排放</w:t>
      </w:r>
      <w:r>
        <w:rPr>
          <w:color w:val="000000" w:themeColor="text1"/>
          <w:highlight w:val="none"/>
          <w14:textFill>
            <w14:solidFill>
              <w14:schemeClr w14:val="tx1"/>
            </w14:solidFill>
          </w14:textFill>
        </w:rPr>
        <w:t>，产生的沼渣堆放于</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堆肥后外售，产生的沼液回用于农田，无废水排放。</w:t>
      </w:r>
    </w:p>
    <w:p w14:paraId="40B44AE4">
      <w:pPr>
        <w:bidi w:val="0"/>
        <w:spacing w:line="360" w:lineRule="auto"/>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cs="Times New Roman"/>
          <w:b w:val="0"/>
          <w:bCs w:val="0"/>
          <w:color w:val="000000" w:themeColor="text1"/>
          <w:highlight w:val="none"/>
          <w:lang w:eastAsia="zh-CN"/>
          <w14:textFill>
            <w14:solidFill>
              <w14:schemeClr w14:val="tx1"/>
            </w14:solidFill>
          </w14:textFill>
        </w:rPr>
        <w:t>（</w:t>
      </w:r>
      <w:r>
        <w:rPr>
          <w:rFonts w:hint="eastAsia" w:cs="Times New Roman"/>
          <w:b w:val="0"/>
          <w:bCs w:val="0"/>
          <w:color w:val="000000" w:themeColor="text1"/>
          <w:highlight w:val="none"/>
          <w:lang w:val="en-US" w:eastAsia="zh-CN"/>
          <w14:textFill>
            <w14:solidFill>
              <w14:schemeClr w14:val="tx1"/>
            </w14:solidFill>
          </w14:textFill>
        </w:rPr>
        <w:t>1</w:t>
      </w:r>
      <w:r>
        <w:rPr>
          <w:rFonts w:hint="eastAsia"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猪尿液</w:t>
      </w:r>
    </w:p>
    <w:p w14:paraId="31459BD9">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根据《规模畜禽养殖场污染防治最佳可行技术指南（试行）》</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（HJ-BAT-10-2013）</w:t>
      </w:r>
      <w:r>
        <w:rPr>
          <w:rFonts w:ascii="Times New Roman" w:hAnsi="Times New Roman" w:eastAsia="宋体" w:cs="宋体"/>
          <w:b w:val="0"/>
          <w:bCs w:val="0"/>
          <w:color w:val="000000" w:themeColor="text1"/>
          <w:kern w:val="0"/>
          <w:szCs w:val="24"/>
          <w:highlight w:val="none"/>
          <w14:textFill>
            <w14:solidFill>
              <w14:schemeClr w14:val="tx1"/>
            </w14:solidFill>
          </w14:textFill>
        </w:rPr>
        <w:t>编制说明，猪尿排泄量计算公式为：</w:t>
      </w:r>
    </w:p>
    <w:p w14:paraId="316A6077">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Yu=0.205+0.438W</w:t>
      </w:r>
    </w:p>
    <w:p w14:paraId="3DFA2033">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式中，Yu—猪尿排泄量，单位：</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w:t>
      </w:r>
      <w:r>
        <w:rPr>
          <w:rFonts w:ascii="Times New Roman" w:hAnsi="Times New Roman" w:eastAsia="宋体" w:cs="宋体"/>
          <w:b w:val="0"/>
          <w:bCs w:val="0"/>
          <w:color w:val="000000" w:themeColor="text1"/>
          <w:kern w:val="0"/>
          <w:szCs w:val="24"/>
          <w:highlight w:val="none"/>
          <w14:textFill>
            <w14:solidFill>
              <w14:schemeClr w14:val="tx1"/>
            </w14:solidFill>
          </w14:textFill>
        </w:rPr>
        <w:t>/(d·头)；</w:t>
      </w:r>
    </w:p>
    <w:p w14:paraId="72F4BCD6">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W—猪的饮水量，单位：</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w:t>
      </w:r>
      <w:r>
        <w:rPr>
          <w:rFonts w:ascii="Times New Roman" w:hAnsi="Times New Roman" w:eastAsia="宋体" w:cs="宋体"/>
          <w:b w:val="0"/>
          <w:bCs w:val="0"/>
          <w:color w:val="000000" w:themeColor="text1"/>
          <w:kern w:val="0"/>
          <w:szCs w:val="24"/>
          <w:highlight w:val="none"/>
          <w14:textFill>
            <w14:solidFill>
              <w14:schemeClr w14:val="tx1"/>
            </w14:solidFill>
          </w14:textFill>
        </w:rPr>
        <w:t>/(d·头)。</w:t>
      </w:r>
    </w:p>
    <w:p w14:paraId="022FD6EF">
      <w:pPr>
        <w:spacing w:line="360" w:lineRule="auto"/>
        <w:ind w:firstLine="480" w:firstLineChars="200"/>
        <w:jc w:val="left"/>
        <w:rPr>
          <w:rFonts w:hint="eastAsia" w:eastAsia="宋体"/>
          <w:color w:val="000000" w:themeColor="text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经计算，项目养殖过程猪尿液产生量见表</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3.7-3</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p>
    <w:p w14:paraId="4643CC6F">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表</w:t>
      </w: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3.7-3</w:t>
      </w:r>
      <w:r>
        <w:rPr>
          <w:rFonts w:ascii="Times New Roman" w:hAnsi="Times New Roman" w:eastAsia="宋体" w:cs="宋体"/>
          <w:b/>
          <w:bCs/>
          <w:color w:val="000000" w:themeColor="text1"/>
          <w:kern w:val="0"/>
          <w:sz w:val="21"/>
          <w:szCs w:val="21"/>
          <w:highlight w:val="none"/>
          <w14:textFill>
            <w14:solidFill>
              <w14:schemeClr w14:val="tx1"/>
            </w14:solidFill>
          </w14:textFill>
        </w:rPr>
        <w:t xml:space="preserve"> </w:t>
      </w:r>
      <w:r>
        <w:rPr>
          <w:rFonts w:hint="eastAsia" w:ascii="Times New Roman" w:hAnsi="Times New Roman" w:eastAsia="宋体" w:cs="宋体"/>
          <w:b/>
          <w:bCs/>
          <w:color w:val="000000" w:themeColor="text1"/>
          <w:kern w:val="0"/>
          <w:sz w:val="21"/>
          <w:szCs w:val="21"/>
          <w:highlight w:val="none"/>
          <w:lang w:val="en-US" w:eastAsia="zh-CN"/>
          <w14:textFill>
            <w14:solidFill>
              <w14:schemeClr w14:val="tx1"/>
            </w14:solidFill>
          </w14:textFill>
        </w:rPr>
        <w:t xml:space="preserve"> </w:t>
      </w:r>
      <w:r>
        <w:rPr>
          <w:rFonts w:ascii="Times New Roman" w:hAnsi="Times New Roman" w:eastAsia="宋体" w:cs="宋体"/>
          <w:b/>
          <w:bCs/>
          <w:color w:val="000000" w:themeColor="text1"/>
          <w:kern w:val="0"/>
          <w:sz w:val="21"/>
          <w:szCs w:val="21"/>
          <w:highlight w:val="none"/>
          <w14:textFill>
            <w14:solidFill>
              <w14:schemeClr w14:val="tx1"/>
            </w14:solidFill>
          </w14:textFill>
        </w:rPr>
        <w:t>项目产尿量分析</w:t>
      </w:r>
    </w:p>
    <w:tbl>
      <w:tblPr>
        <w:tblStyle w:val="33"/>
        <w:tblW w:w="492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2"/>
        <w:gridCol w:w="1374"/>
        <w:gridCol w:w="1305"/>
        <w:gridCol w:w="1426"/>
        <w:gridCol w:w="1001"/>
        <w:gridCol w:w="1288"/>
      </w:tblGrid>
      <w:tr w14:paraId="2A60A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38" w:hRule="exact"/>
        </w:trPr>
        <w:tc>
          <w:tcPr>
            <w:tcW w:w="1193" w:type="pct"/>
            <w:vAlign w:val="center"/>
          </w:tcPr>
          <w:p w14:paraId="3505A6E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种类</w:t>
            </w:r>
          </w:p>
        </w:tc>
        <w:tc>
          <w:tcPr>
            <w:tcW w:w="818" w:type="pct"/>
            <w:vAlign w:val="center"/>
          </w:tcPr>
          <w:p w14:paraId="72498BF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饮水量取值（kg/d·头）</w:t>
            </w:r>
          </w:p>
        </w:tc>
        <w:tc>
          <w:tcPr>
            <w:tcW w:w="777" w:type="pct"/>
            <w:vAlign w:val="center"/>
          </w:tcPr>
          <w:p w14:paraId="0FD7E71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常年存栏量</w:t>
            </w:r>
          </w:p>
        </w:tc>
        <w:tc>
          <w:tcPr>
            <w:tcW w:w="849" w:type="pct"/>
            <w:vAlign w:val="center"/>
          </w:tcPr>
          <w:p w14:paraId="6A01769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产尿量（kg/d.头）</w:t>
            </w:r>
          </w:p>
        </w:tc>
        <w:tc>
          <w:tcPr>
            <w:tcW w:w="596" w:type="pct"/>
            <w:vAlign w:val="center"/>
          </w:tcPr>
          <w:p w14:paraId="566A280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生产</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天数</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d</w:t>
            </w:r>
          </w:p>
        </w:tc>
        <w:tc>
          <w:tcPr>
            <w:tcW w:w="765" w:type="pct"/>
            <w:vAlign w:val="center"/>
          </w:tcPr>
          <w:p w14:paraId="6977B07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总排尿量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t</w:t>
            </w:r>
          </w:p>
        </w:tc>
      </w:tr>
      <w:tr w14:paraId="2B05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trPr>
        <w:tc>
          <w:tcPr>
            <w:tcW w:w="1193" w:type="pct"/>
            <w:vAlign w:val="center"/>
          </w:tcPr>
          <w:p w14:paraId="1E18869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成年母猪</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除</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带仔哺乳母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猪</w:t>
            </w:r>
            <w:r>
              <w:rPr>
                <w:rFonts w:hint="eastAsia" w:cs="Times New Roman"/>
                <w:color w:val="000000" w:themeColor="text1"/>
                <w:sz w:val="21"/>
                <w:szCs w:val="21"/>
                <w:highlight w:val="none"/>
                <w:lang w:eastAsia="zh-CN"/>
                <w14:textFill>
                  <w14:solidFill>
                    <w14:schemeClr w14:val="tx1"/>
                  </w14:solidFill>
                </w14:textFill>
              </w:rPr>
              <w:t>）</w:t>
            </w:r>
          </w:p>
        </w:tc>
        <w:tc>
          <w:tcPr>
            <w:tcW w:w="1374" w:type="dxa"/>
            <w:vAlign w:val="center"/>
          </w:tcPr>
          <w:p w14:paraId="1CD7C887">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12.5</w:t>
            </w:r>
          </w:p>
        </w:tc>
        <w:tc>
          <w:tcPr>
            <w:tcW w:w="777" w:type="pct"/>
            <w:vAlign w:val="center"/>
          </w:tcPr>
          <w:p w14:paraId="646717D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4023</w:t>
            </w:r>
          </w:p>
        </w:tc>
        <w:tc>
          <w:tcPr>
            <w:tcW w:w="849" w:type="pct"/>
            <w:vAlign w:val="center"/>
          </w:tcPr>
          <w:p w14:paraId="4533504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5.68</w:t>
            </w:r>
          </w:p>
        </w:tc>
        <w:tc>
          <w:tcPr>
            <w:tcW w:w="596" w:type="pct"/>
            <w:vMerge w:val="restart"/>
            <w:vAlign w:val="center"/>
          </w:tcPr>
          <w:p w14:paraId="5B0E4D7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365</w:t>
            </w:r>
          </w:p>
        </w:tc>
        <w:tc>
          <w:tcPr>
            <w:tcW w:w="765" w:type="pct"/>
            <w:vAlign w:val="center"/>
          </w:tcPr>
          <w:p w14:paraId="4F2EC2C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8340.48</w:t>
            </w:r>
          </w:p>
        </w:tc>
      </w:tr>
      <w:tr w14:paraId="35458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93" w:type="pct"/>
            <w:vAlign w:val="center"/>
          </w:tcPr>
          <w:p w14:paraId="7AE06D8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后备母猪</w:t>
            </w:r>
          </w:p>
        </w:tc>
        <w:tc>
          <w:tcPr>
            <w:tcW w:w="1374" w:type="dxa"/>
            <w:vAlign w:val="center"/>
          </w:tcPr>
          <w:p w14:paraId="2472D66F">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12.5</w:t>
            </w:r>
          </w:p>
        </w:tc>
        <w:tc>
          <w:tcPr>
            <w:tcW w:w="777" w:type="pct"/>
            <w:vAlign w:val="center"/>
          </w:tcPr>
          <w:p w14:paraId="7D036CA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1452</w:t>
            </w:r>
          </w:p>
        </w:tc>
        <w:tc>
          <w:tcPr>
            <w:tcW w:w="849" w:type="pct"/>
            <w:vAlign w:val="center"/>
          </w:tcPr>
          <w:p w14:paraId="65EDCB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5.68</w:t>
            </w:r>
          </w:p>
        </w:tc>
        <w:tc>
          <w:tcPr>
            <w:tcW w:w="596" w:type="pct"/>
            <w:vMerge w:val="continue"/>
            <w:vAlign w:val="center"/>
          </w:tcPr>
          <w:p w14:paraId="1374FCE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5" w:type="pct"/>
            <w:vAlign w:val="center"/>
          </w:tcPr>
          <w:p w14:paraId="75A526E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3010.29</w:t>
            </w:r>
          </w:p>
        </w:tc>
      </w:tr>
      <w:tr w14:paraId="4CE9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93" w:type="pct"/>
            <w:vAlign w:val="center"/>
          </w:tcPr>
          <w:p w14:paraId="1CB4D46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种公猪</w:t>
            </w:r>
          </w:p>
        </w:tc>
        <w:tc>
          <w:tcPr>
            <w:tcW w:w="1374" w:type="dxa"/>
            <w:vAlign w:val="center"/>
          </w:tcPr>
          <w:p w14:paraId="77F1CFF2">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12.5</w:t>
            </w:r>
          </w:p>
        </w:tc>
        <w:tc>
          <w:tcPr>
            <w:tcW w:w="777" w:type="pct"/>
            <w:vAlign w:val="center"/>
          </w:tcPr>
          <w:p w14:paraId="379F178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160</w:t>
            </w:r>
          </w:p>
        </w:tc>
        <w:tc>
          <w:tcPr>
            <w:tcW w:w="849" w:type="pct"/>
            <w:vAlign w:val="center"/>
          </w:tcPr>
          <w:p w14:paraId="503043A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5.68</w:t>
            </w:r>
          </w:p>
        </w:tc>
        <w:tc>
          <w:tcPr>
            <w:tcW w:w="596" w:type="pct"/>
            <w:vMerge w:val="continue"/>
            <w:vAlign w:val="center"/>
          </w:tcPr>
          <w:p w14:paraId="7EEC3F3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5" w:type="pct"/>
            <w:vAlign w:val="center"/>
          </w:tcPr>
          <w:p w14:paraId="294E69F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331.71</w:t>
            </w:r>
          </w:p>
        </w:tc>
      </w:tr>
      <w:tr w14:paraId="4F936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93" w:type="pct"/>
            <w:vAlign w:val="center"/>
          </w:tcPr>
          <w:p w14:paraId="0E89254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后备公猪</w:t>
            </w:r>
          </w:p>
        </w:tc>
        <w:tc>
          <w:tcPr>
            <w:tcW w:w="1374" w:type="dxa"/>
            <w:vAlign w:val="center"/>
          </w:tcPr>
          <w:p w14:paraId="1DF1F3F4">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12.5</w:t>
            </w:r>
          </w:p>
        </w:tc>
        <w:tc>
          <w:tcPr>
            <w:tcW w:w="777" w:type="pct"/>
            <w:vAlign w:val="center"/>
          </w:tcPr>
          <w:p w14:paraId="5A71ACE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849" w:type="pct"/>
            <w:vAlign w:val="center"/>
          </w:tcPr>
          <w:p w14:paraId="5505D60C">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5.68</w:t>
            </w:r>
          </w:p>
        </w:tc>
        <w:tc>
          <w:tcPr>
            <w:tcW w:w="596" w:type="pct"/>
            <w:vMerge w:val="continue"/>
            <w:vAlign w:val="center"/>
          </w:tcPr>
          <w:p w14:paraId="7869250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5" w:type="pct"/>
            <w:vAlign w:val="center"/>
          </w:tcPr>
          <w:p w14:paraId="34DE756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165.86</w:t>
            </w:r>
          </w:p>
        </w:tc>
      </w:tr>
      <w:tr w14:paraId="1708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trPr>
        <w:tc>
          <w:tcPr>
            <w:tcW w:w="1193" w:type="pct"/>
            <w:vAlign w:val="center"/>
          </w:tcPr>
          <w:p w14:paraId="1FD0D0C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带仔哺乳母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猪</w:t>
            </w:r>
          </w:p>
        </w:tc>
        <w:tc>
          <w:tcPr>
            <w:tcW w:w="1374" w:type="dxa"/>
            <w:vAlign w:val="center"/>
          </w:tcPr>
          <w:p w14:paraId="0A024797">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22.5</w:t>
            </w:r>
          </w:p>
        </w:tc>
        <w:tc>
          <w:tcPr>
            <w:tcW w:w="777" w:type="pct"/>
            <w:vAlign w:val="center"/>
          </w:tcPr>
          <w:p w14:paraId="6068B5A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817</w:t>
            </w:r>
          </w:p>
        </w:tc>
        <w:tc>
          <w:tcPr>
            <w:tcW w:w="849" w:type="pct"/>
            <w:vAlign w:val="center"/>
          </w:tcPr>
          <w:p w14:paraId="69FBCFF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10.06</w:t>
            </w:r>
          </w:p>
        </w:tc>
        <w:tc>
          <w:tcPr>
            <w:tcW w:w="596" w:type="pct"/>
            <w:vMerge w:val="continue"/>
            <w:vAlign w:val="center"/>
          </w:tcPr>
          <w:p w14:paraId="313A53E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5" w:type="pct"/>
            <w:vAlign w:val="center"/>
          </w:tcPr>
          <w:p w14:paraId="7DB13D7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2999.94</w:t>
            </w:r>
          </w:p>
        </w:tc>
      </w:tr>
      <w:tr w14:paraId="27D9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93" w:type="pct"/>
            <w:vAlign w:val="center"/>
          </w:tcPr>
          <w:p w14:paraId="29F509C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保育仔猪</w:t>
            </w:r>
          </w:p>
        </w:tc>
        <w:tc>
          <w:tcPr>
            <w:tcW w:w="1374" w:type="dxa"/>
            <w:vAlign w:val="center"/>
          </w:tcPr>
          <w:p w14:paraId="0B3ACD33">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2</w:t>
            </w:r>
          </w:p>
        </w:tc>
        <w:tc>
          <w:tcPr>
            <w:tcW w:w="777" w:type="pct"/>
            <w:vAlign w:val="center"/>
          </w:tcPr>
          <w:p w14:paraId="67BC4A4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11852</w:t>
            </w:r>
          </w:p>
        </w:tc>
        <w:tc>
          <w:tcPr>
            <w:tcW w:w="849" w:type="pct"/>
            <w:vAlign w:val="center"/>
          </w:tcPr>
          <w:p w14:paraId="3B24B82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1.081</w:t>
            </w:r>
          </w:p>
        </w:tc>
        <w:tc>
          <w:tcPr>
            <w:tcW w:w="596" w:type="pct"/>
            <w:vMerge w:val="continue"/>
            <w:vAlign w:val="center"/>
          </w:tcPr>
          <w:p w14:paraId="570005E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5" w:type="pct"/>
            <w:vAlign w:val="center"/>
          </w:tcPr>
          <w:p w14:paraId="498ABD2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4676.38</w:t>
            </w:r>
          </w:p>
        </w:tc>
      </w:tr>
      <w:tr w14:paraId="0A81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trPr>
        <w:tc>
          <w:tcPr>
            <w:tcW w:w="1193" w:type="pct"/>
            <w:vAlign w:val="center"/>
          </w:tcPr>
          <w:p w14:paraId="2FDA794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生长育肥猪</w:t>
            </w:r>
          </w:p>
        </w:tc>
        <w:tc>
          <w:tcPr>
            <w:tcW w:w="1374" w:type="dxa"/>
            <w:vAlign w:val="center"/>
          </w:tcPr>
          <w:p w14:paraId="74F5C04F">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vertAlign w:val="baseline"/>
                <w:lang w:val="en-US" w:eastAsia="zh-CN"/>
                <w14:textFill>
                  <w14:solidFill>
                    <w14:schemeClr w14:val="tx1"/>
                  </w14:solidFill>
                </w14:textFill>
              </w:rPr>
              <w:t>6.75</w:t>
            </w:r>
          </w:p>
        </w:tc>
        <w:tc>
          <w:tcPr>
            <w:tcW w:w="777" w:type="pct"/>
            <w:vAlign w:val="center"/>
          </w:tcPr>
          <w:p w14:paraId="12CFD28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6653</w:t>
            </w:r>
          </w:p>
        </w:tc>
        <w:tc>
          <w:tcPr>
            <w:tcW w:w="849" w:type="pct"/>
            <w:vAlign w:val="center"/>
          </w:tcPr>
          <w:p w14:paraId="683B146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3.1615</w:t>
            </w:r>
          </w:p>
        </w:tc>
        <w:tc>
          <w:tcPr>
            <w:tcW w:w="596" w:type="pct"/>
            <w:vMerge w:val="continue"/>
            <w:vAlign w:val="center"/>
          </w:tcPr>
          <w:p w14:paraId="3FCC6DE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5" w:type="pct"/>
            <w:vAlign w:val="center"/>
          </w:tcPr>
          <w:p w14:paraId="3E1F0E1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7677.21</w:t>
            </w:r>
          </w:p>
        </w:tc>
      </w:tr>
      <w:tr w14:paraId="5AF6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193" w:type="pct"/>
            <w:vAlign w:val="center"/>
          </w:tcPr>
          <w:p w14:paraId="64C8627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合计</w:t>
            </w:r>
          </w:p>
        </w:tc>
        <w:tc>
          <w:tcPr>
            <w:tcW w:w="818" w:type="pct"/>
            <w:vAlign w:val="center"/>
          </w:tcPr>
          <w:p w14:paraId="1129316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77" w:type="pct"/>
            <w:vAlign w:val="center"/>
          </w:tcPr>
          <w:p w14:paraId="47F0C93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49" w:type="pct"/>
            <w:vAlign w:val="center"/>
          </w:tcPr>
          <w:p w14:paraId="1F98B69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96" w:type="pct"/>
            <w:vAlign w:val="center"/>
          </w:tcPr>
          <w:p w14:paraId="7B900945">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65" w:type="pct"/>
            <w:vAlign w:val="center"/>
          </w:tcPr>
          <w:p w14:paraId="3CDD7C4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27201.87</w:t>
            </w:r>
          </w:p>
        </w:tc>
      </w:tr>
      <w:tr w14:paraId="69DA9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5000" w:type="pct"/>
            <w:gridSpan w:val="6"/>
            <w:vAlign w:val="center"/>
          </w:tcPr>
          <w:p w14:paraId="3309AE0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备注：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猪尿比重为1.02</w:t>
            </w:r>
          </w:p>
        </w:tc>
      </w:tr>
    </w:tbl>
    <w:p w14:paraId="75A9A188">
      <w:pPr>
        <w:widowControl/>
        <w:wordWrap w:val="0"/>
        <w:snapToGrid w:val="0"/>
        <w:spacing w:line="360" w:lineRule="auto"/>
        <w:ind w:firstLine="480" w:firstLineChars="200"/>
        <w:jc w:val="both"/>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综上所述，本项目养殖过程猪尿液产生量为</w:t>
      </w:r>
      <w:r>
        <w:rPr>
          <w:rFonts w:hint="eastAsia" w:cs="宋体"/>
          <w:b w:val="0"/>
          <w:bCs w:val="0"/>
          <w:color w:val="000000" w:themeColor="text1"/>
          <w:kern w:val="0"/>
          <w:szCs w:val="24"/>
          <w:highlight w:val="none"/>
          <w:lang w:val="en-US" w:eastAsia="zh-CN"/>
          <w14:textFill>
            <w14:solidFill>
              <w14:schemeClr w14:val="tx1"/>
            </w14:solidFill>
          </w14:textFill>
        </w:rPr>
        <w:t>27201.87</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cs="宋体"/>
          <w:b w:val="0"/>
          <w:bCs w:val="0"/>
          <w:color w:val="000000" w:themeColor="text1"/>
          <w:kern w:val="0"/>
          <w:szCs w:val="24"/>
          <w:highlight w:val="none"/>
          <w:lang w:val="en-US" w:eastAsia="zh-CN"/>
          <w14:textFill>
            <w14:solidFill>
              <w14:schemeClr w14:val="tx1"/>
            </w14:solidFill>
          </w14:textFill>
        </w:rPr>
        <w:t>26668.5</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ascii="Times New Roman" w:hAnsi="Times New Roman" w:eastAsia="宋体" w:cs="宋体"/>
          <w:b w:val="0"/>
          <w:bCs w:val="0"/>
          <w:color w:val="000000" w:themeColor="text1"/>
          <w:kern w:val="0"/>
          <w:szCs w:val="24"/>
          <w:highlight w:val="none"/>
          <w14:textFill>
            <w14:solidFill>
              <w14:schemeClr w14:val="tx1"/>
            </w14:solidFill>
          </w14:textFill>
        </w:rPr>
        <w:t>。</w:t>
      </w:r>
    </w:p>
    <w:p w14:paraId="72DA692D">
      <w:pPr>
        <w:widowControl/>
        <w:wordWrap w:val="0"/>
        <w:snapToGrid w:val="0"/>
        <w:spacing w:line="360" w:lineRule="auto"/>
        <w:jc w:val="both"/>
        <w:rPr>
          <w:rFonts w:hint="eastAsia" w:ascii="Times New Roman" w:hAnsi="Times New Roman" w:eastAsia="宋体" w:cs="Times New Roman"/>
          <w:b w:val="0"/>
          <w:bCs w:val="0"/>
          <w:color w:val="000000" w:themeColor="text1"/>
          <w:kern w:val="0"/>
          <w:szCs w:val="24"/>
          <w:highlight w:val="none"/>
          <w:shd w:val="clear" w:color="auto" w:fill="auto"/>
          <w:lang w:val="en-US" w:eastAsia="zh-CN"/>
          <w14:textFill>
            <w14:solidFill>
              <w14:schemeClr w14:val="tx1"/>
            </w14:solidFill>
          </w14:textFill>
        </w:rPr>
      </w:pPr>
      <w:r>
        <w:rPr>
          <w:rFonts w:hint="eastAsia" w:cs="Times New Roman"/>
          <w:b w:val="0"/>
          <w:bCs w:val="0"/>
          <w:color w:val="000000" w:themeColor="text1"/>
          <w:kern w:val="0"/>
          <w:szCs w:val="24"/>
          <w:highlight w:val="none"/>
          <w:shd w:val="clear" w:color="auto" w:fill="auto"/>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0"/>
          <w:szCs w:val="24"/>
          <w:highlight w:val="none"/>
          <w:shd w:val="clear" w:color="auto" w:fill="auto"/>
          <w:lang w:val="en-US" w:eastAsia="zh-CN"/>
          <w14:textFill>
            <w14:solidFill>
              <w14:schemeClr w14:val="tx1"/>
            </w14:solidFill>
          </w14:textFill>
        </w:rPr>
        <w:t>猪粪滤液</w:t>
      </w:r>
    </w:p>
    <w:p w14:paraId="393B841E">
      <w:pPr>
        <w:spacing w:line="360" w:lineRule="auto"/>
        <w:ind w:firstLine="960" w:firstLineChars="4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根据《规模畜禽养殖场污染防治最佳可行技术指南（试行）》</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（HJ-BAT-10-2013）</w:t>
      </w:r>
      <w:r>
        <w:rPr>
          <w:rFonts w:ascii="Times New Roman" w:hAnsi="Times New Roman" w:eastAsia="宋体" w:cs="宋体"/>
          <w:b w:val="0"/>
          <w:bCs w:val="0"/>
          <w:color w:val="000000" w:themeColor="text1"/>
          <w:kern w:val="0"/>
          <w:szCs w:val="24"/>
          <w:highlight w:val="none"/>
          <w14:textFill>
            <w14:solidFill>
              <w14:schemeClr w14:val="tx1"/>
            </w14:solidFill>
          </w14:textFill>
        </w:rPr>
        <w:t>编制说明，猪</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粪</w:t>
      </w:r>
      <w:r>
        <w:rPr>
          <w:rFonts w:ascii="Times New Roman" w:hAnsi="Times New Roman" w:eastAsia="宋体" w:cs="宋体"/>
          <w:b w:val="0"/>
          <w:bCs w:val="0"/>
          <w:color w:val="000000" w:themeColor="text1"/>
          <w:kern w:val="0"/>
          <w:szCs w:val="24"/>
          <w:highlight w:val="none"/>
          <w14:textFill>
            <w14:solidFill>
              <w14:schemeClr w14:val="tx1"/>
            </w14:solidFill>
          </w14:textFill>
        </w:rPr>
        <w:t>排泄量计算公式为：</w:t>
      </w:r>
    </w:p>
    <w:p w14:paraId="44927B90">
      <w:pPr>
        <w:spacing w:line="360" w:lineRule="auto"/>
        <w:ind w:firstLine="480" w:firstLineChars="200"/>
        <w:jc w:val="left"/>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Yf</w:t>
      </w:r>
      <w:r>
        <w:rPr>
          <w:rFonts w:ascii="Times New Roman" w:hAnsi="Times New Roman" w:eastAsia="宋体" w:cs="宋体"/>
          <w:b w:val="0"/>
          <w:bCs w:val="0"/>
          <w:color w:val="000000" w:themeColor="text1"/>
          <w:kern w:val="0"/>
          <w:szCs w:val="24"/>
          <w:highlight w:val="none"/>
          <w14:textFill>
            <w14:solidFill>
              <w14:schemeClr w14:val="tx1"/>
            </w14:solidFill>
          </w14:textFill>
        </w:rPr>
        <w:t>=0.</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530F-0.049</w:t>
      </w:r>
    </w:p>
    <w:p w14:paraId="606B3129">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式中，</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Yf</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粪便</w:t>
      </w:r>
      <w:r>
        <w:rPr>
          <w:rFonts w:ascii="Times New Roman" w:hAnsi="Times New Roman" w:eastAsia="宋体" w:cs="宋体"/>
          <w:b w:val="0"/>
          <w:bCs w:val="0"/>
          <w:color w:val="000000" w:themeColor="text1"/>
          <w:kern w:val="0"/>
          <w:szCs w:val="24"/>
          <w:highlight w:val="none"/>
          <w14:textFill>
            <w14:solidFill>
              <w14:schemeClr w14:val="tx1"/>
            </w14:solidFill>
          </w14:textFill>
        </w:rPr>
        <w:t>排泄量，单位：</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w:t>
      </w:r>
      <w:r>
        <w:rPr>
          <w:rFonts w:ascii="Times New Roman" w:hAnsi="Times New Roman" w:eastAsia="宋体" w:cs="宋体"/>
          <w:b w:val="0"/>
          <w:bCs w:val="0"/>
          <w:color w:val="000000" w:themeColor="text1"/>
          <w:kern w:val="0"/>
          <w:szCs w:val="24"/>
          <w:highlight w:val="none"/>
          <w14:textFill>
            <w14:solidFill>
              <w14:schemeClr w14:val="tx1"/>
            </w14:solidFill>
          </w14:textFill>
        </w:rPr>
        <w:t>；</w:t>
      </w:r>
    </w:p>
    <w:p w14:paraId="26F52610">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F</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饲料采食量</w:t>
      </w:r>
      <w:r>
        <w:rPr>
          <w:rFonts w:ascii="Times New Roman" w:hAnsi="Times New Roman" w:eastAsia="宋体" w:cs="宋体"/>
          <w:b w:val="0"/>
          <w:bCs w:val="0"/>
          <w:color w:val="000000" w:themeColor="text1"/>
          <w:kern w:val="0"/>
          <w:szCs w:val="24"/>
          <w:highlight w:val="none"/>
          <w14:textFill>
            <w14:solidFill>
              <w14:schemeClr w14:val="tx1"/>
            </w14:solidFill>
          </w14:textFill>
        </w:rPr>
        <w:t>，单位：</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w:t>
      </w:r>
      <w:r>
        <w:rPr>
          <w:rFonts w:ascii="Times New Roman" w:hAnsi="Times New Roman" w:eastAsia="宋体" w:cs="宋体"/>
          <w:b w:val="0"/>
          <w:bCs w:val="0"/>
          <w:color w:val="000000" w:themeColor="text1"/>
          <w:kern w:val="0"/>
          <w:szCs w:val="24"/>
          <w:highlight w:val="none"/>
          <w14:textFill>
            <w14:solidFill>
              <w14:schemeClr w14:val="tx1"/>
            </w14:solidFill>
          </w14:textFill>
        </w:rPr>
        <w:t>/(d·头)。</w:t>
      </w:r>
    </w:p>
    <w:p w14:paraId="1DFDDEF2">
      <w:pPr>
        <w:spacing w:line="360" w:lineRule="auto"/>
        <w:ind w:firstLine="480" w:firstLineChars="200"/>
        <w:jc w:val="left"/>
        <w:rPr>
          <w:rFonts w:hint="eastAsia" w:eastAsia="宋体"/>
          <w:color w:val="000000" w:themeColor="text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经计算，项目养殖过程猪</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粪便</w:t>
      </w:r>
      <w:r>
        <w:rPr>
          <w:rFonts w:ascii="Times New Roman" w:hAnsi="Times New Roman" w:eastAsia="宋体" w:cs="宋体"/>
          <w:b w:val="0"/>
          <w:bCs w:val="0"/>
          <w:color w:val="000000" w:themeColor="text1"/>
          <w:kern w:val="0"/>
          <w:szCs w:val="24"/>
          <w:highlight w:val="none"/>
          <w14:textFill>
            <w14:solidFill>
              <w14:schemeClr w14:val="tx1"/>
            </w14:solidFill>
          </w14:textFill>
        </w:rPr>
        <w:t>产生量见表</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3.7-</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4</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p>
    <w:p w14:paraId="56898139">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表</w:t>
      </w: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3.7-</w:t>
      </w:r>
      <w:r>
        <w:rPr>
          <w:rFonts w:hint="eastAsia" w:ascii="Times New Roman" w:hAnsi="Times New Roman" w:eastAsia="宋体" w:cs="宋体"/>
          <w:b/>
          <w:bCs/>
          <w:color w:val="000000" w:themeColor="text1"/>
          <w:kern w:val="0"/>
          <w:sz w:val="21"/>
          <w:szCs w:val="21"/>
          <w:highlight w:val="none"/>
          <w:lang w:val="en-US" w:eastAsia="zh-CN"/>
          <w14:textFill>
            <w14:solidFill>
              <w14:schemeClr w14:val="tx1"/>
            </w14:solidFill>
          </w14:textFill>
        </w:rPr>
        <w:t>4  项目粪便产生量分</w:t>
      </w:r>
      <w:r>
        <w:rPr>
          <w:rFonts w:ascii="Times New Roman" w:hAnsi="Times New Roman" w:eastAsia="宋体" w:cs="宋体"/>
          <w:b/>
          <w:bCs/>
          <w:color w:val="000000" w:themeColor="text1"/>
          <w:kern w:val="0"/>
          <w:sz w:val="21"/>
          <w:szCs w:val="21"/>
          <w:highlight w:val="none"/>
          <w14:textFill>
            <w14:solidFill>
              <w14:schemeClr w14:val="tx1"/>
            </w14:solidFill>
          </w14:textFill>
        </w:rPr>
        <w:t>析</w:t>
      </w:r>
    </w:p>
    <w:tbl>
      <w:tblPr>
        <w:tblStyle w:val="33"/>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1351"/>
        <w:gridCol w:w="1283"/>
        <w:gridCol w:w="1402"/>
        <w:gridCol w:w="984"/>
        <w:gridCol w:w="1267"/>
      </w:tblGrid>
      <w:tr w14:paraId="0C5F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1192" w:type="pct"/>
            <w:vAlign w:val="center"/>
          </w:tcPr>
          <w:p w14:paraId="018985B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种类</w:t>
            </w:r>
          </w:p>
        </w:tc>
        <w:tc>
          <w:tcPr>
            <w:tcW w:w="818" w:type="pct"/>
            <w:vAlign w:val="center"/>
          </w:tcPr>
          <w:p w14:paraId="74E577A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饲料定额（kg/头·d）</w:t>
            </w:r>
          </w:p>
        </w:tc>
        <w:tc>
          <w:tcPr>
            <w:tcW w:w="777" w:type="pct"/>
            <w:vAlign w:val="center"/>
          </w:tcPr>
          <w:p w14:paraId="6D3C27F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常年存栏量</w:t>
            </w:r>
          </w:p>
        </w:tc>
        <w:tc>
          <w:tcPr>
            <w:tcW w:w="849" w:type="pct"/>
            <w:vAlign w:val="center"/>
          </w:tcPr>
          <w:p w14:paraId="765C2B8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olor w:val="000000" w:themeColor="text1"/>
                <w:kern w:val="0"/>
                <w:sz w:val="21"/>
                <w:szCs w:val="21"/>
                <w:highlight w:val="none"/>
                <w:lang w:val="en-US" w:eastAsia="zh-CN"/>
                <w14:textFill>
                  <w14:solidFill>
                    <w14:schemeClr w14:val="tx1"/>
                  </w14:solidFill>
                </w14:textFill>
              </w:rPr>
              <w:t>粪便产生量</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（kg/d.头）</w:t>
            </w:r>
          </w:p>
        </w:tc>
        <w:tc>
          <w:tcPr>
            <w:tcW w:w="595" w:type="pct"/>
            <w:vAlign w:val="center"/>
          </w:tcPr>
          <w:p w14:paraId="6277534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生产</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天数</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d</w:t>
            </w:r>
          </w:p>
        </w:tc>
        <w:tc>
          <w:tcPr>
            <w:tcW w:w="767" w:type="pct"/>
            <w:vAlign w:val="center"/>
          </w:tcPr>
          <w:p w14:paraId="538DC2C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总</w:t>
            </w:r>
            <w:r>
              <w:rPr>
                <w:rFonts w:hint="eastAsia" w:ascii="Times New Roman" w:hAnsi="Times New Roman" w:eastAsia="宋体" w:cs="宋体"/>
                <w:b/>
                <w:bCs/>
                <w:color w:val="000000" w:themeColor="text1"/>
                <w:kern w:val="0"/>
                <w:sz w:val="21"/>
                <w:szCs w:val="21"/>
                <w:highlight w:val="none"/>
                <w:lang w:val="en-US" w:eastAsia="zh-CN"/>
                <w14:textFill>
                  <w14:solidFill>
                    <w14:schemeClr w14:val="tx1"/>
                  </w14:solidFill>
                </w14:textFill>
              </w:rPr>
              <w:t>粪便产生量</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t</w:t>
            </w:r>
          </w:p>
        </w:tc>
      </w:tr>
      <w:tr w14:paraId="2494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1192" w:type="pct"/>
            <w:vAlign w:val="center"/>
          </w:tcPr>
          <w:p w14:paraId="2E18F32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成年母猪</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除</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带仔哺乳母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猪</w:t>
            </w:r>
            <w:r>
              <w:rPr>
                <w:rFonts w:hint="eastAsia" w:cs="Times New Roman"/>
                <w:color w:val="000000" w:themeColor="text1"/>
                <w:sz w:val="21"/>
                <w:szCs w:val="21"/>
                <w:highlight w:val="none"/>
                <w:lang w:eastAsia="zh-CN"/>
                <w14:textFill>
                  <w14:solidFill>
                    <w14:schemeClr w14:val="tx1"/>
                  </w14:solidFill>
                </w14:textFill>
              </w:rPr>
              <w:t>）</w:t>
            </w:r>
          </w:p>
        </w:tc>
        <w:tc>
          <w:tcPr>
            <w:tcW w:w="818" w:type="pct"/>
            <w:vAlign w:val="center"/>
          </w:tcPr>
          <w:p w14:paraId="75A2E96D">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777" w:type="pct"/>
            <w:vAlign w:val="center"/>
          </w:tcPr>
          <w:p w14:paraId="31B9C88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4023</w:t>
            </w:r>
          </w:p>
        </w:tc>
        <w:tc>
          <w:tcPr>
            <w:tcW w:w="849" w:type="pct"/>
            <w:vAlign w:val="center"/>
          </w:tcPr>
          <w:p w14:paraId="417D9F2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1.276</w:t>
            </w:r>
          </w:p>
        </w:tc>
        <w:tc>
          <w:tcPr>
            <w:tcW w:w="595" w:type="pct"/>
            <w:vMerge w:val="restart"/>
            <w:vAlign w:val="center"/>
          </w:tcPr>
          <w:p w14:paraId="71E556E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365</w:t>
            </w:r>
          </w:p>
        </w:tc>
        <w:tc>
          <w:tcPr>
            <w:tcW w:w="767" w:type="pct"/>
            <w:vAlign w:val="center"/>
          </w:tcPr>
          <w:p w14:paraId="0467016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1873.67</w:t>
            </w:r>
          </w:p>
        </w:tc>
      </w:tr>
      <w:tr w14:paraId="57C3C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2" w:type="pct"/>
            <w:vAlign w:val="center"/>
          </w:tcPr>
          <w:p w14:paraId="332E380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后备母猪</w:t>
            </w:r>
          </w:p>
        </w:tc>
        <w:tc>
          <w:tcPr>
            <w:tcW w:w="818" w:type="pct"/>
            <w:vAlign w:val="center"/>
          </w:tcPr>
          <w:p w14:paraId="63D6529D">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777" w:type="pct"/>
            <w:vAlign w:val="center"/>
          </w:tcPr>
          <w:p w14:paraId="01CCC39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1452</w:t>
            </w:r>
          </w:p>
        </w:tc>
        <w:tc>
          <w:tcPr>
            <w:tcW w:w="849" w:type="pct"/>
            <w:vAlign w:val="center"/>
          </w:tcPr>
          <w:p w14:paraId="6091B18F">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1.011</w:t>
            </w:r>
          </w:p>
        </w:tc>
        <w:tc>
          <w:tcPr>
            <w:tcW w:w="595" w:type="pct"/>
            <w:vMerge w:val="continue"/>
            <w:vAlign w:val="center"/>
          </w:tcPr>
          <w:p w14:paraId="3034A0C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5BC88A2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535.81</w:t>
            </w:r>
          </w:p>
        </w:tc>
      </w:tr>
      <w:tr w14:paraId="2AEC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2" w:type="pct"/>
            <w:vAlign w:val="center"/>
          </w:tcPr>
          <w:p w14:paraId="478A434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种公猪</w:t>
            </w:r>
          </w:p>
        </w:tc>
        <w:tc>
          <w:tcPr>
            <w:tcW w:w="818" w:type="pct"/>
            <w:vAlign w:val="center"/>
          </w:tcPr>
          <w:p w14:paraId="57D345C7">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777" w:type="pct"/>
            <w:vAlign w:val="center"/>
          </w:tcPr>
          <w:p w14:paraId="7EBE719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160</w:t>
            </w:r>
          </w:p>
        </w:tc>
        <w:tc>
          <w:tcPr>
            <w:tcW w:w="849" w:type="pct"/>
            <w:vAlign w:val="center"/>
          </w:tcPr>
          <w:p w14:paraId="127EAC5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1.276</w:t>
            </w:r>
          </w:p>
        </w:tc>
        <w:tc>
          <w:tcPr>
            <w:tcW w:w="595" w:type="pct"/>
            <w:vMerge w:val="continue"/>
            <w:vAlign w:val="center"/>
          </w:tcPr>
          <w:p w14:paraId="0F2D702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5DD4A5B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74.52</w:t>
            </w:r>
          </w:p>
        </w:tc>
      </w:tr>
      <w:tr w14:paraId="2FE9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2" w:type="pct"/>
            <w:vAlign w:val="center"/>
          </w:tcPr>
          <w:p w14:paraId="11AE378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后备公猪</w:t>
            </w:r>
          </w:p>
        </w:tc>
        <w:tc>
          <w:tcPr>
            <w:tcW w:w="818" w:type="pct"/>
            <w:vAlign w:val="center"/>
          </w:tcPr>
          <w:p w14:paraId="258FB37A">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777" w:type="pct"/>
            <w:vAlign w:val="center"/>
          </w:tcPr>
          <w:p w14:paraId="5EA2C29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849" w:type="pct"/>
            <w:vAlign w:val="center"/>
          </w:tcPr>
          <w:p w14:paraId="41B9FB22">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1.011</w:t>
            </w:r>
          </w:p>
        </w:tc>
        <w:tc>
          <w:tcPr>
            <w:tcW w:w="595" w:type="pct"/>
            <w:vMerge w:val="continue"/>
            <w:vAlign w:val="center"/>
          </w:tcPr>
          <w:p w14:paraId="56C14DF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01E0A17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29.52</w:t>
            </w:r>
          </w:p>
        </w:tc>
      </w:tr>
      <w:tr w14:paraId="24B8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exact"/>
          <w:jc w:val="center"/>
        </w:trPr>
        <w:tc>
          <w:tcPr>
            <w:tcW w:w="1192" w:type="pct"/>
            <w:vAlign w:val="center"/>
          </w:tcPr>
          <w:p w14:paraId="7FD8201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带仔哺乳母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猪</w:t>
            </w:r>
          </w:p>
        </w:tc>
        <w:tc>
          <w:tcPr>
            <w:tcW w:w="818" w:type="pct"/>
            <w:vAlign w:val="center"/>
          </w:tcPr>
          <w:p w14:paraId="2CF3493E">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w:t>
            </w:r>
          </w:p>
        </w:tc>
        <w:tc>
          <w:tcPr>
            <w:tcW w:w="777" w:type="pct"/>
            <w:vAlign w:val="center"/>
          </w:tcPr>
          <w:p w14:paraId="638EA54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817</w:t>
            </w:r>
          </w:p>
        </w:tc>
        <w:tc>
          <w:tcPr>
            <w:tcW w:w="849" w:type="pct"/>
            <w:vAlign w:val="center"/>
          </w:tcPr>
          <w:p w14:paraId="7D3A4DF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2.071</w:t>
            </w:r>
          </w:p>
        </w:tc>
        <w:tc>
          <w:tcPr>
            <w:tcW w:w="595" w:type="pct"/>
            <w:vMerge w:val="continue"/>
            <w:vAlign w:val="center"/>
          </w:tcPr>
          <w:p w14:paraId="140C936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768FDA6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617.58</w:t>
            </w:r>
          </w:p>
        </w:tc>
      </w:tr>
      <w:tr w14:paraId="400D1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2" w:type="pct"/>
            <w:vAlign w:val="center"/>
          </w:tcPr>
          <w:p w14:paraId="22585F2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保育仔猪</w:t>
            </w:r>
          </w:p>
        </w:tc>
        <w:tc>
          <w:tcPr>
            <w:tcW w:w="818" w:type="pct"/>
            <w:vAlign w:val="center"/>
          </w:tcPr>
          <w:p w14:paraId="3C4204F4">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777" w:type="pct"/>
            <w:vAlign w:val="center"/>
          </w:tcPr>
          <w:p w14:paraId="228CE01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11852</w:t>
            </w:r>
          </w:p>
        </w:tc>
        <w:tc>
          <w:tcPr>
            <w:tcW w:w="849" w:type="pct"/>
            <w:vAlign w:val="center"/>
          </w:tcPr>
          <w:p w14:paraId="2E06507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0.481</w:t>
            </w:r>
          </w:p>
        </w:tc>
        <w:tc>
          <w:tcPr>
            <w:tcW w:w="595" w:type="pct"/>
            <w:vMerge w:val="continue"/>
            <w:vAlign w:val="center"/>
          </w:tcPr>
          <w:p w14:paraId="0E1552B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224C64E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2080.80</w:t>
            </w:r>
          </w:p>
        </w:tc>
      </w:tr>
      <w:tr w14:paraId="0C0F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1192" w:type="pct"/>
            <w:vAlign w:val="center"/>
          </w:tcPr>
          <w:p w14:paraId="3F98343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生长育肥猪</w:t>
            </w:r>
          </w:p>
        </w:tc>
        <w:tc>
          <w:tcPr>
            <w:tcW w:w="818" w:type="pct"/>
            <w:vAlign w:val="center"/>
          </w:tcPr>
          <w:p w14:paraId="454AB128">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777" w:type="pct"/>
            <w:vAlign w:val="center"/>
          </w:tcPr>
          <w:p w14:paraId="45F2429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6653</w:t>
            </w:r>
          </w:p>
        </w:tc>
        <w:tc>
          <w:tcPr>
            <w:tcW w:w="849" w:type="pct"/>
            <w:vAlign w:val="center"/>
          </w:tcPr>
          <w:p w14:paraId="0EDDC15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1.011</w:t>
            </w:r>
          </w:p>
        </w:tc>
        <w:tc>
          <w:tcPr>
            <w:tcW w:w="595" w:type="pct"/>
            <w:vMerge w:val="continue"/>
            <w:vAlign w:val="center"/>
          </w:tcPr>
          <w:p w14:paraId="728DEDC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20F077D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2455.06</w:t>
            </w:r>
          </w:p>
        </w:tc>
      </w:tr>
      <w:tr w14:paraId="1B11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2" w:type="pct"/>
            <w:vAlign w:val="center"/>
          </w:tcPr>
          <w:p w14:paraId="3416CBB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合计</w:t>
            </w:r>
          </w:p>
        </w:tc>
        <w:tc>
          <w:tcPr>
            <w:tcW w:w="818" w:type="pct"/>
            <w:vAlign w:val="center"/>
          </w:tcPr>
          <w:p w14:paraId="76F1B1C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77" w:type="pct"/>
            <w:vAlign w:val="center"/>
          </w:tcPr>
          <w:p w14:paraId="1DA22CE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49" w:type="pct"/>
            <w:vAlign w:val="center"/>
          </w:tcPr>
          <w:p w14:paraId="3078469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95" w:type="pct"/>
            <w:vAlign w:val="center"/>
          </w:tcPr>
          <w:p w14:paraId="1955710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67" w:type="pct"/>
            <w:vAlign w:val="center"/>
          </w:tcPr>
          <w:p w14:paraId="5F4EB21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7666.96</w:t>
            </w:r>
          </w:p>
        </w:tc>
      </w:tr>
    </w:tbl>
    <w:p w14:paraId="0916733D">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故粪便总排泄量</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为</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7666.96</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t/d）。</w:t>
      </w:r>
    </w:p>
    <w:p w14:paraId="72068A54">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根据类比已投入运营的种猪育肥场运营经验，粪尿经固液分离后，约有3</w:t>
      </w:r>
      <w:r>
        <w:rPr>
          <w:rFonts w:ascii="Times New Roman" w:hAnsi="Times New Roman" w:eastAsia="宋体" w:cs="宋体"/>
          <w:b w:val="0"/>
          <w:bCs w:val="0"/>
          <w:color w:val="000000" w:themeColor="text1"/>
          <w:kern w:val="0"/>
          <w:szCs w:val="24"/>
          <w:highlight w:val="none"/>
          <w14:textFill>
            <w14:solidFill>
              <w14:schemeClr w14:val="tx1"/>
            </w14:solidFill>
          </w14:textFill>
        </w:rPr>
        <w:t>0%</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滤液产生量，即</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2</w:t>
      </w:r>
      <w:r>
        <w:rPr>
          <w:rFonts w:hint="eastAsia" w:cs="宋体"/>
          <w:b w:val="0"/>
          <w:bCs w:val="0"/>
          <w:color w:val="000000" w:themeColor="text1"/>
          <w:kern w:val="0"/>
          <w:szCs w:val="24"/>
          <w:highlight w:val="none"/>
          <w:lang w:val="en-US" w:eastAsia="zh-CN"/>
          <w14:textFill>
            <w14:solidFill>
              <w14:schemeClr w14:val="tx1"/>
            </w14:solidFill>
          </w14:textFill>
        </w:rPr>
        <w:t>300.09</w:t>
      </w:r>
      <w:r>
        <w:rPr>
          <w:rFonts w:hint="eastAsia" w:ascii="Times New Roman" w:hAnsi="Times New Roman" w:eastAsia="宋体" w:cs="宋体"/>
          <w:b w:val="0"/>
          <w:bCs w:val="0"/>
          <w:color w:val="000000" w:themeColor="text1"/>
          <w:kern w:val="0"/>
          <w:szCs w:val="24"/>
          <w:highlight w:val="none"/>
          <w:vertAlign w:val="baseline"/>
          <w:lang w:val="en-US" w:eastAsia="zh-CN"/>
          <w14:textFill>
            <w14:solidFill>
              <w14:schemeClr w14:val="tx1"/>
            </w14:solidFill>
          </w14:textFill>
        </w:rPr>
        <w:t>t</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cs="宋体"/>
          <w:b w:val="0"/>
          <w:bCs w:val="0"/>
          <w:color w:val="000000" w:themeColor="text1"/>
          <w:kern w:val="0"/>
          <w:szCs w:val="24"/>
          <w:highlight w:val="none"/>
          <w:lang w:val="en-US" w:eastAsia="zh-CN"/>
          <w14:textFill>
            <w14:solidFill>
              <w14:schemeClr w14:val="tx1"/>
            </w14:solidFill>
          </w14:textFill>
        </w:rPr>
        <w:t>2254.99</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。其余</w:t>
      </w:r>
      <w:r>
        <w:rPr>
          <w:rFonts w:ascii="Times New Roman" w:hAnsi="Times New Roman" w:eastAsia="宋体" w:cs="宋体"/>
          <w:b w:val="0"/>
          <w:bCs w:val="0"/>
          <w:color w:val="000000" w:themeColor="text1"/>
          <w:kern w:val="0"/>
          <w:szCs w:val="24"/>
          <w:highlight w:val="none"/>
          <w14:textFill>
            <w14:solidFill>
              <w14:schemeClr w14:val="tx1"/>
            </w14:solidFill>
          </w14:textFill>
        </w:rPr>
        <w:t>70%</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作为粪渣好氧堆肥生产有机肥基料。</w:t>
      </w:r>
    </w:p>
    <w:p w14:paraId="08000324">
      <w:pPr>
        <w:keepNext w:val="0"/>
        <w:keepLines w:val="0"/>
        <w:pageBreakBefore w:val="0"/>
        <w:widowControl/>
        <w:kinsoku/>
        <w:wordWrap/>
        <w:overflowPunct/>
        <w:topLinePunct w:val="0"/>
        <w:autoSpaceDE/>
        <w:autoSpaceDN/>
        <w:bidi w:val="0"/>
        <w:adjustRightInd/>
        <w:snapToGrid/>
        <w:textAlignment w:val="auto"/>
        <w:rPr>
          <w:color w:val="000000" w:themeColor="text1"/>
          <w:highlight w:val="none"/>
          <w14:textFill>
            <w14:solidFill>
              <w14:schemeClr w14:val="tx1"/>
            </w14:solidFill>
          </w14:textFill>
        </w:rPr>
      </w:pP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3</w:t>
      </w:r>
      <w:r>
        <w:rPr>
          <w:rFonts w:hint="eastAsia" w:ascii="宋体" w:hAnsi="宋体"/>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猪舍冲洗废水</w:t>
      </w:r>
    </w:p>
    <w:p w14:paraId="18140771">
      <w:pPr>
        <w:keepNext w:val="0"/>
        <w:keepLines w:val="0"/>
        <w:pageBreakBefore w:val="0"/>
        <w:widowControl/>
        <w:kinsoku/>
        <w:wordWrap/>
        <w:overflowPunct/>
        <w:topLinePunct w:val="0"/>
        <w:autoSpaceDE/>
        <w:autoSpaceDN/>
        <w:bidi w:val="0"/>
        <w:adjustRightInd/>
        <w:snapToGrid/>
        <w:ind w:firstLine="48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猪舍清洗用水为</w:t>
      </w:r>
      <w:r>
        <w:rPr>
          <w:rFonts w:hint="eastAsia"/>
          <w:color w:val="000000" w:themeColor="text1"/>
          <w:highlight w:val="none"/>
          <w:lang w:val="en-US" w:eastAsia="zh-CN"/>
          <w14:textFill>
            <w14:solidFill>
              <w14:schemeClr w14:val="tx1"/>
            </w14:solidFill>
          </w14:textFill>
        </w:rPr>
        <w:t>18615</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/a，排污系数按</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0%算，则废水产生量为</w:t>
      </w:r>
      <w:r>
        <w:rPr>
          <w:rFonts w:hint="eastAsia"/>
          <w:color w:val="000000" w:themeColor="text1"/>
          <w:highlight w:val="none"/>
          <w:lang w:val="en-US" w:eastAsia="zh-CN"/>
          <w14:textFill>
            <w14:solidFill>
              <w14:schemeClr w14:val="tx1"/>
            </w14:solidFill>
          </w14:textFill>
        </w:rPr>
        <w:t>14892</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p>
    <w:p w14:paraId="208E0240">
      <w:pPr>
        <w:keepNext w:val="0"/>
        <w:keepLines w:val="0"/>
        <w:pageBreakBefore w:val="0"/>
        <w:widowControl/>
        <w:kinsoku/>
        <w:wordWrap/>
        <w:overflowPunct/>
        <w:topLinePunct w:val="0"/>
        <w:autoSpaceDE/>
        <w:autoSpaceDN/>
        <w:bidi w:val="0"/>
        <w:adjustRightInd/>
        <w:snapToGrid/>
        <w:textAlignment w:val="auto"/>
        <w:rPr>
          <w:color w:val="000000" w:themeColor="text1"/>
          <w:highlight w:val="none"/>
          <w14:textFill>
            <w14:solidFill>
              <w14:schemeClr w14:val="tx1"/>
            </w14:solidFill>
          </w14:textFill>
        </w:rPr>
      </w:pPr>
      <w:r>
        <w:rPr>
          <w:rFonts w:hint="eastAsia" w:ascii="宋体" w:hAnsi="宋体"/>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14:textFill>
            <w14:solidFill>
              <w14:schemeClr w14:val="tx1"/>
            </w14:solidFill>
          </w14:textFill>
        </w:rPr>
        <w:t>4</w:t>
      </w:r>
      <w:r>
        <w:rPr>
          <w:rFonts w:hint="eastAsia" w:ascii="宋体" w:hAnsi="宋体"/>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生活污水</w:t>
      </w:r>
    </w:p>
    <w:p w14:paraId="17EA4C12">
      <w:pPr>
        <w:keepNext w:val="0"/>
        <w:keepLines w:val="0"/>
        <w:pageBreakBefore w:val="0"/>
        <w:widowControl/>
        <w:kinsoku/>
        <w:wordWrap/>
        <w:overflowPunct/>
        <w:topLinePunct w:val="0"/>
        <w:autoSpaceDE/>
        <w:autoSpaceDN/>
        <w:bidi w:val="0"/>
        <w:adjustRightInd/>
        <w:snapToGrid/>
        <w:ind w:firstLine="48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生活用水年用水量为</w:t>
      </w:r>
      <w:r>
        <w:rPr>
          <w:rFonts w:hint="eastAsia"/>
          <w:color w:val="000000" w:themeColor="text1"/>
          <w:highlight w:val="none"/>
          <w:lang w:val="en-US" w:eastAsia="zh-CN"/>
          <w14:textFill>
            <w14:solidFill>
              <w14:schemeClr w14:val="tx1"/>
            </w14:solidFill>
          </w14:textFill>
        </w:rPr>
        <w:t>1314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，废水产生量按照用水量的80%计算，职工生活污水产生量为</w:t>
      </w:r>
      <w:r>
        <w:rPr>
          <w:rFonts w:hint="eastAsia"/>
          <w:color w:val="000000" w:themeColor="text1"/>
          <w:highlight w:val="none"/>
          <w:lang w:val="en-US" w:eastAsia="zh-CN"/>
          <w14:textFill>
            <w14:solidFill>
              <w14:schemeClr w14:val="tx1"/>
            </w14:solidFill>
          </w14:textFill>
        </w:rPr>
        <w:t>1051.2</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2.88</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p>
    <w:p w14:paraId="785DD8AB">
      <w:pPr>
        <w:keepNext w:val="0"/>
        <w:keepLines w:val="0"/>
        <w:pageBreakBefore w:val="0"/>
        <w:widowControl/>
        <w:suppressLineNumbers w:val="0"/>
        <w:kinsoku/>
        <w:wordWrap/>
        <w:overflowPunct/>
        <w:topLinePunct w:val="0"/>
        <w:autoSpaceDE/>
        <w:autoSpaceDN/>
        <w:bidi w:val="0"/>
        <w:adjustRightInd/>
        <w:snapToGrid/>
        <w:jc w:val="left"/>
        <w:textAlignment w:val="auto"/>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（5）分娩设备清洗消毒废水 </w:t>
      </w:r>
    </w:p>
    <w:p w14:paraId="6EDF1BC3">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宋体" w:hAnsi="宋体" w:eastAsia="宋体" w:cs="宋体"/>
          <w:b w:val="0"/>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每次分娩完必须对产床等设备器具进行洗涤消毒，年用水量为</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692.12</w:t>
      </w:r>
      <w:r>
        <w:rPr>
          <w:rFonts w:hint="default" w:ascii="Times New Roman" w:hAnsi="Times New Roman" w:eastAsia="宋体" w:cs="Times New Roman"/>
          <w:b w:val="0"/>
          <w:bCs w:val="0"/>
          <w:color w:val="000000" w:themeColor="text1"/>
          <w:highlight w:val="none"/>
          <w14:textFill>
            <w14:solidFill>
              <w14:schemeClr w14:val="tx1"/>
            </w14:solidFill>
          </w14:textFill>
        </w:rPr>
        <w:t>m</w:t>
      </w:r>
      <w:r>
        <w:rPr>
          <w:rFonts w:hint="default" w:ascii="Times New Roman" w:hAnsi="Times New Roman" w:eastAsia="宋体" w:cs="Times New Roman"/>
          <w:b w:val="0"/>
          <w:bCs w:val="0"/>
          <w:color w:val="000000" w:themeColor="text1"/>
          <w:highlight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highlight w:val="none"/>
          <w14:textFill>
            <w14:solidFill>
              <w14:schemeClr w14:val="tx1"/>
            </w14:solidFill>
          </w14:textFill>
        </w:rPr>
        <w:t>/a</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废水产生量按照用水量的80%计算，</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分娩设备清洗消毒废水</w:t>
      </w:r>
      <w:r>
        <w:rPr>
          <w:color w:val="000000" w:themeColor="text1"/>
          <w:highlight w:val="none"/>
          <w14:textFill>
            <w14:solidFill>
              <w14:schemeClr w14:val="tx1"/>
            </w14:solidFill>
          </w14:textFill>
        </w:rPr>
        <w:t>产生量</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为553.70m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2.88</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p>
    <w:p w14:paraId="34EEF0F8">
      <w:pPr>
        <w:spacing w:line="240" w:lineRule="auto"/>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lang w:val="en-US" w:eastAsia="zh-CN"/>
          <w14:textFill>
            <w14:solidFill>
              <w14:schemeClr w14:val="tx1"/>
            </w14:solidFill>
          </w14:textFill>
        </w:rPr>
        <w:t>3</w:t>
      </w:r>
      <w:r>
        <w:rPr>
          <w:rFonts w:hint="eastAsia"/>
          <w:b/>
          <w:bCs/>
          <w:color w:val="000000" w:themeColor="text1"/>
          <w:sz w:val="21"/>
          <w:szCs w:val="21"/>
          <w:highlight w:val="none"/>
          <w14:textFill>
            <w14:solidFill>
              <w14:schemeClr w14:val="tx1"/>
            </w14:solidFill>
          </w14:textFill>
        </w:rPr>
        <w:t>.7-</w:t>
      </w:r>
      <w:r>
        <w:rPr>
          <w:rFonts w:hint="eastAsia"/>
          <w:b/>
          <w:bCs/>
          <w:color w:val="000000" w:themeColor="text1"/>
          <w:sz w:val="21"/>
          <w:szCs w:val="21"/>
          <w:highlight w:val="none"/>
          <w:lang w:val="en-US" w:eastAsia="zh-CN"/>
          <w14:textFill>
            <w14:solidFill>
              <w14:schemeClr w14:val="tx1"/>
            </w14:solidFill>
          </w14:textFill>
        </w:rPr>
        <w:t>5</w:t>
      </w:r>
      <w:r>
        <w:rPr>
          <w:b/>
          <w:bCs/>
          <w:color w:val="000000" w:themeColor="text1"/>
          <w:sz w:val="21"/>
          <w:szCs w:val="21"/>
          <w:highlight w:val="none"/>
          <w14:textFill>
            <w14:solidFill>
              <w14:schemeClr w14:val="tx1"/>
            </w14:solidFill>
          </w14:textFill>
        </w:rPr>
        <w:t xml:space="preserve"> 本项目供、排水量一览表</w:t>
      </w:r>
    </w:p>
    <w:tbl>
      <w:tblPr>
        <w:tblStyle w:val="33"/>
        <w:tblW w:w="8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5"/>
        <w:gridCol w:w="1708"/>
        <w:gridCol w:w="1304"/>
        <w:gridCol w:w="1880"/>
        <w:gridCol w:w="1071"/>
      </w:tblGrid>
      <w:tr w14:paraId="55BA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vAlign w:val="center"/>
          </w:tcPr>
          <w:p w14:paraId="7775CF75">
            <w:pPr>
              <w:spacing w:line="240" w:lineRule="auto"/>
              <w:jc w:val="center"/>
              <w:rPr>
                <w:b/>
                <w:bCs/>
                <w:color w:val="000000" w:themeColor="text1"/>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项  目</w:t>
            </w:r>
          </w:p>
        </w:tc>
        <w:tc>
          <w:tcPr>
            <w:tcW w:w="1708" w:type="dxa"/>
            <w:vAlign w:val="center"/>
          </w:tcPr>
          <w:p w14:paraId="24F0A2B8">
            <w:pPr>
              <w:spacing w:line="240" w:lineRule="auto"/>
              <w:jc w:val="center"/>
              <w:rPr>
                <w:b/>
                <w:bCs/>
                <w:color w:val="000000" w:themeColor="text1"/>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新鲜水量（m</w:t>
            </w:r>
            <w:r>
              <w:rPr>
                <w:rFonts w:ascii="Times New Roman" w:hAnsi="Times New Roman" w:eastAsia="宋体" w:cs="宋体"/>
                <w:b/>
                <w:bCs/>
                <w:color w:val="000000" w:themeColor="text1"/>
                <w:kern w:val="0"/>
                <w:sz w:val="21"/>
                <w:szCs w:val="21"/>
                <w:highlight w:val="none"/>
                <w:vertAlign w:val="superscript"/>
                <w14:textFill>
                  <w14:solidFill>
                    <w14:schemeClr w14:val="tx1"/>
                  </w14:solidFill>
                </w14:textFill>
              </w:rPr>
              <w:t>3</w:t>
            </w:r>
            <w:r>
              <w:rPr>
                <w:rFonts w:ascii="Times New Roman" w:hAnsi="Times New Roman" w:eastAsia="宋体" w:cs="宋体"/>
                <w:b/>
                <w:bCs/>
                <w:color w:val="000000" w:themeColor="text1"/>
                <w:kern w:val="0"/>
                <w:sz w:val="21"/>
                <w:szCs w:val="21"/>
                <w:highlight w:val="none"/>
                <w14:textFill>
                  <w14:solidFill>
                    <w14:schemeClr w14:val="tx1"/>
                  </w14:solidFill>
                </w14:textFill>
              </w:rPr>
              <w:t>/a）</w:t>
            </w:r>
          </w:p>
        </w:tc>
        <w:tc>
          <w:tcPr>
            <w:tcW w:w="1304" w:type="dxa"/>
            <w:vAlign w:val="center"/>
          </w:tcPr>
          <w:p w14:paraId="65641F5B">
            <w:pPr>
              <w:spacing w:line="240" w:lineRule="auto"/>
              <w:jc w:val="center"/>
              <w:rPr>
                <w:b/>
                <w:bCs/>
                <w:color w:val="000000" w:themeColor="text1"/>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损耗（m</w:t>
            </w:r>
            <w:r>
              <w:rPr>
                <w:rFonts w:ascii="Times New Roman" w:hAnsi="Times New Roman" w:eastAsia="宋体" w:cs="宋体"/>
                <w:b/>
                <w:bCs/>
                <w:color w:val="000000" w:themeColor="text1"/>
                <w:kern w:val="0"/>
                <w:sz w:val="21"/>
                <w:szCs w:val="21"/>
                <w:highlight w:val="none"/>
                <w:vertAlign w:val="superscript"/>
                <w14:textFill>
                  <w14:solidFill>
                    <w14:schemeClr w14:val="tx1"/>
                  </w14:solidFill>
                </w14:textFill>
              </w:rPr>
              <w:t>3</w:t>
            </w:r>
            <w:r>
              <w:rPr>
                <w:rFonts w:ascii="Times New Roman" w:hAnsi="Times New Roman" w:eastAsia="宋体" w:cs="宋体"/>
                <w:b/>
                <w:bCs/>
                <w:color w:val="000000" w:themeColor="text1"/>
                <w:kern w:val="0"/>
                <w:sz w:val="21"/>
                <w:szCs w:val="21"/>
                <w:highlight w:val="none"/>
                <w14:textFill>
                  <w14:solidFill>
                    <w14:schemeClr w14:val="tx1"/>
                  </w14:solidFill>
                </w14:textFill>
              </w:rPr>
              <w:t>/a）</w:t>
            </w:r>
          </w:p>
        </w:tc>
        <w:tc>
          <w:tcPr>
            <w:tcW w:w="1880" w:type="dxa"/>
            <w:vAlign w:val="center"/>
          </w:tcPr>
          <w:p w14:paraId="26BD3A2A">
            <w:pPr>
              <w:spacing w:line="240" w:lineRule="auto"/>
              <w:jc w:val="center"/>
              <w:rPr>
                <w:b/>
                <w:bCs/>
                <w:color w:val="000000" w:themeColor="text1"/>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废水量（m</w:t>
            </w:r>
            <w:r>
              <w:rPr>
                <w:rFonts w:ascii="Times New Roman" w:hAnsi="Times New Roman" w:eastAsia="宋体" w:cs="宋体"/>
                <w:b/>
                <w:bCs/>
                <w:color w:val="000000" w:themeColor="text1"/>
                <w:kern w:val="0"/>
                <w:sz w:val="21"/>
                <w:szCs w:val="21"/>
                <w:highlight w:val="none"/>
                <w:vertAlign w:val="superscript"/>
                <w14:textFill>
                  <w14:solidFill>
                    <w14:schemeClr w14:val="tx1"/>
                  </w14:solidFill>
                </w14:textFill>
              </w:rPr>
              <w:t>3</w:t>
            </w:r>
            <w:r>
              <w:rPr>
                <w:rFonts w:ascii="Times New Roman" w:hAnsi="Times New Roman" w:eastAsia="宋体" w:cs="宋体"/>
                <w:b/>
                <w:bCs/>
                <w:color w:val="000000" w:themeColor="text1"/>
                <w:kern w:val="0"/>
                <w:sz w:val="21"/>
                <w:szCs w:val="21"/>
                <w:highlight w:val="none"/>
                <w14:textFill>
                  <w14:solidFill>
                    <w14:schemeClr w14:val="tx1"/>
                  </w14:solidFill>
                </w14:textFill>
              </w:rPr>
              <w:t>/a）</w:t>
            </w:r>
          </w:p>
        </w:tc>
        <w:tc>
          <w:tcPr>
            <w:tcW w:w="1071" w:type="dxa"/>
            <w:vAlign w:val="center"/>
          </w:tcPr>
          <w:p w14:paraId="489DC213">
            <w:pPr>
              <w:spacing w:line="240" w:lineRule="auto"/>
              <w:jc w:val="center"/>
              <w:rPr>
                <w:b/>
                <w:bCs/>
                <w:color w:val="000000" w:themeColor="text1"/>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处理方式</w:t>
            </w:r>
          </w:p>
        </w:tc>
      </w:tr>
      <w:tr w14:paraId="1CCC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vAlign w:val="center"/>
          </w:tcPr>
          <w:p w14:paraId="6348D48E">
            <w:pPr>
              <w:spacing w:line="240" w:lineRule="auto"/>
              <w:jc w:val="center"/>
              <w:rPr>
                <w:color w:val="000000" w:themeColor="text1"/>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生活用水</w:t>
            </w:r>
          </w:p>
        </w:tc>
        <w:tc>
          <w:tcPr>
            <w:tcW w:w="1708" w:type="dxa"/>
            <w:vAlign w:val="center"/>
          </w:tcPr>
          <w:p w14:paraId="7C87630D">
            <w:pPr>
              <w:spacing w:line="240" w:lineRule="auto"/>
              <w:jc w:val="cente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1314</w:t>
            </w:r>
          </w:p>
        </w:tc>
        <w:tc>
          <w:tcPr>
            <w:tcW w:w="1304" w:type="dxa"/>
            <w:vAlign w:val="center"/>
          </w:tcPr>
          <w:p w14:paraId="395D88CF">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262.8</w:t>
            </w:r>
          </w:p>
        </w:tc>
        <w:tc>
          <w:tcPr>
            <w:tcW w:w="1880" w:type="dxa"/>
            <w:vAlign w:val="center"/>
          </w:tcPr>
          <w:p w14:paraId="67F0B442">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1051.2</w:t>
            </w:r>
          </w:p>
        </w:tc>
        <w:tc>
          <w:tcPr>
            <w:tcW w:w="1071" w:type="dxa"/>
            <w:vMerge w:val="restart"/>
            <w:vAlign w:val="center"/>
          </w:tcPr>
          <w:p w14:paraId="20E6AEB1">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黑膜池</w:t>
            </w:r>
          </w:p>
        </w:tc>
      </w:tr>
      <w:tr w14:paraId="0844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vMerge w:val="restart"/>
            <w:vAlign w:val="center"/>
          </w:tcPr>
          <w:p w14:paraId="600E4A18">
            <w:pPr>
              <w:spacing w:line="240" w:lineRule="auto"/>
              <w:jc w:val="center"/>
              <w:rPr>
                <w:color w:val="000000" w:themeColor="text1"/>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生猪饮水</w:t>
            </w:r>
          </w:p>
        </w:tc>
        <w:tc>
          <w:tcPr>
            <w:tcW w:w="1708" w:type="dxa"/>
            <w:vMerge w:val="restart"/>
            <w:vAlign w:val="center"/>
          </w:tcPr>
          <w:p w14:paraId="56703024">
            <w:pPr>
              <w:spacing w:line="240" w:lineRule="auto"/>
              <w:jc w:val="center"/>
              <w:rPr>
                <w:rFonts w:hint="default" w:ascii="Times New Roman" w:hAnsi="Times New Roman" w:eastAsia="宋体" w:cs="宋体"/>
                <w:b w:val="0"/>
                <w:bCs w:val="0"/>
                <w:color w:val="000000" w:themeColor="text1"/>
                <w:kern w:val="0"/>
                <w:sz w:val="21"/>
                <w:szCs w:val="21"/>
                <w:highlight w:val="none"/>
                <w:lang w:val="en-US"/>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57827.19</w:t>
            </w:r>
          </w:p>
        </w:tc>
        <w:tc>
          <w:tcPr>
            <w:tcW w:w="1304" w:type="dxa"/>
            <w:vMerge w:val="restart"/>
            <w:vAlign w:val="center"/>
          </w:tcPr>
          <w:p w14:paraId="4E6BCA01">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28903.7</w:t>
            </w:r>
          </w:p>
        </w:tc>
        <w:tc>
          <w:tcPr>
            <w:tcW w:w="1880" w:type="dxa"/>
            <w:vAlign w:val="center"/>
          </w:tcPr>
          <w:p w14:paraId="210184A1">
            <w:pPr>
              <w:spacing w:line="240" w:lineRule="auto"/>
              <w:jc w:val="cente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猪尿</w:t>
            </w:r>
            <w:r>
              <w:rPr>
                <w:rFonts w:hint="eastAsia" w:cs="宋体"/>
                <w:b w:val="0"/>
                <w:bCs w:val="0"/>
                <w:color w:val="000000" w:themeColor="text1"/>
                <w:kern w:val="0"/>
                <w:sz w:val="21"/>
                <w:szCs w:val="21"/>
                <w:highlight w:val="none"/>
                <w:lang w:val="en-US" w:eastAsia="zh-CN"/>
                <w14:textFill>
                  <w14:solidFill>
                    <w14:schemeClr w14:val="tx1"/>
                  </w14:solidFill>
                </w14:textFill>
              </w:rPr>
              <w:t>26668.5</w:t>
            </w:r>
          </w:p>
        </w:tc>
        <w:tc>
          <w:tcPr>
            <w:tcW w:w="1071" w:type="dxa"/>
            <w:vMerge w:val="continue"/>
            <w:vAlign w:val="center"/>
          </w:tcPr>
          <w:p w14:paraId="69E195EC">
            <w:pPr>
              <w:spacing w:line="240" w:lineRule="auto"/>
              <w:jc w:val="center"/>
              <w:rPr>
                <w:color w:val="000000" w:themeColor="text1"/>
                <w:sz w:val="21"/>
                <w:szCs w:val="21"/>
                <w:highlight w:val="none"/>
                <w14:textFill>
                  <w14:solidFill>
                    <w14:schemeClr w14:val="tx1"/>
                  </w14:solidFill>
                </w14:textFill>
              </w:rPr>
            </w:pPr>
          </w:p>
        </w:tc>
      </w:tr>
      <w:tr w14:paraId="08A84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vMerge w:val="continue"/>
            <w:vAlign w:val="center"/>
          </w:tcPr>
          <w:p w14:paraId="5D012A17">
            <w:pPr>
              <w:spacing w:line="240" w:lineRule="auto"/>
              <w:jc w:val="center"/>
              <w:rPr>
                <w:color w:val="000000" w:themeColor="text1"/>
                <w:sz w:val="21"/>
                <w:szCs w:val="21"/>
                <w:highlight w:val="none"/>
                <w14:textFill>
                  <w14:solidFill>
                    <w14:schemeClr w14:val="tx1"/>
                  </w14:solidFill>
                </w14:textFill>
              </w:rPr>
            </w:pPr>
          </w:p>
        </w:tc>
        <w:tc>
          <w:tcPr>
            <w:tcW w:w="1708" w:type="dxa"/>
            <w:vMerge w:val="continue"/>
            <w:vAlign w:val="center"/>
          </w:tcPr>
          <w:p w14:paraId="3E852297">
            <w:pPr>
              <w:spacing w:line="240" w:lineRule="auto"/>
              <w:jc w:val="center"/>
              <w:rPr>
                <w:color w:val="000000" w:themeColor="text1"/>
                <w:sz w:val="21"/>
                <w:szCs w:val="21"/>
                <w:highlight w:val="none"/>
                <w14:textFill>
                  <w14:solidFill>
                    <w14:schemeClr w14:val="tx1"/>
                  </w14:solidFill>
                </w14:textFill>
              </w:rPr>
            </w:pPr>
          </w:p>
        </w:tc>
        <w:tc>
          <w:tcPr>
            <w:tcW w:w="1304" w:type="dxa"/>
            <w:vMerge w:val="continue"/>
            <w:vAlign w:val="center"/>
          </w:tcPr>
          <w:p w14:paraId="5879E9BD">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c>
          <w:tcPr>
            <w:tcW w:w="1880" w:type="dxa"/>
            <w:vAlign w:val="center"/>
          </w:tcPr>
          <w:p w14:paraId="0BCE5F08">
            <w:pPr>
              <w:spacing w:line="240" w:lineRule="auto"/>
              <w:jc w:val="cente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猪粪滤液2254.99</w:t>
            </w:r>
          </w:p>
        </w:tc>
        <w:tc>
          <w:tcPr>
            <w:tcW w:w="1071" w:type="dxa"/>
            <w:vMerge w:val="continue"/>
            <w:vAlign w:val="center"/>
          </w:tcPr>
          <w:p w14:paraId="3809950F">
            <w:pPr>
              <w:spacing w:line="240" w:lineRule="auto"/>
              <w:jc w:val="center"/>
              <w:rPr>
                <w:color w:val="000000" w:themeColor="text1"/>
                <w:sz w:val="21"/>
                <w:szCs w:val="21"/>
                <w:highlight w:val="none"/>
                <w14:textFill>
                  <w14:solidFill>
                    <w14:schemeClr w14:val="tx1"/>
                  </w14:solidFill>
                </w14:textFill>
              </w:rPr>
            </w:pPr>
          </w:p>
        </w:tc>
      </w:tr>
      <w:tr w14:paraId="4ABD3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vAlign w:val="center"/>
          </w:tcPr>
          <w:p w14:paraId="10D0B455">
            <w:pPr>
              <w:spacing w:line="240" w:lineRule="auto"/>
              <w:jc w:val="center"/>
              <w:rPr>
                <w:color w:val="000000" w:themeColor="text1"/>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猪舍冲洗用水</w:t>
            </w:r>
          </w:p>
        </w:tc>
        <w:tc>
          <w:tcPr>
            <w:tcW w:w="1708" w:type="dxa"/>
            <w:vAlign w:val="center"/>
          </w:tcPr>
          <w:p w14:paraId="0AF88A70">
            <w:pPr>
              <w:spacing w:line="240" w:lineRule="auto"/>
              <w:jc w:val="center"/>
              <w:rPr>
                <w:rFonts w:hint="eastAsia"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18615</w:t>
            </w:r>
          </w:p>
        </w:tc>
        <w:tc>
          <w:tcPr>
            <w:tcW w:w="1304" w:type="dxa"/>
            <w:vAlign w:val="center"/>
          </w:tcPr>
          <w:p w14:paraId="2F365C8D">
            <w:pPr>
              <w:spacing w:line="240" w:lineRule="auto"/>
              <w:jc w:val="center"/>
              <w:rPr>
                <w:rFonts w:hint="default" w:cs="宋体"/>
                <w:b w:val="0"/>
                <w:bCs w:val="0"/>
                <w:color w:val="000000" w:themeColor="text1"/>
                <w:kern w:val="0"/>
                <w:sz w:val="21"/>
                <w:szCs w:val="21"/>
                <w:highlight w:val="none"/>
                <w:lang w:val="en-US" w:eastAsia="zh-CN"/>
                <w14:textFill>
                  <w14:solidFill>
                    <w14:schemeClr w14:val="tx1"/>
                  </w14:solidFill>
                </w14:textFill>
              </w:rPr>
            </w:pPr>
            <w:bookmarkStart w:id="107" w:name="OLE_LINK3"/>
            <w:r>
              <w:rPr>
                <w:rFonts w:hint="eastAsia" w:cs="宋体"/>
                <w:b w:val="0"/>
                <w:bCs w:val="0"/>
                <w:color w:val="000000" w:themeColor="text1"/>
                <w:kern w:val="0"/>
                <w:sz w:val="21"/>
                <w:szCs w:val="21"/>
                <w:highlight w:val="none"/>
                <w:lang w:val="en-US" w:eastAsia="zh-CN"/>
                <w14:textFill>
                  <w14:solidFill>
                    <w14:schemeClr w14:val="tx1"/>
                  </w14:solidFill>
                </w14:textFill>
              </w:rPr>
              <w:t>3723</w:t>
            </w:r>
            <w:bookmarkEnd w:id="107"/>
          </w:p>
        </w:tc>
        <w:tc>
          <w:tcPr>
            <w:tcW w:w="1880" w:type="dxa"/>
            <w:vAlign w:val="center"/>
          </w:tcPr>
          <w:p w14:paraId="25EAF7F9">
            <w:pPr>
              <w:spacing w:line="240" w:lineRule="auto"/>
              <w:jc w:val="center"/>
              <w:rPr>
                <w:rFonts w:hint="default"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14892</w:t>
            </w:r>
          </w:p>
        </w:tc>
        <w:tc>
          <w:tcPr>
            <w:tcW w:w="1071" w:type="dxa"/>
            <w:vMerge w:val="continue"/>
            <w:vAlign w:val="center"/>
          </w:tcPr>
          <w:p w14:paraId="3EC9B566">
            <w:pPr>
              <w:spacing w:line="240" w:lineRule="auto"/>
              <w:jc w:val="center"/>
              <w:rPr>
                <w:color w:val="000000" w:themeColor="text1"/>
                <w:sz w:val="21"/>
                <w:szCs w:val="21"/>
                <w:highlight w:val="none"/>
                <w14:textFill>
                  <w14:solidFill>
                    <w14:schemeClr w14:val="tx1"/>
                  </w14:solidFill>
                </w14:textFill>
              </w:rPr>
            </w:pPr>
          </w:p>
        </w:tc>
      </w:tr>
      <w:tr w14:paraId="32B9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vAlign w:val="center"/>
          </w:tcPr>
          <w:p w14:paraId="54DB419E">
            <w:pPr>
              <w:spacing w:line="240" w:lineRule="auto"/>
              <w:jc w:val="cente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分娩设备清洗消毒用水</w:t>
            </w:r>
          </w:p>
        </w:tc>
        <w:tc>
          <w:tcPr>
            <w:tcW w:w="1708" w:type="dxa"/>
            <w:vAlign w:val="center"/>
          </w:tcPr>
          <w:p w14:paraId="7E9A06AE">
            <w:pPr>
              <w:spacing w:line="240" w:lineRule="auto"/>
              <w:jc w:val="center"/>
              <w:rPr>
                <w:rFonts w:hint="eastAsia"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692.12</w:t>
            </w:r>
          </w:p>
        </w:tc>
        <w:tc>
          <w:tcPr>
            <w:tcW w:w="1304" w:type="dxa"/>
            <w:vAlign w:val="center"/>
          </w:tcPr>
          <w:p w14:paraId="3134253F">
            <w:pPr>
              <w:spacing w:line="240" w:lineRule="auto"/>
              <w:jc w:val="center"/>
              <w:rPr>
                <w:rFonts w:hint="eastAsia"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138.42</w:t>
            </w:r>
          </w:p>
        </w:tc>
        <w:tc>
          <w:tcPr>
            <w:tcW w:w="1880" w:type="dxa"/>
            <w:vAlign w:val="center"/>
          </w:tcPr>
          <w:p w14:paraId="4F4311B2">
            <w:pPr>
              <w:spacing w:line="240" w:lineRule="auto"/>
              <w:jc w:val="cente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553.70</w:t>
            </w:r>
          </w:p>
        </w:tc>
        <w:tc>
          <w:tcPr>
            <w:tcW w:w="1071" w:type="dxa"/>
            <w:vMerge w:val="continue"/>
            <w:vAlign w:val="center"/>
          </w:tcPr>
          <w:p w14:paraId="75E8131F">
            <w:pPr>
              <w:spacing w:line="240" w:lineRule="auto"/>
              <w:jc w:val="cente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pPr>
          </w:p>
        </w:tc>
      </w:tr>
      <w:tr w14:paraId="03663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vAlign w:val="center"/>
          </w:tcPr>
          <w:p w14:paraId="4EFD4E5D">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水帘降温</w:t>
            </w:r>
          </w:p>
        </w:tc>
        <w:tc>
          <w:tcPr>
            <w:tcW w:w="1708" w:type="dxa"/>
            <w:vAlign w:val="center"/>
          </w:tcPr>
          <w:p w14:paraId="2D1C1123">
            <w:pPr>
              <w:spacing w:line="240" w:lineRule="auto"/>
              <w:jc w:val="center"/>
              <w:rPr>
                <w:rFonts w:hint="eastAsia"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1885</w:t>
            </w:r>
          </w:p>
        </w:tc>
        <w:tc>
          <w:tcPr>
            <w:tcW w:w="1304" w:type="dxa"/>
            <w:vAlign w:val="center"/>
          </w:tcPr>
          <w:p w14:paraId="09E48EA7">
            <w:pPr>
              <w:spacing w:line="240" w:lineRule="auto"/>
              <w:jc w:val="center"/>
              <w:rPr>
                <w:rFonts w:hint="default"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1885</w:t>
            </w:r>
          </w:p>
        </w:tc>
        <w:tc>
          <w:tcPr>
            <w:tcW w:w="1880" w:type="dxa"/>
            <w:vAlign w:val="center"/>
          </w:tcPr>
          <w:p w14:paraId="235922B1">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0</w:t>
            </w:r>
          </w:p>
        </w:tc>
        <w:tc>
          <w:tcPr>
            <w:tcW w:w="1071" w:type="dxa"/>
            <w:vAlign w:val="center"/>
          </w:tcPr>
          <w:p w14:paraId="2DDAF558">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w:t>
            </w:r>
          </w:p>
        </w:tc>
      </w:tr>
      <w:tr w14:paraId="038F2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vAlign w:val="center"/>
          </w:tcPr>
          <w:p w14:paraId="4C1D5C4E">
            <w:pPr>
              <w:spacing w:line="240" w:lineRule="auto"/>
              <w:jc w:val="center"/>
              <w:rPr>
                <w:color w:val="000000" w:themeColor="text1"/>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消毒液以及除臭剂配制</w:t>
            </w:r>
          </w:p>
        </w:tc>
        <w:tc>
          <w:tcPr>
            <w:tcW w:w="1708" w:type="dxa"/>
            <w:vAlign w:val="center"/>
          </w:tcPr>
          <w:p w14:paraId="1E40F767">
            <w:pPr>
              <w:spacing w:line="240" w:lineRule="auto"/>
              <w:jc w:val="center"/>
              <w:rPr>
                <w:rFonts w:hint="eastAsia"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523.5</w:t>
            </w:r>
          </w:p>
        </w:tc>
        <w:tc>
          <w:tcPr>
            <w:tcW w:w="1304" w:type="dxa"/>
            <w:vAlign w:val="center"/>
          </w:tcPr>
          <w:p w14:paraId="45C915BF">
            <w:pPr>
              <w:spacing w:line="240" w:lineRule="auto"/>
              <w:jc w:val="center"/>
              <w:rPr>
                <w:rFonts w:hint="eastAsia"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523.5</w:t>
            </w:r>
          </w:p>
        </w:tc>
        <w:tc>
          <w:tcPr>
            <w:tcW w:w="1880" w:type="dxa"/>
            <w:vAlign w:val="center"/>
          </w:tcPr>
          <w:p w14:paraId="41970CD8">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0</w:t>
            </w:r>
          </w:p>
        </w:tc>
        <w:tc>
          <w:tcPr>
            <w:tcW w:w="1071" w:type="dxa"/>
            <w:vAlign w:val="center"/>
          </w:tcPr>
          <w:p w14:paraId="264F7500">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w:t>
            </w:r>
          </w:p>
        </w:tc>
      </w:tr>
      <w:tr w14:paraId="4675D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85" w:type="dxa"/>
            <w:vAlign w:val="center"/>
          </w:tcPr>
          <w:p w14:paraId="6D02BB0A">
            <w:pPr>
              <w:spacing w:line="240" w:lineRule="auto"/>
              <w:jc w:val="center"/>
              <w:rPr>
                <w:color w:val="000000" w:themeColor="text1"/>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合计</w:t>
            </w:r>
          </w:p>
        </w:tc>
        <w:tc>
          <w:tcPr>
            <w:tcW w:w="1708" w:type="dxa"/>
            <w:vAlign w:val="center"/>
          </w:tcPr>
          <w:p w14:paraId="5CAE9AD9">
            <w:pPr>
              <w:spacing w:line="240" w:lineRule="auto"/>
              <w:jc w:val="center"/>
              <w:rPr>
                <w:rFonts w:hint="eastAsia"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80856.81</w:t>
            </w:r>
          </w:p>
        </w:tc>
        <w:tc>
          <w:tcPr>
            <w:tcW w:w="1304" w:type="dxa"/>
            <w:shd w:val="clear" w:color="auto" w:fill="auto"/>
            <w:vAlign w:val="center"/>
          </w:tcPr>
          <w:p w14:paraId="21DFEC3F">
            <w:pPr>
              <w:keepNext w:val="0"/>
              <w:keepLines w:val="0"/>
              <w:widowControl/>
              <w:suppressLineNumbers w:val="0"/>
              <w:jc w:val="center"/>
              <w:textAlignment w:val="center"/>
              <w:rPr>
                <w:rFonts w:hint="default" w:ascii="Times New Roman" w:hAnsi="Times New Roman" w:eastAsia="宋体" w:cs="Times New Roman"/>
                <w:i w:val="0"/>
                <w:iCs w:val="0"/>
                <w:color w:val="000000" w:themeColor="text1"/>
                <w:sz w:val="21"/>
                <w:szCs w:val="21"/>
                <w:highlight w:val="none"/>
                <w:u w:val="none"/>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35436.42</w:t>
            </w:r>
          </w:p>
        </w:tc>
        <w:tc>
          <w:tcPr>
            <w:tcW w:w="1880" w:type="dxa"/>
            <w:shd w:val="clear" w:color="auto" w:fill="auto"/>
            <w:vAlign w:val="center"/>
          </w:tcPr>
          <w:p w14:paraId="699CA041">
            <w:p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bookmarkStart w:id="108" w:name="OLE_LINK4"/>
            <w:r>
              <w:rPr>
                <w:rFonts w:hint="eastAsia"/>
                <w:b w:val="0"/>
                <w:bCs w:val="0"/>
                <w:color w:val="000000" w:themeColor="text1"/>
                <w:sz w:val="21"/>
                <w:szCs w:val="21"/>
                <w:highlight w:val="none"/>
                <w:lang w:val="en-US" w:eastAsia="zh-CN"/>
                <w14:textFill>
                  <w14:solidFill>
                    <w14:schemeClr w14:val="tx1"/>
                  </w14:solidFill>
                </w14:textFill>
              </w:rPr>
              <w:t>45420.39</w:t>
            </w:r>
            <w:bookmarkEnd w:id="108"/>
          </w:p>
        </w:tc>
        <w:tc>
          <w:tcPr>
            <w:tcW w:w="1071" w:type="dxa"/>
            <w:vAlign w:val="center"/>
          </w:tcPr>
          <w:p w14:paraId="7A7F8BE1">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w:t>
            </w:r>
          </w:p>
        </w:tc>
      </w:tr>
      <w:tr w14:paraId="12A30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48" w:type="dxa"/>
            <w:gridSpan w:val="5"/>
            <w:vAlign w:val="center"/>
          </w:tcPr>
          <w:p w14:paraId="76C86F4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备注：</w:t>
            </w:r>
          </w:p>
          <w:p w14:paraId="6EFA42B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1、生活污水产生量按生活用水量的80%计；</w:t>
            </w:r>
          </w:p>
          <w:p w14:paraId="4251DD3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2、猪尿产生量包括直接收集的猪尿和固液分离出的液体；</w:t>
            </w:r>
          </w:p>
          <w:p w14:paraId="1BD9B9E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3、猪舍冲洗废水产生量按用水量的</w:t>
            </w:r>
            <w:r>
              <w:rPr>
                <w:rFonts w:hint="eastAsia"/>
                <w:color w:val="000000" w:themeColor="text1"/>
                <w:sz w:val="21"/>
                <w:szCs w:val="21"/>
                <w:highlight w:val="none"/>
                <w:lang w:val="en-US" w:eastAsia="zh-CN"/>
                <w14:textFill>
                  <w14:solidFill>
                    <w14:schemeClr w14:val="tx1"/>
                  </w14:solidFill>
                </w14:textFill>
              </w:rPr>
              <w:t>8</w:t>
            </w:r>
            <w:r>
              <w:rPr>
                <w:color w:val="000000" w:themeColor="text1"/>
                <w:sz w:val="21"/>
                <w:szCs w:val="21"/>
                <w:highlight w:val="none"/>
                <w14:textFill>
                  <w14:solidFill>
                    <w14:schemeClr w14:val="tx1"/>
                  </w14:solidFill>
                </w14:textFill>
              </w:rPr>
              <w:t>0%计；</w:t>
            </w:r>
          </w:p>
        </w:tc>
      </w:tr>
    </w:tbl>
    <w:p w14:paraId="3BF9171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7936" behindDoc="0" locked="0" layoutInCell="1" allowOverlap="1">
                <wp:simplePos x="0" y="0"/>
                <wp:positionH relativeFrom="column">
                  <wp:posOffset>1093470</wp:posOffset>
                </wp:positionH>
                <wp:positionV relativeFrom="paragraph">
                  <wp:posOffset>401955</wp:posOffset>
                </wp:positionV>
                <wp:extent cx="871855" cy="354330"/>
                <wp:effectExtent l="6350" t="6350" r="17145" b="20320"/>
                <wp:wrapNone/>
                <wp:docPr id="5" name="矩形 5"/>
                <wp:cNvGraphicFramePr/>
                <a:graphic xmlns:a="http://schemas.openxmlformats.org/drawingml/2006/main">
                  <a:graphicData uri="http://schemas.microsoft.com/office/word/2010/wordprocessingShape">
                    <wps:wsp>
                      <wps:cNvSpPr/>
                      <wps:spPr>
                        <a:xfrm>
                          <a:off x="2228850" y="1226185"/>
                          <a:ext cx="871855" cy="354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B0880">
                            <w:pPr>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生活用水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6.1pt;margin-top:31.65pt;height:27.9pt;width:68.65pt;z-index:251687936;v-text-anchor:middle;mso-width-relative:page;mso-height-relative:page;" filled="f" stroked="t" coordsize="21600,21600" o:gfxdata="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8Qg6dgAAAAKAQAADwAAAAAAAAABACAAAAAiAAAA&#10;ZHJzL2Rvd25yZXYueG1sUEsBAhQAFAAAAAgAh07iQP3NcVJ5AgAA4QQAAA4AAAAAAAAAAQAgAAAA&#10;JwEAAGRycy9lMm9Eb2MueG1sUEsFBgAAAAAGAAYAWQEAABIGAAAAAA==&#10;">
                <v:fill on="f" focussize="0,0"/>
                <v:stroke weight="1pt" color="#000000 [3213]" miterlimit="8" joinstyle="miter"/>
                <v:imagedata o:title=""/>
                <o:lock v:ext="edit" aspectratio="f"/>
                <v:textbox>
                  <w:txbxContent>
                    <w:p w14:paraId="3F8B0880">
                      <w:pPr>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生活用水</w:t>
                      </w:r>
                    </w:p>
                  </w:txbxContent>
                </v:textbox>
              </v:rect>
            </w:pict>
          </mc:Fallback>
        </mc:AlternateContent>
      </w:r>
      <w:r>
        <w:rPr>
          <w:color w:val="000000" w:themeColor="text1"/>
          <w:highlight w:val="none"/>
          <w14:textFill>
            <w14:solidFill>
              <w14:schemeClr w14:val="tx1"/>
            </w14:solidFill>
          </w14:textFill>
        </w:rPr>
        <mc:AlternateContent>
          <mc:Choice Requires="wps">
            <w:drawing>
              <wp:anchor distT="0" distB="0" distL="114300" distR="114300" simplePos="0" relativeHeight="251686912" behindDoc="0" locked="0" layoutInCell="1" allowOverlap="1">
                <wp:simplePos x="0" y="0"/>
                <wp:positionH relativeFrom="column">
                  <wp:posOffset>580390</wp:posOffset>
                </wp:positionH>
                <wp:positionV relativeFrom="paragraph">
                  <wp:posOffset>612140</wp:posOffset>
                </wp:positionV>
                <wp:extent cx="26035" cy="3870325"/>
                <wp:effectExtent l="6350" t="0" r="24765" b="15875"/>
                <wp:wrapNone/>
                <wp:docPr id="4" name="直接连接符 4"/>
                <wp:cNvGraphicFramePr/>
                <a:graphic xmlns:a="http://schemas.openxmlformats.org/drawingml/2006/main">
                  <a:graphicData uri="http://schemas.microsoft.com/office/word/2010/wordprocessingShape">
                    <wps:wsp>
                      <wps:cNvCnPr/>
                      <wps:spPr>
                        <a:xfrm>
                          <a:off x="1718945" y="1777365"/>
                          <a:ext cx="26035" cy="387032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5.7pt;margin-top:48.2pt;height:304.75pt;width:2.05pt;z-index:251686912;mso-width-relative:page;mso-height-relative:page;" filled="f" stroked="t" coordsize="21600,21600" o:gfxdata="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zyey2AAAAAgBAAAPAAAAAAAAAAEAIAAAACIAAABkcnMvZG93bnJldi54bWxQSwEC&#10;FAAUAAAACACHTuJANnjob/QBAADCAwAADgAAAAAAAAABACAAAAAnAQAAZHJzL2Uyb0RvYy54bWxQ&#10;SwUGAAAAAAYABgBZAQAAjQUAAAAA&#10;">
                <v:fill on="f" focussize="0,0"/>
                <v:stroke weight="1pt" color="#000000 [3213]" miterlimit="8" joinstyle="miter"/>
                <v:imagedata o:title=""/>
                <o:lock v:ext="edit" aspectratio="f"/>
              </v:line>
            </w:pict>
          </mc:Fallback>
        </mc:AlternateContent>
      </w:r>
      <w:r>
        <w:rPr>
          <w:color w:val="000000" w:themeColor="text1"/>
          <w:highlight w:val="none"/>
          <w14:textFill>
            <w14:solidFill>
              <w14:schemeClr w14:val="tx1"/>
            </w14:solidFill>
          </w14:textFill>
        </w:rPr>
        <mc:AlternateContent>
          <mc:Choice Requires="wpc">
            <w:drawing>
              <wp:inline distT="0" distB="0" distL="114300" distR="114300">
                <wp:extent cx="5378450" cy="4627880"/>
                <wp:effectExtent l="0" t="0" r="0" b="0"/>
                <wp:docPr id="2" name="画布 2"/>
                <wp:cNvGraphicFramePr/>
                <a:graphic xmlns:a="http://schemas.openxmlformats.org/drawingml/2006/main">
                  <a:graphicData uri="http://schemas.microsoft.com/office/word/2010/wordprocessingCanvas">
                    <wpc:wpc>
                      <wpc:bg/>
                      <wpc:whole/>
                      <wps:wsp>
                        <wps:cNvPr id="16" name="直接箭头连接符 3"/>
                        <wps:cNvCnPr/>
                        <wps:spPr>
                          <a:xfrm flipV="1">
                            <a:off x="64135" y="2245995"/>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 name="矩形 7"/>
                        <wps:cNvSpPr/>
                        <wps:spPr>
                          <a:xfrm>
                            <a:off x="1124585" y="1097915"/>
                            <a:ext cx="871220" cy="354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B5908">
                              <w:pPr>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生猪饮水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 name="矩形 9"/>
                        <wps:cNvSpPr/>
                        <wps:spPr>
                          <a:xfrm>
                            <a:off x="2533015" y="377190"/>
                            <a:ext cx="831215" cy="354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4A785B">
                              <w:pPr>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生活</w:t>
                              </w:r>
                              <w:r>
                                <w:rPr>
                                  <w:rFonts w:hint="eastAsia"/>
                                  <w:color w:val="000000" w:themeColor="text1"/>
                                  <w:sz w:val="21"/>
                                  <w:szCs w:val="21"/>
                                  <w14:textFill>
                                    <w14:solidFill>
                                      <w14:schemeClr w14:val="tx1"/>
                                    </w14:solidFill>
                                  </w14:textFill>
                                </w:rPr>
                                <w:t>污</w:t>
                              </w:r>
                              <w:r>
                                <w:rPr>
                                  <w:color w:val="000000" w:themeColor="text1"/>
                                  <w:sz w:val="21"/>
                                  <w:szCs w:val="21"/>
                                  <w14:textFill>
                                    <w14:solidFill>
                                      <w14:schemeClr w14:val="tx1"/>
                                    </w14:solidFill>
                                  </w14:textFill>
                                </w:rPr>
                                <w:t>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 name="矩形 11"/>
                        <wps:cNvSpPr/>
                        <wps:spPr>
                          <a:xfrm>
                            <a:off x="1150620" y="4187190"/>
                            <a:ext cx="1636395" cy="354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EC7DD4">
                              <w:pPr>
                                <w:rPr>
                                  <w:color w:val="000000" w:themeColor="text1"/>
                                  <w14:textFill>
                                    <w14:solidFill>
                                      <w14:schemeClr w14:val="tx1"/>
                                    </w14:solidFill>
                                  </w14:textFill>
                                </w:rPr>
                              </w:pPr>
                              <w:r>
                                <w:rPr>
                                  <w:color w:val="000000" w:themeColor="text1"/>
                                  <w:sz w:val="21"/>
                                  <w:szCs w:val="21"/>
                                  <w14:textFill>
                                    <w14:solidFill>
                                      <w14:schemeClr w14:val="tx1"/>
                                    </w14:solidFill>
                                  </w14:textFill>
                                </w:rPr>
                                <w:t>消毒液以及除臭剂配制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 name="矩形 12"/>
                        <wps:cNvSpPr/>
                        <wps:spPr>
                          <a:xfrm>
                            <a:off x="1151890" y="3519170"/>
                            <a:ext cx="1109345" cy="3460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90F77B">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水帘降温</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 name="矩形 13"/>
                        <wps:cNvSpPr/>
                        <wps:spPr>
                          <a:xfrm>
                            <a:off x="1127125" y="2167890"/>
                            <a:ext cx="1109345" cy="354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96C4A">
                              <w:pPr>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猪舍冲洗用水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 name="直接箭头连接符 14"/>
                        <wps:cNvCnPr/>
                        <wps:spPr>
                          <a:xfrm flipV="1">
                            <a:off x="1630045" y="211455"/>
                            <a:ext cx="238125" cy="142875"/>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3" name="直接箭头连接符 15"/>
                        <wps:cNvCnPr/>
                        <wps:spPr>
                          <a:xfrm flipV="1">
                            <a:off x="578485" y="575945"/>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 name="直接箭头连接符 16"/>
                        <wps:cNvCnPr/>
                        <wps:spPr>
                          <a:xfrm flipV="1">
                            <a:off x="594360" y="2370455"/>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 name="直接箭头连接符 17"/>
                        <wps:cNvCnPr/>
                        <wps:spPr>
                          <a:xfrm flipV="1">
                            <a:off x="583565" y="1304925"/>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 name="直接箭头连接符 18"/>
                        <wps:cNvCnPr/>
                        <wps:spPr>
                          <a:xfrm flipV="1">
                            <a:off x="604520" y="4424045"/>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 name="直接箭头连接符 19"/>
                        <wps:cNvCnPr/>
                        <wps:spPr>
                          <a:xfrm flipV="1">
                            <a:off x="583565" y="3060700"/>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直接箭头连接符 20"/>
                        <wps:cNvCnPr/>
                        <wps:spPr>
                          <a:xfrm flipV="1">
                            <a:off x="1656080" y="941705"/>
                            <a:ext cx="238125" cy="142875"/>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29" name="直接箭头连接符 21"/>
                        <wps:cNvCnPr/>
                        <wps:spPr>
                          <a:xfrm flipV="1">
                            <a:off x="1608455" y="2030095"/>
                            <a:ext cx="238125" cy="142875"/>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0" name="直接箭头连接符 22"/>
                        <wps:cNvCnPr/>
                        <wps:spPr>
                          <a:xfrm flipV="1">
                            <a:off x="1905635" y="4037965"/>
                            <a:ext cx="238125" cy="142875"/>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1" name="直接箭头连接符 23"/>
                        <wps:cNvCnPr/>
                        <wps:spPr>
                          <a:xfrm flipV="1">
                            <a:off x="1772920" y="3359150"/>
                            <a:ext cx="238125" cy="142875"/>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32" name="直接箭头连接符 24"/>
                        <wps:cNvCnPr/>
                        <wps:spPr>
                          <a:xfrm flipV="1">
                            <a:off x="1988820" y="539750"/>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 name="直接箭头连接符 26"/>
                        <wps:cNvCnPr/>
                        <wps:spPr>
                          <a:xfrm flipV="1">
                            <a:off x="2002790" y="1248410"/>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直接箭头连接符 27"/>
                        <wps:cNvCnPr/>
                        <wps:spPr>
                          <a:xfrm flipV="1">
                            <a:off x="3356610" y="560705"/>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直接箭头连接符 28"/>
                        <wps:cNvCnPr/>
                        <wps:spPr>
                          <a:xfrm flipV="1">
                            <a:off x="3357245" y="1241425"/>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直接箭头连接符 29"/>
                        <wps:cNvCnPr>
                          <a:endCxn id="62" idx="1"/>
                        </wps:cNvCnPr>
                        <wps:spPr>
                          <a:xfrm>
                            <a:off x="1560195" y="1452245"/>
                            <a:ext cx="980440" cy="2997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 name="直接箭头连接符 30"/>
                        <wps:cNvCnPr/>
                        <wps:spPr>
                          <a:xfrm>
                            <a:off x="3383915" y="1778635"/>
                            <a:ext cx="511810" cy="25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直接箭头连接符 60"/>
                        <wps:cNvCnPr/>
                        <wps:spPr>
                          <a:xfrm flipV="1">
                            <a:off x="2247900" y="2339340"/>
                            <a:ext cx="1634490" cy="381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矩形 61"/>
                        <wps:cNvSpPr/>
                        <wps:spPr>
                          <a:xfrm>
                            <a:off x="2527300" y="1077595"/>
                            <a:ext cx="831215" cy="340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619E4">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猪尿</w:t>
                              </w:r>
                            </w:p>
                            <w:p w14:paraId="7C1A608F"/>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2" name="矩形 62"/>
                        <wps:cNvSpPr/>
                        <wps:spPr>
                          <a:xfrm>
                            <a:off x="2540635" y="1581785"/>
                            <a:ext cx="831215" cy="340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6137A">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猪粪</w:t>
                              </w:r>
                            </w:p>
                            <w:p w14:paraId="4666FE45"/>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3" name="直接连接符 63"/>
                        <wps:cNvCnPr/>
                        <wps:spPr>
                          <a:xfrm>
                            <a:off x="3887470" y="560705"/>
                            <a:ext cx="9525" cy="247777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直接箭头连接符 64"/>
                        <wps:cNvCnPr>
                          <a:endCxn id="65" idx="1"/>
                        </wps:cNvCnPr>
                        <wps:spPr>
                          <a:xfrm>
                            <a:off x="3853815" y="1760220"/>
                            <a:ext cx="624840" cy="63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矩形 65"/>
                        <wps:cNvSpPr/>
                        <wps:spPr>
                          <a:xfrm>
                            <a:off x="4478655" y="1596390"/>
                            <a:ext cx="640715" cy="340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01CAD">
                              <w:pPr>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黑膜池</w:t>
                              </w:r>
                            </w:p>
                            <w:p w14:paraId="1FD7D11D"/>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 name="矩形 66"/>
                        <wps:cNvSpPr/>
                        <wps:spPr>
                          <a:xfrm>
                            <a:off x="4246880" y="2407285"/>
                            <a:ext cx="817245" cy="3403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D9458">
                              <w:pPr>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液肥还田</w:t>
                              </w:r>
                            </w:p>
                            <w:p w14:paraId="72A6D155"/>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7" name="直接箭头连接符 67"/>
                        <wps:cNvCnPr>
                          <a:stCxn id="65" idx="2"/>
                        </wps:cNvCnPr>
                        <wps:spPr>
                          <a:xfrm flipH="1">
                            <a:off x="4788535" y="1936750"/>
                            <a:ext cx="10795" cy="4730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矩形 68"/>
                        <wps:cNvSpPr/>
                        <wps:spPr>
                          <a:xfrm>
                            <a:off x="0" y="1907540"/>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869EB2">
                              <w:pPr>
                                <w:rPr>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80856.81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9" name="矩形 69"/>
                        <wps:cNvSpPr/>
                        <wps:spPr>
                          <a:xfrm>
                            <a:off x="1196340" y="26035"/>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D218C7">
                              <w:r>
                                <w:rPr>
                                  <w:rFonts w:hint="eastAsia"/>
                                  <w:color w:val="000000" w:themeColor="text1"/>
                                  <w:sz w:val="21"/>
                                  <w:szCs w:val="21"/>
                                  <w:highlight w:val="none"/>
                                  <w:lang w:val="en-US" w:eastAsia="zh-CN"/>
                                  <w14:textFill>
                                    <w14:solidFill>
                                      <w14:schemeClr w14:val="tx1"/>
                                    </w14:solidFill>
                                  </w14:textFill>
                                </w:rPr>
                                <w:t>262.8</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 name="矩形 70"/>
                        <wps:cNvSpPr/>
                        <wps:spPr>
                          <a:xfrm>
                            <a:off x="540385" y="2077720"/>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82E9A4">
                              <w:r>
                                <w:rPr>
                                  <w:rFonts w:hint="eastAsia" w:cs="宋体"/>
                                  <w:b w:val="0"/>
                                  <w:bCs w:val="0"/>
                                  <w:color w:val="000000" w:themeColor="text1"/>
                                  <w:kern w:val="0"/>
                                  <w:sz w:val="21"/>
                                  <w:szCs w:val="21"/>
                                  <w:highlight w:val="none"/>
                                  <w:lang w:val="en-US" w:eastAsia="zh-CN"/>
                                  <w14:textFill>
                                    <w14:solidFill>
                                      <w14:schemeClr w14:val="tx1"/>
                                    </w14:solidFill>
                                  </w14:textFill>
                                </w:rPr>
                                <w:t>18615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 name="矩形 71"/>
                        <wps:cNvSpPr/>
                        <wps:spPr>
                          <a:xfrm>
                            <a:off x="525145" y="3428365"/>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57839B">
                              <w:r>
                                <w:rPr>
                                  <w:rFonts w:hint="eastAsia" w:cs="宋体"/>
                                  <w:b w:val="0"/>
                                  <w:bCs w:val="0"/>
                                  <w:color w:val="000000" w:themeColor="text1"/>
                                  <w:kern w:val="0"/>
                                  <w:sz w:val="21"/>
                                  <w:szCs w:val="21"/>
                                  <w:highlight w:val="none"/>
                                  <w:lang w:val="en-US" w:eastAsia="zh-CN"/>
                                  <w14:textFill>
                                    <w14:solidFill>
                                      <w14:schemeClr w14:val="tx1"/>
                                    </w14:solidFill>
                                  </w14:textFill>
                                </w:rPr>
                                <w:t>1885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矩形 72"/>
                        <wps:cNvSpPr/>
                        <wps:spPr>
                          <a:xfrm>
                            <a:off x="1475105" y="3930650"/>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19E074">
                              <w:pPr>
                                <w:rPr>
                                  <w:rFonts w:hint="default"/>
                                  <w:lang w:val="en-US" w:eastAsia="zh-CN"/>
                                </w:rPr>
                              </w:pPr>
                              <w:r>
                                <w:rPr>
                                  <w:rFonts w:hint="eastAsia" w:cs="宋体"/>
                                  <w:b w:val="0"/>
                                  <w:bCs w:val="0"/>
                                  <w:color w:val="000000" w:themeColor="text1"/>
                                  <w:kern w:val="0"/>
                                  <w:sz w:val="21"/>
                                  <w:szCs w:val="21"/>
                                  <w:highlight w:val="none"/>
                                  <w:lang w:val="en-US" w:eastAsia="zh-CN"/>
                                  <w14:textFill>
                                    <w14:solidFill>
                                      <w14:schemeClr w14:val="tx1"/>
                                    </w14:solidFill>
                                  </w14:textFill>
                                </w:rPr>
                                <w:t>523.5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3" name="矩形 73"/>
                        <wps:cNvSpPr/>
                        <wps:spPr>
                          <a:xfrm>
                            <a:off x="3868420" y="1432560"/>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4231D8">
                              <w:r>
                                <w:rPr>
                                  <w:rFonts w:hint="eastAsia"/>
                                  <w:b w:val="0"/>
                                  <w:bCs w:val="0"/>
                                  <w:color w:val="000000" w:themeColor="text1"/>
                                  <w:sz w:val="21"/>
                                  <w:szCs w:val="21"/>
                                  <w:highlight w:val="none"/>
                                  <w:lang w:val="en-US" w:eastAsia="zh-CN"/>
                                  <w14:textFill>
                                    <w14:solidFill>
                                      <w14:schemeClr w14:val="tx1"/>
                                    </w14:solidFill>
                                  </w14:textFill>
                                </w:rPr>
                                <w:t>45420.39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 name="矩形 74"/>
                        <wps:cNvSpPr/>
                        <wps:spPr>
                          <a:xfrm>
                            <a:off x="3288030" y="236855"/>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C2585">
                              <w:r>
                                <w:rPr>
                                  <w:rFonts w:hint="eastAsia"/>
                                  <w:color w:val="000000" w:themeColor="text1"/>
                                  <w:sz w:val="21"/>
                                  <w:szCs w:val="21"/>
                                  <w:highlight w:val="none"/>
                                  <w:lang w:val="en-US" w:eastAsia="zh-CN"/>
                                  <w14:textFill>
                                    <w14:solidFill>
                                      <w14:schemeClr w14:val="tx1"/>
                                    </w14:solidFill>
                                  </w14:textFill>
                                </w:rPr>
                                <w:t>1051.2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 name="矩形 75"/>
                        <wps:cNvSpPr/>
                        <wps:spPr>
                          <a:xfrm>
                            <a:off x="506095" y="969010"/>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C3D41">
                              <w:r>
                                <w:rPr>
                                  <w:rFonts w:hint="eastAsia" w:cs="宋体"/>
                                  <w:b w:val="0"/>
                                  <w:bCs w:val="0"/>
                                  <w:color w:val="000000" w:themeColor="text1"/>
                                  <w:kern w:val="0"/>
                                  <w:sz w:val="21"/>
                                  <w:szCs w:val="21"/>
                                  <w:highlight w:val="none"/>
                                  <w:lang w:val="en-US" w:eastAsia="zh-CN"/>
                                  <w14:textFill>
                                    <w14:solidFill>
                                      <w14:schemeClr w14:val="tx1"/>
                                    </w14:solidFill>
                                  </w14:textFill>
                                </w:rPr>
                                <w:t>57827.19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矩形 76"/>
                        <wps:cNvSpPr/>
                        <wps:spPr>
                          <a:xfrm>
                            <a:off x="1207135" y="777875"/>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B0AA91">
                              <w:pPr>
                                <w:rPr>
                                  <w:rFonts w:hint="default"/>
                                  <w:lang w:val="en-US"/>
                                </w:rPr>
                              </w:pPr>
                              <w:r>
                                <w:rPr>
                                  <w:rFonts w:hint="eastAsia"/>
                                  <w:color w:val="000000" w:themeColor="text1"/>
                                  <w:sz w:val="21"/>
                                  <w:szCs w:val="21"/>
                                  <w:highlight w:val="none"/>
                                  <w:lang w:val="en-US" w:eastAsia="zh-CN"/>
                                  <w14:textFill>
                                    <w14:solidFill>
                                      <w14:schemeClr w14:val="tx1"/>
                                    </w14:solidFill>
                                  </w14:textFill>
                                </w:rPr>
                                <w:t>28903.7</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矩形 77"/>
                        <wps:cNvSpPr/>
                        <wps:spPr>
                          <a:xfrm>
                            <a:off x="3292475" y="1479550"/>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BF3E1">
                              <w:pPr>
                                <w:rPr>
                                  <w:rFonts w:hint="default"/>
                                  <w:lang w:val="en-US"/>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2254.99</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矩形 78"/>
                        <wps:cNvSpPr/>
                        <wps:spPr>
                          <a:xfrm>
                            <a:off x="3277870" y="939800"/>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92440">
                              <w:pPr>
                                <w:rPr>
                                  <w:rFonts w:hint="default"/>
                                  <w:color w:val="000000" w:themeColor="text1"/>
                                  <w:lang w:val="en-US"/>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26668.5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矩形 79"/>
                        <wps:cNvSpPr/>
                        <wps:spPr>
                          <a:xfrm>
                            <a:off x="2516505" y="2024380"/>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F39600">
                              <w:r>
                                <w:rPr>
                                  <w:rFonts w:hint="eastAsia" w:cs="宋体"/>
                                  <w:b w:val="0"/>
                                  <w:bCs w:val="0"/>
                                  <w:color w:val="000000" w:themeColor="text1"/>
                                  <w:kern w:val="0"/>
                                  <w:sz w:val="21"/>
                                  <w:szCs w:val="21"/>
                                  <w:highlight w:val="none"/>
                                  <w:lang w:val="en-US" w:eastAsia="zh-CN"/>
                                  <w14:textFill>
                                    <w14:solidFill>
                                      <w14:schemeClr w14:val="tx1"/>
                                    </w14:solidFill>
                                  </w14:textFill>
                                </w:rPr>
                                <w:t>14892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矩形 80"/>
                        <wps:cNvSpPr/>
                        <wps:spPr>
                          <a:xfrm>
                            <a:off x="480060" y="250825"/>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D6B55F">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1314</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1" name="矩形 81"/>
                        <wps:cNvSpPr/>
                        <wps:spPr>
                          <a:xfrm>
                            <a:off x="1303020" y="3226435"/>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52EEC4">
                              <w:pPr>
                                <w:rPr>
                                  <w:rFonts w:hint="default"/>
                                  <w:lang w:val="en-US" w:eastAsia="zh-CN"/>
                                </w:rPr>
                              </w:pPr>
                              <w:r>
                                <w:rPr>
                                  <w:rFonts w:hint="eastAsia" w:cs="宋体"/>
                                  <w:b w:val="0"/>
                                  <w:bCs w:val="0"/>
                                  <w:color w:val="000000" w:themeColor="text1"/>
                                  <w:kern w:val="0"/>
                                  <w:sz w:val="21"/>
                                  <w:szCs w:val="21"/>
                                  <w:highlight w:val="none"/>
                                  <w:lang w:val="en-US" w:eastAsia="zh-CN"/>
                                  <w14:textFill>
                                    <w14:solidFill>
                                      <w14:schemeClr w14:val="tx1"/>
                                    </w14:solidFill>
                                  </w14:textFill>
                                </w:rPr>
                                <w:t>1885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2" name="矩形 82"/>
                        <wps:cNvSpPr/>
                        <wps:spPr>
                          <a:xfrm>
                            <a:off x="552450" y="4120515"/>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19FF2C">
                              <w:pPr>
                                <w:rPr>
                                  <w:rFonts w:hint="default"/>
                                  <w:lang w:val="en-US" w:eastAsia="zh-CN"/>
                                </w:rPr>
                              </w:pPr>
                              <w:r>
                                <w:rPr>
                                  <w:rFonts w:hint="eastAsia" w:cs="宋体"/>
                                  <w:b w:val="0"/>
                                  <w:bCs w:val="0"/>
                                  <w:color w:val="000000" w:themeColor="text1"/>
                                  <w:kern w:val="0"/>
                                  <w:sz w:val="21"/>
                                  <w:szCs w:val="21"/>
                                  <w:highlight w:val="none"/>
                                  <w:lang w:val="en-US" w:eastAsia="zh-CN"/>
                                  <w14:textFill>
                                    <w14:solidFill>
                                      <w14:schemeClr w14:val="tx1"/>
                                    </w14:solidFill>
                                  </w14:textFill>
                                </w:rPr>
                                <w:t>523.5</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矩形 83"/>
                        <wps:cNvSpPr/>
                        <wps:spPr>
                          <a:xfrm>
                            <a:off x="1220470" y="1819275"/>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C4551">
                              <w:pPr>
                                <w:rPr>
                                  <w:color w:val="000000" w:themeColor="text1"/>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3723</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4" name="矩形 13"/>
                        <wps:cNvSpPr/>
                        <wps:spPr>
                          <a:xfrm>
                            <a:off x="1106170" y="2864485"/>
                            <a:ext cx="1576070" cy="35433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31FB6">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分娩设备清洗消毒用水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5" name="直接箭头连接符 23"/>
                        <wps:cNvCnPr/>
                        <wps:spPr>
                          <a:xfrm flipV="1">
                            <a:off x="1894205" y="2717165"/>
                            <a:ext cx="238125" cy="142875"/>
                          </a:xfrm>
                          <a:prstGeom prst="straightConnector1">
                            <a:avLst/>
                          </a:prstGeom>
                          <a:ln w="12700">
                            <a:solidFill>
                              <a:schemeClr val="tx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wps:wsp>
                        <wps:cNvPr id="46" name="矩形 46"/>
                        <wps:cNvSpPr/>
                        <wps:spPr>
                          <a:xfrm>
                            <a:off x="1381125" y="2577465"/>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FBE43">
                              <w:r>
                                <w:rPr>
                                  <w:rFonts w:hint="eastAsia" w:cs="宋体"/>
                                  <w:b w:val="0"/>
                                  <w:bCs w:val="0"/>
                                  <w:color w:val="000000" w:themeColor="text1"/>
                                  <w:kern w:val="0"/>
                                  <w:sz w:val="21"/>
                                  <w:szCs w:val="21"/>
                                  <w:highlight w:val="none"/>
                                  <w:lang w:val="en-US" w:eastAsia="zh-CN"/>
                                  <w14:textFill>
                                    <w14:solidFill>
                                      <w14:schemeClr w14:val="tx1"/>
                                    </w14:solidFill>
                                  </w14:textFill>
                                </w:rPr>
                                <w:t>138.42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7" name="矩形 47"/>
                        <wps:cNvSpPr/>
                        <wps:spPr>
                          <a:xfrm>
                            <a:off x="534670" y="2725420"/>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27459">
                              <w:r>
                                <w:rPr>
                                  <w:rFonts w:hint="eastAsia" w:cs="宋体"/>
                                  <w:b w:val="0"/>
                                  <w:bCs w:val="0"/>
                                  <w:color w:val="000000" w:themeColor="text1"/>
                                  <w:kern w:val="0"/>
                                  <w:sz w:val="21"/>
                                  <w:szCs w:val="21"/>
                                  <w:highlight w:val="none"/>
                                  <w:lang w:val="en-US" w:eastAsia="zh-CN"/>
                                  <w14:textFill>
                                    <w14:solidFill>
                                      <w14:schemeClr w14:val="tx1"/>
                                    </w14:solidFill>
                                  </w14:textFill>
                                </w:rPr>
                                <w:t>692.12</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8" name="直接箭头连接符 48"/>
                        <wps:cNvCnPr>
                          <a:stCxn id="44" idx="3"/>
                        </wps:cNvCnPr>
                        <wps:spPr>
                          <a:xfrm flipV="1">
                            <a:off x="2682240" y="3038475"/>
                            <a:ext cx="1205865" cy="31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 name="矩形 53"/>
                        <wps:cNvSpPr/>
                        <wps:spPr>
                          <a:xfrm>
                            <a:off x="2941955" y="2700020"/>
                            <a:ext cx="728980" cy="3543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393621">
                              <w:r>
                                <w:rPr>
                                  <w:rFonts w:hint="eastAsia" w:cs="宋体"/>
                                  <w:b w:val="0"/>
                                  <w:bCs w:val="0"/>
                                  <w:color w:val="000000" w:themeColor="text1"/>
                                  <w:kern w:val="0"/>
                                  <w:sz w:val="21"/>
                                  <w:szCs w:val="21"/>
                                  <w:highlight w:val="none"/>
                                  <w:lang w:val="en-US" w:eastAsia="zh-CN"/>
                                  <w14:textFill>
                                    <w14:solidFill>
                                      <w14:schemeClr w14:val="tx1"/>
                                    </w14:solidFill>
                                  </w14:textFill>
                                </w:rPr>
                                <w:t>553.70</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4" name="直接箭头连接符 18"/>
                        <wps:cNvCnPr/>
                        <wps:spPr>
                          <a:xfrm flipV="1">
                            <a:off x="612775" y="3729990"/>
                            <a:ext cx="530860" cy="698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_x0000_s1026" o:spid="_x0000_s1026" o:spt="203" style="height:364.4pt;width:423.5pt;" coordsize="5378450,4627880" editas="canvas" o:gfxdata="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">
                <o:lock v:ext="edit" aspectratio="f"/>
                <v:shape id="_x0000_s1026" o:spid="_x0000_s1026" style="position:absolute;left:0;top:0;height:4627880;width:5378450;" filled="f" stroked="f" coordsize="21600,21600" o:gfxdata="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">
                  <v:fill on="f" focussize="0,0"/>
                  <v:stroke on="f"/>
                  <v:imagedata o:title=""/>
                  <o:lock v:ext="edit" aspectratio="f"/>
                </v:shape>
                <v:shape id="直接箭头连接符 3" o:spid="_x0000_s1026" o:spt="32" type="#_x0000_t32" style="position:absolute;left:64135;top:2245995;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7W23fTAAAABQEAAA8A&#10;AAAAAAAAAQAgAAAAIgAAAGRycy9kb3ducmV2LnhtbFBLAQIUABQAAAAIAIdO4kDuEmrWHAIAAPkD&#10;AAAOAAAAAAAAAAEAIAAAACIBAABkcnMvZTJvRG9jLnhtbFBLBQYAAAAABgAGAFkBAACwBQAAAAA=&#10;">
                  <v:fill on="f" focussize="0,0"/>
                  <v:stroke weight="1pt" color="#000000 [3213]" miterlimit="8" joinstyle="miter" endarrow="block"/>
                  <v:imagedata o:title=""/>
                  <o:lock v:ext="edit" aspectratio="f"/>
                </v:shape>
                <v:rect id="矩形 7" o:spid="_x0000_s1026" o:spt="1" style="position:absolute;left:1124585;top:1097915;height:354330;width:871220;v-text-anchor:middle;" filled="f" stroked="t" coordsize="21600,21600" o:gfxdata="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rVrQbtUAAAAFAQAADwAAAAAAAAABACAAAAAiAAAAZHJz&#10;L2Rvd25yZXYueG1sUEsBAhQAFAAAAAgAh07iQCsAyMZ5AgAA4gQAAA4AAAAAAAAAAQAgAAAAJAEA&#10;AGRycy9lMm9Eb2MueG1sUEsFBgAAAAAGAAYAWQEAAA8GAAAAAA==&#10;">
                  <v:fill on="f" focussize="0,0"/>
                  <v:stroke weight="1pt" color="#000000 [3213]" miterlimit="8" joinstyle="miter"/>
                  <v:imagedata o:title=""/>
                  <o:lock v:ext="edit" aspectratio="f"/>
                  <v:textbox>
                    <w:txbxContent>
                      <w:p w14:paraId="5FEB5908">
                        <w:pPr>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生猪饮水</w:t>
                        </w:r>
                      </w:p>
                    </w:txbxContent>
                  </v:textbox>
                </v:rect>
                <v:rect id="矩形 9" o:spid="_x0000_s1026" o:spt="1" style="position:absolute;left:2533015;top:377190;height:354330;width:831215;v-text-anchor:middle;" filled="f" stroked="t" coordsize="21600,21600" o:gfxdata="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1a0G7VAAAABQEAAA8AAAAAAAAAAQAgAAAAIgAAAGRycy9k&#10;b3ducmV2LnhtbFBLAQIUABQAAAAIAIdO4kAktjKvdwIAAOEEAAAOAAAAAAAAAAEAIAAAACQBAABk&#10;cnMvZTJvRG9jLnhtbFBLBQYAAAAABgAGAFkBAAANBgAAAAA=&#10;">
                  <v:fill on="f" focussize="0,0"/>
                  <v:stroke weight="1pt" color="#000000 [3213]" miterlimit="8" joinstyle="miter"/>
                  <v:imagedata o:title=""/>
                  <o:lock v:ext="edit" aspectratio="f"/>
                  <v:textbox>
                    <w:txbxContent>
                      <w:p w14:paraId="2A4A785B">
                        <w:pPr>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生活</w:t>
                        </w:r>
                        <w:r>
                          <w:rPr>
                            <w:rFonts w:hint="eastAsia"/>
                            <w:color w:val="000000" w:themeColor="text1"/>
                            <w:sz w:val="21"/>
                            <w:szCs w:val="21"/>
                            <w14:textFill>
                              <w14:solidFill>
                                <w14:schemeClr w14:val="tx1"/>
                              </w14:solidFill>
                            </w14:textFill>
                          </w:rPr>
                          <w:t>污</w:t>
                        </w:r>
                        <w:r>
                          <w:rPr>
                            <w:color w:val="000000" w:themeColor="text1"/>
                            <w:sz w:val="21"/>
                            <w:szCs w:val="21"/>
                            <w14:textFill>
                              <w14:solidFill>
                                <w14:schemeClr w14:val="tx1"/>
                              </w14:solidFill>
                            </w14:textFill>
                          </w:rPr>
                          <w:t>水</w:t>
                        </w:r>
                      </w:p>
                    </w:txbxContent>
                  </v:textbox>
                </v:rect>
                <v:rect id="矩形 11" o:spid="_x0000_s1026" o:spt="1" style="position:absolute;left:1150620;top:4187190;height:354330;width:1636395;v-text-anchor:middle;" filled="f" stroked="t" coordsize="21600,21600" o:gfxdata="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WtBu1QAAAAUBAAAPAAAAAAAAAAEAIAAAACIAAABk&#10;cnMvZG93bnJldi54bWxQSwECFAAUAAAACACHTuJAKgpSkXsCAADkBAAADgAAAAAAAAABACAAAAAk&#10;AQAAZHJzL2Uyb0RvYy54bWxQSwUGAAAAAAYABgBZAQAAEQYAAAAA&#10;">
                  <v:fill on="f" focussize="0,0"/>
                  <v:stroke weight="1pt" color="#000000 [3213]" miterlimit="8" joinstyle="miter"/>
                  <v:imagedata o:title=""/>
                  <o:lock v:ext="edit" aspectratio="f"/>
                  <v:textbox>
                    <w:txbxContent>
                      <w:p w14:paraId="44EC7DD4">
                        <w:pPr>
                          <w:rPr>
                            <w:color w:val="000000" w:themeColor="text1"/>
                            <w14:textFill>
                              <w14:solidFill>
                                <w14:schemeClr w14:val="tx1"/>
                              </w14:solidFill>
                            </w14:textFill>
                          </w:rPr>
                        </w:pPr>
                        <w:r>
                          <w:rPr>
                            <w:color w:val="000000" w:themeColor="text1"/>
                            <w:sz w:val="21"/>
                            <w:szCs w:val="21"/>
                            <w14:textFill>
                              <w14:solidFill>
                                <w14:schemeClr w14:val="tx1"/>
                              </w14:solidFill>
                            </w14:textFill>
                          </w:rPr>
                          <w:t>消毒液以及除臭剂配制</w:t>
                        </w:r>
                      </w:p>
                    </w:txbxContent>
                  </v:textbox>
                </v:rect>
                <v:rect id="矩形 12" o:spid="_x0000_s1026" o:spt="1" style="position:absolute;left:1151890;top:3519170;height:346075;width:1109345;v-text-anchor:middle;" filled="f" stroked="t" coordsize="21600,21600" o:gfxdata="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&#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WtBu1QAAAAUBAAAPAAAAAAAAAAEAIAAAACIAAABk&#10;cnMvZG93bnJldi54bWxQSwECFAAUAAAACACHTuJA3O2aeXsCAADkBAAADgAAAAAAAAABACAAAAAk&#10;AQAAZHJzL2Uyb0RvYy54bWxQSwUGAAAAAAYABgBZAQAAEQYAAAAA&#10;">
                  <v:fill on="f" focussize="0,0"/>
                  <v:stroke weight="1pt" color="#000000 [3213]" miterlimit="8" joinstyle="miter"/>
                  <v:imagedata o:title=""/>
                  <o:lock v:ext="edit" aspectratio="f"/>
                  <v:textbox>
                    <w:txbxContent>
                      <w:p w14:paraId="3C90F77B">
                        <w:pPr>
                          <w:jc w:val="center"/>
                          <w:rPr>
                            <w:color w:val="000000" w:themeColor="text1"/>
                            <w14:textFill>
                              <w14:solidFill>
                                <w14:schemeClr w14:val="tx1"/>
                              </w14:solidFill>
                            </w14:textFill>
                          </w:rPr>
                        </w:pPr>
                        <w:r>
                          <w:rPr>
                            <w:rFonts w:hint="eastAsia"/>
                            <w:color w:val="000000" w:themeColor="text1"/>
                            <w:sz w:val="21"/>
                            <w:szCs w:val="21"/>
                            <w14:textFill>
                              <w14:solidFill>
                                <w14:schemeClr w14:val="tx1"/>
                              </w14:solidFill>
                            </w14:textFill>
                          </w:rPr>
                          <w:t>水帘降温</w:t>
                        </w:r>
                      </w:p>
                    </w:txbxContent>
                  </v:textbox>
                </v:rect>
                <v:rect id="矩形 13" o:spid="_x0000_s1026" o:spt="1" style="position:absolute;left:1127125;top:2167890;height:354330;width:1109345;v-text-anchor:middle;" filled="f" stroked="t" coordsize="21600,21600" o:gfxdata="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1a0G7VAAAABQEAAA8AAAAAAAAAAQAgAAAAIgAAAGRy&#10;cy9kb3ducmV2LnhtbFBLAQIUABQAAAAIAIdO4kBlzm8WegIAAOQEAAAOAAAAAAAAAAEAIAAAACQB&#10;AABkcnMvZTJvRG9jLnhtbFBLBQYAAAAABgAGAFkBAAAQBgAAAAA=&#10;">
                  <v:fill on="f" focussize="0,0"/>
                  <v:stroke weight="1pt" color="#000000 [3213]" miterlimit="8" joinstyle="miter"/>
                  <v:imagedata o:title=""/>
                  <o:lock v:ext="edit" aspectratio="f"/>
                  <v:textbox>
                    <w:txbxContent>
                      <w:p w14:paraId="16E96C4A">
                        <w:pPr>
                          <w:jc w:val="center"/>
                          <w:rPr>
                            <w:color w:val="000000" w:themeColor="text1"/>
                            <w14:textFill>
                              <w14:solidFill>
                                <w14:schemeClr w14:val="tx1"/>
                              </w14:solidFill>
                            </w14:textFill>
                          </w:rPr>
                        </w:pPr>
                        <w:r>
                          <w:rPr>
                            <w:color w:val="000000" w:themeColor="text1"/>
                            <w:sz w:val="21"/>
                            <w:szCs w:val="21"/>
                            <w14:textFill>
                              <w14:solidFill>
                                <w14:schemeClr w14:val="tx1"/>
                              </w14:solidFill>
                            </w14:textFill>
                          </w:rPr>
                          <w:t>猪舍冲洗用水</w:t>
                        </w:r>
                      </w:p>
                    </w:txbxContent>
                  </v:textbox>
                </v:rect>
                <v:shape id="直接箭头连接符 14" o:spid="_x0000_s1026" o:spt="32" type="#_x0000_t32" style="position:absolute;left:1630045;top:211455;flip:y;height:142875;width:238125;" filled="f" stroked="t" coordsize="21600,21600" o:gfxdata="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qYN5PTAAAABQEA&#10;AA8AAAAAAAAAAQAgAAAAIgAAAGRycy9kb3ducmV2LnhtbFBLAQIUABQAAAAIAIdO4kDb1qXqHwIA&#10;AP8DAAAOAAAAAAAAAAEAIAAAACIBAABkcnMvZTJvRG9jLnhtbFBLBQYAAAAABgAGAFkBAACzBQAA&#10;AAA=&#10;">
                  <v:fill on="f" focussize="0,0"/>
                  <v:stroke weight="1pt" color="#000000 [3213]" miterlimit="8" joinstyle="miter" dashstyle="3 1" endarrow="block"/>
                  <v:imagedata o:title=""/>
                  <o:lock v:ext="edit" aspectratio="f"/>
                </v:shape>
                <v:shape id="直接箭头连接符 15" o:spid="_x0000_s1026" o:spt="32" type="#_x0000_t32" style="position:absolute;left:578485;top:575945;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tbbd9MAAAAFAQAADwAA&#10;AAAAAAABACAAAAAiAAAAZHJzL2Rvd25yZXYueG1sUEsBAhQAFAAAAAgAh07iQN4nSz8bAgAA+gMA&#10;AA4AAAAAAAAAAQAgAAAAIgEAAGRycy9lMm9Eb2MueG1sUEsFBgAAAAAGAAYAWQEAAK8FAAAAAA==&#10;">
                  <v:fill on="f" focussize="0,0"/>
                  <v:stroke weight="1pt" color="#000000 [3213]" miterlimit="8" joinstyle="miter" endarrow="block"/>
                  <v:imagedata o:title=""/>
                  <o:lock v:ext="edit" aspectratio="f"/>
                </v:shape>
                <v:shape id="直接箭头连接符 16" o:spid="_x0000_s1026" o:spt="32" type="#_x0000_t32" style="position:absolute;left:594360;top:2370455;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tbbd9MAAAAFAQAADwAA&#10;AAAAAAABACAAAAAiAAAAZHJzL2Rvd25yZXYueG1sUEsBAhQAFAAAAAgAh07iQBxrASwbAgAA+wMA&#10;AA4AAAAAAAAAAQAgAAAAIgEAAGRycy9lMm9Eb2MueG1sUEsFBgAAAAAGAAYAWQEAAK8FAAAAAA==&#10;">
                  <v:fill on="f" focussize="0,0"/>
                  <v:stroke weight="1pt" color="#000000 [3213]" miterlimit="8" joinstyle="miter" endarrow="block"/>
                  <v:imagedata o:title=""/>
                  <o:lock v:ext="edit" aspectratio="f"/>
                </v:shape>
                <v:shape id="直接箭头连接符 17" o:spid="_x0000_s1026" o:spt="32" type="#_x0000_t32" style="position:absolute;left:583565;top:1304925;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7W23fTAAAABQEAAA8A&#10;AAAAAAAAAQAgAAAAIgAAAGRycy9kb3ducmV2LnhtbFBLAQIUABQAAAAIAIdO4kAECyJOHAIAAPsD&#10;AAAOAAAAAAAAAAEAIAAAACIBAABkcnMvZTJvRG9jLnhtbFBLBQYAAAAABgAGAFkBAACwBQAAAAA=&#10;">
                  <v:fill on="f" focussize="0,0"/>
                  <v:stroke weight="1pt" color="#000000 [3213]" miterlimit="8" joinstyle="miter" endarrow="block"/>
                  <v:imagedata o:title=""/>
                  <o:lock v:ext="edit" aspectratio="f"/>
                </v:shape>
                <v:shape id="直接箭头连接符 18" o:spid="_x0000_s1026" o:spt="32" type="#_x0000_t32" style="position:absolute;left:604520;top:4424045;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7W23fTAAAABQEAAA8A&#10;AAAAAAAAAQAgAAAAIgAAAGRycy9kb3ducmV2LnhtbFBLAQIUABQAAAAIAIdO4kCZE1T5HAIAAPsD&#10;AAAOAAAAAAAAAAEAIAAAACIBAABkcnMvZTJvRG9jLnhtbFBLBQYAAAAABgAGAFkBAACwBQAAAAA=&#10;">
                  <v:fill on="f" focussize="0,0"/>
                  <v:stroke weight="1pt" color="#000000 [3213]" miterlimit="8" joinstyle="miter" endarrow="block"/>
                  <v:imagedata o:title=""/>
                  <o:lock v:ext="edit" aspectratio="f"/>
                </v:shape>
                <v:shape id="直接箭头连接符 19" o:spid="_x0000_s1026" o:spt="32" type="#_x0000_t32" style="position:absolute;left:583565;top:3060700;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7W23fTAAAABQEAAA8A&#10;AAAAAAAAAQAgAAAAIgAAAGRycy9kb3ducmV2LnhtbFBLAQIUABQAAAAIAIdO4kBq/OCfHAIAAPsD&#10;AAAOAAAAAAAAAAEAIAAAACIBAABkcnMvZTJvRG9jLnhtbFBLBQYAAAAABgAGAFkBAACwBQAAAAA=&#10;">
                  <v:fill on="f" focussize="0,0"/>
                  <v:stroke weight="1pt" color="#000000 [3213]" miterlimit="8" joinstyle="miter" endarrow="block"/>
                  <v:imagedata o:title=""/>
                  <o:lock v:ext="edit" aspectratio="f"/>
                </v:shape>
                <v:shape id="直接箭头连接符 20" o:spid="_x0000_s1026" o:spt="32" type="#_x0000_t32" style="position:absolute;left:1656080;top:941705;flip:y;height:142875;width:238125;" filled="f" stroked="t" coordsize="21600,21600" o:gfxdata="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qYN5PTAAAABQEA&#10;AA8AAAAAAAAAAQAgAAAAIgAAAGRycy9kb3ducmV2LnhtbFBLAQIUABQAAAAIAIdO4kB70hBbHwIA&#10;AP8DAAAOAAAAAAAAAAEAIAAAACIBAABkcnMvZTJvRG9jLnhtbFBLBQYAAAAABgAGAFkBAACzBQAA&#10;AAA=&#10;">
                  <v:fill on="f" focussize="0,0"/>
                  <v:stroke weight="1pt" color="#000000 [3213]" miterlimit="8" joinstyle="miter" dashstyle="3 1" endarrow="block"/>
                  <v:imagedata o:title=""/>
                  <o:lock v:ext="edit" aspectratio="f"/>
                </v:shape>
                <v:shape id="直接箭头连接符 21" o:spid="_x0000_s1026" o:spt="32" type="#_x0000_t32" style="position:absolute;left:1608455;top:2030095;flip:y;height:142875;width:238125;" filled="f" stroked="t" coordsize="21600,21600" o:gfxdata="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qYN5PTAAAA&#10;BQEAAA8AAAAAAAAAAQAgAAAAIgAAAGRycy9kb3ducmV2LnhtbFBLAQIUABQAAAAIAIdO4kBr2oT7&#10;IgIAAAAEAAAOAAAAAAAAAAEAIAAAACIBAABkcnMvZTJvRG9jLnhtbFBLBQYAAAAABgAGAFkBAAC2&#10;BQAAAAA=&#10;">
                  <v:fill on="f" focussize="0,0"/>
                  <v:stroke weight="1pt" color="#000000 [3213]" miterlimit="8" joinstyle="miter" dashstyle="3 1" endarrow="block"/>
                  <v:imagedata o:title=""/>
                  <o:lock v:ext="edit" aspectratio="f"/>
                </v:shape>
                <v:shape id="直接箭头连接符 22" o:spid="_x0000_s1026" o:spt="32" type="#_x0000_t32" style="position:absolute;left:1905635;top:4037965;flip:y;height:142875;width:238125;" filled="f" stroked="t" coordsize="21600,21600" o:gfxdata="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BqYN5PTAAAA&#10;BQEAAA8AAAAAAAAAAQAgAAAAIgAAAGRycy9kb3ducmV2LnhtbFBLAQIUABQAAAAIAIdO4kDdmtHY&#10;IgIAAAAEAAAOAAAAAAAAAAEAIAAAACIBAABkcnMvZTJvRG9jLnhtbFBLBQYAAAAABgAGAFkBAAC2&#10;BQAAAAA=&#10;">
                  <v:fill on="f" focussize="0,0"/>
                  <v:stroke weight="1pt" color="#000000 [3213]" miterlimit="8" joinstyle="miter" dashstyle="3 1" endarrow="block"/>
                  <v:imagedata o:title=""/>
                  <o:lock v:ext="edit" aspectratio="f"/>
                </v:shape>
                <v:shape id="直接箭头连接符 23" o:spid="_x0000_s1026" o:spt="32" type="#_x0000_t32" style="position:absolute;left:1772920;top:3359150;flip:y;height:142875;width:238125;" filled="f" stroked="t" coordsize="21600,21600" o:gfxdata="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mDeT0wAAAAUB&#10;AAAPAAAAAAAAAAEAIAAAACIAAABkcnMvZG93bnJldi54bWxQSwECFAAUAAAACACHTuJANLponiAC&#10;AAAABAAADgAAAAAAAAABACAAAAAiAQAAZHJzL2Uyb0RvYy54bWxQSwUGAAAAAAYABgBZAQAAtAUA&#10;AAAA&#10;">
                  <v:fill on="f" focussize="0,0"/>
                  <v:stroke weight="1pt" color="#000000 [3213]" miterlimit="8" joinstyle="miter" dashstyle="3 1" endarrow="block"/>
                  <v:imagedata o:title=""/>
                  <o:lock v:ext="edit" aspectratio="f"/>
                </v:shape>
                <v:shape id="直接箭头连接符 24" o:spid="_x0000_s1026" o:spt="32" type="#_x0000_t32" style="position:absolute;left:1988820;top:539750;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7W23fTAAAABQEAAA8A&#10;AAAAAAAAAQAgAAAAIgAAAGRycy9kb3ducmV2LnhtbFBLAQIUABQAAAAIAIdO4kA7LXnBHAIAAPsD&#10;AAAOAAAAAAAAAAEAIAAAACIBAABkcnMvZTJvRG9jLnhtbFBLBQYAAAAABgAGAFkBAACwBQAAAAA=&#10;">
                  <v:fill on="f" focussize="0,0"/>
                  <v:stroke weight="1pt" color="#000000 [3213]" miterlimit="8" joinstyle="miter" endarrow="block"/>
                  <v:imagedata o:title=""/>
                  <o:lock v:ext="edit" aspectratio="f"/>
                </v:shape>
                <v:shape id="直接箭头连接符 26" o:spid="_x0000_s1026" o:spt="32" type="#_x0000_t32" style="position:absolute;left:2002790;top:1248410;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7W23fTAAAABQEAAA8A&#10;AAAAAAAAAQAgAAAAIgAAAGRycy9kb3ducmV2LnhtbFBLAQIUABQAAAAIAIdO4kCoc1AOHAIAAPwD&#10;AAAOAAAAAAAAAAEAIAAAACIBAABkcnMvZTJvRG9jLnhtbFBLBQYAAAAABgAGAFkBAACwBQAAAAA=&#10;">
                  <v:fill on="f" focussize="0,0"/>
                  <v:stroke weight="1pt" color="#000000 [3213]" miterlimit="8" joinstyle="miter" endarrow="block"/>
                  <v:imagedata o:title=""/>
                  <o:lock v:ext="edit" aspectratio="f"/>
                </v:shape>
                <v:shape id="直接箭头连接符 27" o:spid="_x0000_s1026" o:spt="32" type="#_x0000_t32" style="position:absolute;left:3356610;top:560705;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7W23fTAAAABQEAAA8A&#10;AAAAAAAAAQAgAAAAIgAAAGRycy9kb3ducmV2LnhtbFBLAQIUABQAAAAIAIdO4kCdkyGqHAIAAPsD&#10;AAAOAAAAAAAAAAEAIAAAACIBAABkcnMvZTJvRG9jLnhtbFBLBQYAAAAABgAGAFkBAACwBQAAAAA=&#10;">
                  <v:fill on="f" focussize="0,0"/>
                  <v:stroke weight="1pt" color="#000000 [3213]" miterlimit="8" joinstyle="miter" endarrow="block"/>
                  <v:imagedata o:title=""/>
                  <o:lock v:ext="edit" aspectratio="f"/>
                </v:shape>
                <v:shape id="直接箭头连接符 28" o:spid="_x0000_s1026" o:spt="32" type="#_x0000_t32" style="position:absolute;left:3357245;top:1241425;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1tt30wAAAAUBAAAP&#10;AAAAAAAAAAEAIAAAACIAAABkcnMvZG93bnJldi54bWxQSwECFAAUAAAACACHTuJAIKyWzR0CAAD8&#10;AwAADgAAAAAAAAABACAAAAAiAQAAZHJzL2Uyb0RvYy54bWxQSwUGAAAAAAYABgBZAQAAsQUAAAAA&#10;">
                  <v:fill on="f" focussize="0,0"/>
                  <v:stroke weight="1pt" color="#000000 [3213]" miterlimit="8" joinstyle="miter" endarrow="block"/>
                  <v:imagedata o:title=""/>
                  <o:lock v:ext="edit" aspectratio="f"/>
                </v:shape>
                <v:shape id="直接箭头连接符 29" o:spid="_x0000_s1026" o:spt="32" type="#_x0000_t32" style="position:absolute;left:1560195;top:1452245;height:299720;width:980440;" filled="f" stroked="t" coordsize="21600,21600" o:gfxdata="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F5+kNQAAAAFAQAADwAAAAAAAAABACAAAAAiAAAAZHJzL2Rvd25yZXYueG1sUEsBAhQAFAAAAAgA&#10;h07iQK7OIGcpAgAAHAQAAA4AAAAAAAAAAQAgAAAAIwEAAGRycy9lMm9Eb2MueG1sUEsFBgAAAAAG&#10;AAYAWQEAAL4FAAAAAA==&#10;">
                  <v:fill on="f" focussize="0,0"/>
                  <v:stroke weight="1pt" color="#000000 [3213]" miterlimit="8" joinstyle="miter" endarrow="block"/>
                  <v:imagedata o:title=""/>
                  <o:lock v:ext="edit" aspectratio="f"/>
                </v:shape>
                <v:shape id="直接箭头连接符 30" o:spid="_x0000_s1026" o:spt="32" type="#_x0000_t32" style="position:absolute;left:3383915;top:1778635;height:2540;width:511810;" filled="f" stroked="t" coordsize="21600,21600" o:gfxdata="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EXn6Q1AAAAAUBAAAPAAAAAAAA&#10;AAEAIAAAACIAAABkcnMvZG93bnJldi54bWxQSwECFAAUAAAACACHTuJANNqaPxYCAADyAwAADgAA&#10;AAAAAAABACAAAAAjAQAAZHJzL2Uyb0RvYy54bWxQSwUGAAAAAAYABgBZAQAAqwUAAAAA&#10;">
                  <v:fill on="f" focussize="0,0"/>
                  <v:stroke weight="1pt" color="#000000 [3213]" miterlimit="8" joinstyle="miter" endarrow="block"/>
                  <v:imagedata o:title=""/>
                  <o:lock v:ext="edit" aspectratio="f"/>
                </v:shape>
                <v:shape id="_x0000_s1026" o:spid="_x0000_s1026" o:spt="32" type="#_x0000_t32" style="position:absolute;left:2247900;top:2339340;flip:y;height:3810;width:163449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7W23fTAAAABQEAAA8A&#10;AAAAAAAAAQAgAAAAIgAAAGRycy9kb3ducmV2LnhtbFBLAQIUABQAAAAIAIdO4kB3ZTREHAIAAP0D&#10;AAAOAAAAAAAAAAEAIAAAACIBAABkcnMvZTJvRG9jLnhtbFBLBQYAAAAABgAGAFkBAACwBQAAAAA=&#10;">
                  <v:fill on="f" focussize="0,0"/>
                  <v:stroke weight="1pt" color="#000000 [3213]" miterlimit="8" joinstyle="miter" endarrow="block"/>
                  <v:imagedata o:title=""/>
                  <o:lock v:ext="edit" aspectratio="f"/>
                </v:shape>
                <v:rect id="_x0000_s1026" o:spid="_x0000_s1026" o:spt="1" style="position:absolute;left:2527300;top:1077595;height:340360;width:831215;v-text-anchor:middle;" filled="f" stroked="t" coordsize="21600,21600" o:gfxdata="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&#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K1a0G7VAAAABQEAAA8AAAAAAAAAAQAgAAAAIgAAAGRy&#10;cy9kb3ducmV2LnhtbFBLAQIUABQAAAAIAIdO4kDhTKSPegIAAOMEAAAOAAAAAAAAAAEAIAAAACQB&#10;AABkcnMvZTJvRG9jLnhtbFBLBQYAAAAABgAGAFkBAAAQBgAAAAA=&#10;">
                  <v:fill on="f" focussize="0,0"/>
                  <v:stroke weight="1pt" color="#000000 [3213]" miterlimit="8" joinstyle="miter"/>
                  <v:imagedata o:title=""/>
                  <o:lock v:ext="edit" aspectratio="f"/>
                  <v:textbox>
                    <w:txbxContent>
                      <w:p w14:paraId="350619E4">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猪尿</w:t>
                        </w:r>
                      </w:p>
                      <w:p w14:paraId="7C1A608F"/>
                    </w:txbxContent>
                  </v:textbox>
                </v:rect>
                <v:rect id="_x0000_s1026" o:spid="_x0000_s1026" o:spt="1" style="position:absolute;left:2540635;top:1581785;height:340360;width:831215;v-text-anchor:middle;" filled="f" stroked="t" coordsize="21600,21600" o:gfxdata="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WtBu1QAAAAUBAAAPAAAAAAAAAAEAIAAAACIAAABk&#10;cnMvZG93bnJldi54bWxQSwECFAAUAAAACACHTuJAlVI2iHsCAADjBAAADgAAAAAAAAABACAAAAAk&#10;AQAAZHJzL2Uyb0RvYy54bWxQSwUGAAAAAAYABgBZAQAAEQYAAAAA&#10;">
                  <v:fill on="f" focussize="0,0"/>
                  <v:stroke weight="1pt" color="#000000 [3213]" miterlimit="8" joinstyle="miter"/>
                  <v:imagedata o:title=""/>
                  <o:lock v:ext="edit" aspectratio="f"/>
                  <v:textbox>
                    <w:txbxContent>
                      <w:p w14:paraId="72C6137A">
                        <w:pPr>
                          <w:spacing w:line="240" w:lineRule="auto"/>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猪粪</w:t>
                        </w:r>
                      </w:p>
                      <w:p w14:paraId="4666FE45"/>
                    </w:txbxContent>
                  </v:textbox>
                </v:rect>
                <v:line id="_x0000_s1026" o:spid="_x0000_s1026" o:spt="20" style="position:absolute;left:3887470;top:560705;height:2477770;width:9525;" filled="f" stroked="t" coordsize="21600,21600" o:gfxdata="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WiSrrWAAAABQEAAA8AAAAAAAAAAQAgAAAAIgAAAGRycy9kb3ducmV2LnhtbFBLAQIU&#10;ABQAAAAIAIdO4kAxd7DD9QEAAMIDAAAOAAAAAAAAAAEAIAAAACUBAABkcnMvZTJvRG9jLnhtbFBL&#10;BQYAAAAABgAGAFkBAACMBQAAAAA=&#10;">
                  <v:fill on="f" focussize="0,0"/>
                  <v:stroke weight="1pt" color="#000000 [3213]" miterlimit="8" joinstyle="miter"/>
                  <v:imagedata o:title=""/>
                  <o:lock v:ext="edit" aspectratio="f"/>
                </v:line>
                <v:shape id="_x0000_s1026" o:spid="_x0000_s1026" o:spt="32" type="#_x0000_t32" style="position:absolute;left:3853815;top:1760220;height:6350;width:624840;" filled="f" stroked="t" coordsize="21600,21600" o:gfxdata="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RF5+&#10;kNQAAAAFAQAADwAAAAAAAAABACAAAAAiAAAAZHJzL2Rvd25yZXYueG1sUEsBAhQAFAAAAAgAh07i&#10;QHb8eNImAgAAGgQAAA4AAAAAAAAAAQAgAAAAIwEAAGRycy9lMm9Eb2MueG1sUEsFBgAAAAAGAAYA&#10;WQEAALsFAAAAAA==&#10;">
                  <v:fill on="f" focussize="0,0"/>
                  <v:stroke weight="1pt" color="#000000 [3213]" miterlimit="8" joinstyle="miter" endarrow="block"/>
                  <v:imagedata o:title=""/>
                  <o:lock v:ext="edit" aspectratio="f"/>
                </v:shape>
                <v:rect id="_x0000_s1026" o:spid="_x0000_s1026" o:spt="1" style="position:absolute;left:4478655;top:1596390;height:340360;width:640715;v-text-anchor:middle;" filled="f" stroked="t" coordsize="21600,21600" o:gfxdata="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&#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WtBu1QAAAAUBAAAPAAAAAAAAAAEAIAAAACIAAABk&#10;cnMvZG93bnJldi54bWxQSwECFAAUAAAACACHTuJAOaBSW3sCAADjBAAADgAAAAAAAAABACAAAAAk&#10;AQAAZHJzL2Uyb0RvYy54bWxQSwUGAAAAAAYABgBZAQAAEQYAAAAA&#10;">
                  <v:fill on="f" focussize="0,0"/>
                  <v:stroke weight="1pt" color="#000000 [3213]" miterlimit="8" joinstyle="miter"/>
                  <v:imagedata o:title=""/>
                  <o:lock v:ext="edit" aspectratio="f"/>
                  <v:textbox>
                    <w:txbxContent>
                      <w:p w14:paraId="09401CAD">
                        <w:pPr>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黑膜池</w:t>
                        </w:r>
                      </w:p>
                      <w:p w14:paraId="1FD7D11D"/>
                    </w:txbxContent>
                  </v:textbox>
                </v:rect>
                <v:rect id="_x0000_s1026" o:spid="_x0000_s1026" o:spt="1" style="position:absolute;left:4246880;top:2407285;height:340360;width:817245;v-text-anchor:middle;" filled="f" stroked="t" coordsize="21600,21600" o:gfxdata="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VrQbtUAAAAFAQAADwAAAAAAAAABACAAAAAiAAAA&#10;ZHJzL2Rvd25yZXYueG1sUEsBAhQAFAAAAAgAh07iQMzNFHV8AgAA4wQAAA4AAAAAAAAAAQAgAAAA&#10;JAEAAGRycy9lMm9Eb2MueG1sUEsFBgAAAAAGAAYAWQEAABIGAAAAAA==&#10;">
                  <v:fill on="f" focussize="0,0"/>
                  <v:stroke weight="1pt" color="#000000 [3213]" miterlimit="8" joinstyle="miter"/>
                  <v:imagedata o:title=""/>
                  <o:lock v:ext="edit" aspectratio="f"/>
                  <v:textbox>
                    <w:txbxContent>
                      <w:p w14:paraId="2D9D9458">
                        <w:pPr>
                          <w:spacing w:line="240" w:lineRule="auto"/>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液肥还田</w:t>
                        </w:r>
                      </w:p>
                      <w:p w14:paraId="72A6D155"/>
                    </w:txbxContent>
                  </v:textbox>
                </v:rect>
                <v:shape id="_x0000_s1026" o:spid="_x0000_s1026" o:spt="32" type="#_x0000_t32" style="position:absolute;left:4788535;top:1936750;flip:x;height:473075;width:10795;"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7W23fTAAAABQEAAA8AAAAAAAAAAQAgAAAAIgAAAGRycy9kb3ducmV2LnhtbFBLAQIUABQA&#10;AAAIAIdO4kBgZY3pLgIAACQEAAAOAAAAAAAAAAEAIAAAACIBAABkcnMvZTJvRG9jLnhtbFBLBQYA&#10;AAAABgAGAFkBAADCBQAAAAA=&#10;">
                  <v:fill on="f" focussize="0,0"/>
                  <v:stroke weight="1pt" color="#000000 [3213]" miterlimit="8" joinstyle="miter" endarrow="block"/>
                  <v:imagedata o:title=""/>
                  <o:lock v:ext="edit" aspectratio="f"/>
                </v:shape>
                <v:rect id="_x0000_s1026" o:spid="_x0000_s1026" o:spt="1" style="position:absolute;left:0;top:1907540;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bkoLMdMAAAAFAQAADwAAAAAAAAABACAAAAAiAAAAZHJzL2Rvd25yZXYueG1sUEsBAhQAFAAA&#10;AAgAh07iQCIaPcZmAgAAtAQAAA4AAAAAAAAAAQAgAAAAIgEAAGRycy9lMm9Eb2MueG1sUEsFBgAA&#10;AAAGAAYAWQEAAPoFAAAAAA==&#10;">
                  <v:fill on="f" focussize="0,0"/>
                  <v:stroke on="f" weight="1pt" miterlimit="8" joinstyle="miter"/>
                  <v:imagedata o:title=""/>
                  <o:lock v:ext="edit" aspectratio="f"/>
                  <v:textbox>
                    <w:txbxContent>
                      <w:p w14:paraId="68869EB2">
                        <w:pPr>
                          <w:rPr>
                            <w:color w:val="000000" w:themeColor="text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80856.81</w:t>
                        </w:r>
                      </w:p>
                    </w:txbxContent>
                  </v:textbox>
                </v:rect>
                <v:rect id="_x0000_s1026" o:spid="_x0000_s1026" o:spt="1" style="position:absolute;left:1196340;top:26035;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uSgsx0wAAAAUBAAAPAAAAAAAAAAEAIAAAACIAAABkcnMvZG93bnJldi54bWxQSwEC&#10;FAAUAAAACACHTuJA3bYqSmsCAAC4BAAADgAAAAAAAAABACAAAAAiAQAAZHJzL2Uyb0RvYy54bWxQ&#10;SwUGAAAAAAYABgBZAQAA/wUAAAAA&#10;">
                  <v:fill on="f" focussize="0,0"/>
                  <v:stroke on="f" weight="1pt" miterlimit="8" joinstyle="miter"/>
                  <v:imagedata o:title=""/>
                  <o:lock v:ext="edit" aspectratio="f"/>
                  <v:textbox>
                    <w:txbxContent>
                      <w:p w14:paraId="6AD218C7">
                        <w:r>
                          <w:rPr>
                            <w:rFonts w:hint="eastAsia"/>
                            <w:color w:val="000000" w:themeColor="text1"/>
                            <w:sz w:val="21"/>
                            <w:szCs w:val="21"/>
                            <w:highlight w:val="none"/>
                            <w:lang w:val="en-US" w:eastAsia="zh-CN"/>
                            <w14:textFill>
                              <w14:solidFill>
                                <w14:schemeClr w14:val="tx1"/>
                              </w14:solidFill>
                            </w14:textFill>
                          </w:rPr>
                          <w:t>262.8</w:t>
                        </w:r>
                      </w:p>
                    </w:txbxContent>
                  </v:textbox>
                </v:rect>
                <v:rect id="_x0000_s1026" o:spid="_x0000_s1026" o:spt="1" style="position:absolute;left:540385;top:2077720;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5KCzHTAAAABQEAAA8AAAAAAAAAAQAgAAAAIgAAAGRycy9kb3ducmV2LnhtbFBLAQIU&#10;ABQAAAAIAIdO4kAc4zcQagIAALkEAAAOAAAAAAAAAAEAIAAAACIBAABkcnMvZTJvRG9jLnhtbFBL&#10;BQYAAAAABgAGAFkBAAD+BQAAAAA=&#10;">
                  <v:fill on="f" focussize="0,0"/>
                  <v:stroke on="f" weight="1pt" miterlimit="8" joinstyle="miter"/>
                  <v:imagedata o:title=""/>
                  <o:lock v:ext="edit" aspectratio="f"/>
                  <v:textbox>
                    <w:txbxContent>
                      <w:p w14:paraId="3382E9A4">
                        <w:r>
                          <w:rPr>
                            <w:rFonts w:hint="eastAsia" w:cs="宋体"/>
                            <w:b w:val="0"/>
                            <w:bCs w:val="0"/>
                            <w:color w:val="000000" w:themeColor="text1"/>
                            <w:kern w:val="0"/>
                            <w:sz w:val="21"/>
                            <w:szCs w:val="21"/>
                            <w:highlight w:val="none"/>
                            <w:lang w:val="en-US" w:eastAsia="zh-CN"/>
                            <w14:textFill>
                              <w14:solidFill>
                                <w14:schemeClr w14:val="tx1"/>
                              </w14:solidFill>
                            </w14:textFill>
                          </w:rPr>
                          <w:t>18615</w:t>
                        </w:r>
                      </w:p>
                    </w:txbxContent>
                  </v:textbox>
                </v:rect>
                <v:rect id="_x0000_s1026" o:spid="_x0000_s1026" o:spt="1" style="position:absolute;left:525145;top:3428365;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koLMdMAAAAFAQAADwAAAAAAAAABACAAAAAiAAAAZHJzL2Rvd25yZXYueG1sUEsB&#10;AhQAFAAAAAgAh07iQPTtjJhsAgAAuQQAAA4AAAAAAAAAAQAgAAAAIgEAAGRycy9lMm9Eb2MueG1s&#10;UEsFBgAAAAAGAAYAWQEAAAAGAAAAAA==&#10;">
                  <v:fill on="f" focussize="0,0"/>
                  <v:stroke on="f" weight="1pt" miterlimit="8" joinstyle="miter"/>
                  <v:imagedata o:title=""/>
                  <o:lock v:ext="edit" aspectratio="f"/>
                  <v:textbox>
                    <w:txbxContent>
                      <w:p w14:paraId="1257839B">
                        <w:r>
                          <w:rPr>
                            <w:rFonts w:hint="eastAsia" w:cs="宋体"/>
                            <w:b w:val="0"/>
                            <w:bCs w:val="0"/>
                            <w:color w:val="000000" w:themeColor="text1"/>
                            <w:kern w:val="0"/>
                            <w:sz w:val="21"/>
                            <w:szCs w:val="21"/>
                            <w:highlight w:val="none"/>
                            <w:lang w:val="en-US" w:eastAsia="zh-CN"/>
                            <w14:textFill>
                              <w14:solidFill>
                                <w14:schemeClr w14:val="tx1"/>
                              </w14:solidFill>
                            </w14:textFill>
                          </w:rPr>
                          <w:t>1885</w:t>
                        </w:r>
                      </w:p>
                    </w:txbxContent>
                  </v:textbox>
                </v:rect>
                <v:rect id="_x0000_s1026" o:spid="_x0000_s1026" o:spt="1" style="position:absolute;left:1475105;top:3930650;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koLMdMAAAAFAQAADwAAAAAAAAABACAAAAAiAAAAZHJzL2Rvd25yZXYueG1sUEsB&#10;AhQAFAAAAAgAh07iQBwJdoxsAgAAugQAAA4AAAAAAAAAAQAgAAAAIgEAAGRycy9lMm9Eb2MueG1s&#10;UEsFBgAAAAAGAAYAWQEAAAAGAAAAAA==&#10;">
                  <v:fill on="f" focussize="0,0"/>
                  <v:stroke on="f" weight="1pt" miterlimit="8" joinstyle="miter"/>
                  <v:imagedata o:title=""/>
                  <o:lock v:ext="edit" aspectratio="f"/>
                  <v:textbox>
                    <w:txbxContent>
                      <w:p w14:paraId="2F19E074">
                        <w:pPr>
                          <w:rPr>
                            <w:rFonts w:hint="default"/>
                            <w:lang w:val="en-US" w:eastAsia="zh-CN"/>
                          </w:rPr>
                        </w:pPr>
                        <w:r>
                          <w:rPr>
                            <w:rFonts w:hint="eastAsia" w:cs="宋体"/>
                            <w:b w:val="0"/>
                            <w:bCs w:val="0"/>
                            <w:color w:val="000000" w:themeColor="text1"/>
                            <w:kern w:val="0"/>
                            <w:sz w:val="21"/>
                            <w:szCs w:val="21"/>
                            <w:highlight w:val="none"/>
                            <w:lang w:val="en-US" w:eastAsia="zh-CN"/>
                            <w14:textFill>
                              <w14:solidFill>
                                <w14:schemeClr w14:val="tx1"/>
                              </w14:solidFill>
                            </w14:textFill>
                          </w:rPr>
                          <w:t>523.5</w:t>
                        </w:r>
                      </w:p>
                    </w:txbxContent>
                  </v:textbox>
                </v:rect>
                <v:rect id="_x0000_s1026" o:spid="_x0000_s1026" o:spt="1" style="position:absolute;left:3868420;top:1432560;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koLMdMAAAAFAQAADwAAAAAAAAABACAAAAAiAAAAZHJzL2Rvd25yZXYueG1sUEsB&#10;AhQAFAAAAAgAh07iQLiZGUdsAgAAugQAAA4AAAAAAAAAAQAgAAAAIgEAAGRycy9lMm9Eb2MueG1s&#10;UEsFBgAAAAAGAAYAWQEAAAAGAAAAAA==&#10;">
                  <v:fill on="f" focussize="0,0"/>
                  <v:stroke on="f" weight="1pt" miterlimit="8" joinstyle="miter"/>
                  <v:imagedata o:title=""/>
                  <o:lock v:ext="edit" aspectratio="f"/>
                  <v:textbox>
                    <w:txbxContent>
                      <w:p w14:paraId="5E4231D8">
                        <w:r>
                          <w:rPr>
                            <w:rFonts w:hint="eastAsia"/>
                            <w:b w:val="0"/>
                            <w:bCs w:val="0"/>
                            <w:color w:val="000000" w:themeColor="text1"/>
                            <w:sz w:val="21"/>
                            <w:szCs w:val="21"/>
                            <w:highlight w:val="none"/>
                            <w:lang w:val="en-US" w:eastAsia="zh-CN"/>
                            <w14:textFill>
                              <w14:solidFill>
                                <w14:schemeClr w14:val="tx1"/>
                              </w14:solidFill>
                            </w14:textFill>
                          </w:rPr>
                          <w:t>45420.39</w:t>
                        </w:r>
                      </w:p>
                    </w:txbxContent>
                  </v:textbox>
                </v:rect>
                <v:rect id="_x0000_s1026" o:spid="_x0000_s1026" o:spt="1" style="position:absolute;left:3288030;top:236855;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uSgsx0wAAAAUBAAAPAAAAAAAAAAEAIAAAACIAAABkcnMvZG93bnJldi54bWxQSwEC&#10;FAAUAAAACACHTuJAM0VgrmsCAAC5BAAADgAAAAAAAAABACAAAAAiAQAAZHJzL2Uyb0RvYy54bWxQ&#10;SwUGAAAAAAYABgBZAQAA/wUAAAAA&#10;">
                  <v:fill on="f" focussize="0,0"/>
                  <v:stroke on="f" weight="1pt" miterlimit="8" joinstyle="miter"/>
                  <v:imagedata o:title=""/>
                  <o:lock v:ext="edit" aspectratio="f"/>
                  <v:textbox>
                    <w:txbxContent>
                      <w:p w14:paraId="581C2585">
                        <w:r>
                          <w:rPr>
                            <w:rFonts w:hint="eastAsia"/>
                            <w:color w:val="000000" w:themeColor="text1"/>
                            <w:sz w:val="21"/>
                            <w:szCs w:val="21"/>
                            <w:highlight w:val="none"/>
                            <w:lang w:val="en-US" w:eastAsia="zh-CN"/>
                            <w14:textFill>
                              <w14:solidFill>
                                <w14:schemeClr w14:val="tx1"/>
                              </w14:solidFill>
                            </w14:textFill>
                          </w:rPr>
                          <w:t>1051.2</w:t>
                        </w:r>
                      </w:p>
                    </w:txbxContent>
                  </v:textbox>
                </v:rect>
                <v:rect id="_x0000_s1026" o:spid="_x0000_s1026" o:spt="1" style="position:absolute;left:506095;top:969010;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5KCzHTAAAABQEAAA8AAAAAAAAAAQAgAAAAIgAAAGRycy9kb3ducmV2LnhtbFBLAQIU&#10;ABQAAAAIAIdO4kD487jsagIAALgEAAAOAAAAAAAAAAEAIAAAACIBAABkcnMvZTJvRG9jLnhtbFBL&#10;BQYAAAAABgAGAFkBAAD+BQAAAAA=&#10;">
                  <v:fill on="f" focussize="0,0"/>
                  <v:stroke on="f" weight="1pt" miterlimit="8" joinstyle="miter"/>
                  <v:imagedata o:title=""/>
                  <o:lock v:ext="edit" aspectratio="f"/>
                  <v:textbox>
                    <w:txbxContent>
                      <w:p w14:paraId="3B9C3D41">
                        <w:r>
                          <w:rPr>
                            <w:rFonts w:hint="eastAsia" w:cs="宋体"/>
                            <w:b w:val="0"/>
                            <w:bCs w:val="0"/>
                            <w:color w:val="000000" w:themeColor="text1"/>
                            <w:kern w:val="0"/>
                            <w:sz w:val="21"/>
                            <w:szCs w:val="21"/>
                            <w:highlight w:val="none"/>
                            <w:lang w:val="en-US" w:eastAsia="zh-CN"/>
                            <w14:textFill>
                              <w14:solidFill>
                                <w14:schemeClr w14:val="tx1"/>
                              </w14:solidFill>
                            </w14:textFill>
                          </w:rPr>
                          <w:t>57827.19</w:t>
                        </w:r>
                      </w:p>
                    </w:txbxContent>
                  </v:textbox>
                </v:rect>
                <v:rect id="_x0000_s1026" o:spid="_x0000_s1026" o:spt="1" style="position:absolute;left:1207135;top:777875;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uSgsx0wAAAAUBAAAPAAAAAAAAAAEAIAAAACIAAABkcnMvZG93bnJldi54bWxQSwEC&#10;FAAUAAAACACHTuJAQy0TNGsCAAC5BAAADgAAAAAAAAABACAAAAAiAQAAZHJzL2Uyb0RvYy54bWxQ&#10;SwUGAAAAAAYABgBZAQAA/wUAAAAA&#10;">
                  <v:fill on="f" focussize="0,0"/>
                  <v:stroke on="f" weight="1pt" miterlimit="8" joinstyle="miter"/>
                  <v:imagedata o:title=""/>
                  <o:lock v:ext="edit" aspectratio="f"/>
                  <v:textbox>
                    <w:txbxContent>
                      <w:p w14:paraId="06B0AA91">
                        <w:pPr>
                          <w:rPr>
                            <w:rFonts w:hint="default"/>
                            <w:lang w:val="en-US"/>
                          </w:rPr>
                        </w:pPr>
                        <w:r>
                          <w:rPr>
                            <w:rFonts w:hint="eastAsia"/>
                            <w:color w:val="000000" w:themeColor="text1"/>
                            <w:sz w:val="21"/>
                            <w:szCs w:val="21"/>
                            <w:highlight w:val="none"/>
                            <w:lang w:val="en-US" w:eastAsia="zh-CN"/>
                            <w14:textFill>
                              <w14:solidFill>
                                <w14:schemeClr w14:val="tx1"/>
                              </w14:solidFill>
                            </w14:textFill>
                          </w:rPr>
                          <w:t>28903.7</w:t>
                        </w:r>
                      </w:p>
                    </w:txbxContent>
                  </v:textbox>
                </v:rect>
                <v:rect id="_x0000_s1026" o:spid="_x0000_s1026" o:spt="1" style="position:absolute;left:3292475;top:1479550;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5KCzHTAAAABQEAAA8AAAAAAAAAAQAgAAAAIgAAAGRycy9kb3ducmV2LnhtbFBL&#10;AQIUABQAAAAIAIdO4kARNbmFbQIAALoEAAAOAAAAAAAAAAEAIAAAACIBAABkcnMvZTJvRG9jLnht&#10;bFBLBQYAAAAABgAGAFkBAAABBgAAAAA=&#10;">
                  <v:fill on="f" focussize="0,0"/>
                  <v:stroke on="f" weight="1pt" miterlimit="8" joinstyle="miter"/>
                  <v:imagedata o:title=""/>
                  <o:lock v:ext="edit" aspectratio="f"/>
                  <v:textbox>
                    <w:txbxContent>
                      <w:p w14:paraId="678BF3E1">
                        <w:pPr>
                          <w:rPr>
                            <w:rFonts w:hint="default"/>
                            <w:lang w:val="en-US"/>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2254.99</w:t>
                        </w:r>
                      </w:p>
                    </w:txbxContent>
                  </v:textbox>
                </v:rect>
                <v:rect id="_x0000_s1026" o:spid="_x0000_s1026" o:spt="1" style="position:absolute;left:3277870;top:939800;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5KCzHTAAAABQEAAA8AAAAAAAAAAQAgAAAAIgAAAGRycy9kb3ducmV2LnhtbFBLAQIU&#10;ABQAAAAIAIdO4kC0amRgagIAALkEAAAOAAAAAAAAAAEAIAAAACIBAABkcnMvZTJvRG9jLnhtbFBL&#10;BQYAAAAABgAGAFkBAAD+BQAAAAA=&#10;">
                  <v:fill on="f" focussize="0,0"/>
                  <v:stroke on="f" weight="1pt" miterlimit="8" joinstyle="miter"/>
                  <v:imagedata o:title=""/>
                  <o:lock v:ext="edit" aspectratio="f"/>
                  <v:textbox>
                    <w:txbxContent>
                      <w:p w14:paraId="4CD92440">
                        <w:pPr>
                          <w:rPr>
                            <w:rFonts w:hint="default"/>
                            <w:color w:val="000000" w:themeColor="text1"/>
                            <w:lang w:val="en-US"/>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26668.5</w:t>
                        </w:r>
                      </w:p>
                    </w:txbxContent>
                  </v:textbox>
                </v:rect>
                <v:rect id="_x0000_s1026" o:spid="_x0000_s1026" o:spt="1" style="position:absolute;left:2516505;top:2024380;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koLMdMAAAAFAQAADwAAAAAAAAABACAAAAAiAAAAZHJzL2Rvd25yZXYueG1sUEsB&#10;AhQAFAAAAAgAh07iQMvB+ndsAgAAugQAAA4AAAAAAAAAAQAgAAAAIgEAAGRycy9lMm9Eb2MueG1s&#10;UEsFBgAAAAAGAAYAWQEAAAAGAAAAAA==&#10;">
                  <v:fill on="f" focussize="0,0"/>
                  <v:stroke on="f" weight="1pt" miterlimit="8" joinstyle="miter"/>
                  <v:imagedata o:title=""/>
                  <o:lock v:ext="edit" aspectratio="f"/>
                  <v:textbox>
                    <w:txbxContent>
                      <w:p w14:paraId="4DF39600">
                        <w:r>
                          <w:rPr>
                            <w:rFonts w:hint="eastAsia" w:cs="宋体"/>
                            <w:b w:val="0"/>
                            <w:bCs w:val="0"/>
                            <w:color w:val="000000" w:themeColor="text1"/>
                            <w:kern w:val="0"/>
                            <w:sz w:val="21"/>
                            <w:szCs w:val="21"/>
                            <w:highlight w:val="none"/>
                            <w:lang w:val="en-US" w:eastAsia="zh-CN"/>
                            <w14:textFill>
                              <w14:solidFill>
                                <w14:schemeClr w14:val="tx1"/>
                              </w14:solidFill>
                            </w14:textFill>
                          </w:rPr>
                          <w:t>14892</w:t>
                        </w:r>
                      </w:p>
                    </w:txbxContent>
                  </v:textbox>
                </v:rect>
                <v:rect id="_x0000_s1026" o:spid="_x0000_s1026" o:spt="1" style="position:absolute;left:480060;top:250825;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uSgsx0wAAAAUBAAAPAAAAAAAAAAEAIAAAACIAAABkcnMvZG93bnJldi54bWxQSwECFAAU&#10;AAAACACHTuJAonP9ZmgCAAC4BAAADgAAAAAAAAABACAAAAAiAQAAZHJzL2Uyb0RvYy54bWxQSwUG&#10;AAAAAAYABgBZAQAA/AUAAAAA&#10;">
                  <v:fill on="f" focussize="0,0"/>
                  <v:stroke on="f" weight="1pt" miterlimit="8" joinstyle="miter"/>
                  <v:imagedata o:title=""/>
                  <o:lock v:ext="edit" aspectratio="f"/>
                  <v:textbox>
                    <w:txbxContent>
                      <w:p w14:paraId="6ED6B55F">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1314</w:t>
                        </w:r>
                      </w:p>
                    </w:txbxContent>
                  </v:textbox>
                </v:rect>
                <v:rect id="_x0000_s1026" o:spid="_x0000_s1026" o:spt="1" style="position:absolute;left:1303020;top:3226435;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uSgsx0wAAAAUBAAAPAAAAAAAAAAEAIAAAACIAAABkcnMvZG93bnJldi54bWxQSwEC&#10;FAAUAAAACACHTuJAJjNkhmsCAAC6BAAADgAAAAAAAAABACAAAAAiAQAAZHJzL2Uyb0RvYy54bWxQ&#10;SwUGAAAAAAYABgBZAQAA/wUAAAAA&#10;">
                  <v:fill on="f" focussize="0,0"/>
                  <v:stroke on="f" weight="1pt" miterlimit="8" joinstyle="miter"/>
                  <v:imagedata o:title=""/>
                  <o:lock v:ext="edit" aspectratio="f"/>
                  <v:textbox>
                    <w:txbxContent>
                      <w:p w14:paraId="0452EEC4">
                        <w:pPr>
                          <w:rPr>
                            <w:rFonts w:hint="default"/>
                            <w:lang w:val="en-US" w:eastAsia="zh-CN"/>
                          </w:rPr>
                        </w:pPr>
                        <w:r>
                          <w:rPr>
                            <w:rFonts w:hint="eastAsia" w:cs="宋体"/>
                            <w:b w:val="0"/>
                            <w:bCs w:val="0"/>
                            <w:color w:val="000000" w:themeColor="text1"/>
                            <w:kern w:val="0"/>
                            <w:sz w:val="21"/>
                            <w:szCs w:val="21"/>
                            <w:highlight w:val="none"/>
                            <w:lang w:val="en-US" w:eastAsia="zh-CN"/>
                            <w14:textFill>
                              <w14:solidFill>
                                <w14:schemeClr w14:val="tx1"/>
                              </w14:solidFill>
                            </w14:textFill>
                          </w:rPr>
                          <w:t>1885</w:t>
                        </w:r>
                      </w:p>
                    </w:txbxContent>
                  </v:textbox>
                </v:rect>
                <v:rect id="_x0000_s1026" o:spid="_x0000_s1026" o:spt="1" style="position:absolute;left:552450;top:4120515;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koLMdMAAAAFAQAADwAAAAAAAAABACAAAAAiAAAAZHJzL2Rvd25yZXYueG1sUEsB&#10;AhQAFAAAAAgAh07iQH6mZ5ZsAgAAuQQAAA4AAAAAAAAAAQAgAAAAIgEAAGRycy9lMm9Eb2MueG1s&#10;UEsFBgAAAAAGAAYAWQEAAAAGAAAAAA==&#10;">
                  <v:fill on="f" focussize="0,0"/>
                  <v:stroke on="f" weight="1pt" miterlimit="8" joinstyle="miter"/>
                  <v:imagedata o:title=""/>
                  <o:lock v:ext="edit" aspectratio="f"/>
                  <v:textbox>
                    <w:txbxContent>
                      <w:p w14:paraId="2519FF2C">
                        <w:pPr>
                          <w:rPr>
                            <w:rFonts w:hint="default"/>
                            <w:lang w:val="en-US" w:eastAsia="zh-CN"/>
                          </w:rPr>
                        </w:pPr>
                        <w:r>
                          <w:rPr>
                            <w:rFonts w:hint="eastAsia" w:cs="宋体"/>
                            <w:b w:val="0"/>
                            <w:bCs w:val="0"/>
                            <w:color w:val="000000" w:themeColor="text1"/>
                            <w:kern w:val="0"/>
                            <w:sz w:val="21"/>
                            <w:szCs w:val="21"/>
                            <w:highlight w:val="none"/>
                            <w:lang w:val="en-US" w:eastAsia="zh-CN"/>
                            <w14:textFill>
                              <w14:solidFill>
                                <w14:schemeClr w14:val="tx1"/>
                              </w14:solidFill>
                            </w14:textFill>
                          </w:rPr>
                          <w:t>523.5</w:t>
                        </w:r>
                      </w:p>
                    </w:txbxContent>
                  </v:textbox>
                </v:rect>
                <v:rect id="_x0000_s1026" o:spid="_x0000_s1026" o:spt="1" style="position:absolute;left:1220470;top:1819275;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uSgsx0wAAAAUBAAAPAAAAAAAAAAEAIAAAACIAAABkcnMvZG93bnJldi54bWxQSwEC&#10;FAAUAAAACACHTuJAS2O4rWsCAAC6BAAADgAAAAAAAAABACAAAAAiAQAAZHJzL2Uyb0RvYy54bWxQ&#10;SwUGAAAAAAYABgBZAQAA/wUAAAAA&#10;">
                  <v:fill on="f" focussize="0,0"/>
                  <v:stroke on="f" weight="1pt" miterlimit="8" joinstyle="miter"/>
                  <v:imagedata o:title=""/>
                  <o:lock v:ext="edit" aspectratio="f"/>
                  <v:textbox>
                    <w:txbxContent>
                      <w:p w14:paraId="185C4551">
                        <w:pPr>
                          <w:rPr>
                            <w:color w:val="000000" w:themeColor="text1"/>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3723</w:t>
                        </w:r>
                      </w:p>
                    </w:txbxContent>
                  </v:textbox>
                </v:rect>
                <v:rect id="矩形 13" o:spid="_x0000_s1026" o:spt="1" style="position:absolute;left:1106170;top:2864485;height:354330;width:1576070;v-text-anchor:middle;" filled="f" stroked="t" coordsize="21600,21600" o:gfxdata="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rVrQbtUAAAAFAQAADwAAAAAAAAABACAAAAAiAAAA&#10;ZHJzL2Rvd25yZXYueG1sUEsBAhQAFAAAAAgAh07iQLZlyl98AgAA5AQAAA4AAAAAAAAAAQAgAAAA&#10;JAEAAGRycy9lMm9Eb2MueG1sUEsFBgAAAAAGAAYAWQEAABIGAAAAAA==&#10;">
                  <v:fill on="f" focussize="0,0"/>
                  <v:stroke weight="1pt" color="#000000 [3213]" miterlimit="8" joinstyle="miter"/>
                  <v:imagedata o:title=""/>
                  <o:lock v:ext="edit" aspectratio="f"/>
                  <v:textbox>
                    <w:txbxContent>
                      <w:p w14:paraId="56031FB6">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分娩设备清洗消毒用水</w:t>
                        </w:r>
                      </w:p>
                    </w:txbxContent>
                  </v:textbox>
                </v:rect>
                <v:shape id="直接箭头连接符 23" o:spid="_x0000_s1026" o:spt="32" type="#_x0000_t32" style="position:absolute;left:1894205;top:2717165;flip:y;height:142875;width:238125;" filled="f" stroked="t" coordsize="21600,21600" o:gfxdata="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pg3k9MAAAAF&#10;AQAADwAAAAAAAAABACAAAAAiAAAAZHJzL2Rvd25yZXYueG1sUEsBAhQAFAAAAAgAh07iQNZuIsMh&#10;AgAAAAQAAA4AAAAAAAAAAQAgAAAAIgEAAGRycy9lMm9Eb2MueG1sUEsFBgAAAAAGAAYAWQEAALUF&#10;AAAAAA==&#10;">
                  <v:fill on="f" focussize="0,0"/>
                  <v:stroke weight="1pt" color="#000000 [3213]" miterlimit="8" joinstyle="miter" dashstyle="3 1" endarrow="block"/>
                  <v:imagedata o:title=""/>
                  <o:lock v:ext="edit" aspectratio="f"/>
                </v:shape>
                <v:rect id="_x0000_s1026" o:spid="_x0000_s1026" o:spt="1" style="position:absolute;left:1381125;top:2577465;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G5KCzHTAAAABQEAAA8AAAAAAAAAAQAgAAAAIgAAAGRycy9kb3ducmV2LnhtbFBL&#10;AQIUABQAAAAIAIdO4kC9Ins3bQIAALoEAAAOAAAAAAAAAAEAIAAAACIBAABkcnMvZTJvRG9jLnht&#10;bFBLBQYAAAAABgAGAFkBAAABBgAAAAA=&#10;">
                  <v:fill on="f" focussize="0,0"/>
                  <v:stroke on="f" weight="1pt" miterlimit="8" joinstyle="miter"/>
                  <v:imagedata o:title=""/>
                  <o:lock v:ext="edit" aspectratio="f"/>
                  <v:textbox>
                    <w:txbxContent>
                      <w:p w14:paraId="68DFBE43">
                        <w:r>
                          <w:rPr>
                            <w:rFonts w:hint="eastAsia" w:cs="宋体"/>
                            <w:b w:val="0"/>
                            <w:bCs w:val="0"/>
                            <w:color w:val="000000" w:themeColor="text1"/>
                            <w:kern w:val="0"/>
                            <w:sz w:val="21"/>
                            <w:szCs w:val="21"/>
                            <w:highlight w:val="none"/>
                            <w:lang w:val="en-US" w:eastAsia="zh-CN"/>
                            <w14:textFill>
                              <w14:solidFill>
                                <w14:schemeClr w14:val="tx1"/>
                              </w14:solidFill>
                            </w14:textFill>
                          </w:rPr>
                          <w:t>138.42</w:t>
                        </w:r>
                      </w:p>
                    </w:txbxContent>
                  </v:textbox>
                </v:rect>
                <v:rect id="_x0000_s1026" o:spid="_x0000_s1026" o:spt="1" style="position:absolute;left:534670;top:2725420;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bkoLMdMAAAAFAQAADwAAAAAAAAABACAAAAAiAAAAZHJzL2Rvd25yZXYueG1sUEsB&#10;AhQAFAAAAAgAh07iQKZ9nxFsAgAAuQQAAA4AAAAAAAAAAQAgAAAAIgEAAGRycy9lMm9Eb2MueG1s&#10;UEsFBgAAAAAGAAYAWQEAAAAGAAAAAA==&#10;">
                  <v:fill on="f" focussize="0,0"/>
                  <v:stroke on="f" weight="1pt" miterlimit="8" joinstyle="miter"/>
                  <v:imagedata o:title=""/>
                  <o:lock v:ext="edit" aspectratio="f"/>
                  <v:textbox>
                    <w:txbxContent>
                      <w:p w14:paraId="40527459">
                        <w:r>
                          <w:rPr>
                            <w:rFonts w:hint="eastAsia" w:cs="宋体"/>
                            <w:b w:val="0"/>
                            <w:bCs w:val="0"/>
                            <w:color w:val="000000" w:themeColor="text1"/>
                            <w:kern w:val="0"/>
                            <w:sz w:val="21"/>
                            <w:szCs w:val="21"/>
                            <w:highlight w:val="none"/>
                            <w:lang w:val="en-US" w:eastAsia="zh-CN"/>
                            <w14:textFill>
                              <w14:solidFill>
                                <w14:schemeClr w14:val="tx1"/>
                              </w14:solidFill>
                            </w14:textFill>
                          </w:rPr>
                          <w:t>692.12</w:t>
                        </w:r>
                      </w:p>
                    </w:txbxContent>
                  </v:textbox>
                </v:rect>
                <v:shape id="_x0000_s1026" o:spid="_x0000_s1026" o:spt="32" type="#_x0000_t32" style="position:absolute;left:2682240;top:3038475;flip:y;height:3175;width:1205865;"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O1tt30wAAAAUBAAAPAAAAAAAAAAEAIAAAACIAAABkcnMvZG93bnJldi54bWxQSwECFAAUAAAA&#10;CACHTuJARBxoOywCAAAkBAAADgAAAAAAAAABACAAAAAiAQAAZHJzL2Uyb0RvYy54bWxQSwUGAAAA&#10;AAYABgBZAQAAwAUAAAAA&#10;">
                  <v:fill on="f" focussize="0,0"/>
                  <v:stroke weight="1pt" color="#000000 [3213]" miterlimit="8" joinstyle="miter" endarrow="block"/>
                  <v:imagedata o:title=""/>
                  <o:lock v:ext="edit" aspectratio="f"/>
                </v:shape>
                <v:rect id="_x0000_s1026" o:spid="_x0000_s1026" o:spt="1" style="position:absolute;left:2941955;top:2700020;height:354330;width:728980;v-text-anchor:middle;" filled="f" stroked="f" coordsize="21600,21600" o:gfxdata="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5KCzHTAAAABQEAAA8AAAAAAAAAAQAgAAAAIgAAAGRycy9kb3ducmV2LnhtbFBLAQIU&#10;ABQAAAAIAIdO4kA8+95iagIAALoEAAAOAAAAAAAAAAEAIAAAACIBAABkcnMvZTJvRG9jLnhtbFBL&#10;BQYAAAAABgAGAFkBAAD+BQAAAAA=&#10;">
                  <v:fill on="f" focussize="0,0"/>
                  <v:stroke on="f" weight="1pt" miterlimit="8" joinstyle="miter"/>
                  <v:imagedata o:title=""/>
                  <o:lock v:ext="edit" aspectratio="f"/>
                  <v:textbox>
                    <w:txbxContent>
                      <w:p w14:paraId="33393621">
                        <w:r>
                          <w:rPr>
                            <w:rFonts w:hint="eastAsia" w:cs="宋体"/>
                            <w:b w:val="0"/>
                            <w:bCs w:val="0"/>
                            <w:color w:val="000000" w:themeColor="text1"/>
                            <w:kern w:val="0"/>
                            <w:sz w:val="21"/>
                            <w:szCs w:val="21"/>
                            <w:highlight w:val="none"/>
                            <w:lang w:val="en-US" w:eastAsia="zh-CN"/>
                            <w14:textFill>
                              <w14:solidFill>
                                <w14:schemeClr w14:val="tx1"/>
                              </w14:solidFill>
                            </w14:textFill>
                          </w:rPr>
                          <w:t>553.70</w:t>
                        </w:r>
                      </w:p>
                    </w:txbxContent>
                  </v:textbox>
                </v:rect>
                <v:shape id="直接箭头连接符 18" o:spid="_x0000_s1026" o:spt="32" type="#_x0000_t32" style="position:absolute;left:612775;top:3729990;flip:y;height:6985;width:530860;" filled="f" stroked="t" coordsize="21600,21600" o:gfxdata="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tbbd9MAAAAFAQAA&#10;DwAAAAAAAAABACAAAAAiAAAAZHJzL2Rvd25yZXYueG1sUEsBAhQAFAAAAAgAh07iQIwp47IeAgAA&#10;+wMAAA4AAAAAAAAAAQAgAAAAIgEAAGRycy9lMm9Eb2MueG1sUEsFBgAAAAAGAAYAWQEAALIFAAAA&#10;AA==&#10;">
                  <v:fill on="f" focussize="0,0"/>
                  <v:stroke weight="1pt" color="#000000 [3213]" miterlimit="8" joinstyle="miter" endarrow="block"/>
                  <v:imagedata o:title=""/>
                  <o:lock v:ext="edit" aspectratio="f"/>
                </v:shape>
                <w10:wrap type="none"/>
                <w10:anchorlock/>
              </v:group>
            </w:pict>
          </mc:Fallback>
        </mc:AlternateContent>
      </w:r>
    </w:p>
    <w:p w14:paraId="7FBF4DB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图</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.7-</w:t>
      </w:r>
      <w:r>
        <w:rPr>
          <w:rFonts w:hint="eastAsia"/>
          <w:b/>
          <w:bCs/>
          <w:color w:val="000000" w:themeColor="text1"/>
          <w:sz w:val="21"/>
          <w:szCs w:val="21"/>
          <w:highlight w:val="none"/>
          <w14:textFill>
            <w14:solidFill>
              <w14:schemeClr w14:val="tx1"/>
            </w14:solidFill>
          </w14:textFill>
        </w:rPr>
        <w:t>1</w:t>
      </w:r>
      <w:r>
        <w:rPr>
          <w:b/>
          <w:bCs/>
          <w:color w:val="000000" w:themeColor="text1"/>
          <w:sz w:val="21"/>
          <w:szCs w:val="21"/>
          <w:highlight w:val="none"/>
          <w14:textFill>
            <w14:solidFill>
              <w14:schemeClr w14:val="tx1"/>
            </w14:solidFill>
          </w14:textFill>
        </w:rPr>
        <w:t xml:space="preserve"> 用水水平衡图（m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a</w:t>
      </w:r>
      <w:r>
        <w:rPr>
          <w:b/>
          <w:bCs/>
          <w:color w:val="000000" w:themeColor="text1"/>
          <w:sz w:val="21"/>
          <w:szCs w:val="21"/>
          <w:highlight w:val="none"/>
          <w14:textFill>
            <w14:solidFill>
              <w14:schemeClr w14:val="tx1"/>
            </w14:solidFill>
          </w14:textFill>
        </w:rPr>
        <w:t>）</w:t>
      </w:r>
    </w:p>
    <w:p w14:paraId="09E2D53F">
      <w:pPr>
        <w:pStyle w:val="4"/>
        <w:rPr>
          <w:color w:val="000000" w:themeColor="text1"/>
          <w:highlight w:val="none"/>
          <w14:textFill>
            <w14:solidFill>
              <w14:schemeClr w14:val="tx1"/>
            </w14:solidFill>
          </w14:textFill>
        </w:rPr>
      </w:pPr>
      <w:bookmarkStart w:id="109" w:name="_Toc24480"/>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.7.3供电</w:t>
      </w:r>
      <w:bookmarkEnd w:id="109"/>
    </w:p>
    <w:p w14:paraId="2A057DD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本项目厂区用电由周边供电系统供给，年用电量9万kWh，项目用电有保证。</w:t>
      </w:r>
    </w:p>
    <w:p w14:paraId="69C863B7">
      <w:pPr>
        <w:pStyle w:val="4"/>
        <w:rPr>
          <w:color w:val="000000" w:themeColor="text1"/>
          <w:highlight w:val="none"/>
          <w14:textFill>
            <w14:solidFill>
              <w14:schemeClr w14:val="tx1"/>
            </w14:solidFill>
          </w14:textFill>
        </w:rPr>
      </w:pPr>
      <w:bookmarkStart w:id="110" w:name="_Toc18475"/>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.7.4冬季保温和夏季降温</w:t>
      </w:r>
      <w:bookmarkEnd w:id="110"/>
    </w:p>
    <w:p w14:paraId="7E63C8D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（1）保温</w:t>
      </w:r>
    </w:p>
    <w:p w14:paraId="38A7F1F7">
      <w:p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冬季猪舍保温采用</w:t>
      </w:r>
      <w:r>
        <w:rPr>
          <w:rFonts w:hint="eastAsia"/>
          <w:color w:val="000000" w:themeColor="text1"/>
          <w:highlight w:val="none"/>
          <w14:textFill>
            <w14:solidFill>
              <w14:schemeClr w14:val="tx1"/>
            </w14:solidFill>
          </w14:textFill>
        </w:rPr>
        <w:t>集中供暖</w:t>
      </w:r>
      <w:r>
        <w:rPr>
          <w:color w:val="000000" w:themeColor="text1"/>
          <w:highlight w:val="none"/>
          <w14:textFill>
            <w14:solidFill>
              <w14:schemeClr w14:val="tx1"/>
            </w14:solidFill>
          </w14:textFill>
        </w:rPr>
        <w:t>对猪舍进行保温和通风。</w:t>
      </w:r>
    </w:p>
    <w:p w14:paraId="459D6B9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（2）猪舍降温</w:t>
      </w:r>
    </w:p>
    <w:p w14:paraId="4ADBF7BF">
      <w:pPr>
        <w:bidi w:val="0"/>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本项目猪舍采用</w:t>
      </w:r>
      <w:r>
        <w:rPr>
          <w:rFonts w:hint="eastAsia"/>
          <w:color w:val="000000" w:themeColor="text1"/>
          <w:highlight w:val="none"/>
          <w14:textFill>
            <w14:solidFill>
              <w14:schemeClr w14:val="tx1"/>
            </w14:solidFill>
          </w14:textFill>
        </w:rPr>
        <w:t>水帘降温</w:t>
      </w:r>
      <w:r>
        <w:rPr>
          <w:color w:val="000000" w:themeColor="text1"/>
          <w:highlight w:val="none"/>
          <w14:textFill>
            <w14:solidFill>
              <w14:schemeClr w14:val="tx1"/>
            </w14:solidFill>
          </w14:textFill>
        </w:rPr>
        <w:t>。</w:t>
      </w:r>
    </w:p>
    <w:p w14:paraId="7AC7C72E">
      <w:pPr>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（3）办公生活取暖、制冷</w:t>
      </w:r>
    </w:p>
    <w:p w14:paraId="1CF092F7">
      <w:pPr>
        <w:bidi w:val="0"/>
        <w:ind w:firstLine="480" w:firstLineChars="200"/>
        <w:rPr>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为保证猪舍正常运营，冬季</w:t>
      </w:r>
      <w:r>
        <w:rPr>
          <w:rFonts w:hint="eastAsia"/>
          <w:color w:val="000000" w:themeColor="text1"/>
          <w:highlight w:val="none"/>
          <w:lang w:val="en-US" w:eastAsia="zh-CN"/>
          <w14:textFill>
            <w14:solidFill>
              <w14:schemeClr w14:val="tx1"/>
            </w14:solidFill>
          </w14:textFill>
        </w:rPr>
        <w:t>使用电</w:t>
      </w:r>
      <w:r>
        <w:rPr>
          <w:rFonts w:hint="default"/>
          <w:color w:val="000000" w:themeColor="text1"/>
          <w:highlight w:val="none"/>
          <w:lang w:val="en-US" w:eastAsia="zh-CN"/>
          <w14:textFill>
            <w14:solidFill>
              <w14:schemeClr w14:val="tx1"/>
            </w14:solidFill>
          </w14:textFill>
        </w:rPr>
        <w:t>采暖</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14:textFill>
            <w14:solidFill>
              <w14:schemeClr w14:val="tx1"/>
            </w14:solidFill>
          </w14:textFill>
        </w:rPr>
        <w:t>夏季</w:t>
      </w:r>
      <w:r>
        <w:rPr>
          <w:rFonts w:hint="eastAsia"/>
          <w:color w:val="000000" w:themeColor="text1"/>
          <w:highlight w:val="none"/>
          <w:lang w:val="en-US" w:eastAsia="zh-CN"/>
          <w14:textFill>
            <w14:solidFill>
              <w14:schemeClr w14:val="tx1"/>
            </w14:solidFill>
          </w14:textFill>
        </w:rPr>
        <w:t>办公采用</w:t>
      </w:r>
      <w:r>
        <w:rPr>
          <w:rFonts w:hint="default"/>
          <w:color w:val="000000" w:themeColor="text1"/>
          <w:highlight w:val="none"/>
          <w14:textFill>
            <w14:solidFill>
              <w14:schemeClr w14:val="tx1"/>
            </w14:solidFill>
          </w14:textFill>
        </w:rPr>
        <w:t>制冷采用空调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猪舍采用水帘降温</w:t>
      </w:r>
      <w:r>
        <w:rPr>
          <w:rFonts w:hint="default"/>
          <w:color w:val="000000" w:themeColor="text1"/>
          <w:highlight w:val="none"/>
          <w14:textFill>
            <w14:solidFill>
              <w14:schemeClr w14:val="tx1"/>
            </w14:solidFill>
          </w14:textFill>
        </w:rPr>
        <w:t>。</w:t>
      </w:r>
    </w:p>
    <w:p w14:paraId="4E9332B6">
      <w:pPr>
        <w:pStyle w:val="4"/>
        <w:rPr>
          <w:color w:val="000000" w:themeColor="text1"/>
          <w:highlight w:val="none"/>
          <w14:textFill>
            <w14:solidFill>
              <w14:schemeClr w14:val="tx1"/>
            </w14:solidFill>
          </w14:textFill>
        </w:rPr>
      </w:pPr>
      <w:bookmarkStart w:id="111" w:name="_Toc30018"/>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.7.5卫生防疫</w:t>
      </w:r>
      <w:bookmarkEnd w:id="111"/>
    </w:p>
    <w:p w14:paraId="72B6B6D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通过</w:t>
      </w:r>
      <w:r>
        <w:rPr>
          <w:rFonts w:hint="eastAsia"/>
          <w:color w:val="000000" w:themeColor="text1"/>
          <w:highlight w:val="none"/>
          <w:lang w:val="en-US" w:eastAsia="zh-CN"/>
          <w14:textFill>
            <w14:solidFill>
              <w14:schemeClr w14:val="tx1"/>
            </w14:solidFill>
          </w14:textFill>
        </w:rPr>
        <w:t>戊二醛消毒剂和过硫酸氢钾消毒剂稀释后</w:t>
      </w:r>
      <w:r>
        <w:rPr>
          <w:color w:val="000000" w:themeColor="text1"/>
          <w:highlight w:val="none"/>
          <w14:textFill>
            <w14:solidFill>
              <w14:schemeClr w14:val="tx1"/>
            </w14:solidFill>
          </w14:textFill>
        </w:rPr>
        <w:t>对猪舍进行消毒处理。猪场内部养殖区、生活区、粪污处理区建设实体隔离墙；养殖区内车辆利用自有车辆，外部车辆禁止入内。</w:t>
      </w:r>
    </w:p>
    <w:p w14:paraId="7AE7C8F8">
      <w:pPr>
        <w:pStyle w:val="4"/>
        <w:rPr>
          <w:color w:val="000000" w:themeColor="text1"/>
          <w:highlight w:val="none"/>
          <w14:textFill>
            <w14:solidFill>
              <w14:schemeClr w14:val="tx1"/>
            </w14:solidFill>
          </w14:textFill>
        </w:rPr>
      </w:pPr>
      <w:bookmarkStart w:id="112" w:name="_Toc5256"/>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.7.</w:t>
      </w:r>
      <w:r>
        <w:rPr>
          <w:rFonts w:hint="eastAsia"/>
          <w:color w:val="000000" w:themeColor="text1"/>
          <w:highlight w:val="none"/>
          <w14:textFill>
            <w14:solidFill>
              <w14:schemeClr w14:val="tx1"/>
            </w14:solidFill>
          </w14:textFill>
        </w:rPr>
        <w:t>6</w:t>
      </w:r>
      <w:r>
        <w:rPr>
          <w:color w:val="000000" w:themeColor="text1"/>
          <w:highlight w:val="none"/>
          <w14:textFill>
            <w14:solidFill>
              <w14:schemeClr w14:val="tx1"/>
            </w14:solidFill>
          </w14:textFill>
        </w:rPr>
        <w:t>消毒方式</w:t>
      </w:r>
      <w:bookmarkEnd w:id="112"/>
    </w:p>
    <w:p w14:paraId="7BE02BE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对栏舍、走道、场地等采用喷洒消毒剂；对车辆表面、器物、动物表面消毒， 动物伤口消毒；猪舍周边等用喷雾消毒剂；更衣室等用紫外线消毒。</w:t>
      </w:r>
    </w:p>
    <w:p w14:paraId="0C6A8B7A">
      <w:pPr>
        <w:pStyle w:val="4"/>
        <w:rPr>
          <w:color w:val="000000" w:themeColor="text1"/>
          <w:highlight w:val="none"/>
          <w14:textFill>
            <w14:solidFill>
              <w14:schemeClr w14:val="tx1"/>
            </w14:solidFill>
          </w14:textFill>
        </w:rPr>
      </w:pPr>
      <w:bookmarkStart w:id="113" w:name="_Toc29446"/>
      <w:r>
        <w:rPr>
          <w:rFonts w:hint="eastAsia"/>
          <w:color w:val="000000" w:themeColor="text1"/>
          <w:highlight w:val="none"/>
          <w14:textFill>
            <w14:solidFill>
              <w14:schemeClr w14:val="tx1"/>
            </w14:solidFill>
          </w14:textFill>
        </w:rPr>
        <w:t>3.7.7消防工程</w:t>
      </w:r>
      <w:bookmarkEnd w:id="113"/>
    </w:p>
    <w:p w14:paraId="0EA13A88">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在猪舍区、料库及办公生活区设置小型灭火器材，用于扑灭零星火灾。灭火器按《建筑灭火器配置设计规范》（</w:t>
      </w:r>
      <w:r>
        <w:rPr>
          <w:color w:val="000000" w:themeColor="text1"/>
          <w:highlight w:val="none"/>
          <w14:textFill>
            <w14:solidFill>
              <w14:schemeClr w14:val="tx1"/>
            </w14:solidFill>
          </w14:textFill>
        </w:rPr>
        <w:t>GB50140-</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2005</w:t>
      </w:r>
      <w:r>
        <w:rPr>
          <w:rFonts w:hint="eastAsia"/>
          <w:color w:val="000000" w:themeColor="text1"/>
          <w:highlight w:val="none"/>
          <w14:textFill>
            <w14:solidFill>
              <w14:schemeClr w14:val="tx1"/>
            </w14:solidFill>
          </w14:textFill>
        </w:rPr>
        <w:t>）配置。另外</w:t>
      </w:r>
      <w:r>
        <w:rPr>
          <w:rFonts w:hint="eastAsia"/>
          <w:color w:val="000000" w:themeColor="text1"/>
          <w:highlight w:val="none"/>
          <w:lang w:eastAsia="zh-CN"/>
          <w14:textFill>
            <w14:solidFill>
              <w14:schemeClr w14:val="tx1"/>
            </w14:solidFill>
          </w14:textFill>
        </w:rPr>
        <w:t>胡杨河市</w:t>
      </w:r>
      <w:r>
        <w:rPr>
          <w:rFonts w:hint="eastAsia"/>
          <w:color w:val="000000" w:themeColor="text1"/>
          <w:highlight w:val="none"/>
          <w14:textFill>
            <w14:solidFill>
              <w14:schemeClr w14:val="tx1"/>
            </w14:solidFill>
          </w14:textFill>
        </w:rPr>
        <w:t>消防大队配备有较齐全的消防设施和消防人员。一旦发生火灾，在消防救援方面能够给予有力支持。</w:t>
      </w:r>
    </w:p>
    <w:p w14:paraId="242994AA">
      <w:pPr>
        <w:pStyle w:val="4"/>
        <w:rPr>
          <w:color w:val="000000" w:themeColor="text1"/>
          <w:highlight w:val="none"/>
          <w14:textFill>
            <w14:solidFill>
              <w14:schemeClr w14:val="tx1"/>
            </w14:solidFill>
          </w14:textFill>
        </w:rPr>
      </w:pPr>
      <w:bookmarkStart w:id="114" w:name="_Toc21200"/>
      <w:r>
        <w:rPr>
          <w:rFonts w:hint="eastAsia"/>
          <w:color w:val="000000" w:themeColor="text1"/>
          <w:highlight w:val="none"/>
          <w14:textFill>
            <w14:solidFill>
              <w14:schemeClr w14:val="tx1"/>
            </w14:solidFill>
          </w14:textFill>
        </w:rPr>
        <w:t>3.7.8通风工程</w:t>
      </w:r>
      <w:bookmarkEnd w:id="114"/>
    </w:p>
    <w:p w14:paraId="603C919F">
      <w:pPr>
        <w:ind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场区建筑通风采用自然通风与机械通风相结合的方式，猪舍通风采用机械通风的方式，每栋猪舍均设置若干台不同尺寸的风机，夏季使用大尺寸风机进行纵向通风，其他季节使用小尺寸风机进行通风，屋顶进风，侧墙出墙。场区其他建筑物以自然通风为主。</w:t>
      </w:r>
      <w:bookmarkStart w:id="115" w:name="_Toc17544"/>
      <w:bookmarkStart w:id="116" w:name="_Toc28947"/>
      <w:bookmarkStart w:id="117" w:name="_Toc30704"/>
    </w:p>
    <w:p w14:paraId="68E5BF09">
      <w:pPr>
        <w:pStyle w:val="3"/>
        <w:rPr>
          <w:color w:val="000000" w:themeColor="text1"/>
          <w:highlight w:val="none"/>
          <w:lang w:eastAsia="zh-CN"/>
          <w14:textFill>
            <w14:solidFill>
              <w14:schemeClr w14:val="tx1"/>
            </w14:solidFill>
          </w14:textFill>
        </w:rPr>
      </w:pPr>
      <w:bookmarkStart w:id="118" w:name="_Toc8682"/>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.8生产工艺流程及产污环节分析</w:t>
      </w:r>
      <w:bookmarkEnd w:id="115"/>
      <w:bookmarkEnd w:id="116"/>
      <w:bookmarkEnd w:id="117"/>
      <w:bookmarkEnd w:id="118"/>
      <w:bookmarkStart w:id="119" w:name="OLE_LINK7"/>
      <w:bookmarkStart w:id="120" w:name="OLE_LINK9"/>
    </w:p>
    <w:p w14:paraId="31371203">
      <w:pPr>
        <w:pStyle w:val="4"/>
        <w:rPr>
          <w:color w:val="000000" w:themeColor="text1"/>
          <w:highlight w:val="none"/>
          <w14:textFill>
            <w14:solidFill>
              <w14:schemeClr w14:val="tx1"/>
            </w14:solidFill>
          </w14:textFill>
        </w:rPr>
      </w:pPr>
      <w:bookmarkStart w:id="121" w:name="_Toc3863"/>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.8.1</w:t>
      </w:r>
      <w:r>
        <w:rPr>
          <w:rFonts w:hint="eastAsia"/>
          <w:color w:val="000000" w:themeColor="text1"/>
          <w:highlight w:val="none"/>
          <w14:textFill>
            <w14:solidFill>
              <w14:schemeClr w14:val="tx1"/>
            </w14:solidFill>
          </w14:textFill>
        </w:rPr>
        <w:t>养殖工艺流程及产污环节</w:t>
      </w:r>
      <w:bookmarkEnd w:id="121"/>
    </w:p>
    <w:p w14:paraId="60B453CF">
      <w:pPr>
        <w:keepNext w:val="0"/>
        <w:keepLines w:val="0"/>
        <w:widowControl/>
        <w:suppressLineNumbers w:val="0"/>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本项目采用自繁自养、全进全出、集约化养猪工艺，生产工艺流程，从配种</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妊娠</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分娩</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保育</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销售。本项目养殖场采用全进全出的生产工艺，便于清洁卫生和兽医防疫消毒，有利于生产的顺利发展，体现了集约化，专业化，商品化生产的特点。本项目生产工艺流程如下图。</w:t>
      </w:r>
    </w:p>
    <w:p w14:paraId="0BE07FB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69230" cy="3106420"/>
            <wp:effectExtent l="0" t="0" r="7620" b="17780"/>
            <wp:docPr id="4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pic:cNvPicPr>
                      <a:picLocks noChangeAspect="1"/>
                    </pic:cNvPicPr>
                  </pic:nvPicPr>
                  <pic:blipFill>
                    <a:blip r:embed="rId31"/>
                    <a:stretch>
                      <a:fillRect/>
                    </a:stretch>
                  </pic:blipFill>
                  <pic:spPr>
                    <a:xfrm>
                      <a:off x="0" y="0"/>
                      <a:ext cx="5269230" cy="3106420"/>
                    </a:xfrm>
                    <a:prstGeom prst="rect">
                      <a:avLst/>
                    </a:prstGeom>
                    <a:noFill/>
                    <a:ln>
                      <a:noFill/>
                    </a:ln>
                  </pic:spPr>
                </pic:pic>
              </a:graphicData>
            </a:graphic>
          </wp:inline>
        </w:drawing>
      </w:r>
    </w:p>
    <w:p w14:paraId="33BE245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图</w:t>
      </w:r>
      <w:r>
        <w:rPr>
          <w:rFonts w:hint="eastAsia"/>
          <w:b/>
          <w:bCs/>
          <w:color w:val="000000" w:themeColor="text1"/>
          <w:sz w:val="21"/>
          <w:szCs w:val="21"/>
          <w:highlight w:val="none"/>
          <w14:textFill>
            <w14:solidFill>
              <w14:schemeClr w14:val="tx1"/>
            </w14:solidFill>
          </w14:textFill>
        </w:rPr>
        <w:t>3.8-</w:t>
      </w:r>
      <w:r>
        <w:rPr>
          <w:b/>
          <w:bCs/>
          <w:color w:val="000000" w:themeColor="text1"/>
          <w:sz w:val="21"/>
          <w:szCs w:val="21"/>
          <w:highlight w:val="none"/>
          <w14:textFill>
            <w14:solidFill>
              <w14:schemeClr w14:val="tx1"/>
            </w14:solidFill>
          </w14:textFill>
        </w:rPr>
        <w:t>1 项目养殖工艺流程及产污环节图</w:t>
      </w:r>
    </w:p>
    <w:p w14:paraId="61510EAC">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工艺流程简述：本项目采用常规模式饲养。</w:t>
      </w:r>
      <w:r>
        <w:rPr>
          <w:rFonts w:hint="eastAsia"/>
          <w:color w:val="000000" w:themeColor="text1"/>
          <w:highlight w:val="none"/>
          <w14:textFill>
            <w14:solidFill>
              <w14:schemeClr w14:val="tx1"/>
            </w14:solidFill>
          </w14:textFill>
        </w:rPr>
        <w:t>猪饲料采用玉米、豆粕、</w:t>
      </w:r>
      <w:r>
        <w:rPr>
          <w:rFonts w:hint="eastAsia"/>
          <w:color w:val="000000" w:themeColor="text1"/>
          <w:highlight w:val="none"/>
          <w:lang w:eastAsia="zh-CN"/>
          <w14:textFill>
            <w14:solidFill>
              <w14:schemeClr w14:val="tx1"/>
            </w14:solidFill>
          </w14:textFill>
        </w:rPr>
        <w:t>麸皮</w:t>
      </w:r>
      <w:r>
        <w:rPr>
          <w:rFonts w:hint="eastAsia"/>
          <w:color w:val="000000" w:themeColor="text1"/>
          <w:highlight w:val="none"/>
          <w:lang w:val="en-US" w:eastAsia="zh-CN"/>
          <w14:textFill>
            <w14:solidFill>
              <w14:schemeClr w14:val="tx1"/>
            </w14:solidFill>
          </w14:textFill>
        </w:rPr>
        <w:t>和预混料粉碎混合加工</w:t>
      </w:r>
      <w:r>
        <w:rPr>
          <w:rFonts w:hint="eastAsia"/>
          <w:color w:val="000000" w:themeColor="text1"/>
          <w:highlight w:val="none"/>
          <w14:textFill>
            <w14:solidFill>
              <w14:schemeClr w14:val="tx1"/>
            </w14:solidFill>
          </w14:textFill>
        </w:rPr>
        <w:t>。</w:t>
      </w:r>
    </w:p>
    <w:p w14:paraId="081DFCB4">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（1）公猪</w:t>
      </w:r>
    </w:p>
    <w:p w14:paraId="6F136CDF">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根据公猪的膘情投喂饲料，专人饲养，给予适当运动和光照，公猪做到夏防暑，冬防寒，室温保持在 </w:t>
      </w:r>
      <w:r>
        <w:rPr>
          <w:rFonts w:hint="default"/>
          <w:color w:val="000000" w:themeColor="text1"/>
          <w:highlight w:val="none"/>
          <w:lang w:val="en-US" w:eastAsia="zh-CN"/>
          <w14:textFill>
            <w14:solidFill>
              <w14:schemeClr w14:val="tx1"/>
            </w14:solidFill>
          </w14:textFill>
        </w:rPr>
        <w:t>10℃-28℃</w:t>
      </w:r>
      <w:r>
        <w:rPr>
          <w:rFonts w:hint="eastAsia"/>
          <w:color w:val="000000" w:themeColor="text1"/>
          <w:highlight w:val="none"/>
          <w:lang w:val="en-US" w:eastAsia="zh-CN"/>
          <w14:textFill>
            <w14:solidFill>
              <w14:schemeClr w14:val="tx1"/>
            </w14:solidFill>
          </w14:textFill>
        </w:rPr>
        <w:t xml:space="preserve">。进行严格测定，选出最优秀的公猪，发现有遗传疾病和发育不良以及丧失繁殖能力的后备公猪和基础公猪均及时淘汰。 </w:t>
      </w:r>
    </w:p>
    <w:p w14:paraId="378309B5">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（2）母猪 </w:t>
      </w:r>
    </w:p>
    <w:p w14:paraId="4F682320">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根据母猪的膘情投喂饲料，保持八成膘。产前或产后</w:t>
      </w:r>
      <w:r>
        <w:rPr>
          <w:rFonts w:hint="default"/>
          <w:color w:val="000000" w:themeColor="text1"/>
          <w:highlight w:val="none"/>
          <w:lang w:val="en-US" w:eastAsia="zh-CN"/>
          <w14:textFill>
            <w14:solidFill>
              <w14:schemeClr w14:val="tx1"/>
            </w14:solidFill>
          </w14:textFill>
        </w:rPr>
        <w:t>1d-3d</w:t>
      </w:r>
      <w:r>
        <w:rPr>
          <w:rFonts w:hint="eastAsia"/>
          <w:color w:val="000000" w:themeColor="text1"/>
          <w:highlight w:val="none"/>
          <w:lang w:val="en-US" w:eastAsia="zh-CN"/>
          <w14:textFill>
            <w14:solidFill>
              <w14:schemeClr w14:val="tx1"/>
            </w14:solidFill>
          </w14:textFill>
        </w:rPr>
        <w:t>要减料，保证饮水，</w:t>
      </w:r>
      <w:r>
        <w:rPr>
          <w:rFonts w:hint="default"/>
          <w:color w:val="000000" w:themeColor="text1"/>
          <w:highlight w:val="none"/>
          <w:lang w:val="en-US" w:eastAsia="zh-CN"/>
          <w14:textFill>
            <w14:solidFill>
              <w14:schemeClr w14:val="tx1"/>
            </w14:solidFill>
          </w14:textFill>
        </w:rPr>
        <w:t>80d</w:t>
      </w:r>
      <w:r>
        <w:rPr>
          <w:rFonts w:hint="eastAsia"/>
          <w:color w:val="000000" w:themeColor="text1"/>
          <w:highlight w:val="none"/>
          <w:lang w:val="en-US" w:eastAsia="zh-CN"/>
          <w14:textFill>
            <w14:solidFill>
              <w14:schemeClr w14:val="tx1"/>
            </w14:solidFill>
          </w14:textFill>
        </w:rPr>
        <w:t>后要适当加料，哺乳期根据仔猪的多少给母猪加料，每哺乳</w:t>
      </w:r>
      <w:r>
        <w:rPr>
          <w:rFonts w:hint="default"/>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头仔猪加料</w:t>
      </w:r>
      <w:r>
        <w:rPr>
          <w:rFonts w:hint="default"/>
          <w:color w:val="000000" w:themeColor="text1"/>
          <w:highlight w:val="none"/>
          <w:lang w:val="en-US" w:eastAsia="zh-CN"/>
          <w14:textFill>
            <w14:solidFill>
              <w14:schemeClr w14:val="tx1"/>
            </w14:solidFill>
          </w14:textFill>
        </w:rPr>
        <w:t>0.15kg</w:t>
      </w:r>
      <w:r>
        <w:rPr>
          <w:rFonts w:hint="eastAsia"/>
          <w:color w:val="000000" w:themeColor="text1"/>
          <w:highlight w:val="none"/>
          <w:lang w:val="en-US" w:eastAsia="zh-CN"/>
          <w14:textFill>
            <w14:solidFill>
              <w14:schemeClr w14:val="tx1"/>
            </w14:solidFill>
          </w14:textFill>
        </w:rPr>
        <w:t>，断奶前</w:t>
      </w:r>
      <w:r>
        <w:rPr>
          <w:rFonts w:hint="default"/>
          <w:color w:val="000000" w:themeColor="text1"/>
          <w:highlight w:val="none"/>
          <w:lang w:val="en-US" w:eastAsia="zh-CN"/>
          <w14:textFill>
            <w14:solidFill>
              <w14:schemeClr w14:val="tx1"/>
            </w14:solidFill>
          </w14:textFill>
        </w:rPr>
        <w:t>3d</w:t>
      </w:r>
      <w:r>
        <w:rPr>
          <w:rFonts w:hint="eastAsia"/>
          <w:color w:val="000000" w:themeColor="text1"/>
          <w:highlight w:val="none"/>
          <w:lang w:val="en-US" w:eastAsia="zh-CN"/>
          <w14:textFill>
            <w14:solidFill>
              <w14:schemeClr w14:val="tx1"/>
            </w14:solidFill>
          </w14:textFill>
        </w:rPr>
        <w:t>起要减料，把哺乳期增喂的那部分饲料全部减掉，膘情低于八成时不减。适当运动和给予光照，怀孕母猪产前</w:t>
      </w:r>
      <w:r>
        <w:rPr>
          <w:rFonts w:hint="default"/>
          <w:color w:val="000000" w:themeColor="text1"/>
          <w:highlight w:val="none"/>
          <w:lang w:val="en-US" w:eastAsia="zh-CN"/>
          <w14:textFill>
            <w14:solidFill>
              <w14:schemeClr w14:val="tx1"/>
            </w14:solidFill>
          </w14:textFill>
        </w:rPr>
        <w:t>7d</w:t>
      </w:r>
      <w:r>
        <w:rPr>
          <w:rFonts w:hint="eastAsia"/>
          <w:color w:val="000000" w:themeColor="text1"/>
          <w:highlight w:val="none"/>
          <w:lang w:val="en-US" w:eastAsia="zh-CN"/>
          <w14:textFill>
            <w14:solidFill>
              <w14:schemeClr w14:val="tx1"/>
            </w14:solidFill>
          </w14:textFill>
        </w:rPr>
        <w:t>进入产仔栏，并准备好接产用器械、药品和其他用具。</w:t>
      </w:r>
    </w:p>
    <w:p w14:paraId="78929843">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）配种、妊娠、分娩</w:t>
      </w:r>
    </w:p>
    <w:p w14:paraId="3D515A85">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母猪配种后，经怀孕测定仪检测是否受孕。母猪受孕</w:t>
      </w:r>
      <w:r>
        <w:rPr>
          <w:rFonts w:hint="default"/>
          <w:color w:val="000000" w:themeColor="text1"/>
          <w:highlight w:val="none"/>
          <w:lang w:val="en-US" w:eastAsia="zh-CN"/>
          <w14:textFill>
            <w14:solidFill>
              <w14:schemeClr w14:val="tx1"/>
            </w14:solidFill>
          </w14:textFill>
        </w:rPr>
        <w:t>17</w:t>
      </w:r>
      <w:r>
        <w:rPr>
          <w:rFonts w:hint="eastAsia"/>
          <w:color w:val="000000" w:themeColor="text1"/>
          <w:highlight w:val="none"/>
          <w:lang w:val="en-US" w:eastAsia="zh-CN"/>
          <w14:textFill>
            <w14:solidFill>
              <w14:schemeClr w14:val="tx1"/>
            </w14:solidFill>
          </w14:textFill>
        </w:rPr>
        <w:t>周～</w:t>
      </w:r>
      <w:r>
        <w:rPr>
          <w:rFonts w:hint="default"/>
          <w:color w:val="000000" w:themeColor="text1"/>
          <w:highlight w:val="none"/>
          <w:lang w:val="en-US" w:eastAsia="zh-CN"/>
          <w14:textFill>
            <w14:solidFill>
              <w14:schemeClr w14:val="tx1"/>
            </w14:solidFill>
          </w14:textFill>
        </w:rPr>
        <w:t>18</w:t>
      </w:r>
      <w:r>
        <w:rPr>
          <w:rFonts w:hint="eastAsia"/>
          <w:color w:val="000000" w:themeColor="text1"/>
          <w:highlight w:val="none"/>
          <w:lang w:val="en-US" w:eastAsia="zh-CN"/>
          <w14:textFill>
            <w14:solidFill>
              <w14:schemeClr w14:val="tx1"/>
            </w14:solidFill>
          </w14:textFill>
        </w:rPr>
        <w:t>周后产仔。窝产活仔数13头，初生体重</w:t>
      </w:r>
      <w:r>
        <w:rPr>
          <w:rFonts w:hint="default"/>
          <w:color w:val="000000" w:themeColor="text1"/>
          <w:highlight w:val="none"/>
          <w:lang w:val="en-US" w:eastAsia="zh-CN"/>
          <w14:textFill>
            <w14:solidFill>
              <w14:schemeClr w14:val="tx1"/>
            </w14:solidFill>
          </w14:textFill>
        </w:rPr>
        <w:t>1.2-1.4</w:t>
      </w:r>
      <w:r>
        <w:rPr>
          <w:rFonts w:hint="eastAsia"/>
          <w:color w:val="000000" w:themeColor="text1"/>
          <w:highlight w:val="none"/>
          <w:lang w:val="en-US" w:eastAsia="zh-CN"/>
          <w14:textFill>
            <w14:solidFill>
              <w14:schemeClr w14:val="tx1"/>
            </w14:solidFill>
          </w14:textFill>
        </w:rPr>
        <w:t>公斤，</w:t>
      </w:r>
      <w:r>
        <w:rPr>
          <w:rFonts w:hint="default"/>
          <w:color w:val="000000" w:themeColor="text1"/>
          <w:highlight w:val="none"/>
          <w:lang w:val="en-US" w:eastAsia="zh-CN"/>
          <w14:textFill>
            <w14:solidFill>
              <w14:schemeClr w14:val="tx1"/>
            </w14:solidFill>
          </w14:textFill>
        </w:rPr>
        <w:t>21</w:t>
      </w:r>
      <w:r>
        <w:rPr>
          <w:rFonts w:hint="eastAsia"/>
          <w:color w:val="000000" w:themeColor="text1"/>
          <w:highlight w:val="none"/>
          <w:lang w:val="en-US" w:eastAsia="zh-CN"/>
          <w14:textFill>
            <w14:solidFill>
              <w14:schemeClr w14:val="tx1"/>
            </w14:solidFill>
          </w14:textFill>
        </w:rPr>
        <w:t>天断奶。断奶时体重约为</w:t>
      </w:r>
      <w:r>
        <w:rPr>
          <w:rFonts w:hint="default"/>
          <w:color w:val="000000" w:themeColor="text1"/>
          <w:highlight w:val="none"/>
          <w:lang w:val="en-US" w:eastAsia="zh-CN"/>
          <w14:textFill>
            <w14:solidFill>
              <w14:schemeClr w14:val="tx1"/>
            </w14:solidFill>
          </w14:textFill>
        </w:rPr>
        <w:t>6-7kg</w:t>
      </w:r>
      <w:r>
        <w:rPr>
          <w:rFonts w:hint="eastAsia"/>
          <w:color w:val="000000" w:themeColor="text1"/>
          <w:highlight w:val="none"/>
          <w:lang w:val="en-US" w:eastAsia="zh-CN"/>
          <w14:textFill>
            <w14:solidFill>
              <w14:schemeClr w14:val="tx1"/>
            </w14:solidFill>
          </w14:textFill>
        </w:rPr>
        <w:t>，断奶后的仔猪进入保育栏饲养约</w:t>
      </w:r>
      <w:r>
        <w:rPr>
          <w:rFonts w:hint="default"/>
          <w:color w:val="000000" w:themeColor="text1"/>
          <w:highlight w:val="none"/>
          <w:lang w:val="en-US" w:eastAsia="zh-CN"/>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周，保育出栏的仔猪体重约为</w:t>
      </w:r>
      <w:r>
        <w:rPr>
          <w:rFonts w:hint="default"/>
          <w:color w:val="000000" w:themeColor="text1"/>
          <w:highlight w:val="none"/>
          <w:lang w:val="en-US" w:eastAsia="zh-CN"/>
          <w14:textFill>
            <w14:solidFill>
              <w14:schemeClr w14:val="tx1"/>
            </w14:solidFill>
          </w14:textFill>
        </w:rPr>
        <w:t>18kg</w:t>
      </w:r>
      <w:r>
        <w:rPr>
          <w:rFonts w:hint="eastAsia"/>
          <w:color w:val="000000" w:themeColor="text1"/>
          <w:highlight w:val="none"/>
          <w:lang w:val="en-US" w:eastAsia="zh-CN"/>
          <w14:textFill>
            <w14:solidFill>
              <w14:schemeClr w14:val="tx1"/>
            </w14:solidFill>
          </w14:textFill>
        </w:rPr>
        <w:t>，本项目不进行育肥工作，只出栏仔猪及种猪。</w:t>
      </w:r>
    </w:p>
    <w:p w14:paraId="34B680E5">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4</w:t>
      </w:r>
      <w:r>
        <w:rPr>
          <w:rFonts w:hint="eastAsia"/>
          <w:color w:val="000000" w:themeColor="text1"/>
          <w:highlight w:val="none"/>
          <w:lang w:val="en-US" w:eastAsia="zh-CN"/>
          <w14:textFill>
            <w14:solidFill>
              <w14:schemeClr w14:val="tx1"/>
            </w14:solidFill>
          </w14:textFill>
        </w:rPr>
        <w:t>）保育</w:t>
      </w:r>
    </w:p>
    <w:p w14:paraId="2165ADF0">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冬天使用远红外保温器进行保温，夏天设置抽风水帘系统进行降温。卫生方面，洗净母猪乳房，及时清除舍内粪尿和污水，定期对猪舍和猪体消毒。仔猪出生后用经消毒的毛巾擦干口、鼻和体表的粘液，然后在离脐部</w:t>
      </w:r>
      <w:r>
        <w:rPr>
          <w:rFonts w:hint="default"/>
          <w:color w:val="000000" w:themeColor="text1"/>
          <w:highlight w:val="none"/>
          <w:lang w:val="en-US" w:eastAsia="zh-CN"/>
          <w14:textFill>
            <w14:solidFill>
              <w14:schemeClr w14:val="tx1"/>
            </w14:solidFill>
          </w14:textFill>
        </w:rPr>
        <w:t>4cm-5cm</w:t>
      </w:r>
      <w:r>
        <w:rPr>
          <w:rFonts w:hint="eastAsia"/>
          <w:color w:val="000000" w:themeColor="text1"/>
          <w:highlight w:val="none"/>
          <w:lang w:val="en-US" w:eastAsia="zh-CN"/>
          <w14:textFill>
            <w14:solidFill>
              <w14:schemeClr w14:val="tx1"/>
            </w14:solidFill>
          </w14:textFill>
        </w:rPr>
        <w:t>处剪断脐带，断端涂上碘酒，编上耳号。仔猪出生后要保证能及早吃到初乳和固定奶头，</w:t>
      </w:r>
      <w:r>
        <w:rPr>
          <w:rFonts w:hint="default"/>
          <w:color w:val="000000" w:themeColor="text1"/>
          <w:highlight w:val="none"/>
          <w:lang w:val="en-US" w:eastAsia="zh-CN"/>
          <w14:textFill>
            <w14:solidFill>
              <w14:schemeClr w14:val="tx1"/>
            </w14:solidFill>
          </w14:textFill>
        </w:rPr>
        <w:t>10d</w:t>
      </w:r>
      <w:r>
        <w:rPr>
          <w:rFonts w:hint="eastAsia"/>
          <w:color w:val="000000" w:themeColor="text1"/>
          <w:highlight w:val="none"/>
          <w:lang w:val="en-US" w:eastAsia="zh-CN"/>
          <w14:textFill>
            <w14:solidFill>
              <w14:schemeClr w14:val="tx1"/>
            </w14:solidFill>
          </w14:textFill>
        </w:rPr>
        <w:t>后开始补料。断奶日龄一般为</w:t>
      </w:r>
      <w:r>
        <w:rPr>
          <w:rFonts w:hint="default"/>
          <w:color w:val="000000" w:themeColor="text1"/>
          <w:highlight w:val="none"/>
          <w:lang w:val="en-US" w:eastAsia="zh-CN"/>
          <w14:textFill>
            <w14:solidFill>
              <w14:schemeClr w14:val="tx1"/>
            </w14:solidFill>
          </w14:textFill>
        </w:rPr>
        <w:t>45d</w:t>
      </w:r>
      <w:r>
        <w:rPr>
          <w:rFonts w:hint="eastAsia"/>
          <w:color w:val="000000" w:themeColor="text1"/>
          <w:highlight w:val="none"/>
          <w:lang w:val="en-US" w:eastAsia="zh-CN"/>
          <w14:textFill>
            <w14:solidFill>
              <w14:schemeClr w14:val="tx1"/>
            </w14:solidFill>
          </w14:textFill>
        </w:rPr>
        <w:t>，断奶方法可采取一次性断奶或分次断奶。仔猪应供应充足的清洁饮水。在哺乳期间应注意控制仔猪黄白痢，具体做法是做好母猪体的消毒和产仔栏的空栏消毒。保育仔猪是指断奶后至进入育肥期前的仔猪，保育期为</w:t>
      </w:r>
      <w:r>
        <w:rPr>
          <w:rFonts w:hint="default"/>
          <w:color w:val="000000" w:themeColor="text1"/>
          <w:highlight w:val="none"/>
          <w:lang w:val="en-US" w:eastAsia="zh-CN"/>
          <w14:textFill>
            <w14:solidFill>
              <w14:schemeClr w14:val="tx1"/>
            </w14:solidFill>
          </w14:textFill>
        </w:rPr>
        <w:t>30d</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35d</w:t>
      </w:r>
      <w:r>
        <w:rPr>
          <w:rFonts w:hint="eastAsia"/>
          <w:color w:val="000000" w:themeColor="text1"/>
          <w:highlight w:val="none"/>
          <w:lang w:val="en-US" w:eastAsia="zh-CN"/>
          <w14:textFill>
            <w14:solidFill>
              <w14:schemeClr w14:val="tx1"/>
            </w14:solidFill>
          </w14:textFill>
        </w:rPr>
        <w:t>。饲料更换逐步过渡，少喂多餐。断奶后继续饲喂</w:t>
      </w:r>
      <w:r>
        <w:rPr>
          <w:rFonts w:hint="default"/>
          <w:color w:val="000000" w:themeColor="text1"/>
          <w:highlight w:val="none"/>
          <w:lang w:val="en-US" w:eastAsia="zh-CN"/>
          <w14:textFill>
            <w14:solidFill>
              <w14:schemeClr w14:val="tx1"/>
            </w14:solidFill>
          </w14:textFill>
        </w:rPr>
        <w:t>7d</w:t>
      </w:r>
      <w:r>
        <w:rPr>
          <w:rFonts w:hint="eastAsia"/>
          <w:color w:val="000000" w:themeColor="text1"/>
          <w:highlight w:val="none"/>
          <w:lang w:val="en-US" w:eastAsia="zh-CN"/>
          <w14:textFill>
            <w14:solidFill>
              <w14:schemeClr w14:val="tx1"/>
            </w14:solidFill>
          </w14:textFill>
        </w:rPr>
        <w:t>的乳猪料，在此期间逐渐增加小猪料的比例，使饲料在7</w:t>
      </w:r>
      <w:r>
        <w:rPr>
          <w:rFonts w:hint="default"/>
          <w:color w:val="000000" w:themeColor="text1"/>
          <w:highlight w:val="none"/>
          <w:lang w:val="en-US" w:eastAsia="zh-CN"/>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10d</w:t>
      </w:r>
      <w:r>
        <w:rPr>
          <w:rFonts w:hint="eastAsia"/>
          <w:color w:val="000000" w:themeColor="text1"/>
          <w:highlight w:val="none"/>
          <w:lang w:val="en-US" w:eastAsia="zh-CN"/>
          <w14:textFill>
            <w14:solidFill>
              <w14:schemeClr w14:val="tx1"/>
            </w14:solidFill>
          </w14:textFill>
        </w:rPr>
        <w:t xml:space="preserve">内逐渐转换过来。保持猪舍清洁、干燥，冬季采取水暖管和取暖灯保温。供给充足清洁的饮水。 </w:t>
      </w:r>
    </w:p>
    <w:p w14:paraId="65D5929F">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w:t>
      </w:r>
      <w:r>
        <w:rPr>
          <w:rFonts w:hint="default"/>
          <w:color w:val="000000" w:themeColor="text1"/>
          <w:highlight w:val="none"/>
          <w:lang w:val="en-US" w:eastAsia="zh-CN"/>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）猪舍清洗</w:t>
      </w:r>
    </w:p>
    <w:p w14:paraId="1CECC046">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猪舍每天需要清理，粪便的清理采用干清粪工艺。该工艺可以减少耗水量和废水产生量。</w:t>
      </w:r>
    </w:p>
    <w:p w14:paraId="3C53E508">
      <w:pPr>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全场采用全漏缝、半漏缝地板将粪尿分开，实行机械清粪，勤清勤扫，减少臭气散发。严格控制冲圈用水量，采用先清粪再冲圈的卫生方式，从源头减少粪水中的固体物质。本工程采用干清粪工艺满足《畜禽养殖业污染防治技术规范》要求</w:t>
      </w:r>
    </w:p>
    <w:p w14:paraId="717AFC22">
      <w:pPr>
        <w:pStyle w:val="4"/>
        <w:rPr>
          <w:color w:val="000000" w:themeColor="text1"/>
          <w:highlight w:val="none"/>
          <w14:textFill>
            <w14:solidFill>
              <w14:schemeClr w14:val="tx1"/>
            </w14:solidFill>
          </w14:textFill>
        </w:rPr>
      </w:pPr>
      <w:bookmarkStart w:id="122" w:name="_Toc27347"/>
      <w:r>
        <w:rPr>
          <w:rFonts w:hint="eastAsia"/>
          <w:color w:val="000000" w:themeColor="text1"/>
          <w:highlight w:val="none"/>
          <w14:textFill>
            <w14:solidFill>
              <w14:schemeClr w14:val="tx1"/>
            </w14:solidFill>
          </w14:textFill>
        </w:rPr>
        <w:t>3.8.</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粪污处理工艺及资源化流程</w:t>
      </w:r>
      <w:bookmarkEnd w:id="122"/>
    </w:p>
    <w:p w14:paraId="123B1861">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为贯彻落实习近平总书记在中央财经领导小组第</w:t>
      </w:r>
      <w:r>
        <w:rPr>
          <w:color w:val="000000" w:themeColor="text1"/>
          <w:highlight w:val="none"/>
          <w14:textFill>
            <w14:solidFill>
              <w14:schemeClr w14:val="tx1"/>
            </w14:solidFill>
          </w14:textFill>
        </w:rPr>
        <w:t>14</w:t>
      </w:r>
      <w:r>
        <w:rPr>
          <w:rFonts w:hint="eastAsia"/>
          <w:color w:val="000000" w:themeColor="text1"/>
          <w:highlight w:val="none"/>
          <w14:textFill>
            <w14:solidFill>
              <w14:schemeClr w14:val="tx1"/>
            </w14:solidFill>
          </w14:textFill>
        </w:rPr>
        <w:t>次会议上讲话精神和《国务院办公厅关于加快推进畜禽养殖废弃物资源化利用的意见》）（国办发〔</w:t>
      </w:r>
      <w:r>
        <w:rPr>
          <w:color w:val="000000" w:themeColor="text1"/>
          <w:highlight w:val="none"/>
          <w14:textFill>
            <w14:solidFill>
              <w14:schemeClr w14:val="tx1"/>
            </w14:solidFill>
          </w14:textFill>
        </w:rPr>
        <w:t>2017</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48</w:t>
      </w:r>
      <w:r>
        <w:rPr>
          <w:rFonts w:hint="eastAsia"/>
          <w:color w:val="000000" w:themeColor="text1"/>
          <w:highlight w:val="none"/>
          <w14:textFill>
            <w14:solidFill>
              <w14:schemeClr w14:val="tx1"/>
            </w14:solidFill>
          </w14:textFill>
        </w:rPr>
        <w:t>号），深入开展畜禽粪污资源化利用行动，加快推进畜牧业绿色发展，农业部制定了《畜禽粪污资源化利用行动方案（</w:t>
      </w:r>
      <w:r>
        <w:rPr>
          <w:color w:val="000000" w:themeColor="text1"/>
          <w:highlight w:val="none"/>
          <w14:textFill>
            <w14:solidFill>
              <w14:schemeClr w14:val="tx1"/>
            </w14:solidFill>
          </w14:textFill>
        </w:rPr>
        <w:t>2017-2020</w:t>
      </w:r>
      <w:r>
        <w:rPr>
          <w:rFonts w:hint="eastAsia"/>
          <w:color w:val="000000" w:themeColor="text1"/>
          <w:highlight w:val="none"/>
          <w14:textFill>
            <w14:solidFill>
              <w14:schemeClr w14:val="tx1"/>
            </w14:solidFill>
          </w14:textFill>
        </w:rPr>
        <w:t xml:space="preserve">年）》，行动方案中针对新疆水资源短缺区域，农田面积较大，重点推广的技术模式：一是“粪便垫料回用”模式；二是“污水肥料化利用”模式；三是“粪污专业化能源利用”模式。 </w:t>
      </w:r>
    </w:p>
    <w:p w14:paraId="3E9507F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本项目粪污水即采用第二种“污水肥料化利用”模式处理污水。即养殖污水通过三级污粪处理设施贮存进行无害化处理，作为液肥还田。</w:t>
      </w:r>
    </w:p>
    <w:p w14:paraId="5026119F">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“污水肥料化利用”模式工艺流程见图3.8-</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w:t>
      </w:r>
    </w:p>
    <w:p w14:paraId="412759B9">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752725" cy="2486025"/>
            <wp:effectExtent l="0" t="0" r="9525" b="9525"/>
            <wp:docPr id="5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1"/>
                    <pic:cNvPicPr>
                      <a:picLocks noChangeAspect="1"/>
                    </pic:cNvPicPr>
                  </pic:nvPicPr>
                  <pic:blipFill>
                    <a:blip r:embed="rId32"/>
                    <a:stretch>
                      <a:fillRect/>
                    </a:stretch>
                  </pic:blipFill>
                  <pic:spPr>
                    <a:xfrm>
                      <a:off x="0" y="0"/>
                      <a:ext cx="2752725" cy="2486025"/>
                    </a:xfrm>
                    <a:prstGeom prst="rect">
                      <a:avLst/>
                    </a:prstGeom>
                    <a:noFill/>
                    <a:ln>
                      <a:noFill/>
                    </a:ln>
                  </pic:spPr>
                </pic:pic>
              </a:graphicData>
            </a:graphic>
          </wp:inline>
        </w:drawing>
      </w:r>
    </w:p>
    <w:p w14:paraId="31783E45">
      <w:pPr>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图3.8-</w:t>
      </w:r>
      <w:r>
        <w:rPr>
          <w:rFonts w:hint="eastAsia"/>
          <w:b/>
          <w:bCs/>
          <w:color w:val="000000" w:themeColor="text1"/>
          <w:sz w:val="21"/>
          <w:szCs w:val="21"/>
          <w:highlight w:val="none"/>
          <w:lang w:val="en-US" w:eastAsia="zh-CN"/>
          <w14:textFill>
            <w14:solidFill>
              <w14:schemeClr w14:val="tx1"/>
            </w14:solidFill>
          </w14:textFill>
        </w:rPr>
        <w:t>2</w:t>
      </w:r>
      <w:r>
        <w:rPr>
          <w:rFonts w:hint="eastAsia"/>
          <w:b/>
          <w:bCs/>
          <w:color w:val="000000" w:themeColor="text1"/>
          <w:sz w:val="21"/>
          <w:szCs w:val="21"/>
          <w:highlight w:val="none"/>
          <w14:textFill>
            <w14:solidFill>
              <w14:schemeClr w14:val="tx1"/>
            </w14:solidFill>
          </w14:textFill>
        </w:rPr>
        <w:t xml:space="preserve">  粪处理利用工艺流程图</w:t>
      </w:r>
    </w:p>
    <w:p w14:paraId="0DD59D4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粪肥处理工艺：猪场圈舍粪便经过</w:t>
      </w:r>
      <w:r>
        <w:rPr>
          <w:rFonts w:hint="eastAsia"/>
          <w:color w:val="000000" w:themeColor="text1"/>
          <w:highlight w:val="none"/>
          <w:lang w:eastAsia="zh-CN"/>
          <w14:textFill>
            <w14:solidFill>
              <w14:schemeClr w14:val="tx1"/>
            </w14:solidFill>
          </w14:textFill>
        </w:rPr>
        <w:t>半漏板</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虹吸管道吸入集粪池后，粪尿混合物通过固液分离机分离，其中液体部分汇入污水处理系统进行充分发酵腐熟，通过微生物作用，进一步无害化处理制成最终可以施用的液体有机肥，用于农田施肥；固体部分运至堆粪场进行堆肥处理，最终出售给农户，施用于农田。</w:t>
      </w:r>
    </w:p>
    <w:p w14:paraId="67CCEC4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液体肥料的主要成分为含</w:t>
      </w:r>
      <w:r>
        <w:rPr>
          <w:color w:val="000000" w:themeColor="text1"/>
          <w:highlight w:val="none"/>
          <w14:textFill>
            <w14:solidFill>
              <w14:schemeClr w14:val="tx1"/>
            </w14:solidFill>
          </w14:textFill>
        </w:rPr>
        <w:t>N</w:t>
      </w:r>
      <w:r>
        <w:rPr>
          <w:rFonts w:hint="eastAsia"/>
          <w:color w:val="000000" w:themeColor="text1"/>
          <w:highlight w:val="none"/>
          <w14:textFill>
            <w14:solidFill>
              <w14:schemeClr w14:val="tx1"/>
            </w14:solidFill>
          </w14:textFill>
        </w:rPr>
        <w:t>、含</w:t>
      </w:r>
      <w:r>
        <w:rPr>
          <w:color w:val="000000" w:themeColor="text1"/>
          <w:highlight w:val="none"/>
          <w14:textFill>
            <w14:solidFill>
              <w14:schemeClr w14:val="tx1"/>
            </w14:solidFill>
          </w14:textFill>
        </w:rPr>
        <w:t>P</w:t>
      </w:r>
      <w:r>
        <w:rPr>
          <w:rFonts w:hint="eastAsia"/>
          <w:color w:val="000000" w:themeColor="text1"/>
          <w:highlight w:val="none"/>
          <w14:textFill>
            <w14:solidFill>
              <w14:schemeClr w14:val="tx1"/>
            </w14:solidFill>
          </w14:textFill>
        </w:rPr>
        <w:t>等富含土壤所需营养的组分，固体粪便主要成分为有机质。</w:t>
      </w:r>
    </w:p>
    <w:p w14:paraId="7812178E">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3.8.</w:t>
      </w:r>
      <w:r>
        <w:rPr>
          <w:rFonts w:hint="eastAsia"/>
          <w:b/>
          <w:bCs/>
          <w:color w:val="000000" w:themeColor="text1"/>
          <w:highlight w:val="none"/>
          <w:lang w:val="en-US" w:eastAsia="zh-CN"/>
          <w14:textFill>
            <w14:solidFill>
              <w14:schemeClr w14:val="tx1"/>
            </w14:solidFill>
          </w14:textFill>
        </w:rPr>
        <w:t>5</w:t>
      </w:r>
      <w:r>
        <w:rPr>
          <w:rFonts w:hint="eastAsia"/>
          <w:b/>
          <w:bCs/>
          <w:color w:val="000000" w:themeColor="text1"/>
          <w:highlight w:val="none"/>
          <w14:textFill>
            <w14:solidFill>
              <w14:schemeClr w14:val="tx1"/>
            </w14:solidFill>
          </w14:textFill>
        </w:rPr>
        <w:t>.1固液分离系统</w:t>
      </w:r>
    </w:p>
    <w:p w14:paraId="31401978">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猪舍粪便经漏缝地板</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虹吸管道排放至集污池内，集污池内安装有潜水搅拌机及潜水切割泵，经过搅拌机的混合，由进料切割泵把混合均匀的粪污提升至固液分离机，经固液分离机挤压分离，产生的固体粪便进入堆肥发酵区进行发酵生产固体肥料，液体进入场内的黑膜池进行发酵处理制成液体肥料，用于周边农田施肥，固液分离系统断面示意见图3.8-</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w:t>
      </w:r>
    </w:p>
    <w:p w14:paraId="56084EE9">
      <w:pPr>
        <w:pStyle w:val="14"/>
        <w:rPr>
          <w:rFonts w:hint="eastAsia"/>
          <w:color w:val="000000" w:themeColor="text1"/>
          <w:highlight w:val="none"/>
          <w14:textFill>
            <w14:solidFill>
              <w14:schemeClr w14:val="tx1"/>
            </w14:solidFill>
          </w14:textFill>
        </w:rPr>
      </w:pPr>
    </w:p>
    <w:p w14:paraId="155E26BC">
      <w:pPr>
        <w:rPr>
          <w:rFonts w:hint="eastAsia"/>
          <w:color w:val="000000" w:themeColor="text1"/>
          <w:highlight w:val="none"/>
          <w14:textFill>
            <w14:solidFill>
              <w14:schemeClr w14:val="tx1"/>
            </w14:solidFill>
          </w14:textFill>
        </w:rPr>
      </w:pPr>
    </w:p>
    <w:p w14:paraId="441AC204">
      <w:pPr>
        <w:pStyle w:val="14"/>
        <w:rPr>
          <w:rFonts w:hint="eastAsia"/>
          <w:color w:val="000000" w:themeColor="text1"/>
          <w:highlight w:val="none"/>
          <w14:textFill>
            <w14:solidFill>
              <w14:schemeClr w14:val="tx1"/>
            </w14:solidFill>
          </w14:textFill>
        </w:rPr>
      </w:pPr>
    </w:p>
    <w:p w14:paraId="73E1A93B">
      <w:pPr>
        <w:rPr>
          <w:rFonts w:hint="eastAsia"/>
          <w:color w:val="000000" w:themeColor="text1"/>
          <w:highlight w:val="none"/>
          <w14:textFill>
            <w14:solidFill>
              <w14:schemeClr w14:val="tx1"/>
            </w14:solidFill>
          </w14:textFill>
        </w:rPr>
      </w:pPr>
    </w:p>
    <w:p w14:paraId="650125AA">
      <w:pPr>
        <w:pStyle w:val="14"/>
        <w:rPr>
          <w:rFonts w:hint="eastAsia"/>
          <w:color w:val="000000" w:themeColor="text1"/>
          <w:highlight w:val="none"/>
          <w14:textFill>
            <w14:solidFill>
              <w14:schemeClr w14:val="tx1"/>
            </w14:solidFill>
          </w14:textFill>
        </w:rPr>
      </w:pPr>
    </w:p>
    <w:p w14:paraId="7D7084A4">
      <w:pPr>
        <w:rPr>
          <w:rFonts w:hint="eastAsia"/>
          <w:color w:val="000000" w:themeColor="text1"/>
          <w:highlight w:val="none"/>
          <w14:textFill>
            <w14:solidFill>
              <w14:schemeClr w14:val="tx1"/>
            </w14:solidFill>
          </w14:textFill>
        </w:rPr>
      </w:pPr>
    </w:p>
    <w:p w14:paraId="1B1D0E14">
      <w:pPr>
        <w:rPr>
          <w:color w:val="000000" w:themeColor="text1"/>
          <w:highlight w:val="none"/>
          <w14:textFill>
            <w14:solidFill>
              <w14:schemeClr w14:val="tx1"/>
            </w14:solidFill>
          </w14:textFill>
        </w:rPr>
      </w:pPr>
    </w:p>
    <w:p w14:paraId="70AA761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anchor distT="0" distB="0" distL="114300" distR="114300" simplePos="0" relativeHeight="251696128" behindDoc="0" locked="0" layoutInCell="1" allowOverlap="1">
            <wp:simplePos x="0" y="0"/>
            <wp:positionH relativeFrom="column">
              <wp:posOffset>-19685</wp:posOffset>
            </wp:positionH>
            <wp:positionV relativeFrom="paragraph">
              <wp:posOffset>-11430</wp:posOffset>
            </wp:positionV>
            <wp:extent cx="5363210" cy="3488690"/>
            <wp:effectExtent l="0" t="0" r="8890" b="16510"/>
            <wp:wrapNone/>
            <wp:docPr id="107"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6"/>
                    <pic:cNvPicPr>
                      <a:picLocks noChangeAspect="1"/>
                    </pic:cNvPicPr>
                  </pic:nvPicPr>
                  <pic:blipFill>
                    <a:blip r:embed="rId33"/>
                    <a:stretch>
                      <a:fillRect/>
                    </a:stretch>
                  </pic:blipFill>
                  <pic:spPr>
                    <a:xfrm>
                      <a:off x="0" y="0"/>
                      <a:ext cx="5363210" cy="3488690"/>
                    </a:xfrm>
                    <a:prstGeom prst="rect">
                      <a:avLst/>
                    </a:prstGeom>
                    <a:noFill/>
                    <a:ln>
                      <a:noFill/>
                    </a:ln>
                  </pic:spPr>
                </pic:pic>
              </a:graphicData>
            </a:graphic>
          </wp:anchor>
        </w:drawing>
      </w:r>
    </w:p>
    <w:p w14:paraId="011647AB">
      <w:pPr>
        <w:rPr>
          <w:color w:val="000000" w:themeColor="text1"/>
          <w:highlight w:val="none"/>
          <w14:textFill>
            <w14:solidFill>
              <w14:schemeClr w14:val="tx1"/>
            </w14:solidFill>
          </w14:textFill>
        </w:rPr>
      </w:pPr>
    </w:p>
    <w:p w14:paraId="7B8526BB">
      <w:pPr>
        <w:rPr>
          <w:color w:val="000000" w:themeColor="text1"/>
          <w:highlight w:val="none"/>
          <w14:textFill>
            <w14:solidFill>
              <w14:schemeClr w14:val="tx1"/>
            </w14:solidFill>
          </w14:textFill>
        </w:rPr>
      </w:pPr>
    </w:p>
    <w:p w14:paraId="7DC2813D">
      <w:pPr>
        <w:rPr>
          <w:color w:val="000000" w:themeColor="text1"/>
          <w:highlight w:val="none"/>
          <w14:textFill>
            <w14:solidFill>
              <w14:schemeClr w14:val="tx1"/>
            </w14:solidFill>
          </w14:textFill>
        </w:rPr>
      </w:pPr>
    </w:p>
    <w:p w14:paraId="5860FE84">
      <w:pPr>
        <w:rPr>
          <w:color w:val="000000" w:themeColor="text1"/>
          <w:highlight w:val="none"/>
          <w14:textFill>
            <w14:solidFill>
              <w14:schemeClr w14:val="tx1"/>
            </w14:solidFill>
          </w14:textFill>
        </w:rPr>
      </w:pPr>
    </w:p>
    <w:p w14:paraId="70A1C2C1">
      <w:pPr>
        <w:pStyle w:val="16"/>
        <w:rPr>
          <w:color w:val="000000" w:themeColor="text1"/>
          <w:highlight w:val="none"/>
          <w14:textFill>
            <w14:solidFill>
              <w14:schemeClr w14:val="tx1"/>
            </w14:solidFill>
          </w14:textFill>
        </w:rPr>
      </w:pPr>
    </w:p>
    <w:p w14:paraId="354BAA9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图</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.8</w:t>
      </w:r>
      <w:r>
        <w:rPr>
          <w:rFonts w:hint="eastAsia"/>
          <w:b/>
          <w:bCs/>
          <w:color w:val="000000" w:themeColor="text1"/>
          <w:sz w:val="21"/>
          <w:szCs w:val="21"/>
          <w:highlight w:val="none"/>
          <w:lang w:val="en-US" w:eastAsia="zh-CN"/>
          <w14:textFill>
            <w14:solidFill>
              <w14:schemeClr w14:val="tx1"/>
            </w14:solidFill>
          </w14:textFill>
        </w:rPr>
        <w:t>-6</w:t>
      </w:r>
      <w:r>
        <w:rPr>
          <w:b/>
          <w:bCs/>
          <w:color w:val="000000" w:themeColor="text1"/>
          <w:sz w:val="21"/>
          <w:szCs w:val="21"/>
          <w:highlight w:val="none"/>
          <w14:textFill>
            <w14:solidFill>
              <w14:schemeClr w14:val="tx1"/>
            </w14:solidFill>
          </w14:textFill>
        </w:rPr>
        <w:t xml:space="preserve">   固液分离系统断面示意图</w:t>
      </w:r>
    </w:p>
    <w:p w14:paraId="42393BB2">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 xml:space="preserve">3.8.4.2污水处理工艺流程及产污环节 </w:t>
      </w:r>
    </w:p>
    <w:p w14:paraId="77B3703F">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本项目污水处理工艺采用固液分离池</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黑膜池厌氧发酵处理，处理后的沼液用于农田施肥，不外排。污水处理工艺流程图如下：</w:t>
      </w:r>
    </w:p>
    <w:p w14:paraId="01DBE51C">
      <w:pPr>
        <w:pStyle w:val="14"/>
        <w:rPr>
          <w:color w:val="000000" w:themeColor="text1"/>
          <w:highlight w:val="none"/>
          <w14:textFill>
            <w14:solidFill>
              <w14:schemeClr w14:val="tx1"/>
            </w14:solidFill>
          </w14:textFill>
        </w:rPr>
      </w:pPr>
    </w:p>
    <w:p w14:paraId="2DCE748A">
      <w:pPr>
        <w:rPr>
          <w:color w:val="000000" w:themeColor="text1"/>
          <w:highlight w:val="none"/>
          <w14:textFill>
            <w14:solidFill>
              <w14:schemeClr w14:val="tx1"/>
            </w14:solidFill>
          </w14:textFill>
        </w:rPr>
      </w:pPr>
    </w:p>
    <w:p w14:paraId="762D1E3A">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图</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.8</w:t>
      </w:r>
      <w:r>
        <w:rPr>
          <w:rFonts w:hint="eastAsia"/>
          <w:b/>
          <w:bCs/>
          <w:color w:val="000000" w:themeColor="text1"/>
          <w:sz w:val="21"/>
          <w:szCs w:val="21"/>
          <w:highlight w:val="none"/>
          <w:lang w:val="en-US" w:eastAsia="zh-CN"/>
          <w14:textFill>
            <w14:solidFill>
              <w14:schemeClr w14:val="tx1"/>
            </w14:solidFill>
          </w14:textFill>
        </w:rPr>
        <w:t>-3</w:t>
      </w:r>
      <w:r>
        <w:rPr>
          <w:b/>
          <w:bCs/>
          <w:color w:val="000000" w:themeColor="text1"/>
          <w:sz w:val="21"/>
          <w:szCs w:val="21"/>
          <w:highlight w:val="none"/>
          <w14:textFill>
            <w14:solidFill>
              <w14:schemeClr w14:val="tx1"/>
            </w14:solidFill>
          </w14:textFill>
        </w:rPr>
        <w:t xml:space="preserve">  固液分离系统断面示意图</w:t>
      </w:r>
    </w:p>
    <w:p w14:paraId="002FE8A7">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3.8.</w:t>
      </w:r>
      <w:r>
        <w:rPr>
          <w:rFonts w:hint="eastAsia"/>
          <w:b/>
          <w:bCs/>
          <w:color w:val="000000" w:themeColor="text1"/>
          <w:highlight w:val="none"/>
          <w:lang w:val="en-US" w:eastAsia="zh-CN"/>
          <w14:textFill>
            <w14:solidFill>
              <w14:schemeClr w14:val="tx1"/>
            </w14:solidFill>
          </w14:textFill>
        </w:rPr>
        <w:t>2</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2</w:t>
      </w:r>
      <w:r>
        <w:rPr>
          <w:rFonts w:hint="eastAsia"/>
          <w:b/>
          <w:bCs/>
          <w:color w:val="000000" w:themeColor="text1"/>
          <w:highlight w:val="none"/>
          <w14:textFill>
            <w14:solidFill>
              <w14:schemeClr w14:val="tx1"/>
            </w14:solidFill>
          </w14:textFill>
        </w:rPr>
        <w:t>粪污水处理工艺流程及产污环节</w:t>
      </w:r>
    </w:p>
    <w:p w14:paraId="2382BAF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工作原理</w:t>
      </w:r>
    </w:p>
    <w:p w14:paraId="2559657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本项目污水拟采用</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处理工艺处理，在开挖好的土方基础上，采用优质HDPE材料，由底膜和顶膜密封形成的全封闭厌氧反应器，下部为厌氧发酵区（设置排渣口、排液口）、上部为沼气存储区。</w:t>
      </w:r>
    </w:p>
    <w:tbl>
      <w:tblPr>
        <w:tblStyle w:val="33"/>
        <w:tblW w:w="7300" w:type="dxa"/>
        <w:jc w:val="center"/>
        <w:tblLayout w:type="fixed"/>
        <w:tblCellMar>
          <w:top w:w="0" w:type="dxa"/>
          <w:left w:w="108" w:type="dxa"/>
          <w:bottom w:w="0" w:type="dxa"/>
          <w:right w:w="108" w:type="dxa"/>
        </w:tblCellMar>
      </w:tblPr>
      <w:tblGrid>
        <w:gridCol w:w="7300"/>
      </w:tblGrid>
      <w:tr w14:paraId="42F6EFA0">
        <w:tblPrEx>
          <w:tblCellMar>
            <w:top w:w="0" w:type="dxa"/>
            <w:left w:w="108" w:type="dxa"/>
            <w:bottom w:w="0" w:type="dxa"/>
            <w:right w:w="108" w:type="dxa"/>
          </w:tblCellMar>
        </w:tblPrEx>
        <w:trPr>
          <w:trHeight w:val="5330" w:hRule="atLeast"/>
          <w:jc w:val="center"/>
        </w:trPr>
        <w:tc>
          <w:tcPr>
            <w:tcW w:w="7300" w:type="dxa"/>
          </w:tcPr>
          <w:p w14:paraId="233EC6F7">
            <w:pPr>
              <w:rPr>
                <w:color w:val="000000" w:themeColor="text1"/>
                <w:highlight w:val="none"/>
                <w:shd w:val="clear" w:color="FFFFFF" w:fill="D9D9D9"/>
                <w14:textFill>
                  <w14:solidFill>
                    <w14:schemeClr w14:val="tx1"/>
                  </w14:solidFill>
                </w14:textFill>
              </w:rPr>
            </w:pPr>
            <w:r>
              <w:rPr>
                <w:color w:val="000000" w:themeColor="text1"/>
                <w:highlight w:val="none"/>
                <w:shd w:val="clear" w:color="FFFFFF" w:fill="D9D9D9"/>
                <w14:textFill>
                  <w14:solidFill>
                    <w14:schemeClr w14:val="tx1"/>
                  </w14:solidFill>
                </w14:textFill>
              </w:rPr>
              <w:drawing>
                <wp:inline distT="0" distB="0" distL="114300" distR="114300">
                  <wp:extent cx="4251960" cy="3082290"/>
                  <wp:effectExtent l="0" t="0" r="15240" b="3810"/>
                  <wp:docPr id="1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7"/>
                          <pic:cNvPicPr>
                            <a:picLocks noChangeAspect="1"/>
                          </pic:cNvPicPr>
                        </pic:nvPicPr>
                        <pic:blipFill>
                          <a:blip r:embed="rId34"/>
                          <a:stretch>
                            <a:fillRect/>
                          </a:stretch>
                        </pic:blipFill>
                        <pic:spPr>
                          <a:xfrm>
                            <a:off x="0" y="0"/>
                            <a:ext cx="4251960" cy="3082290"/>
                          </a:xfrm>
                          <a:prstGeom prst="rect">
                            <a:avLst/>
                          </a:prstGeom>
                          <a:noFill/>
                          <a:ln>
                            <a:noFill/>
                          </a:ln>
                        </pic:spPr>
                      </pic:pic>
                    </a:graphicData>
                  </a:graphic>
                </wp:inline>
              </w:drawing>
            </w:r>
          </w:p>
        </w:tc>
      </w:tr>
      <w:tr w14:paraId="65674F31">
        <w:tblPrEx>
          <w:tblCellMar>
            <w:top w:w="0" w:type="dxa"/>
            <w:left w:w="108" w:type="dxa"/>
            <w:bottom w:w="0" w:type="dxa"/>
            <w:right w:w="108" w:type="dxa"/>
          </w:tblCellMar>
        </w:tblPrEx>
        <w:trPr>
          <w:trHeight w:val="333" w:hRule="atLeast"/>
          <w:jc w:val="center"/>
        </w:trPr>
        <w:tc>
          <w:tcPr>
            <w:tcW w:w="7300" w:type="dxa"/>
          </w:tcPr>
          <w:p w14:paraId="53A22C75">
            <w:pPr>
              <w:spacing w:line="240" w:lineRule="auto"/>
              <w:jc w:val="center"/>
              <w:rPr>
                <w:b/>
                <w:bCs/>
                <w:color w:val="000000" w:themeColor="text1"/>
                <w:sz w:val="21"/>
                <w:szCs w:val="21"/>
                <w:highlight w:val="none"/>
                <w:shd w:val="clear" w:color="FFFFFF" w:fill="D9D9D9"/>
                <w14:textFill>
                  <w14:solidFill>
                    <w14:schemeClr w14:val="tx1"/>
                  </w14:solidFill>
                </w14:textFill>
              </w:rPr>
            </w:pPr>
            <w:r>
              <w:rPr>
                <w:b/>
                <w:bCs/>
                <w:color w:val="000000" w:themeColor="text1"/>
                <w:sz w:val="21"/>
                <w:szCs w:val="21"/>
                <w:highlight w:val="none"/>
                <w:shd w:val="clear" w:color="FFFFFF" w:fill="D9D9D9"/>
                <w14:textFill>
                  <w14:solidFill>
                    <w14:schemeClr w14:val="tx1"/>
                  </w14:solidFill>
                </w14:textFill>
              </w:rPr>
              <w:t>图</w:t>
            </w:r>
            <w:r>
              <w:rPr>
                <w:rFonts w:hint="eastAsia"/>
                <w:b/>
                <w:bCs/>
                <w:color w:val="000000" w:themeColor="text1"/>
                <w:sz w:val="21"/>
                <w:szCs w:val="21"/>
                <w:highlight w:val="none"/>
                <w:shd w:val="clear" w:color="FFFFFF" w:fill="D9D9D9"/>
                <w14:textFill>
                  <w14:solidFill>
                    <w14:schemeClr w14:val="tx1"/>
                  </w14:solidFill>
                </w14:textFill>
              </w:rPr>
              <w:t>3.8-</w:t>
            </w:r>
            <w:r>
              <w:rPr>
                <w:rFonts w:hint="eastAsia"/>
                <w:b/>
                <w:bCs/>
                <w:color w:val="000000" w:themeColor="text1"/>
                <w:sz w:val="21"/>
                <w:szCs w:val="21"/>
                <w:highlight w:val="none"/>
                <w:shd w:val="clear" w:color="FFFFFF" w:fill="D9D9D9"/>
                <w:lang w:val="en-US" w:eastAsia="zh-CN"/>
                <w14:textFill>
                  <w14:solidFill>
                    <w14:schemeClr w14:val="tx1"/>
                  </w14:solidFill>
                </w14:textFill>
              </w:rPr>
              <w:t>4</w:t>
            </w:r>
            <w:r>
              <w:rPr>
                <w:b/>
                <w:bCs/>
                <w:color w:val="000000" w:themeColor="text1"/>
                <w:sz w:val="21"/>
                <w:szCs w:val="21"/>
                <w:highlight w:val="none"/>
                <w:shd w:val="clear" w:color="FFFFFF" w:fill="D9D9D9"/>
                <w14:textFill>
                  <w14:solidFill>
                    <w14:schemeClr w14:val="tx1"/>
                  </w14:solidFill>
                </w14:textFill>
              </w:rPr>
              <w:t xml:space="preserve"> </w:t>
            </w:r>
            <w:r>
              <w:rPr>
                <w:rFonts w:hint="eastAsia"/>
                <w:b/>
                <w:bCs/>
                <w:color w:val="000000" w:themeColor="text1"/>
                <w:sz w:val="21"/>
                <w:szCs w:val="21"/>
                <w:highlight w:val="none"/>
                <w:shd w:val="clear" w:color="FFFFFF" w:fill="D9D9D9"/>
                <w14:textFill>
                  <w14:solidFill>
                    <w14:schemeClr w14:val="tx1"/>
                  </w14:solidFill>
                </w14:textFill>
              </w:rPr>
              <w:t xml:space="preserve"> 黑膜池</w:t>
            </w:r>
            <w:r>
              <w:rPr>
                <w:b/>
                <w:bCs/>
                <w:color w:val="000000" w:themeColor="text1"/>
                <w:sz w:val="21"/>
                <w:szCs w:val="21"/>
                <w:highlight w:val="none"/>
                <w:shd w:val="clear" w:color="FFFFFF" w:fill="D9D9D9"/>
                <w14:textFill>
                  <w14:solidFill>
                    <w14:schemeClr w14:val="tx1"/>
                  </w14:solidFill>
                </w14:textFill>
              </w:rPr>
              <w:t>示意图</w:t>
            </w:r>
          </w:p>
        </w:tc>
      </w:tr>
    </w:tbl>
    <w:p w14:paraId="0DE9856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顶部的沼气隔温和地埋式</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具有冬季相对恒温的特点，池内污水温度受外界影响较小，冬季不需采取保温措施。</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主体工程位于地面以下，顶部、底部用黑膜密封，和外界环境气温不流通，形成独特的小气候，经调查在室外温度2℃，进水温度15.8℃的环境中，经</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发酵后的出水温度达19℃；在室外温度-1℃，进水温度13.6℃的环境中，经</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发酵后的出水温度达17.9℃。污水在池内的滞留期长（35d），厌氧发酵充分，可收集的沼气量多，COD去除率可达到90%以上。</w:t>
      </w:r>
    </w:p>
    <w:p w14:paraId="2978B4E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容积可行性分析</w:t>
      </w:r>
    </w:p>
    <w:p w14:paraId="13F8B381">
      <w:pPr>
        <w:ind w:firstLine="480" w:firstLineChars="200"/>
        <w:rPr>
          <w:color w:val="000000" w:themeColor="text1"/>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根据水平衡分析数据，按废水平均产生量</w:t>
      </w:r>
      <w:r>
        <w:rPr>
          <w:rFonts w:hint="eastAsia" w:cs="宋体"/>
          <w:b w:val="0"/>
          <w:bCs w:val="0"/>
          <w:color w:val="000000" w:themeColor="text1"/>
          <w:kern w:val="0"/>
          <w:szCs w:val="24"/>
          <w:highlight w:val="none"/>
          <w:lang w:val="en-US" w:eastAsia="zh-CN"/>
          <w14:textFill>
            <w14:solidFill>
              <w14:schemeClr w14:val="tx1"/>
            </w14:solidFill>
          </w14:textFill>
        </w:rPr>
        <w:t>124.44</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/d，同时考虑废水处理的不稳定性，日处理系数按1.1计，</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黑膜池</w:t>
      </w:r>
      <w:r>
        <w:rPr>
          <w:rFonts w:ascii="Times New Roman" w:hAnsi="Times New Roman" w:eastAsia="宋体" w:cs="宋体"/>
          <w:b w:val="0"/>
          <w:bCs w:val="0"/>
          <w:color w:val="000000" w:themeColor="text1"/>
          <w:kern w:val="0"/>
          <w:szCs w:val="24"/>
          <w:highlight w:val="none"/>
          <w14:textFill>
            <w14:solidFill>
              <w14:schemeClr w14:val="tx1"/>
            </w14:solidFill>
          </w14:textFill>
        </w:rPr>
        <w:t>的厌氧周期为35天，根据以上数据计算，所需</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黑膜池</w:t>
      </w:r>
      <w:r>
        <w:rPr>
          <w:rFonts w:ascii="Times New Roman" w:hAnsi="Times New Roman" w:eastAsia="宋体" w:cs="宋体"/>
          <w:b w:val="0"/>
          <w:bCs w:val="0"/>
          <w:color w:val="000000" w:themeColor="text1"/>
          <w:kern w:val="0"/>
          <w:szCs w:val="24"/>
          <w:highlight w:val="none"/>
          <w14:textFill>
            <w14:solidFill>
              <w14:schemeClr w14:val="tx1"/>
            </w14:solidFill>
          </w14:textFill>
        </w:rPr>
        <w:t>的容积为</w:t>
      </w:r>
      <w:r>
        <w:rPr>
          <w:rFonts w:hint="eastAsia" w:cs="宋体"/>
          <w:b w:val="0"/>
          <w:bCs w:val="0"/>
          <w:color w:val="000000" w:themeColor="text1"/>
          <w:kern w:val="0"/>
          <w:szCs w:val="24"/>
          <w:highlight w:val="none"/>
          <w:lang w:val="en-US" w:eastAsia="zh-CN"/>
          <w14:textFill>
            <w14:solidFill>
              <w14:schemeClr w14:val="tx1"/>
            </w14:solidFill>
          </w14:textFill>
        </w:rPr>
        <w:t>4790.94</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w:t>
      </w:r>
      <w:r>
        <w:rPr>
          <w:rFonts w:eastAsia="宋体" w:cs="宋体"/>
          <w:color w:val="000000" w:themeColor="text1"/>
          <w:highlight w:val="none"/>
          <w14:textFill>
            <w14:solidFill>
              <w14:schemeClr w14:val="tx1"/>
            </w14:solidFill>
          </w14:textFill>
        </w:rPr>
        <w:t>设计</w:t>
      </w:r>
      <w:r>
        <w:rPr>
          <w:rFonts w:hint="eastAsia" w:eastAsia="宋体" w:cs="宋体"/>
          <w:color w:val="000000" w:themeColor="text1"/>
          <w:highlight w:val="none"/>
          <w:lang w:val="en-US" w:eastAsia="zh-CN"/>
          <w14:textFill>
            <w14:solidFill>
              <w14:schemeClr w14:val="tx1"/>
            </w14:solidFill>
          </w14:textFill>
        </w:rPr>
        <w:t>11125</w:t>
      </w:r>
      <w:r>
        <w:rPr>
          <w:rFonts w:eastAsia="宋体" w:cs="宋体"/>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黑膜池2座</w:t>
      </w:r>
      <w:r>
        <w:rPr>
          <w:color w:val="000000" w:themeColor="text1"/>
          <w:highlight w:val="none"/>
          <w14:textFill>
            <w14:solidFill>
              <w14:schemeClr w14:val="tx1"/>
            </w14:solidFill>
          </w14:textFill>
        </w:rPr>
        <w:t>，深度为</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m，能够满足污水处理需求。</w:t>
      </w:r>
    </w:p>
    <w:p w14:paraId="6164B66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生产工艺</w:t>
      </w:r>
    </w:p>
    <w:p w14:paraId="3180AAB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猪尿、猪舍冲洗水、生活污水在</w:t>
      </w:r>
      <w:r>
        <w:rPr>
          <w:rFonts w:hint="eastAsia"/>
          <w:color w:val="000000" w:themeColor="text1"/>
          <w:highlight w:val="none"/>
          <w:lang w:eastAsia="zh-CN"/>
          <w14:textFill>
            <w14:solidFill>
              <w14:schemeClr w14:val="tx1"/>
            </w14:solidFill>
          </w14:textFill>
        </w:rPr>
        <w:t>集粪池</w:t>
      </w:r>
      <w:r>
        <w:rPr>
          <w:rFonts w:hint="eastAsia"/>
          <w:color w:val="000000" w:themeColor="text1"/>
          <w:highlight w:val="none"/>
          <w14:textFill>
            <w14:solidFill>
              <w14:schemeClr w14:val="tx1"/>
            </w14:solidFill>
          </w14:textFill>
        </w:rPr>
        <w:t>收集</w:t>
      </w:r>
      <w:r>
        <w:rPr>
          <w:color w:val="000000" w:themeColor="text1"/>
          <w:highlight w:val="none"/>
          <w14:textFill>
            <w14:solidFill>
              <w14:schemeClr w14:val="tx1"/>
            </w14:solidFill>
          </w14:textFill>
        </w:rPr>
        <w:t>后，密闭输送至</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进行固液分离，液体全部进入</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进行厌氧发酵处理。利用</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的大容积，在厌氧条件下，微生物与污水有足够的接触时间进行反应（35d），从而最大程度上降解污水中的有机物。经</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厌氧发酵处理后，沼液在施肥季节进行综合利用，在非施肥季节于场内</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中暂存，不外排；沼渣运至</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与固态粪便一起经堆肥处理后作为有机肥原料外售；</w:t>
      </w:r>
    </w:p>
    <w:p w14:paraId="5A53A0E7">
      <w:pPr>
        <w:pStyle w:val="4"/>
        <w:rPr>
          <w:color w:val="000000" w:themeColor="text1"/>
          <w:highlight w:val="none"/>
          <w14:textFill>
            <w14:solidFill>
              <w14:schemeClr w14:val="tx1"/>
            </w14:solidFill>
          </w14:textFill>
        </w:rPr>
      </w:pPr>
      <w:bookmarkStart w:id="123" w:name="_Toc1405"/>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.8.</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固粪及沼渣处置</w:t>
      </w:r>
      <w:bookmarkEnd w:id="123"/>
    </w:p>
    <w:p w14:paraId="037C7804">
      <w:p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固液分离出的固粪以及</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产生的沼渣运至</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堆肥处理。项目采用条垛堆肥工艺进行粪污有机肥基料发酵处理，处理工艺如下：</w:t>
      </w:r>
    </w:p>
    <w:p w14:paraId="1B3A208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1）原料预处理</w:t>
      </w:r>
    </w:p>
    <w:p w14:paraId="0265364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固液分离机分离出的固粪运至</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按一定的比例添加菌种进行发酵，后续生产的新鲜猪粪</w:t>
      </w:r>
      <w:r>
        <w:rPr>
          <w:rFonts w:hint="eastAsia"/>
          <w:color w:val="000000" w:themeColor="text1"/>
          <w:highlight w:val="none"/>
          <w14:textFill>
            <w14:solidFill>
              <w14:schemeClr w14:val="tx1"/>
            </w14:solidFill>
          </w14:textFill>
        </w:rPr>
        <w:t>和半成品</w:t>
      </w:r>
      <w:r>
        <w:rPr>
          <w:color w:val="000000" w:themeColor="text1"/>
          <w:highlight w:val="none"/>
          <w14:textFill>
            <w14:solidFill>
              <w14:schemeClr w14:val="tx1"/>
            </w14:solidFill>
          </w14:textFill>
        </w:rPr>
        <w:t>有机肥（发酵15天左右的猪粪，含水率约为40%左右）按照9：1的比例进行混合，既起到接种的目的，又解决了新鲜猪粪含水率高的问题，避免了渗滤液的产生。</w:t>
      </w:r>
    </w:p>
    <w:p w14:paraId="15A93B8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2）好氧条垛堆肥</w:t>
      </w:r>
    </w:p>
    <w:p w14:paraId="79301F8A">
      <w:pPr>
        <w:bidi w:val="0"/>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发酵为好氧发酵，发酵时间为7～15天。好氧发酵是在有氧气存在的条件下，利用好氧微生物的外酶将物料分解为溶解性有机质，溶解性有机质可以渗入微生物细胞内，微生物通过新陈代谢把一部分溶解性有机质氧化为简单的无机物，为微生物的生命活动提供能量，其余溶解性有机物被转化为营养物质，形成新的细胞体，使微生物不断繁殖，从而促进物料中可被生物降解的机质向稳定的腐殖质转化。</w:t>
      </w:r>
    </w:p>
    <w:p w14:paraId="30A85E8A">
      <w:pPr>
        <w:bidi w:val="0"/>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好氧堆肥由预处理、发酵、后处理、贮存等工序组成。预处理和后处理过程中分选出的石头等杂物应进行妥善处理。畜禽粪便经过预处理调整水分和碳氮比，应符合下列要求：</w:t>
      </w:r>
    </w:p>
    <w:p w14:paraId="7369785B">
      <w:pPr>
        <w:bidi w:val="0"/>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①堆肥粪便的起始含水率应为40%～60%；</w:t>
      </w:r>
    </w:p>
    <w:p w14:paraId="2B27350F">
      <w:pPr>
        <w:bidi w:val="0"/>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②碳氮比应为20:1~30:1，可通过添加植物秸秆、稻壳等物料进行调节，必要时添加菌剂和酶制剂；</w:t>
      </w:r>
    </w:p>
    <w:p w14:paraId="74AB63CA">
      <w:pPr>
        <w:bidi w:val="0"/>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③堆肥粪便的pH应控制在6.5~8.5。好氧发酵过程应符合下列要求：发酵过程温度控制在55℃~65℃，且持续时间不得少于7d，最高温度不宜超过75℃；堆肥时间应根据碳氮比、湿度、天气条件、堆肥工艺类型及废物和添加剂种类确定；堆肥各点的氧气浓度不应低于10%；</w:t>
      </w:r>
    </w:p>
    <w:p w14:paraId="50AD97DE">
      <w:pPr>
        <w:bidi w:val="0"/>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④可适时采用翻堆方式自然通风或设有其它机械通风装置换气，以调节堆肥物料的氧气浓度和温度。发酵结束时，应符合下列要求：碳氮比不大于20:1；含水率为20%～35%；堆肥应符合无害化卫生要求的规定；耗氧速率趋于稳定；腐熟度应大于等于Ⅳ级。发酵完毕后应进行后处理，确保堆肥制品质量合格。后处理包括再干燥、破碎、造粒、过筛、包装至成品等工序。</w:t>
      </w:r>
    </w:p>
    <w:p w14:paraId="22325EB6">
      <w:p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 xml:space="preserve">堆肥发酵过程分为4个阶段： </w:t>
      </w:r>
    </w:p>
    <w:p w14:paraId="23CD539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①升温阶段</w:t>
      </w:r>
    </w:p>
    <w:p w14:paraId="1818FA6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这个过程一般指发酵过程的初期，在该阶段，发酵温度逐步从环境温度上升到45℃左右，主导微生物以嗜温性微生物为主，包括细菌、真菌和放线菌，分解底物以糖类和淀粉为主</w:t>
      </w:r>
      <w:r>
        <w:rPr>
          <w:rFonts w:hint="eastAsia"/>
          <w:color w:val="000000" w:themeColor="text1"/>
          <w:highlight w:val="none"/>
          <w:lang w:eastAsia="zh-CN"/>
          <w14:textFill>
            <w14:solidFill>
              <w14:schemeClr w14:val="tx1"/>
            </w14:solidFill>
          </w14:textFill>
        </w:rPr>
        <w:t>，其间</w:t>
      </w:r>
      <w:r>
        <w:rPr>
          <w:color w:val="000000" w:themeColor="text1"/>
          <w:highlight w:val="none"/>
          <w14:textFill>
            <w14:solidFill>
              <w14:schemeClr w14:val="tx1"/>
            </w14:solidFill>
          </w14:textFill>
        </w:rPr>
        <w:t>能发现真菌的子实体，也有动物及原生动物参与分解。</w:t>
      </w:r>
    </w:p>
    <w:p w14:paraId="0F08AB8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②高温阶段</w:t>
      </w:r>
    </w:p>
    <w:p w14:paraId="0E961C5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堆温升至45℃以上即进入高温阶段，在这一阶段，嗜温微生物受到抑制甚至死亡，而嗜热微生物则上升为主导微生物。堆肥中残留的和新生成的可溶性有机物质继续被氧化分解，复杂的有机物如半纤维素-纤维素和蛋白质也开始被强烈分解。微生物的活动交替出现，通常在50℃左右时最活跃的是嗜热性真菌和放线菌，温度上升到60℃时真菌几乎完全停止活动，仅有嗜热性细菌和放线菌活动，温度升到70℃时大多数嗜热性微生物已不再适应，并大批进入休眠和死亡阶段。</w:t>
      </w:r>
    </w:p>
    <w:p w14:paraId="390045C1">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color w:val="000000" w:themeColor="text1"/>
          <w:highlight w:val="none"/>
          <w14:textFill>
            <w14:solidFill>
              <w14:schemeClr w14:val="tx1"/>
            </w14:solidFill>
          </w14:textFill>
        </w:rPr>
        <w:t>合作社采用现代化的工艺生产有机肥，最佳温度为55℃，这是因为大多数微生物在该温度范围内最活跃，最易分解有机物，而病原菌和寄生虫大多数可被杀死。</w:t>
      </w:r>
    </w:p>
    <w:p w14:paraId="05DE08E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③降温阶段</w:t>
      </w:r>
    </w:p>
    <w:p w14:paraId="5B80A9C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高温阶段必然造成微生物的死亡和活动减少，自然进入低温阶段。在这一阶段，嗜温性微生物又开始占据优势，对残余较难分解的有机物</w:t>
      </w:r>
      <w:r>
        <w:rPr>
          <w:rFonts w:hint="eastAsia"/>
          <w:color w:val="000000" w:themeColor="text1"/>
          <w:highlight w:val="none"/>
          <w14:textFill>
            <w14:solidFill>
              <w14:schemeClr w14:val="tx1"/>
            </w14:solidFill>
          </w14:textFill>
        </w:rPr>
        <w:t>做进一步</w:t>
      </w:r>
      <w:r>
        <w:rPr>
          <w:color w:val="000000" w:themeColor="text1"/>
          <w:highlight w:val="none"/>
          <w14:textFill>
            <w14:solidFill>
              <w14:schemeClr w14:val="tx1"/>
            </w14:solidFill>
          </w14:textFill>
        </w:rPr>
        <w:t>的分解，但微生物活性普遍下降，堆体发热量减少，温度开始下降，有机物趋于稳定化，需氧量大大减少，堆肥进入腐熟或后熟阶段。</w:t>
      </w:r>
    </w:p>
    <w:p w14:paraId="7DB3109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④腐熟保肥阶段</w:t>
      </w:r>
    </w:p>
    <w:p w14:paraId="529BFD3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机物大部分已经分解和稳定，温度下降，为了保持已形成的腐殖质和微量的氮、磷、钾肥等，要使腐熟的肥料保持平衡。堆肥腐熟后，体积缩小，堆温下降至稍高于气温，应将堆体压紧，有机成分处于厌氧条件下，防止出现矿质化，以利于肥力的保存。发酵后的固体有机肥，经过腐熟度检测、质量检测、安全检测后通过自然风干、晾晒等方法把含水量降至30%以下，作为有机肥原料外售。</w:t>
      </w: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经发酵产生的有机肥半成品，不在场区长期堆存，发酵场兼作临时堆放区，应做到有机肥半成品及时外运销售。其生产工艺流程如图</w:t>
      </w:r>
      <w:r>
        <w:rPr>
          <w:rFonts w:hint="eastAsia"/>
          <w:color w:val="000000" w:themeColor="text1"/>
          <w:highlight w:val="none"/>
          <w14:textFill>
            <w14:solidFill>
              <w14:schemeClr w14:val="tx1"/>
            </w14:solidFill>
          </w14:textFill>
        </w:rPr>
        <w:t>3.8</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 xml:space="preserve">所示。 </w:t>
      </w:r>
    </w:p>
    <w:p w14:paraId="635CFD5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191125" cy="1545590"/>
            <wp:effectExtent l="0" t="0" r="9525" b="0"/>
            <wp:docPr id="1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8"/>
                    <pic:cNvPicPr>
                      <a:picLocks noChangeAspect="1"/>
                    </pic:cNvPicPr>
                  </pic:nvPicPr>
                  <pic:blipFill>
                    <a:blip r:embed="rId35"/>
                    <a:srcRect l="3039" r="4240"/>
                    <a:stretch>
                      <a:fillRect/>
                    </a:stretch>
                  </pic:blipFill>
                  <pic:spPr>
                    <a:xfrm>
                      <a:off x="0" y="0"/>
                      <a:ext cx="5191125" cy="1545590"/>
                    </a:xfrm>
                    <a:prstGeom prst="rect">
                      <a:avLst/>
                    </a:prstGeom>
                    <a:noFill/>
                    <a:ln>
                      <a:noFill/>
                    </a:ln>
                  </pic:spPr>
                </pic:pic>
              </a:graphicData>
            </a:graphic>
          </wp:inline>
        </w:drawing>
      </w:r>
    </w:p>
    <w:p w14:paraId="67B244D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图</w:t>
      </w:r>
      <w:r>
        <w:rPr>
          <w:rFonts w:hint="eastAsia"/>
          <w:b/>
          <w:bCs/>
          <w:color w:val="000000" w:themeColor="text1"/>
          <w:sz w:val="21"/>
          <w:szCs w:val="21"/>
          <w:highlight w:val="none"/>
          <w14:textFill>
            <w14:solidFill>
              <w14:schemeClr w14:val="tx1"/>
            </w14:solidFill>
          </w14:textFill>
        </w:rPr>
        <w:t>3.8</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5</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堆粪场</w:t>
      </w:r>
      <w:r>
        <w:rPr>
          <w:b/>
          <w:bCs/>
          <w:color w:val="000000" w:themeColor="text1"/>
          <w:sz w:val="21"/>
          <w:szCs w:val="21"/>
          <w:highlight w:val="none"/>
          <w14:textFill>
            <w14:solidFill>
              <w14:schemeClr w14:val="tx1"/>
            </w14:solidFill>
          </w14:textFill>
        </w:rPr>
        <w:t>处理流程图</w:t>
      </w:r>
    </w:p>
    <w:p w14:paraId="69AAD2EA">
      <w:pPr>
        <w:rPr>
          <w:color w:val="000000" w:themeColor="text1"/>
          <w:highlight w:val="none"/>
          <w14:textFill>
            <w14:solidFill>
              <w14:schemeClr w14:val="tx1"/>
            </w14:solidFill>
          </w14:textFill>
        </w:rPr>
      </w:pPr>
    </w:p>
    <w:p w14:paraId="67225AAE">
      <w:pPr>
        <w:pStyle w:val="4"/>
        <w:rPr>
          <w:rFonts w:hint="eastAsia"/>
          <w:color w:val="000000" w:themeColor="text1"/>
          <w:highlight w:val="none"/>
          <w14:textFill>
            <w14:solidFill>
              <w14:schemeClr w14:val="tx1"/>
            </w14:solidFill>
          </w14:textFill>
        </w:rPr>
      </w:pPr>
      <w:bookmarkStart w:id="124" w:name="_Toc16317"/>
      <w:r>
        <w:rPr>
          <w:rFonts w:hint="eastAsia"/>
          <w:color w:val="000000" w:themeColor="text1"/>
          <w:highlight w:val="none"/>
          <w:lang w:val="en-US" w:eastAsia="zh-CN"/>
          <w14:textFill>
            <w14:solidFill>
              <w14:schemeClr w14:val="tx1"/>
            </w14:solidFill>
          </w14:textFill>
        </w:rPr>
        <w:t xml:space="preserve">3.8.4 猪舍环控、通风、除（排）臭系统 </w:t>
      </w:r>
    </w:p>
    <w:p w14:paraId="00D14792">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本项目按照高标准要求建设密闭猪舍，采用集中型自动环境控制系统，主要通过控制系统、进风窗、侧墙风机、烟囱风机等联合实现，中央控制系统通过感应室内外的空气温度、压力和湿度，来控制风机、通风窗、卷帘、灯光、加热设备等运行，实现不同季节通风模式的自动控制，为猪群提供适宜的环境。 </w:t>
      </w:r>
    </w:p>
    <w:p w14:paraId="14CFBCE0">
      <w:pPr>
        <w:ind w:firstLine="480" w:firstLineChars="20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猪舍除（排）臭系统：据建设单位提供资料，采用密闭自动环控猪舍，对猪舍的恶臭废气处理也更为优化，恶臭主要来源于猪只粪污。猪只生活在漏缝地板上，经日常采取有效的物理化学生物除臭后，地板以上恶臭气体通过负压进风窗、侧墙风机，烟囱风机排出室外；猪舍均配备地沟风机，风机抽风口安装在相邻两刮粪沟中间，强制抽风收集猪舍内恶臭。</w:t>
      </w:r>
    </w:p>
    <w:p w14:paraId="19B787C4">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3.8.</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消毒防疫</w:t>
      </w:r>
      <w:bookmarkEnd w:id="124"/>
    </w:p>
    <w:p w14:paraId="7C9F4765">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集约化养殖中疫病的发生、传播具有突发性和骤然性，一旦发生将会全军覆没，损失惨重。养殖场和圈舍进出处设立消毒池、消毒室等设施。另外还应设置兽医室、隔离舍、</w:t>
      </w:r>
      <w:r>
        <w:rPr>
          <w:rFonts w:hint="eastAsia"/>
          <w:color w:val="000000" w:themeColor="text1"/>
          <w:highlight w:val="none"/>
          <w:lang w:val="en-US" w:eastAsia="zh-CN"/>
          <w14:textFill>
            <w14:solidFill>
              <w14:schemeClr w14:val="tx1"/>
            </w14:solidFill>
          </w14:textFill>
        </w:rPr>
        <w:t>危废暂存间</w:t>
      </w:r>
      <w:r>
        <w:rPr>
          <w:rFonts w:hint="eastAsia"/>
          <w:color w:val="000000" w:themeColor="text1"/>
          <w:highlight w:val="none"/>
          <w14:textFill>
            <w14:solidFill>
              <w14:schemeClr w14:val="tx1"/>
            </w14:solidFill>
          </w14:textFill>
        </w:rPr>
        <w:t>。养殖场应备有健全的清洗消毒设施，防止疫病传播，并配备对害虫和啮齿动物等的生物防护设施。</w:t>
      </w:r>
    </w:p>
    <w:p w14:paraId="6C9E040B">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）防疫</w:t>
      </w:r>
    </w:p>
    <w:p w14:paraId="643D0EB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①在养殖区设立消毒池，池内保持有效的消毒液量及浓度，一般用</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的火碱或</w:t>
      </w:r>
      <w:r>
        <w:rPr>
          <w:color w:val="000000" w:themeColor="text1"/>
          <w:highlight w:val="none"/>
          <w14:textFill>
            <w14:solidFill>
              <w14:schemeClr w14:val="tx1"/>
            </w14:solidFill>
          </w14:textFill>
        </w:rPr>
        <w:t>1:800</w:t>
      </w:r>
      <w:r>
        <w:rPr>
          <w:rFonts w:hint="eastAsia"/>
          <w:color w:val="000000" w:themeColor="text1"/>
          <w:highlight w:val="none"/>
          <w14:textFill>
            <w14:solidFill>
              <w14:schemeClr w14:val="tx1"/>
            </w14:solidFill>
          </w14:textFill>
        </w:rPr>
        <w:t>倍的消毒剂。门口应配备高压消毒枪，对进场车辆进行消毒。</w:t>
      </w:r>
    </w:p>
    <w:p w14:paraId="3CAFF508">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②建立出入登记制度，养殖场谢绝参观，非生产人员不得进入生产区。</w:t>
      </w:r>
    </w:p>
    <w:p w14:paraId="34848B3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③生产区与生活区间设立隔离带，并设立更衣室，更衣室应清洁、无尘埃，具有紫外线灯及衣物消毒设施。</w:t>
      </w:r>
    </w:p>
    <w:p w14:paraId="38BB481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④饮水池保持清洁无沉积物。排水沟保持畅通无杂物，定期清除杂草；</w:t>
      </w:r>
    </w:p>
    <w:p w14:paraId="021FE70C">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⑤定点堆放粪便，定期喷洒杀虫剂，防止蚊蝇滋生。设专门供粪车等污染车辆通行的场地。 </w:t>
      </w:r>
    </w:p>
    <w:p w14:paraId="0C47CEDE">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⑥养殖场员工每年必须进行一次健康检查，如患传染性疾病应及时在场外治疗，痊愈后方可上岗。新招员工必须经健康检查，确认无结核病与其他传染病。</w:t>
      </w:r>
    </w:p>
    <w:p w14:paraId="03D65DE7">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⑦死亡猪尸体应作无害化处理，尸体接触的器具和环境做好清洁及消毒工作。</w:t>
      </w:r>
    </w:p>
    <w:p w14:paraId="3E9D94C0">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⑧淘汰及出售猪只应经检疫并取得检疫合格证明后方可出场。运猪车辆必须经过严格消毒后方可进入指定区域装车。 </w:t>
      </w:r>
    </w:p>
    <w:p w14:paraId="2AE8FC73">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⑨当猪发生疑似传染病或附近养殖场出现烈性传染病时，应立即采取隔离封锁和其他应急措施。</w:t>
      </w:r>
    </w:p>
    <w:p w14:paraId="636FB4A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）日常消毒</w:t>
      </w:r>
    </w:p>
    <w:p w14:paraId="532BE2B1">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养殖场日常消毒液应采用环境友好型的消毒剂和杀菌剂等，不选用含氯消毒剂，防止产生氯代有机物及其他的二次污染，见表3.8-1。</w:t>
      </w:r>
    </w:p>
    <w:p w14:paraId="13077C48">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表3.8-1  本项目消毒液使用情况一览表</w:t>
      </w:r>
    </w:p>
    <w:tbl>
      <w:tblPr>
        <w:tblStyle w:val="34"/>
        <w:tblW w:w="47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5"/>
        <w:gridCol w:w="2640"/>
        <w:gridCol w:w="2901"/>
      </w:tblGrid>
      <w:tr w14:paraId="071B7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607" w:type="pct"/>
          </w:tcPr>
          <w:p w14:paraId="2B05A933">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名称</w:t>
            </w:r>
          </w:p>
        </w:tc>
        <w:tc>
          <w:tcPr>
            <w:tcW w:w="1616" w:type="pct"/>
          </w:tcPr>
          <w:p w14:paraId="2994A1B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年用量</w:t>
            </w:r>
          </w:p>
        </w:tc>
        <w:tc>
          <w:tcPr>
            <w:tcW w:w="1776" w:type="pct"/>
          </w:tcPr>
          <w:p w14:paraId="25297F5E">
            <w:pPr>
              <w:spacing w:line="240" w:lineRule="auto"/>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备注</w:t>
            </w:r>
          </w:p>
        </w:tc>
      </w:tr>
      <w:tr w14:paraId="11504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pct"/>
            <w:vAlign w:val="center"/>
          </w:tcPr>
          <w:p w14:paraId="0D99922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戊二醛消毒剂</w:t>
            </w:r>
          </w:p>
        </w:tc>
        <w:tc>
          <w:tcPr>
            <w:tcW w:w="1616" w:type="pct"/>
            <w:vAlign w:val="center"/>
          </w:tcPr>
          <w:p w14:paraId="1F34B36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r>
              <w:rPr>
                <w:color w:val="000000" w:themeColor="text1"/>
                <w:sz w:val="21"/>
                <w:szCs w:val="21"/>
                <w:highlight w:val="none"/>
                <w14:textFill>
                  <w14:solidFill>
                    <w14:schemeClr w14:val="tx1"/>
                  </w14:solidFill>
                </w14:textFill>
              </w:rPr>
              <w:t>t/a</w:t>
            </w:r>
          </w:p>
        </w:tc>
        <w:tc>
          <w:tcPr>
            <w:tcW w:w="2902" w:type="dxa"/>
            <w:vAlign w:val="center"/>
          </w:tcPr>
          <w:p w14:paraId="019122C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外购，消毒</w:t>
            </w:r>
          </w:p>
        </w:tc>
      </w:tr>
      <w:tr w14:paraId="4052B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07" w:type="pct"/>
            <w:vAlign w:val="center"/>
          </w:tcPr>
          <w:p w14:paraId="3F6ED49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过硫酸氢钾消毒剂</w:t>
            </w:r>
          </w:p>
        </w:tc>
        <w:tc>
          <w:tcPr>
            <w:tcW w:w="1616" w:type="pct"/>
            <w:vAlign w:val="center"/>
          </w:tcPr>
          <w:p w14:paraId="0EDBE92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t/a</w:t>
            </w:r>
          </w:p>
        </w:tc>
        <w:tc>
          <w:tcPr>
            <w:tcW w:w="2902" w:type="dxa"/>
            <w:vAlign w:val="center"/>
          </w:tcPr>
          <w:p w14:paraId="10C5BAE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外购</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消毒</w:t>
            </w:r>
          </w:p>
        </w:tc>
      </w:tr>
    </w:tbl>
    <w:p w14:paraId="67CC23F6">
      <w:pPr>
        <w:pStyle w:val="4"/>
        <w:rPr>
          <w:color w:val="000000" w:themeColor="text1"/>
          <w:highlight w:val="none"/>
          <w14:textFill>
            <w14:solidFill>
              <w14:schemeClr w14:val="tx1"/>
            </w14:solidFill>
          </w14:textFill>
        </w:rPr>
      </w:pPr>
      <w:bookmarkStart w:id="125" w:name="_Toc30633"/>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.8.</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无害化处理</w:t>
      </w:r>
      <w:bookmarkEnd w:id="125"/>
      <w:r>
        <w:rPr>
          <w:color w:val="000000" w:themeColor="text1"/>
          <w:highlight w:val="none"/>
          <w14:textFill>
            <w14:solidFill>
              <w14:schemeClr w14:val="tx1"/>
            </w14:solidFill>
          </w14:textFill>
        </w:rPr>
        <w:t xml:space="preserve"> </w:t>
      </w:r>
    </w:p>
    <w:p w14:paraId="139E5FF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畜禽养殖业污染防治技术政策》（环发[2010]151号）中有关内容，畜禽尸体应按照有关卫生防疫规定单独进行妥善处置。染疫畜禽及其排泄物、染疫畜禽产品，病死或者死因不明的畜禽尸体等污染物，应就地进行无害化处理。</w:t>
      </w:r>
    </w:p>
    <w:p w14:paraId="3524A0C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根据《畜禽规模养殖污染防治条例》（中华人民共和国国务院令第643号）的有关内容，染疫畜禽以及染疫畜禽排泄物、染疫畜禽产品、病死或者死因不明的畜禽尸体等病害畜禽养殖废弃物，应当按照有关</w:t>
      </w:r>
      <w:r>
        <w:rPr>
          <w:rFonts w:hint="eastAsia"/>
          <w:color w:val="000000" w:themeColor="text1"/>
          <w:highlight w:val="none"/>
          <w14:textFill>
            <w14:solidFill>
              <w14:schemeClr w14:val="tx1"/>
            </w14:solidFill>
          </w14:textFill>
        </w:rPr>
        <w:t>法律法规</w:t>
      </w:r>
      <w:r>
        <w:rPr>
          <w:color w:val="000000" w:themeColor="text1"/>
          <w:highlight w:val="none"/>
          <w14:textFill>
            <w14:solidFill>
              <w14:schemeClr w14:val="tx1"/>
            </w14:solidFill>
          </w14:textFill>
        </w:rPr>
        <w:t>和国务院农牧主管部门的规定，进行深埋、化制、焚烧等无害化处理，不得随意处置；国家鼓励和支持对染疫畜禽、病死或者死因不明畜禽尸体进行集中无害化处理，并按照国家有关规定对处理费用、养殖损失给予适当补助。</w:t>
      </w:r>
    </w:p>
    <w:p w14:paraId="015066F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为确保生猪生产安全，</w:t>
      </w:r>
      <w:r>
        <w:rPr>
          <w:rFonts w:hint="eastAsia"/>
          <w:color w:val="000000" w:themeColor="text1"/>
          <w:highlight w:val="none"/>
          <w:lang w:val="en-US" w:eastAsia="zh-CN"/>
          <w14:textFill>
            <w14:solidFill>
              <w14:schemeClr w14:val="tx1"/>
            </w14:solidFill>
          </w14:textFill>
        </w:rPr>
        <w:t>本项目</w:t>
      </w:r>
      <w:r>
        <w:rPr>
          <w:color w:val="000000" w:themeColor="text1"/>
          <w:highlight w:val="none"/>
          <w14:textFill>
            <w14:solidFill>
              <w14:schemeClr w14:val="tx1"/>
            </w14:solidFill>
          </w14:textFill>
        </w:rPr>
        <w:t>委托有处理能力的单位进行处理处置。</w:t>
      </w:r>
    </w:p>
    <w:p w14:paraId="541BFD10">
      <w:pPr>
        <w:pStyle w:val="4"/>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pPr>
      <w:bookmarkStart w:id="126" w:name="_Toc22745"/>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.8.</w:t>
      </w:r>
      <w:r>
        <w:rPr>
          <w:rFonts w:hint="eastAsia"/>
          <w:color w:val="000000" w:themeColor="text1"/>
          <w:highlight w:val="none"/>
          <w:lang w:val="en-US" w:eastAsia="zh-CN"/>
          <w14:textFill>
            <w14:solidFill>
              <w14:schemeClr w14:val="tx1"/>
            </w14:solidFill>
          </w14:textFill>
        </w:rPr>
        <w:t>7饲料加工流程</w:t>
      </w:r>
      <w:r>
        <w:rPr>
          <w:color w:val="000000" w:themeColor="text1"/>
          <w:highlight w:val="none"/>
          <w14:textFill>
            <w14:solidFill>
              <w14:schemeClr w14:val="tx1"/>
            </w14:solidFill>
          </w14:textFill>
        </w:rPr>
        <w:t xml:space="preserve"> </w:t>
      </w:r>
    </w:p>
    <w:p w14:paraId="1DB3C902">
      <w:pPr>
        <w:keepNext w:val="0"/>
        <w:keepLines w:val="0"/>
        <w:widowControl/>
        <w:suppressLineNumbers w:val="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（1）粉碎：将小麦、豆粕、玉米等原料分别投入粉碎机中粉碎，粉碎过程为密闭过程</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w:t>
      </w:r>
    </w:p>
    <w:p w14:paraId="02844B75">
      <w:pPr>
        <w:keepNext w:val="0"/>
        <w:keepLines w:val="0"/>
        <w:widowControl/>
        <w:suppressLineNumbers w:val="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）混合：将粉碎之后的原料和</w:t>
      </w:r>
      <w:r>
        <w:rPr>
          <w:rFonts w:hint="eastAsia"/>
          <w:color w:val="000000" w:themeColor="text1"/>
          <w:highlight w:val="none"/>
          <w:lang w:val="en-US" w:eastAsia="zh-CN"/>
          <w14:textFill>
            <w14:solidFill>
              <w14:schemeClr w14:val="tx1"/>
            </w14:solidFill>
          </w14:textFill>
        </w:rPr>
        <w:t>预混料</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，利用电脑配比，密闭输送至混合机内混合</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w:t>
      </w:r>
    </w:p>
    <w:p w14:paraId="57EF6A9E">
      <w:pPr>
        <w:keepNext w:val="0"/>
        <w:keepLines w:val="0"/>
        <w:widowControl/>
        <w:suppressLineNumbers w:val="0"/>
        <w:jc w:val="left"/>
        <w:rPr>
          <w:rFonts w:hint="default" w:ascii="宋体" w:hAnsi="宋体" w:eastAsia="宋体" w:cs="宋体"/>
          <w:color w:val="000000" w:themeColor="text1"/>
          <w:kern w:val="0"/>
          <w:sz w:val="24"/>
          <w:szCs w:val="24"/>
          <w:highlight w:val="none"/>
          <w:lang w:val="en-US" w:eastAsia="zh-CN" w:bidi="ar"/>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（3）出料：本项目粉碎混合为一体式机器，待项目混合完毕后出料。</w:t>
      </w:r>
    </w:p>
    <w:p w14:paraId="7F15B55C">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.8.</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产污环节分析</w:t>
      </w:r>
      <w:bookmarkEnd w:id="126"/>
    </w:p>
    <w:p w14:paraId="1B97167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本项目产污环节分析见表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p>
    <w:p w14:paraId="6E1C560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.8-</w:t>
      </w:r>
      <w:r>
        <w:rPr>
          <w:rFonts w:hint="eastAsia"/>
          <w:b/>
          <w:bCs/>
          <w:color w:val="000000" w:themeColor="text1"/>
          <w:sz w:val="21"/>
          <w:szCs w:val="21"/>
          <w:highlight w:val="none"/>
          <w14:textFill>
            <w14:solidFill>
              <w14:schemeClr w14:val="tx1"/>
            </w14:solidFill>
          </w14:textFill>
        </w:rPr>
        <w:t>2</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项目产污环节分析</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823"/>
        <w:gridCol w:w="1554"/>
        <w:gridCol w:w="1094"/>
        <w:gridCol w:w="1699"/>
        <w:gridCol w:w="2681"/>
      </w:tblGrid>
      <w:tr w14:paraId="7E3DB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3D32A6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污染类型</w:t>
            </w:r>
          </w:p>
        </w:tc>
        <w:tc>
          <w:tcPr>
            <w:tcW w:w="823" w:type="dxa"/>
            <w:vAlign w:val="center"/>
          </w:tcPr>
          <w:p w14:paraId="402E95D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编号</w:t>
            </w:r>
          </w:p>
        </w:tc>
        <w:tc>
          <w:tcPr>
            <w:tcW w:w="1554" w:type="dxa"/>
            <w:vAlign w:val="center"/>
          </w:tcPr>
          <w:p w14:paraId="537AAE5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污染环节</w:t>
            </w:r>
          </w:p>
        </w:tc>
        <w:tc>
          <w:tcPr>
            <w:tcW w:w="1094" w:type="dxa"/>
            <w:vAlign w:val="center"/>
          </w:tcPr>
          <w:p w14:paraId="0B4458E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污染物名称</w:t>
            </w:r>
          </w:p>
        </w:tc>
        <w:tc>
          <w:tcPr>
            <w:tcW w:w="1699" w:type="dxa"/>
            <w:vAlign w:val="center"/>
          </w:tcPr>
          <w:p w14:paraId="6D00CA3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污染因子</w:t>
            </w:r>
          </w:p>
        </w:tc>
        <w:tc>
          <w:tcPr>
            <w:tcW w:w="2681" w:type="dxa"/>
            <w:vAlign w:val="center"/>
          </w:tcPr>
          <w:p w14:paraId="194C3B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处置方式</w:t>
            </w:r>
          </w:p>
        </w:tc>
      </w:tr>
      <w:tr w14:paraId="384A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671" w:type="dxa"/>
            <w:vMerge w:val="restart"/>
            <w:vAlign w:val="center"/>
          </w:tcPr>
          <w:p w14:paraId="672E16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w:t>
            </w:r>
          </w:p>
        </w:tc>
        <w:tc>
          <w:tcPr>
            <w:tcW w:w="823" w:type="dxa"/>
            <w:vAlign w:val="center"/>
          </w:tcPr>
          <w:p w14:paraId="607598B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G1</w:t>
            </w:r>
          </w:p>
        </w:tc>
        <w:tc>
          <w:tcPr>
            <w:tcW w:w="1554" w:type="dxa"/>
            <w:vAlign w:val="center"/>
          </w:tcPr>
          <w:p w14:paraId="76F1861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猪舍</w:t>
            </w:r>
          </w:p>
        </w:tc>
        <w:tc>
          <w:tcPr>
            <w:tcW w:w="1094" w:type="dxa"/>
            <w:vAlign w:val="center"/>
          </w:tcPr>
          <w:p w14:paraId="7964C4C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恶臭气体</w:t>
            </w:r>
          </w:p>
        </w:tc>
        <w:tc>
          <w:tcPr>
            <w:tcW w:w="1699" w:type="dxa"/>
            <w:vAlign w:val="center"/>
          </w:tcPr>
          <w:p w14:paraId="5734FF9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氨、硫化氢、臭气浓度</w:t>
            </w:r>
          </w:p>
        </w:tc>
        <w:tc>
          <w:tcPr>
            <w:tcW w:w="2681" w:type="dxa"/>
            <w:vAlign w:val="center"/>
          </w:tcPr>
          <w:p w14:paraId="02B9F7B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定期喷洒除臭剂风机</w:t>
            </w:r>
            <w:r>
              <w:rPr>
                <w:rFonts w:hint="eastAsia"/>
                <w:color w:val="000000" w:themeColor="text1"/>
                <w:sz w:val="21"/>
                <w:szCs w:val="21"/>
                <w:highlight w:val="none"/>
                <w14:textFill>
                  <w14:solidFill>
                    <w14:schemeClr w14:val="tx1"/>
                  </w14:solidFill>
                </w14:textFill>
              </w:rPr>
              <w:t>排</w:t>
            </w:r>
            <w:r>
              <w:rPr>
                <w:color w:val="000000" w:themeColor="text1"/>
                <w:sz w:val="21"/>
                <w:szCs w:val="21"/>
                <w:highlight w:val="none"/>
                <w14:textFill>
                  <w14:solidFill>
                    <w14:schemeClr w14:val="tx1"/>
                  </w14:solidFill>
                </w14:textFill>
              </w:rPr>
              <w:t>风</w:t>
            </w:r>
            <w:r>
              <w:rPr>
                <w:rFonts w:hint="eastAsia"/>
                <w:color w:val="000000" w:themeColor="text1"/>
                <w:sz w:val="21"/>
                <w:szCs w:val="21"/>
                <w:highlight w:val="none"/>
                <w14:textFill>
                  <w14:solidFill>
                    <w14:schemeClr w14:val="tx1"/>
                  </w14:solidFill>
                </w14:textFill>
              </w:rPr>
              <w:t>；</w:t>
            </w:r>
          </w:p>
        </w:tc>
      </w:tr>
      <w:tr w14:paraId="3B2B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71" w:type="dxa"/>
            <w:vMerge w:val="continue"/>
            <w:vAlign w:val="center"/>
          </w:tcPr>
          <w:p w14:paraId="42DA39AD">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1B8DFE1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G2</w:t>
            </w:r>
          </w:p>
        </w:tc>
        <w:tc>
          <w:tcPr>
            <w:tcW w:w="1554" w:type="dxa"/>
            <w:vAlign w:val="center"/>
          </w:tcPr>
          <w:p w14:paraId="4C2E4F8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堆粪</w:t>
            </w:r>
          </w:p>
        </w:tc>
        <w:tc>
          <w:tcPr>
            <w:tcW w:w="1094" w:type="dxa"/>
            <w:vAlign w:val="center"/>
          </w:tcPr>
          <w:p w14:paraId="3B5BA29C">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恶臭气体</w:t>
            </w:r>
          </w:p>
        </w:tc>
        <w:tc>
          <w:tcPr>
            <w:tcW w:w="1699" w:type="dxa"/>
            <w:vAlign w:val="center"/>
          </w:tcPr>
          <w:p w14:paraId="6B7270C1">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氨、硫化氢、臭气浓度</w:t>
            </w:r>
          </w:p>
        </w:tc>
        <w:tc>
          <w:tcPr>
            <w:tcW w:w="2681" w:type="dxa"/>
            <w:vAlign w:val="center"/>
          </w:tcPr>
          <w:p w14:paraId="4CEBB0C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定期喷洒除臭剂</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加强通风；</w:t>
            </w:r>
          </w:p>
        </w:tc>
      </w:tr>
      <w:tr w14:paraId="79B52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71" w:type="dxa"/>
            <w:vMerge w:val="continue"/>
            <w:vAlign w:val="center"/>
          </w:tcPr>
          <w:p w14:paraId="77F73C8B">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0CAE1184">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G</w:t>
            </w:r>
            <w:r>
              <w:rPr>
                <w:rFonts w:hint="eastAsia"/>
                <w:color w:val="000000" w:themeColor="text1"/>
                <w:sz w:val="21"/>
                <w:szCs w:val="21"/>
                <w:highlight w:val="none"/>
                <w:lang w:val="en-US" w:eastAsia="zh-CN"/>
                <w14:textFill>
                  <w14:solidFill>
                    <w14:schemeClr w14:val="tx1"/>
                  </w14:solidFill>
                </w14:textFill>
              </w:rPr>
              <w:t>3</w:t>
            </w:r>
          </w:p>
        </w:tc>
        <w:tc>
          <w:tcPr>
            <w:tcW w:w="1554" w:type="dxa"/>
            <w:vAlign w:val="center"/>
          </w:tcPr>
          <w:p w14:paraId="69BD781A">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黑膜池</w:t>
            </w:r>
          </w:p>
        </w:tc>
        <w:tc>
          <w:tcPr>
            <w:tcW w:w="1094" w:type="dxa"/>
            <w:vAlign w:val="center"/>
          </w:tcPr>
          <w:p w14:paraId="7F2D58C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恶臭气体</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沼气</w:t>
            </w:r>
          </w:p>
        </w:tc>
        <w:tc>
          <w:tcPr>
            <w:tcW w:w="1699" w:type="dxa"/>
            <w:vAlign w:val="center"/>
          </w:tcPr>
          <w:p w14:paraId="340F7EC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氨、硫化氢、臭气浓度</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沼气</w:t>
            </w:r>
          </w:p>
        </w:tc>
        <w:tc>
          <w:tcPr>
            <w:tcW w:w="2681" w:type="dxa"/>
            <w:vAlign w:val="center"/>
          </w:tcPr>
          <w:p w14:paraId="2E5CAD7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覆盖、</w:t>
            </w:r>
            <w:r>
              <w:rPr>
                <w:color w:val="000000" w:themeColor="text1"/>
                <w:sz w:val="21"/>
                <w:szCs w:val="21"/>
                <w:highlight w:val="none"/>
                <w14:textFill>
                  <w14:solidFill>
                    <w14:schemeClr w14:val="tx1"/>
                  </w14:solidFill>
                </w14:textFill>
              </w:rPr>
              <w:t>定期喷洒除臭剂</w:t>
            </w:r>
          </w:p>
        </w:tc>
      </w:tr>
      <w:tr w14:paraId="1297E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71" w:type="dxa"/>
            <w:vMerge w:val="continue"/>
            <w:vAlign w:val="center"/>
          </w:tcPr>
          <w:p w14:paraId="1704E9FD">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4CCED45A">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G</w:t>
            </w:r>
            <w:r>
              <w:rPr>
                <w:rFonts w:hint="eastAsia"/>
                <w:color w:val="000000" w:themeColor="text1"/>
                <w:sz w:val="21"/>
                <w:szCs w:val="21"/>
                <w:highlight w:val="none"/>
                <w:lang w:val="en-US" w:eastAsia="zh-CN"/>
                <w14:textFill>
                  <w14:solidFill>
                    <w14:schemeClr w14:val="tx1"/>
                  </w14:solidFill>
                </w14:textFill>
              </w:rPr>
              <w:t>4</w:t>
            </w:r>
          </w:p>
        </w:tc>
        <w:tc>
          <w:tcPr>
            <w:tcW w:w="1554" w:type="dxa"/>
            <w:vAlign w:val="center"/>
          </w:tcPr>
          <w:p w14:paraId="05C2D82C">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干湿分离车间</w:t>
            </w:r>
          </w:p>
        </w:tc>
        <w:tc>
          <w:tcPr>
            <w:tcW w:w="1094" w:type="dxa"/>
            <w:vAlign w:val="center"/>
          </w:tcPr>
          <w:p w14:paraId="2AE5E04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恶臭气体</w:t>
            </w:r>
          </w:p>
        </w:tc>
        <w:tc>
          <w:tcPr>
            <w:tcW w:w="1699" w:type="dxa"/>
            <w:vAlign w:val="center"/>
          </w:tcPr>
          <w:p w14:paraId="1033BB0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氨、硫化氢、臭气浓度</w:t>
            </w:r>
          </w:p>
        </w:tc>
        <w:tc>
          <w:tcPr>
            <w:tcW w:w="2681" w:type="dxa"/>
            <w:vAlign w:val="center"/>
          </w:tcPr>
          <w:p w14:paraId="2235A5B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车间密闭，</w:t>
            </w:r>
            <w:r>
              <w:rPr>
                <w:color w:val="000000" w:themeColor="text1"/>
                <w:sz w:val="21"/>
                <w:szCs w:val="21"/>
                <w:highlight w:val="none"/>
                <w14:textFill>
                  <w14:solidFill>
                    <w14:schemeClr w14:val="tx1"/>
                  </w14:solidFill>
                </w14:textFill>
              </w:rPr>
              <w:t>定期喷洒除臭剂</w:t>
            </w:r>
          </w:p>
        </w:tc>
      </w:tr>
      <w:tr w14:paraId="4BC3B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jc w:val="center"/>
        </w:trPr>
        <w:tc>
          <w:tcPr>
            <w:tcW w:w="671" w:type="dxa"/>
            <w:vMerge w:val="continue"/>
            <w:vAlign w:val="center"/>
          </w:tcPr>
          <w:p w14:paraId="57BDFFD2">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64963AE4">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G</w:t>
            </w:r>
            <w:r>
              <w:rPr>
                <w:rFonts w:hint="eastAsia"/>
                <w:color w:val="000000" w:themeColor="text1"/>
                <w:sz w:val="21"/>
                <w:szCs w:val="21"/>
                <w:highlight w:val="none"/>
                <w:lang w:val="en-US" w:eastAsia="zh-CN"/>
                <w14:textFill>
                  <w14:solidFill>
                    <w14:schemeClr w14:val="tx1"/>
                  </w14:solidFill>
                </w14:textFill>
              </w:rPr>
              <w:t>5</w:t>
            </w:r>
          </w:p>
        </w:tc>
        <w:tc>
          <w:tcPr>
            <w:tcW w:w="1554" w:type="dxa"/>
            <w:vAlign w:val="center"/>
          </w:tcPr>
          <w:p w14:paraId="2143EC38">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饲料加工车间</w:t>
            </w:r>
          </w:p>
        </w:tc>
        <w:tc>
          <w:tcPr>
            <w:tcW w:w="1094" w:type="dxa"/>
            <w:vAlign w:val="center"/>
          </w:tcPr>
          <w:p w14:paraId="2621988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颗粒物</w:t>
            </w:r>
          </w:p>
        </w:tc>
        <w:tc>
          <w:tcPr>
            <w:tcW w:w="1699" w:type="dxa"/>
            <w:vAlign w:val="center"/>
          </w:tcPr>
          <w:p w14:paraId="4911F8A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TSp</w:t>
            </w:r>
          </w:p>
        </w:tc>
        <w:tc>
          <w:tcPr>
            <w:tcW w:w="2681" w:type="dxa"/>
            <w:vAlign w:val="center"/>
          </w:tcPr>
          <w:p w14:paraId="6C326335">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洒水降尘、除尘器</w:t>
            </w:r>
          </w:p>
        </w:tc>
      </w:tr>
      <w:tr w14:paraId="55B2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24FDD30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p>
        </w:tc>
        <w:tc>
          <w:tcPr>
            <w:tcW w:w="823" w:type="dxa"/>
            <w:vAlign w:val="center"/>
          </w:tcPr>
          <w:p w14:paraId="209F312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W1</w:t>
            </w:r>
          </w:p>
        </w:tc>
        <w:tc>
          <w:tcPr>
            <w:tcW w:w="1554" w:type="dxa"/>
            <w:vAlign w:val="center"/>
          </w:tcPr>
          <w:p w14:paraId="0CF654F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养殖过程</w:t>
            </w:r>
          </w:p>
        </w:tc>
        <w:tc>
          <w:tcPr>
            <w:tcW w:w="1094" w:type="dxa"/>
            <w:vAlign w:val="center"/>
          </w:tcPr>
          <w:p w14:paraId="6517072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猪尿</w:t>
            </w:r>
          </w:p>
        </w:tc>
        <w:tc>
          <w:tcPr>
            <w:tcW w:w="1699" w:type="dxa"/>
            <w:vAlign w:val="center"/>
          </w:tcPr>
          <w:p w14:paraId="736DB6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COD、氨氮、SS</w:t>
            </w:r>
          </w:p>
        </w:tc>
        <w:tc>
          <w:tcPr>
            <w:tcW w:w="2681" w:type="dxa"/>
            <w:vMerge w:val="restart"/>
            <w:vAlign w:val="center"/>
          </w:tcPr>
          <w:p w14:paraId="04B8D5A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输送至</w:t>
            </w: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处理</w:t>
            </w:r>
          </w:p>
        </w:tc>
      </w:tr>
      <w:tr w14:paraId="4712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18275DBB">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5A36EE1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W2</w:t>
            </w:r>
          </w:p>
        </w:tc>
        <w:tc>
          <w:tcPr>
            <w:tcW w:w="1554" w:type="dxa"/>
            <w:vAlign w:val="center"/>
          </w:tcPr>
          <w:p w14:paraId="5887216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猪舍冲洗</w:t>
            </w:r>
          </w:p>
        </w:tc>
        <w:tc>
          <w:tcPr>
            <w:tcW w:w="1094" w:type="dxa"/>
            <w:vAlign w:val="center"/>
          </w:tcPr>
          <w:p w14:paraId="614DA36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冲洗废水</w:t>
            </w:r>
          </w:p>
        </w:tc>
        <w:tc>
          <w:tcPr>
            <w:tcW w:w="1699" w:type="dxa"/>
            <w:vAlign w:val="center"/>
          </w:tcPr>
          <w:p w14:paraId="6ABB034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COD、氨氮、SS</w:t>
            </w:r>
          </w:p>
        </w:tc>
        <w:tc>
          <w:tcPr>
            <w:tcW w:w="2681" w:type="dxa"/>
            <w:vMerge w:val="continue"/>
            <w:vAlign w:val="center"/>
          </w:tcPr>
          <w:p w14:paraId="72B68301">
            <w:pPr>
              <w:spacing w:line="240" w:lineRule="auto"/>
              <w:jc w:val="center"/>
              <w:rPr>
                <w:color w:val="000000" w:themeColor="text1"/>
                <w:sz w:val="21"/>
                <w:szCs w:val="21"/>
                <w:highlight w:val="none"/>
                <w14:textFill>
                  <w14:solidFill>
                    <w14:schemeClr w14:val="tx1"/>
                  </w14:solidFill>
                </w14:textFill>
              </w:rPr>
            </w:pPr>
          </w:p>
        </w:tc>
      </w:tr>
      <w:tr w14:paraId="77444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54F3CE65">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36BB57C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W3</w:t>
            </w:r>
          </w:p>
        </w:tc>
        <w:tc>
          <w:tcPr>
            <w:tcW w:w="1554" w:type="dxa"/>
            <w:vAlign w:val="center"/>
          </w:tcPr>
          <w:p w14:paraId="12CD53E5">
            <w:pPr>
              <w:spacing w:line="240" w:lineRule="auto"/>
              <w:jc w:val="center"/>
              <w:rPr>
                <w:rFonts w:eastAsia="宋体" w:cs="宋体"/>
                <w:color w:val="000000" w:themeColor="text1"/>
                <w:sz w:val="21"/>
                <w:szCs w:val="21"/>
                <w:highlight w:val="none"/>
                <w14:textFill>
                  <w14:solidFill>
                    <w14:schemeClr w14:val="tx1"/>
                  </w14:solidFill>
                </w14:textFill>
              </w:rPr>
            </w:pPr>
            <w:r>
              <w:rPr>
                <w:rFonts w:hint="eastAsia" w:eastAsia="宋体" w:cs="宋体"/>
                <w:color w:val="000000" w:themeColor="text1"/>
                <w:sz w:val="21"/>
                <w:szCs w:val="21"/>
                <w:highlight w:val="none"/>
                <w:lang w:val="en-US" w:eastAsia="zh-CN"/>
                <w14:textFill>
                  <w14:solidFill>
                    <w14:schemeClr w14:val="tx1"/>
                  </w14:solidFill>
                </w14:textFill>
              </w:rPr>
              <w:t>分娩设备清洗</w:t>
            </w:r>
          </w:p>
        </w:tc>
        <w:tc>
          <w:tcPr>
            <w:tcW w:w="1094" w:type="dxa"/>
            <w:vAlign w:val="center"/>
          </w:tcPr>
          <w:p w14:paraId="1127A8EF">
            <w:pPr>
              <w:spacing w:line="240" w:lineRule="auto"/>
              <w:jc w:val="center"/>
              <w:rPr>
                <w:rFonts w:eastAsia="宋体" w:cs="宋体"/>
                <w:color w:val="000000" w:themeColor="text1"/>
                <w:sz w:val="21"/>
                <w:szCs w:val="21"/>
                <w:highlight w:val="none"/>
                <w14:textFill>
                  <w14:solidFill>
                    <w14:schemeClr w14:val="tx1"/>
                  </w14:solidFill>
                </w14:textFill>
              </w:rPr>
            </w:pPr>
            <w:r>
              <w:rPr>
                <w:rFonts w:hint="eastAsia" w:eastAsia="宋体" w:cs="宋体"/>
                <w:color w:val="000000" w:themeColor="text1"/>
                <w:sz w:val="21"/>
                <w:szCs w:val="21"/>
                <w:highlight w:val="none"/>
                <w:lang w:val="en-US" w:eastAsia="zh-CN"/>
                <w14:textFill>
                  <w14:solidFill>
                    <w14:schemeClr w14:val="tx1"/>
                  </w14:solidFill>
                </w14:textFill>
              </w:rPr>
              <w:t>清洗废水</w:t>
            </w:r>
          </w:p>
        </w:tc>
        <w:tc>
          <w:tcPr>
            <w:tcW w:w="1699" w:type="dxa"/>
            <w:vAlign w:val="center"/>
          </w:tcPr>
          <w:p w14:paraId="55637FA6">
            <w:pPr>
              <w:spacing w:line="240" w:lineRule="auto"/>
              <w:jc w:val="center"/>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COD、氨氮、SS</w:t>
            </w:r>
          </w:p>
        </w:tc>
        <w:tc>
          <w:tcPr>
            <w:tcW w:w="2681" w:type="dxa"/>
            <w:vMerge w:val="continue"/>
            <w:vAlign w:val="center"/>
          </w:tcPr>
          <w:p w14:paraId="38EFC508">
            <w:pPr>
              <w:spacing w:line="240" w:lineRule="auto"/>
              <w:jc w:val="center"/>
              <w:rPr>
                <w:color w:val="000000" w:themeColor="text1"/>
                <w:sz w:val="21"/>
                <w:szCs w:val="21"/>
                <w:highlight w:val="none"/>
                <w14:textFill>
                  <w14:solidFill>
                    <w14:schemeClr w14:val="tx1"/>
                  </w14:solidFill>
                </w14:textFill>
              </w:rPr>
            </w:pPr>
          </w:p>
        </w:tc>
      </w:tr>
      <w:tr w14:paraId="0B095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0A92AE49">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1F6B89D6">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color w:val="000000" w:themeColor="text1"/>
                <w:sz w:val="21"/>
                <w:szCs w:val="21"/>
                <w:highlight w:val="none"/>
                <w14:textFill>
                  <w14:solidFill>
                    <w14:schemeClr w14:val="tx1"/>
                  </w14:solidFill>
                </w14:textFill>
              </w:rPr>
              <w:t>W</w:t>
            </w:r>
            <w:r>
              <w:rPr>
                <w:rFonts w:hint="eastAsia"/>
                <w:color w:val="000000" w:themeColor="text1"/>
                <w:sz w:val="21"/>
                <w:szCs w:val="21"/>
                <w:highlight w:val="none"/>
                <w:lang w:val="en-US" w:eastAsia="zh-CN"/>
                <w14:textFill>
                  <w14:solidFill>
                    <w14:schemeClr w14:val="tx1"/>
                  </w14:solidFill>
                </w14:textFill>
              </w:rPr>
              <w:t>4</w:t>
            </w:r>
          </w:p>
        </w:tc>
        <w:tc>
          <w:tcPr>
            <w:tcW w:w="1554" w:type="dxa"/>
            <w:vAlign w:val="center"/>
          </w:tcPr>
          <w:p w14:paraId="2FA25A6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办公生活</w:t>
            </w:r>
          </w:p>
        </w:tc>
        <w:tc>
          <w:tcPr>
            <w:tcW w:w="1094" w:type="dxa"/>
            <w:vAlign w:val="center"/>
          </w:tcPr>
          <w:p w14:paraId="6B80DFC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生活污水</w:t>
            </w:r>
          </w:p>
        </w:tc>
        <w:tc>
          <w:tcPr>
            <w:tcW w:w="1699" w:type="dxa"/>
            <w:vAlign w:val="center"/>
          </w:tcPr>
          <w:p w14:paraId="3CEB900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COD、氨氮、SS</w:t>
            </w:r>
          </w:p>
        </w:tc>
        <w:tc>
          <w:tcPr>
            <w:tcW w:w="2681" w:type="dxa"/>
            <w:vMerge w:val="continue"/>
            <w:vAlign w:val="center"/>
          </w:tcPr>
          <w:p w14:paraId="6AA866E1">
            <w:pPr>
              <w:spacing w:line="240" w:lineRule="auto"/>
              <w:jc w:val="center"/>
              <w:rPr>
                <w:color w:val="000000" w:themeColor="text1"/>
                <w:sz w:val="21"/>
                <w:szCs w:val="21"/>
                <w:highlight w:val="none"/>
                <w14:textFill>
                  <w14:solidFill>
                    <w14:schemeClr w14:val="tx1"/>
                  </w14:solidFill>
                </w14:textFill>
              </w:rPr>
            </w:pPr>
          </w:p>
        </w:tc>
      </w:tr>
      <w:tr w14:paraId="47E7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restart"/>
            <w:vAlign w:val="center"/>
          </w:tcPr>
          <w:p w14:paraId="75B697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固废</w:t>
            </w:r>
          </w:p>
        </w:tc>
        <w:tc>
          <w:tcPr>
            <w:tcW w:w="823" w:type="dxa"/>
            <w:vAlign w:val="center"/>
          </w:tcPr>
          <w:p w14:paraId="61B409F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S1</w:t>
            </w:r>
          </w:p>
        </w:tc>
        <w:tc>
          <w:tcPr>
            <w:tcW w:w="1554" w:type="dxa"/>
            <w:vAlign w:val="center"/>
          </w:tcPr>
          <w:p w14:paraId="7F01075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养殖过程</w:t>
            </w:r>
          </w:p>
        </w:tc>
        <w:tc>
          <w:tcPr>
            <w:tcW w:w="1094" w:type="dxa"/>
            <w:vAlign w:val="center"/>
          </w:tcPr>
          <w:p w14:paraId="74C16B4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猪粪</w:t>
            </w:r>
          </w:p>
        </w:tc>
        <w:tc>
          <w:tcPr>
            <w:tcW w:w="1699" w:type="dxa"/>
            <w:vAlign w:val="center"/>
          </w:tcPr>
          <w:p w14:paraId="134CC9D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有机质</w:t>
            </w:r>
          </w:p>
        </w:tc>
        <w:tc>
          <w:tcPr>
            <w:tcW w:w="2681" w:type="dxa"/>
            <w:vAlign w:val="center"/>
          </w:tcPr>
          <w:p w14:paraId="61E5161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堆肥处理后作为有机肥原料外售</w:t>
            </w:r>
          </w:p>
        </w:tc>
      </w:tr>
      <w:tr w14:paraId="48D4D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7D8B0F23">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46E86F4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S2</w:t>
            </w:r>
          </w:p>
        </w:tc>
        <w:tc>
          <w:tcPr>
            <w:tcW w:w="1554" w:type="dxa"/>
            <w:vAlign w:val="center"/>
          </w:tcPr>
          <w:p w14:paraId="5CF03525">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养殖过程</w:t>
            </w:r>
          </w:p>
        </w:tc>
        <w:tc>
          <w:tcPr>
            <w:tcW w:w="1094" w:type="dxa"/>
            <w:vAlign w:val="center"/>
          </w:tcPr>
          <w:p w14:paraId="3656BEF2">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病死猪、胎衣</w:t>
            </w:r>
          </w:p>
        </w:tc>
        <w:tc>
          <w:tcPr>
            <w:tcW w:w="1699" w:type="dxa"/>
            <w:vAlign w:val="center"/>
          </w:tcPr>
          <w:p w14:paraId="1253FAE1">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病死猪、胎衣</w:t>
            </w:r>
          </w:p>
        </w:tc>
        <w:tc>
          <w:tcPr>
            <w:tcW w:w="2681" w:type="dxa"/>
            <w:vAlign w:val="center"/>
          </w:tcPr>
          <w:p w14:paraId="0B09627B">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委托有资质的单位处置</w:t>
            </w:r>
          </w:p>
        </w:tc>
      </w:tr>
      <w:tr w14:paraId="12AE3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352113F3">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21294FF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S3</w:t>
            </w:r>
          </w:p>
        </w:tc>
        <w:tc>
          <w:tcPr>
            <w:tcW w:w="1554" w:type="dxa"/>
            <w:vAlign w:val="center"/>
          </w:tcPr>
          <w:p w14:paraId="46B9D041">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消毒、防疫</w:t>
            </w:r>
          </w:p>
        </w:tc>
        <w:tc>
          <w:tcPr>
            <w:tcW w:w="1094" w:type="dxa"/>
            <w:vAlign w:val="center"/>
          </w:tcPr>
          <w:p w14:paraId="01FACFCE">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医疗废物</w:t>
            </w:r>
          </w:p>
        </w:tc>
        <w:tc>
          <w:tcPr>
            <w:tcW w:w="1699" w:type="dxa"/>
            <w:vAlign w:val="center"/>
          </w:tcPr>
          <w:p w14:paraId="1600F9EA">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消毒、防疫产生的医疗废物</w:t>
            </w:r>
          </w:p>
        </w:tc>
        <w:tc>
          <w:tcPr>
            <w:tcW w:w="2681" w:type="dxa"/>
            <w:vAlign w:val="center"/>
          </w:tcPr>
          <w:p w14:paraId="126B7E17">
            <w:pPr>
              <w:spacing w:line="240" w:lineRule="auto"/>
              <w:jc w:val="center"/>
              <w:rPr>
                <w:rFonts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委托有资质的单位处置</w:t>
            </w:r>
          </w:p>
        </w:tc>
      </w:tr>
      <w:tr w14:paraId="58AE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3D9C394E">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27FC865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S4</w:t>
            </w:r>
          </w:p>
        </w:tc>
        <w:tc>
          <w:tcPr>
            <w:tcW w:w="1554" w:type="dxa"/>
            <w:vAlign w:val="center"/>
          </w:tcPr>
          <w:p w14:paraId="51B7AC3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废水处理</w:t>
            </w:r>
          </w:p>
        </w:tc>
        <w:tc>
          <w:tcPr>
            <w:tcW w:w="1094" w:type="dxa"/>
            <w:vAlign w:val="center"/>
          </w:tcPr>
          <w:p w14:paraId="3A4C7AB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沼渣</w:t>
            </w:r>
          </w:p>
        </w:tc>
        <w:tc>
          <w:tcPr>
            <w:tcW w:w="1699" w:type="dxa"/>
            <w:vAlign w:val="center"/>
          </w:tcPr>
          <w:p w14:paraId="202B5AA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有机质</w:t>
            </w:r>
          </w:p>
        </w:tc>
        <w:tc>
          <w:tcPr>
            <w:tcW w:w="2681" w:type="dxa"/>
            <w:vAlign w:val="center"/>
          </w:tcPr>
          <w:p w14:paraId="305C770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堆肥处理后作为有机肥原料外售</w:t>
            </w:r>
          </w:p>
        </w:tc>
      </w:tr>
      <w:tr w14:paraId="45B91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Merge w:val="continue"/>
            <w:vAlign w:val="center"/>
          </w:tcPr>
          <w:p w14:paraId="29279E52">
            <w:pPr>
              <w:spacing w:line="240" w:lineRule="auto"/>
              <w:jc w:val="center"/>
              <w:rPr>
                <w:color w:val="000000" w:themeColor="text1"/>
                <w:sz w:val="21"/>
                <w:szCs w:val="21"/>
                <w:highlight w:val="none"/>
                <w14:textFill>
                  <w14:solidFill>
                    <w14:schemeClr w14:val="tx1"/>
                  </w14:solidFill>
                </w14:textFill>
              </w:rPr>
            </w:pPr>
          </w:p>
        </w:tc>
        <w:tc>
          <w:tcPr>
            <w:tcW w:w="823" w:type="dxa"/>
            <w:vAlign w:val="center"/>
          </w:tcPr>
          <w:p w14:paraId="52C62E3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w:t>
            </w:r>
            <w:r>
              <w:rPr>
                <w:rFonts w:hint="eastAsia"/>
                <w:color w:val="000000" w:themeColor="text1"/>
                <w:sz w:val="21"/>
                <w:szCs w:val="21"/>
                <w:highlight w:val="none"/>
                <w14:textFill>
                  <w14:solidFill>
                    <w14:schemeClr w14:val="tx1"/>
                  </w14:solidFill>
                </w14:textFill>
              </w:rPr>
              <w:t>5</w:t>
            </w:r>
          </w:p>
        </w:tc>
        <w:tc>
          <w:tcPr>
            <w:tcW w:w="1554" w:type="dxa"/>
            <w:vAlign w:val="center"/>
          </w:tcPr>
          <w:p w14:paraId="274FF9B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办公生活</w:t>
            </w:r>
          </w:p>
        </w:tc>
        <w:tc>
          <w:tcPr>
            <w:tcW w:w="1094" w:type="dxa"/>
            <w:vAlign w:val="center"/>
          </w:tcPr>
          <w:p w14:paraId="07D5EC9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1699" w:type="dxa"/>
            <w:vAlign w:val="center"/>
          </w:tcPr>
          <w:p w14:paraId="1DD49D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果皮、塑料袋等</w:t>
            </w:r>
          </w:p>
        </w:tc>
        <w:tc>
          <w:tcPr>
            <w:tcW w:w="2681" w:type="dxa"/>
            <w:vAlign w:val="center"/>
          </w:tcPr>
          <w:p w14:paraId="6A1CECC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委托环卫部门统一清运</w:t>
            </w:r>
          </w:p>
        </w:tc>
      </w:tr>
      <w:tr w14:paraId="170B3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1" w:type="dxa"/>
            <w:vAlign w:val="center"/>
          </w:tcPr>
          <w:p w14:paraId="1E4B166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w:t>
            </w:r>
          </w:p>
        </w:tc>
        <w:tc>
          <w:tcPr>
            <w:tcW w:w="823" w:type="dxa"/>
            <w:vAlign w:val="center"/>
          </w:tcPr>
          <w:p w14:paraId="104B8A6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w:t>
            </w:r>
          </w:p>
        </w:tc>
        <w:tc>
          <w:tcPr>
            <w:tcW w:w="1554" w:type="dxa"/>
            <w:vAlign w:val="center"/>
          </w:tcPr>
          <w:p w14:paraId="1F89BBC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生产设备及辅助设备运行</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养殖过程</w:t>
            </w:r>
          </w:p>
        </w:tc>
        <w:tc>
          <w:tcPr>
            <w:tcW w:w="1094" w:type="dxa"/>
            <w:vAlign w:val="center"/>
          </w:tcPr>
          <w:p w14:paraId="0AA0675E">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设备噪声</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猪叫声</w:t>
            </w:r>
          </w:p>
        </w:tc>
        <w:tc>
          <w:tcPr>
            <w:tcW w:w="1699" w:type="dxa"/>
            <w:vAlign w:val="center"/>
          </w:tcPr>
          <w:p w14:paraId="455537A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w:t>
            </w:r>
          </w:p>
        </w:tc>
        <w:tc>
          <w:tcPr>
            <w:tcW w:w="2681" w:type="dxa"/>
            <w:vAlign w:val="center"/>
          </w:tcPr>
          <w:p w14:paraId="6B93C47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室内设置、低噪声设备</w:t>
            </w:r>
          </w:p>
        </w:tc>
      </w:tr>
      <w:bookmarkEnd w:id="119"/>
      <w:bookmarkEnd w:id="120"/>
    </w:tbl>
    <w:p w14:paraId="079FAD3B">
      <w:pPr>
        <w:pStyle w:val="3"/>
        <w:rPr>
          <w:color w:val="000000" w:themeColor="text1"/>
          <w:highlight w:val="none"/>
          <w14:textFill>
            <w14:solidFill>
              <w14:schemeClr w14:val="tx1"/>
            </w14:solidFill>
          </w14:textFill>
        </w:rPr>
      </w:pPr>
      <w:bookmarkStart w:id="127" w:name="_Toc3217"/>
      <w:bookmarkStart w:id="128" w:name="_Toc21729"/>
      <w:bookmarkStart w:id="129" w:name="_Toc21410"/>
      <w:bookmarkStart w:id="130" w:name="_Toc32075"/>
      <w:bookmarkStart w:id="131" w:name="_Toc22077"/>
      <w:bookmarkStart w:id="132" w:name="_Toc16806"/>
      <w:bookmarkStart w:id="133" w:name="_Toc28468"/>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.9施工期污染源分析</w:t>
      </w:r>
      <w:bookmarkEnd w:id="127"/>
      <w:bookmarkEnd w:id="128"/>
      <w:bookmarkEnd w:id="129"/>
      <w:bookmarkEnd w:id="130"/>
    </w:p>
    <w:p w14:paraId="334B5F81">
      <w:pPr>
        <w:pStyle w:val="4"/>
        <w:rPr>
          <w:color w:val="000000" w:themeColor="text1"/>
          <w:highlight w:val="none"/>
          <w14:textFill>
            <w14:solidFill>
              <w14:schemeClr w14:val="tx1"/>
            </w14:solidFill>
          </w14:textFill>
        </w:rPr>
      </w:pPr>
      <w:bookmarkStart w:id="134" w:name="_Toc30701"/>
      <w:bookmarkStart w:id="135" w:name="_Toc6421"/>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.9.1废气</w:t>
      </w:r>
      <w:bookmarkEnd w:id="134"/>
      <w:bookmarkEnd w:id="135"/>
    </w:p>
    <w:p w14:paraId="77BE21E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施工期间造成大气污染的因素主要是施工扬尘、运输车辆和施工机械排放的尾气等。工程施工期间作业颗粒物和车辆尾气对工地附近环境空气质量会产生一定的影响，尤其是高峰施工期，颗粒物、飘尘在短时间内不易扩散，局部大气受到污染。这种影响范围很小，时间也较短，施工结束后自动消除。但需注意工程弃土的及时处理，并对施工现场进行清理，以免造成长期影响。</w:t>
      </w:r>
    </w:p>
    <w:p w14:paraId="116CDD68">
      <w:pPr>
        <w:pStyle w:val="4"/>
        <w:rPr>
          <w:color w:val="000000" w:themeColor="text1"/>
          <w:highlight w:val="none"/>
          <w14:textFill>
            <w14:solidFill>
              <w14:schemeClr w14:val="tx1"/>
            </w14:solidFill>
          </w14:textFill>
        </w:rPr>
      </w:pPr>
      <w:bookmarkStart w:id="136" w:name="_Toc8719"/>
      <w:bookmarkStart w:id="137" w:name="_Toc15879"/>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.9.2废水</w:t>
      </w:r>
      <w:bookmarkEnd w:id="136"/>
      <w:bookmarkEnd w:id="137"/>
    </w:p>
    <w:p w14:paraId="5FF3DB6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（1）施工废水</w:t>
      </w:r>
    </w:p>
    <w:p w14:paraId="6D13D1E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产生的废水主要来源于修建基础设施时地基的开挖、砂石料冲洗等施工过程。施工废水中不含有毒物质，主要是泥沙悬浮物等，且含量较大，修建沉砂池对施工废水进行处理，沉淀后的废水回用于施工过程或用于道路洒水降尘等，不外排。</w:t>
      </w:r>
    </w:p>
    <w:p w14:paraId="4F456B4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（2）生活污水</w:t>
      </w:r>
    </w:p>
    <w:p w14:paraId="2E0FC78D">
      <w:pPr>
        <w:kinsoku/>
        <w:autoSpaceDE/>
        <w:autoSpaceDN/>
        <w:bidi w:val="0"/>
        <w:spacing w:line="360" w:lineRule="auto"/>
        <w:ind w:firstLine="480"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施工人员</w:t>
      </w:r>
      <w:r>
        <w:rPr>
          <w:rFonts w:hint="eastAsia"/>
          <w:color w:val="000000" w:themeColor="text1"/>
          <w:highlight w:val="none"/>
          <w:lang w:val="en-US" w:eastAsia="zh-CN"/>
          <w14:textFill>
            <w14:solidFill>
              <w14:schemeClr w14:val="tx1"/>
            </w14:solidFill>
          </w14:textFill>
        </w:rPr>
        <w:t>依托本项目宿舍和食堂</w:t>
      </w:r>
      <w:r>
        <w:rPr>
          <w:color w:val="000000" w:themeColor="text1"/>
          <w:highlight w:val="none"/>
          <w14:textFill>
            <w14:solidFill>
              <w14:schemeClr w14:val="tx1"/>
            </w14:solidFill>
          </w14:textFill>
        </w:rPr>
        <w:t>。生活污水主要</w:t>
      </w:r>
      <w:r>
        <w:rPr>
          <w:rFonts w:hint="eastAsia"/>
          <w:color w:val="000000" w:themeColor="text1"/>
          <w:highlight w:val="none"/>
          <w14:textFill>
            <w14:solidFill>
              <w14:schemeClr w14:val="tx1"/>
            </w14:solidFill>
          </w14:textFill>
        </w:rPr>
        <w:t>来自</w:t>
      </w:r>
      <w:r>
        <w:rPr>
          <w:color w:val="000000" w:themeColor="text1"/>
          <w:highlight w:val="none"/>
          <w14:textFill>
            <w14:solidFill>
              <w14:schemeClr w14:val="tx1"/>
            </w14:solidFill>
          </w14:textFill>
        </w:rPr>
        <w:t>施工人员的日常生活，生活污水</w:t>
      </w:r>
      <w:r>
        <w:rPr>
          <w:rFonts w:hint="eastAsia"/>
          <w:color w:val="000000" w:themeColor="text1"/>
          <w:highlight w:val="none"/>
          <w:lang w:val="en-US" w:eastAsia="zh-CN"/>
          <w14:textFill>
            <w14:solidFill>
              <w14:schemeClr w14:val="tx1"/>
            </w14:solidFill>
          </w14:textFill>
        </w:rPr>
        <w:t>排入黑膜池处理</w:t>
      </w:r>
      <w:r>
        <w:rPr>
          <w:color w:val="000000" w:themeColor="text1"/>
          <w:highlight w:val="none"/>
          <w14:textFill>
            <w14:solidFill>
              <w14:schemeClr w14:val="tx1"/>
            </w14:solidFill>
          </w14:textFill>
        </w:rPr>
        <w:t>。</w:t>
      </w:r>
    </w:p>
    <w:p w14:paraId="13AA5687">
      <w:pPr>
        <w:pStyle w:val="4"/>
        <w:rPr>
          <w:color w:val="000000" w:themeColor="text1"/>
          <w:highlight w:val="none"/>
          <w14:textFill>
            <w14:solidFill>
              <w14:schemeClr w14:val="tx1"/>
            </w14:solidFill>
          </w14:textFill>
        </w:rPr>
      </w:pPr>
      <w:bookmarkStart w:id="138" w:name="_Toc16380"/>
      <w:bookmarkStart w:id="139" w:name="_Toc24446"/>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.9.3噪声</w:t>
      </w:r>
      <w:bookmarkEnd w:id="138"/>
      <w:bookmarkEnd w:id="139"/>
    </w:p>
    <w:p w14:paraId="225F4C5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施工期的噪声主要是施工机械运行和车辆运输过程中产生的设备噪声和运输噪声，主要噪声源为机动车辆行驶、砂石料加工、</w:t>
      </w:r>
      <w:r>
        <w:rPr>
          <w:rFonts w:hint="eastAsia"/>
          <w:color w:val="000000" w:themeColor="text1"/>
          <w:highlight w:val="none"/>
          <w14:textFill>
            <w14:solidFill>
              <w14:schemeClr w14:val="tx1"/>
            </w14:solidFill>
          </w14:textFill>
        </w:rPr>
        <w:t>混凝土浇筑</w:t>
      </w:r>
      <w:r>
        <w:rPr>
          <w:color w:val="000000" w:themeColor="text1"/>
          <w:highlight w:val="none"/>
          <w14:textFill>
            <w14:solidFill>
              <w14:schemeClr w14:val="tx1"/>
            </w14:solidFill>
          </w14:textFill>
        </w:rPr>
        <w:t>等。具有突发性和间歇性的特点。</w:t>
      </w:r>
    </w:p>
    <w:p w14:paraId="11D6F2A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根据本工程的特点，施工期主要噪声源如表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.9-1所示</w:t>
      </w:r>
      <w:bookmarkStart w:id="140" w:name="_Toc210274215"/>
      <w:r>
        <w:rPr>
          <w:color w:val="000000" w:themeColor="text1"/>
          <w:highlight w:val="none"/>
          <w14:textFill>
            <w14:solidFill>
              <w14:schemeClr w14:val="tx1"/>
            </w14:solidFill>
          </w14:textFill>
        </w:rPr>
        <w:t>。</w:t>
      </w:r>
      <w:bookmarkEnd w:id="140"/>
    </w:p>
    <w:p w14:paraId="25BE71F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 xml:space="preserve">.9-1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施工期噪声声级</w:t>
      </w:r>
    </w:p>
    <w:tbl>
      <w:tblPr>
        <w:tblStyle w:val="33"/>
        <w:tblW w:w="48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2"/>
        <w:gridCol w:w="2265"/>
        <w:gridCol w:w="2267"/>
        <w:gridCol w:w="2062"/>
      </w:tblGrid>
      <w:tr w14:paraId="6977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Align w:val="center"/>
          </w:tcPr>
          <w:p w14:paraId="695C2AB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施工阶段</w:t>
            </w:r>
          </w:p>
        </w:tc>
        <w:tc>
          <w:tcPr>
            <w:tcW w:w="1361" w:type="pct"/>
            <w:vAlign w:val="center"/>
          </w:tcPr>
          <w:p w14:paraId="6B8F0DF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设备名称</w:t>
            </w:r>
          </w:p>
        </w:tc>
        <w:tc>
          <w:tcPr>
            <w:tcW w:w="1362" w:type="pct"/>
            <w:vAlign w:val="center"/>
          </w:tcPr>
          <w:p w14:paraId="027862D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距声源距离（m）</w:t>
            </w:r>
          </w:p>
        </w:tc>
        <w:tc>
          <w:tcPr>
            <w:tcW w:w="1239" w:type="pct"/>
            <w:vAlign w:val="center"/>
          </w:tcPr>
          <w:p w14:paraId="6479551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噪声强度[dB(A)]</w:t>
            </w:r>
          </w:p>
        </w:tc>
      </w:tr>
      <w:tr w14:paraId="2AFD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restart"/>
            <w:vAlign w:val="center"/>
          </w:tcPr>
          <w:p w14:paraId="7423F34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土石方阶段</w:t>
            </w:r>
          </w:p>
        </w:tc>
        <w:tc>
          <w:tcPr>
            <w:tcW w:w="1361" w:type="pct"/>
            <w:vAlign w:val="center"/>
          </w:tcPr>
          <w:p w14:paraId="3AC4B3B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挖土机</w:t>
            </w:r>
          </w:p>
        </w:tc>
        <w:tc>
          <w:tcPr>
            <w:tcW w:w="1362" w:type="pct"/>
            <w:vAlign w:val="center"/>
          </w:tcPr>
          <w:p w14:paraId="3A46EEA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239" w:type="pct"/>
            <w:vAlign w:val="center"/>
          </w:tcPr>
          <w:p w14:paraId="4479FBF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80~85</w:t>
            </w:r>
          </w:p>
        </w:tc>
      </w:tr>
      <w:tr w14:paraId="4ADBF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continue"/>
            <w:vAlign w:val="center"/>
          </w:tcPr>
          <w:p w14:paraId="0A8DBF27">
            <w:pPr>
              <w:spacing w:line="240" w:lineRule="auto"/>
              <w:jc w:val="center"/>
              <w:rPr>
                <w:color w:val="000000" w:themeColor="text1"/>
                <w:sz w:val="21"/>
                <w:szCs w:val="21"/>
                <w:highlight w:val="none"/>
                <w14:textFill>
                  <w14:solidFill>
                    <w14:schemeClr w14:val="tx1"/>
                  </w14:solidFill>
                </w14:textFill>
              </w:rPr>
            </w:pPr>
          </w:p>
        </w:tc>
        <w:tc>
          <w:tcPr>
            <w:tcW w:w="1361" w:type="pct"/>
            <w:vAlign w:val="center"/>
          </w:tcPr>
          <w:p w14:paraId="2AB2581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重型载重车</w:t>
            </w:r>
          </w:p>
        </w:tc>
        <w:tc>
          <w:tcPr>
            <w:tcW w:w="1362" w:type="pct"/>
            <w:vAlign w:val="center"/>
          </w:tcPr>
          <w:p w14:paraId="446F203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239" w:type="pct"/>
            <w:vAlign w:val="center"/>
          </w:tcPr>
          <w:p w14:paraId="490A221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80~85</w:t>
            </w:r>
          </w:p>
        </w:tc>
      </w:tr>
      <w:tr w14:paraId="4F04A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restart"/>
            <w:vAlign w:val="center"/>
          </w:tcPr>
          <w:p w14:paraId="22AE169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结构阶段</w:t>
            </w:r>
          </w:p>
        </w:tc>
        <w:tc>
          <w:tcPr>
            <w:tcW w:w="1361" w:type="pct"/>
            <w:vAlign w:val="center"/>
          </w:tcPr>
          <w:p w14:paraId="4B32B31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混凝土输送泵</w:t>
            </w:r>
          </w:p>
        </w:tc>
        <w:tc>
          <w:tcPr>
            <w:tcW w:w="1362" w:type="pct"/>
            <w:vAlign w:val="center"/>
          </w:tcPr>
          <w:p w14:paraId="36B3D72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239" w:type="pct"/>
            <w:vAlign w:val="center"/>
          </w:tcPr>
          <w:p w14:paraId="69E081A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80~85</w:t>
            </w:r>
          </w:p>
        </w:tc>
      </w:tr>
      <w:tr w14:paraId="3B7DD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continue"/>
            <w:vAlign w:val="center"/>
          </w:tcPr>
          <w:p w14:paraId="366EE29C">
            <w:pPr>
              <w:spacing w:line="240" w:lineRule="auto"/>
              <w:jc w:val="center"/>
              <w:rPr>
                <w:color w:val="000000" w:themeColor="text1"/>
                <w:sz w:val="21"/>
                <w:szCs w:val="21"/>
                <w:highlight w:val="none"/>
                <w14:textFill>
                  <w14:solidFill>
                    <w14:schemeClr w14:val="tx1"/>
                  </w14:solidFill>
                </w14:textFill>
              </w:rPr>
            </w:pPr>
          </w:p>
        </w:tc>
        <w:tc>
          <w:tcPr>
            <w:tcW w:w="1361" w:type="pct"/>
            <w:vAlign w:val="center"/>
          </w:tcPr>
          <w:p w14:paraId="0D97E57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振捣器</w:t>
            </w:r>
          </w:p>
        </w:tc>
        <w:tc>
          <w:tcPr>
            <w:tcW w:w="1362" w:type="pct"/>
            <w:vAlign w:val="center"/>
          </w:tcPr>
          <w:p w14:paraId="62B8AC0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239" w:type="pct"/>
            <w:vAlign w:val="center"/>
          </w:tcPr>
          <w:p w14:paraId="39080E7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80~88</w:t>
            </w:r>
          </w:p>
        </w:tc>
      </w:tr>
      <w:tr w14:paraId="616AF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continue"/>
            <w:vAlign w:val="center"/>
          </w:tcPr>
          <w:p w14:paraId="197721A1">
            <w:pPr>
              <w:spacing w:line="240" w:lineRule="auto"/>
              <w:jc w:val="center"/>
              <w:rPr>
                <w:color w:val="000000" w:themeColor="text1"/>
                <w:sz w:val="21"/>
                <w:szCs w:val="21"/>
                <w:highlight w:val="none"/>
                <w14:textFill>
                  <w14:solidFill>
                    <w14:schemeClr w14:val="tx1"/>
                  </w14:solidFill>
                </w14:textFill>
              </w:rPr>
            </w:pPr>
          </w:p>
        </w:tc>
        <w:tc>
          <w:tcPr>
            <w:tcW w:w="1361" w:type="pct"/>
            <w:vAlign w:val="center"/>
          </w:tcPr>
          <w:p w14:paraId="6EA54C3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电焊机</w:t>
            </w:r>
          </w:p>
        </w:tc>
        <w:tc>
          <w:tcPr>
            <w:tcW w:w="1362" w:type="pct"/>
            <w:vAlign w:val="center"/>
          </w:tcPr>
          <w:p w14:paraId="0BFD55B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239" w:type="pct"/>
            <w:vAlign w:val="center"/>
          </w:tcPr>
          <w:p w14:paraId="23802E3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85~90</w:t>
            </w:r>
          </w:p>
        </w:tc>
      </w:tr>
      <w:tr w14:paraId="427D3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restart"/>
            <w:vAlign w:val="center"/>
          </w:tcPr>
          <w:p w14:paraId="06E6221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装修阶段</w:t>
            </w:r>
          </w:p>
        </w:tc>
        <w:tc>
          <w:tcPr>
            <w:tcW w:w="1361" w:type="pct"/>
            <w:vAlign w:val="center"/>
          </w:tcPr>
          <w:p w14:paraId="3E5D599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多功能木工刨</w:t>
            </w:r>
          </w:p>
        </w:tc>
        <w:tc>
          <w:tcPr>
            <w:tcW w:w="1362" w:type="pct"/>
            <w:vAlign w:val="center"/>
          </w:tcPr>
          <w:p w14:paraId="7BCD7AE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239" w:type="pct"/>
            <w:vAlign w:val="center"/>
          </w:tcPr>
          <w:p w14:paraId="3CD0783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85~95</w:t>
            </w:r>
          </w:p>
        </w:tc>
      </w:tr>
      <w:tr w14:paraId="050D1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continue"/>
            <w:vAlign w:val="center"/>
          </w:tcPr>
          <w:p w14:paraId="2B620D27">
            <w:pPr>
              <w:spacing w:line="240" w:lineRule="auto"/>
              <w:jc w:val="center"/>
              <w:rPr>
                <w:color w:val="000000" w:themeColor="text1"/>
                <w:sz w:val="21"/>
                <w:szCs w:val="21"/>
                <w:highlight w:val="none"/>
                <w14:textFill>
                  <w14:solidFill>
                    <w14:schemeClr w14:val="tx1"/>
                  </w14:solidFill>
                </w14:textFill>
              </w:rPr>
            </w:pPr>
          </w:p>
        </w:tc>
        <w:tc>
          <w:tcPr>
            <w:tcW w:w="1361" w:type="pct"/>
            <w:vAlign w:val="center"/>
          </w:tcPr>
          <w:p w14:paraId="12666FC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电钻</w:t>
            </w:r>
          </w:p>
        </w:tc>
        <w:tc>
          <w:tcPr>
            <w:tcW w:w="1362" w:type="pct"/>
            <w:vAlign w:val="center"/>
          </w:tcPr>
          <w:p w14:paraId="3965527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239" w:type="pct"/>
            <w:vAlign w:val="center"/>
          </w:tcPr>
          <w:p w14:paraId="2D78713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95~100</w:t>
            </w:r>
          </w:p>
        </w:tc>
      </w:tr>
      <w:tr w14:paraId="1C904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35" w:type="pct"/>
            <w:vMerge w:val="continue"/>
            <w:vAlign w:val="center"/>
          </w:tcPr>
          <w:p w14:paraId="1FD2943B">
            <w:pPr>
              <w:spacing w:line="240" w:lineRule="auto"/>
              <w:jc w:val="center"/>
              <w:rPr>
                <w:color w:val="000000" w:themeColor="text1"/>
                <w:sz w:val="21"/>
                <w:szCs w:val="21"/>
                <w:highlight w:val="none"/>
                <w14:textFill>
                  <w14:solidFill>
                    <w14:schemeClr w14:val="tx1"/>
                  </w14:solidFill>
                </w14:textFill>
              </w:rPr>
            </w:pPr>
          </w:p>
        </w:tc>
        <w:tc>
          <w:tcPr>
            <w:tcW w:w="1361" w:type="pct"/>
            <w:vAlign w:val="center"/>
          </w:tcPr>
          <w:p w14:paraId="596240A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轻型载重车</w:t>
            </w:r>
          </w:p>
        </w:tc>
        <w:tc>
          <w:tcPr>
            <w:tcW w:w="1362" w:type="pct"/>
            <w:vAlign w:val="center"/>
          </w:tcPr>
          <w:p w14:paraId="75DD81E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239" w:type="pct"/>
            <w:vAlign w:val="center"/>
          </w:tcPr>
          <w:p w14:paraId="6D79D1A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75~80</w:t>
            </w:r>
          </w:p>
        </w:tc>
      </w:tr>
    </w:tbl>
    <w:p w14:paraId="6CE77391">
      <w:pPr>
        <w:pStyle w:val="4"/>
        <w:rPr>
          <w:color w:val="000000" w:themeColor="text1"/>
          <w:highlight w:val="none"/>
          <w14:textFill>
            <w14:solidFill>
              <w14:schemeClr w14:val="tx1"/>
            </w14:solidFill>
          </w14:textFill>
        </w:rPr>
      </w:pPr>
      <w:bookmarkStart w:id="141" w:name="_Toc13763"/>
      <w:bookmarkStart w:id="142" w:name="_Toc3600"/>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.9.4固体废物</w:t>
      </w:r>
      <w:bookmarkEnd w:id="141"/>
      <w:bookmarkEnd w:id="142"/>
    </w:p>
    <w:p w14:paraId="7738EE7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施工期产生的固体废物主要是施工过程中产生的建筑垃圾、基础设施场地平整过程中产生的废弃土石方、施工人员产生的生活垃圾。</w:t>
      </w:r>
    </w:p>
    <w:p w14:paraId="173EF75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产生的建筑垃圾，主要有地面挖掘、道路修筑、管道敷设、材料运输、基础工程和房屋建筑等工程施工期间产生的大量废弃的建筑材料，如废弃砖石、水泥凝结废渣、废弃铁质及木质建材等，其中可再生利用部分回收利用。余下部分按城市建设主管部门的规定，运到指定地点妥善处置。</w:t>
      </w:r>
    </w:p>
    <w:p w14:paraId="7C613F2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根据工程资料，在施工期废水处理设施和暂存池修建过程中所调出的土方，全部调入项目区内公路的修建，养殖区、辅助生产区和防疫区等分区开挖土方全部回填。</w:t>
      </w:r>
    </w:p>
    <w:p w14:paraId="420F29D0">
      <w:pPr>
        <w:ind w:firstLine="480" w:firstLineChars="200"/>
        <w:rPr>
          <w:rFonts w:hint="eastAsia" w:ascii="Times New Roman" w:hAnsi="Times New Roman"/>
          <w:color w:val="000000" w:themeColor="text1"/>
          <w:highlight w:val="none"/>
          <w:lang w:eastAsia="zh-CN"/>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施工期间有少量工人生活垃圾产生。生活垃圾统一收集后，委托环卫部门统一清运处置。</w:t>
      </w:r>
    </w:p>
    <w:p w14:paraId="3CDBF1A1">
      <w:pPr>
        <w:pStyle w:val="3"/>
        <w:bidi w:val="0"/>
        <w:rPr>
          <w:rFonts w:hint="eastAsia"/>
          <w:color w:val="000000" w:themeColor="text1"/>
          <w:highlight w:val="none"/>
          <w14:textFill>
            <w14:solidFill>
              <w14:schemeClr w14:val="tx1"/>
            </w14:solidFill>
          </w14:textFill>
        </w:rPr>
      </w:pPr>
      <w:bookmarkStart w:id="143" w:name="_Toc23310"/>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污染物产生、处理及排放情况</w:t>
      </w:r>
      <w:bookmarkEnd w:id="131"/>
      <w:bookmarkEnd w:id="132"/>
      <w:bookmarkEnd w:id="133"/>
      <w:bookmarkEnd w:id="143"/>
    </w:p>
    <w:p w14:paraId="32270403">
      <w:pPr>
        <w:pStyle w:val="4"/>
        <w:rPr>
          <w:color w:val="000000" w:themeColor="text1"/>
          <w:highlight w:val="none"/>
          <w14:textFill>
            <w14:solidFill>
              <w14:schemeClr w14:val="tx1"/>
            </w14:solidFill>
          </w14:textFill>
        </w:rPr>
      </w:pPr>
      <w:bookmarkStart w:id="144" w:name="_Toc32585"/>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.1废气</w:t>
      </w:r>
      <w:bookmarkEnd w:id="144"/>
    </w:p>
    <w:p w14:paraId="7EF24F14">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本项目运营期主要为养殖恶臭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圈舍、堆粪场、黑膜池及干湿分离车间产生的恶臭气体</w:t>
      </w:r>
      <w:r>
        <w:rPr>
          <w:rFonts w:hint="eastAsia"/>
          <w:color w:val="000000" w:themeColor="text1"/>
          <w:highlight w:val="none"/>
          <w:lang w:val="en-US" w:eastAsia="zh-CN"/>
          <w14:textFill>
            <w14:solidFill>
              <w14:schemeClr w14:val="tx1"/>
            </w14:solidFill>
          </w14:textFill>
        </w:rPr>
        <w:t>及沼气</w:t>
      </w:r>
      <w:r>
        <w:rPr>
          <w:rFonts w:hint="eastAsia"/>
          <w:color w:val="000000" w:themeColor="text1"/>
          <w:highlight w:val="none"/>
          <w14:textFill>
            <w14:solidFill>
              <w14:schemeClr w14:val="tx1"/>
            </w14:solidFill>
          </w14:textFill>
        </w:rPr>
        <w:t>。</w:t>
      </w:r>
    </w:p>
    <w:p w14:paraId="32E74DC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圈舍恶臭G1</w:t>
      </w:r>
    </w:p>
    <w:p w14:paraId="198C4183">
      <w:pPr>
        <w:bidi w:val="0"/>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根据《规模畜禽养殖场污染防治最佳可行技术指南（试行）》（HJ-BAT-10-2013）、《畜禽养殖业污染治理工程技术规范》（H</w:t>
      </w:r>
      <w:r>
        <w:rPr>
          <w:color w:val="000000" w:themeColor="text1"/>
          <w:highlight w:val="none"/>
          <w14:textFill>
            <w14:solidFill>
              <w14:schemeClr w14:val="tx1"/>
            </w14:solidFill>
          </w14:textFill>
        </w:rPr>
        <w:t>J497-2009</w:t>
      </w:r>
      <w:r>
        <w:rPr>
          <w:rFonts w:hint="eastAsia"/>
          <w:color w:val="000000" w:themeColor="text1"/>
          <w:highlight w:val="none"/>
          <w14:textFill>
            <w14:solidFill>
              <w14:schemeClr w14:val="tx1"/>
            </w14:solidFill>
          </w14:textFill>
        </w:rPr>
        <w:t>）中的统计资料以及建设单位提供的资料，</w:t>
      </w:r>
      <w:r>
        <w:rPr>
          <w:color w:val="000000" w:themeColor="text1"/>
          <w:highlight w:val="none"/>
          <w14:textFill>
            <w14:solidFill>
              <w14:schemeClr w14:val="tx1"/>
            </w14:solidFill>
          </w14:textFill>
        </w:rPr>
        <w:t>本项目运营后</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主要的</w:t>
      </w:r>
      <w:r>
        <w:rPr>
          <w:rFonts w:hint="eastAsia"/>
          <w:color w:val="000000" w:themeColor="text1"/>
          <w:highlight w:val="none"/>
          <w14:textFill>
            <w14:solidFill>
              <w14:schemeClr w14:val="tx1"/>
            </w14:solidFill>
          </w14:textFill>
        </w:rPr>
        <w:t>养殖废</w:t>
      </w:r>
      <w:r>
        <w:rPr>
          <w:color w:val="000000" w:themeColor="text1"/>
          <w:highlight w:val="none"/>
          <w14:textFill>
            <w14:solidFill>
              <w14:schemeClr w14:val="tx1"/>
            </w14:solidFill>
          </w14:textFill>
        </w:rPr>
        <w:t>气污染源包括：</w:t>
      </w:r>
      <w:r>
        <w:rPr>
          <w:rFonts w:hint="eastAsia"/>
          <w:color w:val="000000" w:themeColor="text1"/>
          <w:highlight w:val="none"/>
          <w14:textFill>
            <w14:solidFill>
              <w14:schemeClr w14:val="tx1"/>
            </w14:solidFill>
          </w14:textFill>
        </w:rPr>
        <w:t>圈舍、</w:t>
      </w:r>
      <w:r>
        <w:rPr>
          <w:rFonts w:hint="eastAsia"/>
          <w:color w:val="000000" w:themeColor="text1"/>
          <w:highlight w:val="none"/>
          <w:lang w:val="en-US" w:eastAsia="zh-CN"/>
          <w14:textFill>
            <w14:solidFill>
              <w14:schemeClr w14:val="tx1"/>
            </w14:solidFill>
          </w14:textFill>
        </w:rPr>
        <w:t>黑膜池、干湿分离车间</w:t>
      </w:r>
      <w:r>
        <w:rPr>
          <w:rFonts w:hint="eastAsia"/>
          <w:color w:val="000000" w:themeColor="text1"/>
          <w:highlight w:val="none"/>
          <w14:textFill>
            <w14:solidFill>
              <w14:schemeClr w14:val="tx1"/>
            </w14:solidFill>
          </w14:textFill>
        </w:rPr>
        <w:t>，以及堆粪场</w:t>
      </w:r>
      <w:r>
        <w:rPr>
          <w:color w:val="000000" w:themeColor="text1"/>
          <w:highlight w:val="none"/>
          <w14:textFill>
            <w14:solidFill>
              <w14:schemeClr w14:val="tx1"/>
            </w14:solidFill>
          </w14:textFill>
        </w:rPr>
        <w:t>散逸的恶臭</w:t>
      </w:r>
      <w:r>
        <w:rPr>
          <w:rFonts w:hint="eastAsia"/>
          <w:color w:val="000000" w:themeColor="text1"/>
          <w:highlight w:val="none"/>
          <w14:textFill>
            <w14:solidFill>
              <w14:schemeClr w14:val="tx1"/>
            </w14:solidFill>
          </w14:textFill>
        </w:rPr>
        <w:t>等</w:t>
      </w:r>
      <w:r>
        <w:rPr>
          <w:color w:val="000000" w:themeColor="text1"/>
          <w:highlight w:val="none"/>
          <w14:textFill>
            <w14:solidFill>
              <w14:schemeClr w14:val="tx1"/>
            </w14:solidFill>
          </w14:textFill>
        </w:rPr>
        <w:t>。</w:t>
      </w:r>
    </w:p>
    <w:p w14:paraId="5B769567">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GB"/>
          <w14:textFill>
            <w14:solidFill>
              <w14:schemeClr w14:val="tx1"/>
            </w14:solidFill>
          </w14:textFill>
        </w:rPr>
        <w:t>养殖场恶臭来自猪的粪便、</w:t>
      </w:r>
      <w:r>
        <w:rPr>
          <w:color w:val="000000" w:themeColor="text1"/>
          <w:highlight w:val="none"/>
          <w:lang w:val="en-GB"/>
          <w14:textFill>
            <w14:solidFill>
              <w14:schemeClr w14:val="tx1"/>
            </w14:solidFill>
          </w14:textFill>
        </w:rPr>
        <w:t>污水</w:t>
      </w:r>
      <w:r>
        <w:rPr>
          <w:rFonts w:hint="eastAsia"/>
          <w:color w:val="000000" w:themeColor="text1"/>
          <w:highlight w:val="none"/>
          <w:lang w:val="en-GB"/>
          <w14:textFill>
            <w14:solidFill>
              <w14:schemeClr w14:val="tx1"/>
            </w14:solidFill>
          </w14:textFill>
        </w:rPr>
        <w:t>、垫料、</w:t>
      </w:r>
      <w:r>
        <w:rPr>
          <w:color w:val="000000" w:themeColor="text1"/>
          <w:highlight w:val="none"/>
          <w:lang w:val="en-GB"/>
          <w14:textFill>
            <w14:solidFill>
              <w14:schemeClr w14:val="tx1"/>
            </w14:solidFill>
          </w14:textFill>
        </w:rPr>
        <w:t>饲料</w:t>
      </w:r>
      <w:r>
        <w:rPr>
          <w:rFonts w:hint="eastAsia"/>
          <w:color w:val="000000" w:themeColor="text1"/>
          <w:highlight w:val="none"/>
          <w:lang w:val="en-GB"/>
          <w14:textFill>
            <w14:solidFill>
              <w14:schemeClr w14:val="tx1"/>
            </w14:solidFill>
          </w14:textFill>
        </w:rPr>
        <w:t>、</w:t>
      </w:r>
      <w:r>
        <w:rPr>
          <w:color w:val="000000" w:themeColor="text1"/>
          <w:highlight w:val="none"/>
          <w:lang w:val="en-GB"/>
          <w14:textFill>
            <w14:solidFill>
              <w14:schemeClr w14:val="tx1"/>
            </w14:solidFill>
          </w14:textFill>
        </w:rPr>
        <w:t>畜</w:t>
      </w:r>
      <w:r>
        <w:rPr>
          <w:rFonts w:hint="eastAsia"/>
          <w:color w:val="000000" w:themeColor="text1"/>
          <w:highlight w:val="none"/>
          <w:lang w:val="en-GB"/>
          <w14:textFill>
            <w14:solidFill>
              <w14:schemeClr w14:val="tx1"/>
            </w14:solidFill>
          </w14:textFill>
        </w:rPr>
        <w:t>尸等的腐败分解，</w:t>
      </w:r>
      <w:r>
        <w:rPr>
          <w:color w:val="000000" w:themeColor="text1"/>
          <w:highlight w:val="none"/>
          <w:lang w:val="en-GB"/>
          <w14:textFill>
            <w14:solidFill>
              <w14:schemeClr w14:val="tx1"/>
            </w14:solidFill>
          </w14:textFill>
        </w:rPr>
        <w:t>猪</w:t>
      </w:r>
      <w:r>
        <w:rPr>
          <w:rFonts w:hint="eastAsia"/>
          <w:color w:val="000000" w:themeColor="text1"/>
          <w:highlight w:val="none"/>
          <w:lang w:val="en-GB"/>
          <w14:textFill>
            <w14:solidFill>
              <w14:schemeClr w14:val="tx1"/>
            </w14:solidFill>
          </w14:textFill>
        </w:rPr>
        <w:t>的新鲜粪便、</w:t>
      </w:r>
      <w:r>
        <w:rPr>
          <w:color w:val="000000" w:themeColor="text1"/>
          <w:highlight w:val="none"/>
          <w:lang w:val="en-GB"/>
          <w14:textFill>
            <w14:solidFill>
              <w14:schemeClr w14:val="tx1"/>
            </w14:solidFill>
          </w14:textFill>
        </w:rPr>
        <w:t>消</w:t>
      </w:r>
      <w:r>
        <w:rPr>
          <w:rFonts w:hint="eastAsia"/>
          <w:color w:val="000000" w:themeColor="text1"/>
          <w:highlight w:val="none"/>
          <w:lang w:val="en-GB"/>
          <w14:textFill>
            <w14:solidFill>
              <w14:schemeClr w14:val="tx1"/>
            </w14:solidFill>
          </w14:textFill>
        </w:rPr>
        <w:t>化道排出的气体，</w:t>
      </w:r>
      <w:r>
        <w:rPr>
          <w:color w:val="000000" w:themeColor="text1"/>
          <w:highlight w:val="none"/>
          <w:lang w:val="en-GB"/>
          <w14:textFill>
            <w14:solidFill>
              <w14:schemeClr w14:val="tx1"/>
            </w14:solidFill>
          </w14:textFill>
        </w:rPr>
        <w:t>皮脂腺</w:t>
      </w:r>
      <w:r>
        <w:rPr>
          <w:rFonts w:hint="eastAsia"/>
          <w:color w:val="000000" w:themeColor="text1"/>
          <w:highlight w:val="none"/>
          <w:lang w:val="en-GB"/>
          <w14:textFill>
            <w14:solidFill>
              <w14:schemeClr w14:val="tx1"/>
            </w14:solidFill>
          </w14:textFill>
        </w:rPr>
        <w:t>和汗腺的分泌物，</w:t>
      </w:r>
      <w:r>
        <w:rPr>
          <w:color w:val="000000" w:themeColor="text1"/>
          <w:highlight w:val="none"/>
          <w:lang w:val="en-GB"/>
          <w14:textFill>
            <w14:solidFill>
              <w14:schemeClr w14:val="tx1"/>
            </w14:solidFill>
          </w14:textFill>
        </w:rPr>
        <w:t>畜</w:t>
      </w:r>
      <w:r>
        <w:rPr>
          <w:rFonts w:hint="eastAsia"/>
          <w:color w:val="000000" w:themeColor="text1"/>
          <w:highlight w:val="none"/>
          <w:lang w:val="en-GB"/>
          <w14:textFill>
            <w14:solidFill>
              <w14:schemeClr w14:val="tx1"/>
            </w14:solidFill>
          </w14:textFill>
        </w:rPr>
        <w:t>体的外激素，黏附在体表的污物，</w:t>
      </w:r>
      <w:r>
        <w:rPr>
          <w:color w:val="000000" w:themeColor="text1"/>
          <w:highlight w:val="none"/>
          <w:lang w:val="en-GB"/>
          <w14:textFill>
            <w14:solidFill>
              <w14:schemeClr w14:val="tx1"/>
            </w14:solidFill>
          </w14:textFill>
        </w:rPr>
        <w:t>呼出</w:t>
      </w:r>
      <w:r>
        <w:rPr>
          <w:rFonts w:hint="eastAsia"/>
          <w:color w:val="000000" w:themeColor="text1"/>
          <w:highlight w:val="none"/>
          <w:lang w:val="en-GB"/>
          <w14:textFill>
            <w14:solidFill>
              <w14:schemeClr w14:val="tx1"/>
            </w14:solidFill>
          </w14:textFill>
        </w:rPr>
        <w:t>气中等也会散发出猪特有的难闻气味。</w:t>
      </w:r>
      <w:r>
        <w:rPr>
          <w:color w:val="000000" w:themeColor="text1"/>
          <w:highlight w:val="none"/>
          <w:lang w:val="en-GB"/>
          <w14:textFill>
            <w14:solidFill>
              <w14:schemeClr w14:val="tx1"/>
            </w14:solidFill>
          </w14:textFill>
        </w:rPr>
        <w:t>这类恶臭气体主要为氨、硫化氢、三甲基氨等</w:t>
      </w:r>
      <w:r>
        <w:rPr>
          <w:rFonts w:hint="eastAsia"/>
          <w:color w:val="000000" w:themeColor="text1"/>
          <w:highlight w:val="none"/>
          <w:lang w:val="en-GB"/>
          <w14:textFill>
            <w14:solidFill>
              <w14:schemeClr w14:val="tx1"/>
            </w14:solidFill>
          </w14:textFill>
        </w:rPr>
        <w:t>，</w:t>
      </w:r>
      <w:r>
        <w:rPr>
          <w:color w:val="000000" w:themeColor="text1"/>
          <w:highlight w:val="none"/>
          <w14:textFill>
            <w14:solidFill>
              <w14:schemeClr w14:val="tx1"/>
            </w14:solidFill>
          </w14:textFill>
        </w:rPr>
        <w:t>几种主要恶臭物质的物理性质见表</w:t>
      </w:r>
      <w:r>
        <w:rPr>
          <w:rFonts w:hint="eastAsia"/>
          <w:color w:val="000000" w:themeColor="text1"/>
          <w:highlight w:val="none"/>
          <w14:textFill>
            <w14:solidFill>
              <w14:schemeClr w14:val="tx1"/>
            </w14:solidFill>
          </w14:textFill>
        </w:rPr>
        <w:t>3.10-1</w:t>
      </w:r>
      <w:r>
        <w:rPr>
          <w:color w:val="000000" w:themeColor="text1"/>
          <w:highlight w:val="none"/>
          <w:lang w:val="en-GB"/>
          <w14:textFill>
            <w14:solidFill>
              <w14:schemeClr w14:val="tx1"/>
            </w14:solidFill>
          </w14:textFill>
        </w:rPr>
        <w:t>。</w:t>
      </w:r>
    </w:p>
    <w:p w14:paraId="51BB87B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.10-1  恶臭物质理化特征一览表</w:t>
      </w:r>
    </w:p>
    <w:tbl>
      <w:tblPr>
        <w:tblStyle w:val="33"/>
        <w:tblW w:w="485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925"/>
        <w:gridCol w:w="2227"/>
        <w:gridCol w:w="1931"/>
        <w:gridCol w:w="2194"/>
      </w:tblGrid>
      <w:tr w14:paraId="105334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8" w:hRule="atLeast"/>
          <w:jc w:val="center"/>
        </w:trPr>
        <w:tc>
          <w:tcPr>
            <w:tcW w:w="1985" w:type="dxa"/>
            <w:vAlign w:val="center"/>
          </w:tcPr>
          <w:p w14:paraId="6CD0B5E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恶臭物质</w:t>
            </w:r>
          </w:p>
        </w:tc>
        <w:tc>
          <w:tcPr>
            <w:tcW w:w="2299" w:type="dxa"/>
            <w:vAlign w:val="center"/>
          </w:tcPr>
          <w:p w14:paraId="5F0332D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分子式</w:t>
            </w:r>
          </w:p>
        </w:tc>
        <w:tc>
          <w:tcPr>
            <w:tcW w:w="1992" w:type="dxa"/>
            <w:vAlign w:val="center"/>
          </w:tcPr>
          <w:p w14:paraId="0087108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嗅阈值(ppm)</w:t>
            </w:r>
          </w:p>
        </w:tc>
        <w:tc>
          <w:tcPr>
            <w:tcW w:w="2265" w:type="dxa"/>
            <w:vAlign w:val="center"/>
          </w:tcPr>
          <w:p w14:paraId="4794B6E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臭气特征</w:t>
            </w:r>
          </w:p>
        </w:tc>
      </w:tr>
      <w:tr w14:paraId="332ADA5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985" w:type="dxa"/>
            <w:vAlign w:val="center"/>
          </w:tcPr>
          <w:p w14:paraId="3244A15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三甲胺</w:t>
            </w:r>
          </w:p>
        </w:tc>
        <w:tc>
          <w:tcPr>
            <w:tcW w:w="2299" w:type="dxa"/>
            <w:vAlign w:val="center"/>
          </w:tcPr>
          <w:p w14:paraId="7CC4635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w:t>
            </w:r>
          </w:p>
        </w:tc>
        <w:tc>
          <w:tcPr>
            <w:tcW w:w="1992" w:type="dxa"/>
            <w:vAlign w:val="center"/>
          </w:tcPr>
          <w:p w14:paraId="33F6486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0.00021</w:t>
            </w:r>
          </w:p>
        </w:tc>
        <w:tc>
          <w:tcPr>
            <w:tcW w:w="2265" w:type="dxa"/>
            <w:vAlign w:val="center"/>
          </w:tcPr>
          <w:p w14:paraId="486ECFC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臭鱼味</w:t>
            </w:r>
          </w:p>
        </w:tc>
      </w:tr>
      <w:tr w14:paraId="5843A1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985" w:type="dxa"/>
            <w:vAlign w:val="center"/>
          </w:tcPr>
          <w:p w14:paraId="11B8132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w:t>
            </w:r>
          </w:p>
        </w:tc>
        <w:tc>
          <w:tcPr>
            <w:tcW w:w="2299" w:type="dxa"/>
            <w:vAlign w:val="center"/>
          </w:tcPr>
          <w:p w14:paraId="4EE77C5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p>
        </w:tc>
        <w:tc>
          <w:tcPr>
            <w:tcW w:w="1992" w:type="dxa"/>
            <w:vAlign w:val="center"/>
          </w:tcPr>
          <w:p w14:paraId="12C74E4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50</w:t>
            </w:r>
          </w:p>
        </w:tc>
        <w:tc>
          <w:tcPr>
            <w:tcW w:w="2265" w:type="dxa"/>
            <w:vAlign w:val="center"/>
          </w:tcPr>
          <w:p w14:paraId="02FD62B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刺激味</w:t>
            </w:r>
          </w:p>
        </w:tc>
      </w:tr>
      <w:tr w14:paraId="441DD27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985" w:type="dxa"/>
            <w:vAlign w:val="center"/>
          </w:tcPr>
          <w:p w14:paraId="34F3508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硫化氢</w:t>
            </w:r>
          </w:p>
        </w:tc>
        <w:tc>
          <w:tcPr>
            <w:tcW w:w="2299" w:type="dxa"/>
            <w:vAlign w:val="center"/>
          </w:tcPr>
          <w:p w14:paraId="2A43CF0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w:t>
            </w:r>
          </w:p>
        </w:tc>
        <w:tc>
          <w:tcPr>
            <w:tcW w:w="1992" w:type="dxa"/>
            <w:vAlign w:val="center"/>
          </w:tcPr>
          <w:p w14:paraId="1996BE4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0.005</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1</w:t>
            </w:r>
          </w:p>
        </w:tc>
        <w:tc>
          <w:tcPr>
            <w:tcW w:w="2265" w:type="dxa"/>
            <w:vAlign w:val="center"/>
          </w:tcPr>
          <w:p w14:paraId="49834C4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臭蛋味</w:t>
            </w:r>
          </w:p>
        </w:tc>
      </w:tr>
      <w:tr w14:paraId="335F8D7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985" w:type="dxa"/>
            <w:vAlign w:val="center"/>
          </w:tcPr>
          <w:p w14:paraId="62F4C2E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甲硫醇</w:t>
            </w:r>
          </w:p>
        </w:tc>
        <w:tc>
          <w:tcPr>
            <w:tcW w:w="2299" w:type="dxa"/>
            <w:vAlign w:val="center"/>
          </w:tcPr>
          <w:p w14:paraId="79B3887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992" w:type="dxa"/>
            <w:vAlign w:val="center"/>
          </w:tcPr>
          <w:p w14:paraId="7162041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0.0001</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0.0011</w:t>
            </w:r>
          </w:p>
        </w:tc>
        <w:tc>
          <w:tcPr>
            <w:tcW w:w="2265" w:type="dxa"/>
            <w:vAlign w:val="center"/>
          </w:tcPr>
          <w:p w14:paraId="0845CB0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大蒜、韭菜一类臭味</w:t>
            </w:r>
          </w:p>
        </w:tc>
      </w:tr>
    </w:tbl>
    <w:p w14:paraId="13FF22E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养殖过程恶臭气体主要产生于圈舍内，为了有效核定出臭气中</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的产生情况，本环评引用中国环境科学学会学术年会论文集（</w:t>
      </w:r>
      <w:r>
        <w:rPr>
          <w:color w:val="000000" w:themeColor="text1"/>
          <w:highlight w:val="none"/>
          <w14:textFill>
            <w14:solidFill>
              <w14:schemeClr w14:val="tx1"/>
            </w14:solidFill>
          </w14:textFill>
        </w:rPr>
        <w:t>2010</w:t>
      </w:r>
      <w:r>
        <w:rPr>
          <w:rFonts w:hint="eastAsia"/>
          <w:color w:val="000000" w:themeColor="text1"/>
          <w:highlight w:val="none"/>
          <w14:textFill>
            <w14:solidFill>
              <w14:schemeClr w14:val="tx1"/>
            </w14:solidFill>
          </w14:textFill>
        </w:rPr>
        <w:t>）中的《养猪场恶臭影响量化分析及控制对策研究》（天津市环境影响评价中心，孙艳青、张潞、李万庆）资料，对本项目</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的产生量进行预测。</w:t>
      </w:r>
    </w:p>
    <w:p w14:paraId="7C73BAE2">
      <w:pPr>
        <w:ind w:firstLine="480" w:firstLineChars="200"/>
        <w:rPr>
          <w:rFonts w:hint="eastAsia" w:eastAsia="宋体" w:cs="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根据该文献资料，仔猪</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排放量为0.6</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0.8g/(头·d)（本环评折中取</w:t>
      </w:r>
      <w:r>
        <w:rPr>
          <w:rFonts w:hint="eastAsia"/>
          <w:color w:val="000000" w:themeColor="text1"/>
          <w:highlight w:val="none"/>
          <w:lang w:val="en-US" w:eastAsia="zh-CN"/>
          <w14:textFill>
            <w14:solidFill>
              <w14:schemeClr w14:val="tx1"/>
            </w14:solidFill>
          </w14:textFill>
        </w:rPr>
        <w:t>0.7</w:t>
      </w:r>
      <w:r>
        <w:rPr>
          <w:color w:val="000000" w:themeColor="text1"/>
          <w:highlight w:val="none"/>
          <w14:textFill>
            <w14:solidFill>
              <w14:schemeClr w14:val="tx1"/>
            </w14:solidFill>
          </w14:textFill>
        </w:rPr>
        <w:t>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仔猪</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排放量为0.2g/(头·d)</w:t>
      </w:r>
      <w:r>
        <w:rPr>
          <w:rFonts w:hint="eastAsia"/>
          <w:color w:val="000000" w:themeColor="text1"/>
          <w:highlight w:val="none"/>
          <w:lang w:eastAsia="zh-CN"/>
          <w14:textFill>
            <w14:solidFill>
              <w14:schemeClr w14:val="tx1"/>
            </w14:solidFill>
          </w14:textFill>
        </w:rPr>
        <w:t>；保育猪</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lang w:eastAsia="zh-CN"/>
          <w14:textFill>
            <w14:solidFill>
              <w14:schemeClr w14:val="tx1"/>
            </w14:solidFill>
          </w14:textFill>
        </w:rPr>
        <w:t>排放量为0.8～</w:t>
      </w:r>
      <w:r>
        <w:rPr>
          <w:rFonts w:hint="eastAsia"/>
          <w:color w:val="000000" w:themeColor="text1"/>
          <w:highlight w:val="none"/>
          <w:lang w:val="en-US" w:eastAsia="zh-CN"/>
          <w14:textFill>
            <w14:solidFill>
              <w14:schemeClr w14:val="tx1"/>
            </w14:solidFill>
          </w14:textFill>
        </w:rPr>
        <w:t>1.1</w:t>
      </w:r>
      <w:r>
        <w:rPr>
          <w:color w:val="000000" w:themeColor="text1"/>
          <w:highlight w:val="none"/>
          <w14:textFill>
            <w14:solidFill>
              <w14:schemeClr w14:val="tx1"/>
            </w14:solidFill>
          </w14:textFill>
        </w:rPr>
        <w:t>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）（本环评折中取</w:t>
      </w:r>
      <w:r>
        <w:rPr>
          <w:rFonts w:hint="eastAsia"/>
          <w:color w:val="000000" w:themeColor="text1"/>
          <w:highlight w:val="none"/>
          <w:lang w:val="en-US" w:eastAsia="zh-CN"/>
          <w14:textFill>
            <w14:solidFill>
              <w14:schemeClr w14:val="tx1"/>
            </w14:solidFill>
          </w14:textFill>
        </w:rPr>
        <w:t>0.95</w:t>
      </w:r>
      <w:r>
        <w:rPr>
          <w:color w:val="000000" w:themeColor="text1"/>
          <w:highlight w:val="none"/>
          <w14:textFill>
            <w14:solidFill>
              <w14:schemeClr w14:val="tx1"/>
            </w14:solidFill>
          </w14:textFill>
        </w:rPr>
        <w:t>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保育猪</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排放量为0.25g(头·d)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中猪产生的</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排放量为</w:t>
      </w:r>
      <w:r>
        <w:rPr>
          <w:color w:val="000000" w:themeColor="text1"/>
          <w:highlight w:val="none"/>
          <w14:textFill>
            <w14:solidFill>
              <w14:schemeClr w14:val="tx1"/>
            </w14:solidFill>
          </w14:textFill>
        </w:rPr>
        <w:t>1.9</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2.1g/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）（本环评折中取</w:t>
      </w:r>
      <w:r>
        <w:rPr>
          <w:color w:val="000000" w:themeColor="text1"/>
          <w:highlight w:val="none"/>
          <w14:textFill>
            <w14:solidFill>
              <w14:schemeClr w14:val="tx1"/>
            </w14:solidFill>
          </w14:textFill>
        </w:rPr>
        <w:t>2.0g/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，中猪产生的</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排放量为</w:t>
      </w:r>
      <w:r>
        <w:rPr>
          <w:color w:val="000000" w:themeColor="text1"/>
          <w:highlight w:val="none"/>
          <w14:textFill>
            <w14:solidFill>
              <w14:schemeClr w14:val="tx1"/>
            </w14:solidFill>
          </w14:textFill>
        </w:rPr>
        <w:t>0.3g/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））；大猪产生的</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排放量为</w:t>
      </w:r>
      <w:r>
        <w:rPr>
          <w:color w:val="000000" w:themeColor="text1"/>
          <w:highlight w:val="none"/>
          <w14:textFill>
            <w14:solidFill>
              <w14:schemeClr w14:val="tx1"/>
            </w14:solidFill>
          </w14:textFill>
        </w:rPr>
        <w:t>5.6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5.7g/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）（本环评折中取</w:t>
      </w:r>
      <w:r>
        <w:rPr>
          <w:color w:val="000000" w:themeColor="text1"/>
          <w:highlight w:val="none"/>
          <w14:textFill>
            <w14:solidFill>
              <w14:schemeClr w14:val="tx1"/>
            </w14:solidFill>
          </w14:textFill>
        </w:rPr>
        <w:t>5.65g/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，大猪产生的</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排放量为</w:t>
      </w:r>
      <w:r>
        <w:rPr>
          <w:color w:val="000000" w:themeColor="text1"/>
          <w:highlight w:val="none"/>
          <w14:textFill>
            <w14:solidFill>
              <w14:schemeClr w14:val="tx1"/>
            </w14:solidFill>
          </w14:textFill>
        </w:rPr>
        <w:t>0.5g/</w:t>
      </w:r>
      <w:r>
        <w:rPr>
          <w:rFonts w:hint="eastAsia"/>
          <w:color w:val="000000" w:themeColor="text1"/>
          <w:highlight w:val="none"/>
          <w14:textFill>
            <w14:solidFill>
              <w14:schemeClr w14:val="tx1"/>
            </w14:solidFill>
          </w14:textFill>
        </w:rPr>
        <w:t>（头·</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母猪</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排放量为5.3g(头·d)</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母猪</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排放量为0.8g/(头·d)。</w:t>
      </w:r>
      <w:r>
        <w:rPr>
          <w:rFonts w:hint="default" w:eastAsia="宋体" w:cs="宋体"/>
          <w:color w:val="000000" w:themeColor="text1"/>
          <w:highlight w:val="none"/>
          <w:lang w:eastAsia="zh-CN"/>
          <w14:textFill>
            <w14:solidFill>
              <w14:schemeClr w14:val="tx1"/>
            </w14:solidFill>
          </w14:textFill>
        </w:rPr>
        <w:t>生长育肥猪</w:t>
      </w:r>
      <w:r>
        <w:rPr>
          <w:rFonts w:hint="eastAsia" w:eastAsia="宋体" w:cs="宋体"/>
          <w:color w:val="000000" w:themeColor="text1"/>
          <w:highlight w:val="none"/>
          <w:lang w:val="en-US" w:eastAsia="zh-CN"/>
          <w14:textFill>
            <w14:solidFill>
              <w14:schemeClr w14:val="tx1"/>
            </w14:solidFill>
          </w14:textFill>
        </w:rPr>
        <w:t>119天按中猪计算，246天按大猪计算。</w:t>
      </w:r>
    </w:p>
    <w:p w14:paraId="53DC8559">
      <w:pPr>
        <w:ind w:firstLine="480" w:firstLineChars="200"/>
        <w:rPr>
          <w:color w:val="000000" w:themeColor="text1"/>
          <w:highlight w:val="none"/>
          <w14:textFill>
            <w14:solidFill>
              <w14:schemeClr w14:val="tx1"/>
            </w14:solidFill>
          </w14:textFill>
        </w:rPr>
      </w:pPr>
      <w:r>
        <w:rPr>
          <w:rFonts w:hint="eastAsia" w:eastAsia="宋体" w:cs="宋体"/>
          <w:color w:val="000000" w:themeColor="text1"/>
          <w:highlight w:val="none"/>
          <w:lang w:val="en-US" w:eastAsia="zh-CN"/>
          <w14:textFill>
            <w14:solidFill>
              <w14:schemeClr w14:val="tx1"/>
            </w14:solidFill>
          </w14:textFill>
        </w:rPr>
        <w:t>本项目产生的</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和H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S产生源强计算详见表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.10-2</w:t>
      </w:r>
      <w:r>
        <w:rPr>
          <w:rFonts w:hint="eastAsia"/>
          <w:color w:val="000000" w:themeColor="text1"/>
          <w:highlight w:val="none"/>
          <w14:textFill>
            <w14:solidFill>
              <w14:schemeClr w14:val="tx1"/>
            </w14:solidFill>
          </w14:textFill>
        </w:rPr>
        <w:t>。</w:t>
      </w:r>
    </w:p>
    <w:p w14:paraId="175E7A8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.10-2  本项目全场圈舍NH</w:t>
      </w:r>
      <w:r>
        <w:rPr>
          <w:b/>
          <w:bCs/>
          <w:color w:val="000000" w:themeColor="text1"/>
          <w:sz w:val="21"/>
          <w:szCs w:val="21"/>
          <w:highlight w:val="none"/>
          <w:vertAlign w:val="subscript"/>
          <w14:textFill>
            <w14:solidFill>
              <w14:schemeClr w14:val="tx1"/>
            </w14:solidFill>
          </w14:textFill>
        </w:rPr>
        <w:t>3</w:t>
      </w:r>
      <w:r>
        <w:rPr>
          <w:b/>
          <w:bCs/>
          <w:color w:val="000000" w:themeColor="text1"/>
          <w:sz w:val="21"/>
          <w:szCs w:val="21"/>
          <w:highlight w:val="none"/>
          <w14:textFill>
            <w14:solidFill>
              <w14:schemeClr w14:val="tx1"/>
            </w14:solidFill>
          </w14:textFill>
        </w:rPr>
        <w:t>和H</w:t>
      </w:r>
      <w:r>
        <w:rPr>
          <w:b/>
          <w:bCs/>
          <w:color w:val="000000" w:themeColor="text1"/>
          <w:sz w:val="21"/>
          <w:szCs w:val="21"/>
          <w:highlight w:val="none"/>
          <w:vertAlign w:val="subscript"/>
          <w14:textFill>
            <w14:solidFill>
              <w14:schemeClr w14:val="tx1"/>
            </w14:solidFill>
          </w14:textFill>
        </w:rPr>
        <w:t>2</w:t>
      </w:r>
      <w:r>
        <w:rPr>
          <w:b/>
          <w:bCs/>
          <w:color w:val="000000" w:themeColor="text1"/>
          <w:sz w:val="21"/>
          <w:szCs w:val="21"/>
          <w:highlight w:val="none"/>
          <w14:textFill>
            <w14:solidFill>
              <w14:schemeClr w14:val="tx1"/>
            </w14:solidFill>
          </w14:textFill>
        </w:rPr>
        <w:t>S产生量估算</w:t>
      </w:r>
    </w:p>
    <w:tbl>
      <w:tblPr>
        <w:tblStyle w:val="33"/>
        <w:tblW w:w="484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7"/>
        <w:gridCol w:w="1139"/>
        <w:gridCol w:w="874"/>
        <w:gridCol w:w="1124"/>
        <w:gridCol w:w="1124"/>
        <w:gridCol w:w="1124"/>
        <w:gridCol w:w="1124"/>
      </w:tblGrid>
      <w:tr w14:paraId="2629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trPr>
        <w:tc>
          <w:tcPr>
            <w:tcW w:w="1058" w:type="pct"/>
            <w:vMerge w:val="restart"/>
            <w:vAlign w:val="center"/>
          </w:tcPr>
          <w:p w14:paraId="6B0998A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种类</w:t>
            </w:r>
          </w:p>
        </w:tc>
        <w:tc>
          <w:tcPr>
            <w:tcW w:w="689" w:type="pct"/>
            <w:vMerge w:val="restart"/>
            <w:vAlign w:val="center"/>
          </w:tcPr>
          <w:p w14:paraId="7E684D0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常年存栏量</w:t>
            </w:r>
          </w:p>
        </w:tc>
        <w:tc>
          <w:tcPr>
            <w:tcW w:w="529" w:type="pct"/>
            <w:vMerge w:val="restart"/>
            <w:vAlign w:val="center"/>
          </w:tcPr>
          <w:p w14:paraId="691F49B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cs="Times New Roman"/>
                <w:b/>
                <w:bCs/>
                <w:color w:val="000000" w:themeColor="text1"/>
                <w:sz w:val="21"/>
                <w:szCs w:val="21"/>
                <w:highlight w:val="none"/>
                <w:lang w:val="en-US" w:eastAsia="zh-CN"/>
                <w14:textFill>
                  <w14:solidFill>
                    <w14:schemeClr w14:val="tx1"/>
                  </w14:solidFill>
                </w14:textFill>
              </w:rPr>
              <w:t>生产</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天数</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d</w:t>
            </w:r>
          </w:p>
        </w:tc>
        <w:tc>
          <w:tcPr>
            <w:tcW w:w="1361" w:type="pct"/>
            <w:gridSpan w:val="2"/>
            <w:vAlign w:val="center"/>
          </w:tcPr>
          <w:p w14:paraId="2D71AE49">
            <w:pPr>
              <w:spacing w:line="240" w:lineRule="auto"/>
              <w:jc w:val="center"/>
              <w:rPr>
                <w:rFonts w:hint="default" w:ascii="Times New Roman" w:hAnsi="Times New Roman" w:eastAsia="宋体" w:cs="宋体"/>
                <w:b/>
                <w:bCs/>
                <w:color w:val="000000" w:themeColor="text1"/>
                <w:sz w:val="21"/>
                <w:szCs w:val="21"/>
                <w:highlight w:val="none"/>
                <w:lang w:val="en-US" w:eastAsia="zh-CN" w:bidi="ar-SA"/>
                <w14:textFill>
                  <w14:solidFill>
                    <w14:schemeClr w14:val="tx1"/>
                  </w14:solidFill>
                </w14:textFill>
              </w:rPr>
            </w:pPr>
            <w:r>
              <w:rPr>
                <w:b/>
                <w:bCs/>
                <w:color w:val="000000" w:themeColor="text1"/>
                <w:sz w:val="21"/>
                <w:szCs w:val="21"/>
                <w:highlight w:val="none"/>
                <w14:textFill>
                  <w14:solidFill>
                    <w14:schemeClr w14:val="tx1"/>
                  </w14:solidFill>
                </w14:textFill>
              </w:rPr>
              <w:t>NH</w:t>
            </w:r>
            <w:r>
              <w:rPr>
                <w:b/>
                <w:bCs/>
                <w:color w:val="000000" w:themeColor="text1"/>
                <w:sz w:val="21"/>
                <w:szCs w:val="21"/>
                <w:highlight w:val="none"/>
                <w:vertAlign w:val="subscript"/>
                <w14:textFill>
                  <w14:solidFill>
                    <w14:schemeClr w14:val="tx1"/>
                  </w14:solidFill>
                </w14:textFill>
              </w:rPr>
              <w:t>3</w:t>
            </w:r>
          </w:p>
        </w:tc>
        <w:tc>
          <w:tcPr>
            <w:tcW w:w="1361" w:type="pct"/>
            <w:gridSpan w:val="2"/>
            <w:vAlign w:val="center"/>
          </w:tcPr>
          <w:p w14:paraId="0985E62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b/>
                <w:bCs/>
                <w:color w:val="000000" w:themeColor="text1"/>
                <w:sz w:val="21"/>
                <w:szCs w:val="21"/>
                <w:highlight w:val="none"/>
                <w14:textFill>
                  <w14:solidFill>
                    <w14:schemeClr w14:val="tx1"/>
                  </w14:solidFill>
                </w14:textFill>
              </w:rPr>
              <w:t>H</w:t>
            </w:r>
            <w:r>
              <w:rPr>
                <w:b/>
                <w:bCs/>
                <w:color w:val="000000" w:themeColor="text1"/>
                <w:sz w:val="21"/>
                <w:szCs w:val="21"/>
                <w:highlight w:val="none"/>
                <w:vertAlign w:val="subscript"/>
                <w14:textFill>
                  <w14:solidFill>
                    <w14:schemeClr w14:val="tx1"/>
                  </w14:solidFill>
                </w14:textFill>
              </w:rPr>
              <w:t>2</w:t>
            </w:r>
            <w:r>
              <w:rPr>
                <w:b/>
                <w:bCs/>
                <w:color w:val="000000" w:themeColor="text1"/>
                <w:sz w:val="21"/>
                <w:szCs w:val="21"/>
                <w:highlight w:val="none"/>
                <w14:textFill>
                  <w14:solidFill>
                    <w14:schemeClr w14:val="tx1"/>
                  </w14:solidFill>
                </w14:textFill>
              </w:rPr>
              <w:t>S</w:t>
            </w:r>
          </w:p>
        </w:tc>
      </w:tr>
      <w:tr w14:paraId="4B87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trPr>
        <w:tc>
          <w:tcPr>
            <w:tcW w:w="1058" w:type="pct"/>
            <w:vMerge w:val="continue"/>
            <w:vAlign w:val="center"/>
          </w:tcPr>
          <w:p w14:paraId="02B97D3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p>
        </w:tc>
        <w:tc>
          <w:tcPr>
            <w:tcW w:w="689" w:type="pct"/>
            <w:vMerge w:val="continue"/>
            <w:vAlign w:val="center"/>
          </w:tcPr>
          <w:p w14:paraId="531F20F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529" w:type="pct"/>
            <w:vMerge w:val="continue"/>
            <w:vAlign w:val="center"/>
          </w:tcPr>
          <w:p w14:paraId="6423A18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p>
        </w:tc>
        <w:tc>
          <w:tcPr>
            <w:tcW w:w="680" w:type="pct"/>
            <w:vAlign w:val="center"/>
          </w:tcPr>
          <w:p w14:paraId="001A89A0">
            <w:pPr>
              <w:spacing w:line="240" w:lineRule="auto"/>
              <w:jc w:val="center"/>
              <w:rPr>
                <w:rFonts w:hint="default" w:ascii="Times New Roman" w:hAnsi="Times New Roman" w:eastAsia="宋体" w:cs="宋体"/>
                <w:b/>
                <w:bCs/>
                <w:color w:val="000000" w:themeColor="text1"/>
                <w:sz w:val="21"/>
                <w:szCs w:val="21"/>
                <w:highlight w:val="none"/>
                <w:lang w:val="en-US" w:eastAsia="zh-CN" w:bidi="ar-SA"/>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产污系数g/（头.天）</w:t>
            </w:r>
          </w:p>
        </w:tc>
        <w:tc>
          <w:tcPr>
            <w:tcW w:w="680" w:type="pct"/>
            <w:vAlign w:val="center"/>
          </w:tcPr>
          <w:p w14:paraId="7CB1762D">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产生量</w:t>
            </w:r>
          </w:p>
          <w:p w14:paraId="60596154">
            <w:pPr>
              <w:spacing w:line="240" w:lineRule="auto"/>
              <w:jc w:val="center"/>
              <w:rPr>
                <w:rFonts w:hint="default" w:ascii="Times New Roman" w:hAnsi="Times New Roman" w:eastAsia="宋体" w:cs="宋体"/>
                <w:b/>
                <w:bCs/>
                <w:color w:val="000000" w:themeColor="text1"/>
                <w:sz w:val="21"/>
                <w:szCs w:val="21"/>
                <w:highlight w:val="none"/>
                <w:lang w:val="en-US" w:eastAsia="zh-CN" w:bidi="ar-SA"/>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t/a</w:t>
            </w:r>
          </w:p>
        </w:tc>
        <w:tc>
          <w:tcPr>
            <w:tcW w:w="680" w:type="pct"/>
            <w:vAlign w:val="center"/>
          </w:tcPr>
          <w:p w14:paraId="59FC097B">
            <w:pPr>
              <w:spacing w:line="240" w:lineRule="auto"/>
              <w:jc w:val="center"/>
              <w:rPr>
                <w:rFonts w:hint="default" w:ascii="Times New Roman" w:hAnsi="Times New Roman" w:eastAsia="宋体" w:cs="宋体"/>
                <w:b/>
                <w:bCs/>
                <w:color w:val="000000" w:themeColor="text1"/>
                <w:sz w:val="21"/>
                <w:szCs w:val="21"/>
                <w:highlight w:val="none"/>
                <w:lang w:val="en-US" w:eastAsia="zh-CN" w:bidi="ar-SA"/>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产污系数g/（头.天）</w:t>
            </w:r>
          </w:p>
        </w:tc>
        <w:tc>
          <w:tcPr>
            <w:tcW w:w="680" w:type="pct"/>
            <w:vAlign w:val="center"/>
          </w:tcPr>
          <w:p w14:paraId="0FF08159">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产生量</w:t>
            </w:r>
          </w:p>
          <w:p w14:paraId="12CD09B6">
            <w:pPr>
              <w:spacing w:line="240" w:lineRule="auto"/>
              <w:jc w:val="center"/>
              <w:rPr>
                <w:rFonts w:hint="default" w:ascii="Times New Roman" w:hAnsi="Times New Roman" w:eastAsia="宋体" w:cs="宋体"/>
                <w:b/>
                <w:bCs/>
                <w:color w:val="000000" w:themeColor="text1"/>
                <w:sz w:val="21"/>
                <w:szCs w:val="21"/>
                <w:highlight w:val="none"/>
                <w:lang w:val="en-US" w:eastAsia="zh-CN" w:bidi="ar-SA"/>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t/a</w:t>
            </w:r>
          </w:p>
        </w:tc>
      </w:tr>
      <w:tr w14:paraId="032AC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trPr>
        <w:tc>
          <w:tcPr>
            <w:tcW w:w="1058" w:type="pct"/>
            <w:vAlign w:val="center"/>
          </w:tcPr>
          <w:p w14:paraId="2D0D097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成年母猪</w:t>
            </w:r>
          </w:p>
        </w:tc>
        <w:tc>
          <w:tcPr>
            <w:tcW w:w="689" w:type="pct"/>
            <w:vAlign w:val="center"/>
          </w:tcPr>
          <w:p w14:paraId="2EF9B0D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4840</w:t>
            </w:r>
          </w:p>
        </w:tc>
        <w:tc>
          <w:tcPr>
            <w:tcW w:w="529" w:type="pct"/>
            <w:vMerge w:val="restart"/>
            <w:vAlign w:val="center"/>
          </w:tcPr>
          <w:p w14:paraId="5283D84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365</w:t>
            </w:r>
          </w:p>
        </w:tc>
        <w:tc>
          <w:tcPr>
            <w:tcW w:w="680" w:type="pct"/>
            <w:vAlign w:val="center"/>
          </w:tcPr>
          <w:p w14:paraId="2630ADB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680" w:type="pct"/>
            <w:vAlign w:val="center"/>
          </w:tcPr>
          <w:p w14:paraId="0679206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9.363</w:t>
            </w:r>
          </w:p>
        </w:tc>
        <w:tc>
          <w:tcPr>
            <w:tcW w:w="680" w:type="pct"/>
            <w:vAlign w:val="center"/>
          </w:tcPr>
          <w:p w14:paraId="62F9510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w:t>
            </w:r>
          </w:p>
        </w:tc>
        <w:tc>
          <w:tcPr>
            <w:tcW w:w="680" w:type="pct"/>
            <w:vAlign w:val="center"/>
          </w:tcPr>
          <w:p w14:paraId="18263A2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1.413</w:t>
            </w:r>
          </w:p>
        </w:tc>
      </w:tr>
      <w:tr w14:paraId="101B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58" w:type="pct"/>
            <w:vAlign w:val="center"/>
          </w:tcPr>
          <w:p w14:paraId="142445B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后备母猪</w:t>
            </w:r>
          </w:p>
        </w:tc>
        <w:tc>
          <w:tcPr>
            <w:tcW w:w="689" w:type="pct"/>
            <w:vAlign w:val="center"/>
          </w:tcPr>
          <w:p w14:paraId="6F0630F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1452</w:t>
            </w:r>
          </w:p>
        </w:tc>
        <w:tc>
          <w:tcPr>
            <w:tcW w:w="529" w:type="pct"/>
            <w:vMerge w:val="continue"/>
            <w:vAlign w:val="center"/>
          </w:tcPr>
          <w:p w14:paraId="2706B1C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80" w:type="pct"/>
            <w:vAlign w:val="center"/>
          </w:tcPr>
          <w:p w14:paraId="6005E27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w:t>
            </w:r>
          </w:p>
        </w:tc>
        <w:tc>
          <w:tcPr>
            <w:tcW w:w="680" w:type="pct"/>
            <w:vAlign w:val="center"/>
          </w:tcPr>
          <w:p w14:paraId="0B5FB23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2.809</w:t>
            </w:r>
          </w:p>
        </w:tc>
        <w:tc>
          <w:tcPr>
            <w:tcW w:w="680" w:type="pct"/>
            <w:vAlign w:val="center"/>
          </w:tcPr>
          <w:p w14:paraId="43E4CD6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0.8</w:t>
            </w:r>
          </w:p>
        </w:tc>
        <w:tc>
          <w:tcPr>
            <w:tcW w:w="680" w:type="pct"/>
            <w:vAlign w:val="center"/>
          </w:tcPr>
          <w:p w14:paraId="4F49024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0.424</w:t>
            </w:r>
          </w:p>
        </w:tc>
      </w:tr>
      <w:tr w14:paraId="6C0A8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58" w:type="pct"/>
            <w:vAlign w:val="center"/>
          </w:tcPr>
          <w:p w14:paraId="7DED312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种公猪</w:t>
            </w:r>
          </w:p>
        </w:tc>
        <w:tc>
          <w:tcPr>
            <w:tcW w:w="689" w:type="pct"/>
            <w:vAlign w:val="center"/>
          </w:tcPr>
          <w:p w14:paraId="25A589D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160</w:t>
            </w:r>
          </w:p>
        </w:tc>
        <w:tc>
          <w:tcPr>
            <w:tcW w:w="529" w:type="pct"/>
            <w:vMerge w:val="continue"/>
            <w:vAlign w:val="center"/>
          </w:tcPr>
          <w:p w14:paraId="3FE2F8C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80" w:type="pct"/>
            <w:vAlign w:val="center"/>
          </w:tcPr>
          <w:p w14:paraId="4FCB585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5.65</w:t>
            </w:r>
          </w:p>
        </w:tc>
        <w:tc>
          <w:tcPr>
            <w:tcW w:w="680" w:type="pct"/>
            <w:vAlign w:val="center"/>
          </w:tcPr>
          <w:p w14:paraId="616907E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0.330</w:t>
            </w:r>
          </w:p>
        </w:tc>
        <w:tc>
          <w:tcPr>
            <w:tcW w:w="680" w:type="pct"/>
            <w:vAlign w:val="center"/>
          </w:tcPr>
          <w:p w14:paraId="5CE9945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w:t>
            </w:r>
          </w:p>
        </w:tc>
        <w:tc>
          <w:tcPr>
            <w:tcW w:w="680" w:type="pct"/>
            <w:vAlign w:val="center"/>
          </w:tcPr>
          <w:p w14:paraId="5E825B9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0.029</w:t>
            </w:r>
          </w:p>
        </w:tc>
      </w:tr>
      <w:tr w14:paraId="760C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58" w:type="pct"/>
            <w:vAlign w:val="center"/>
          </w:tcPr>
          <w:p w14:paraId="5F076F5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后备公猪</w:t>
            </w:r>
          </w:p>
        </w:tc>
        <w:tc>
          <w:tcPr>
            <w:tcW w:w="689" w:type="pct"/>
            <w:vAlign w:val="center"/>
          </w:tcPr>
          <w:p w14:paraId="3A3BE99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529" w:type="pct"/>
            <w:vMerge w:val="continue"/>
            <w:vAlign w:val="center"/>
          </w:tcPr>
          <w:p w14:paraId="72D8937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80" w:type="pct"/>
            <w:vAlign w:val="center"/>
          </w:tcPr>
          <w:p w14:paraId="08EAB65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5.65</w:t>
            </w:r>
          </w:p>
        </w:tc>
        <w:tc>
          <w:tcPr>
            <w:tcW w:w="680" w:type="pct"/>
            <w:vAlign w:val="center"/>
          </w:tcPr>
          <w:p w14:paraId="6BD5603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0.165</w:t>
            </w:r>
          </w:p>
        </w:tc>
        <w:tc>
          <w:tcPr>
            <w:tcW w:w="680" w:type="pct"/>
            <w:vAlign w:val="center"/>
          </w:tcPr>
          <w:p w14:paraId="441E767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w:t>
            </w:r>
          </w:p>
        </w:tc>
        <w:tc>
          <w:tcPr>
            <w:tcW w:w="680" w:type="pct"/>
            <w:vAlign w:val="center"/>
          </w:tcPr>
          <w:p w14:paraId="638AAFB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0.015</w:t>
            </w:r>
          </w:p>
        </w:tc>
      </w:tr>
      <w:tr w14:paraId="48A8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trPr>
        <w:tc>
          <w:tcPr>
            <w:tcW w:w="1058" w:type="pct"/>
            <w:vAlign w:val="center"/>
          </w:tcPr>
          <w:p w14:paraId="6C3FFB0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哺乳仔猪</w:t>
            </w:r>
          </w:p>
        </w:tc>
        <w:tc>
          <w:tcPr>
            <w:tcW w:w="689" w:type="pct"/>
            <w:vAlign w:val="center"/>
          </w:tcPr>
          <w:p w14:paraId="4910F71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9876</w:t>
            </w:r>
          </w:p>
        </w:tc>
        <w:tc>
          <w:tcPr>
            <w:tcW w:w="529" w:type="pct"/>
            <w:vMerge w:val="continue"/>
            <w:vAlign w:val="center"/>
          </w:tcPr>
          <w:p w14:paraId="6F0DEAC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80" w:type="pct"/>
            <w:vAlign w:val="center"/>
          </w:tcPr>
          <w:p w14:paraId="6B87EC3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0.7</w:t>
            </w:r>
          </w:p>
        </w:tc>
        <w:tc>
          <w:tcPr>
            <w:tcW w:w="680" w:type="pct"/>
            <w:vAlign w:val="center"/>
          </w:tcPr>
          <w:p w14:paraId="7A44A7C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2.523</w:t>
            </w:r>
          </w:p>
        </w:tc>
        <w:tc>
          <w:tcPr>
            <w:tcW w:w="680" w:type="pct"/>
            <w:vAlign w:val="center"/>
          </w:tcPr>
          <w:p w14:paraId="2C473D4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0.2</w:t>
            </w:r>
          </w:p>
        </w:tc>
        <w:tc>
          <w:tcPr>
            <w:tcW w:w="680" w:type="pct"/>
            <w:vAlign w:val="center"/>
          </w:tcPr>
          <w:p w14:paraId="408B317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0.721</w:t>
            </w:r>
          </w:p>
        </w:tc>
      </w:tr>
      <w:tr w14:paraId="3BA66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58" w:type="pct"/>
            <w:vAlign w:val="center"/>
          </w:tcPr>
          <w:p w14:paraId="6DE8403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保育仔猪</w:t>
            </w:r>
          </w:p>
        </w:tc>
        <w:tc>
          <w:tcPr>
            <w:tcW w:w="689" w:type="pct"/>
            <w:vAlign w:val="center"/>
          </w:tcPr>
          <w:p w14:paraId="460E676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11852</w:t>
            </w:r>
          </w:p>
        </w:tc>
        <w:tc>
          <w:tcPr>
            <w:tcW w:w="529" w:type="pct"/>
            <w:vMerge w:val="continue"/>
            <w:vAlign w:val="center"/>
          </w:tcPr>
          <w:p w14:paraId="579EE28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680" w:type="pct"/>
            <w:vAlign w:val="center"/>
          </w:tcPr>
          <w:p w14:paraId="2746755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0.95</w:t>
            </w:r>
          </w:p>
        </w:tc>
        <w:tc>
          <w:tcPr>
            <w:tcW w:w="680" w:type="pct"/>
            <w:vAlign w:val="center"/>
          </w:tcPr>
          <w:p w14:paraId="18CBE0C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4.110</w:t>
            </w:r>
          </w:p>
        </w:tc>
        <w:tc>
          <w:tcPr>
            <w:tcW w:w="680" w:type="pct"/>
            <w:vAlign w:val="center"/>
          </w:tcPr>
          <w:p w14:paraId="5464C52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r>
              <w:rPr>
                <w:rFonts w:hint="eastAsia" w:eastAsia="宋体" w:cs="Times New Roman"/>
                <w:color w:val="000000" w:themeColor="text1"/>
                <w:sz w:val="21"/>
                <w:szCs w:val="21"/>
                <w:highlight w:val="none"/>
                <w:lang w:val="en-US" w:eastAsia="zh-CN"/>
                <w14:textFill>
                  <w14:solidFill>
                    <w14:schemeClr w14:val="tx1"/>
                  </w14:solidFill>
                </w14:textFill>
              </w:rPr>
              <w:t>25</w:t>
            </w:r>
          </w:p>
        </w:tc>
        <w:tc>
          <w:tcPr>
            <w:tcW w:w="680" w:type="pct"/>
            <w:vAlign w:val="center"/>
          </w:tcPr>
          <w:p w14:paraId="1CC0134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1.081</w:t>
            </w:r>
          </w:p>
        </w:tc>
      </w:tr>
      <w:tr w14:paraId="28B96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trPr>
        <w:tc>
          <w:tcPr>
            <w:tcW w:w="1058" w:type="pct"/>
            <w:vAlign w:val="center"/>
          </w:tcPr>
          <w:p w14:paraId="57A39C3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生长育肥猪</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中猪</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89" w:type="pct"/>
            <w:vAlign w:val="center"/>
          </w:tcPr>
          <w:p w14:paraId="5679CE5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6653</w:t>
            </w:r>
          </w:p>
        </w:tc>
        <w:tc>
          <w:tcPr>
            <w:tcW w:w="529" w:type="pct"/>
            <w:vAlign w:val="center"/>
          </w:tcPr>
          <w:p w14:paraId="7984695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119</w:t>
            </w:r>
          </w:p>
        </w:tc>
        <w:tc>
          <w:tcPr>
            <w:tcW w:w="680" w:type="pct"/>
            <w:vAlign w:val="center"/>
          </w:tcPr>
          <w:p w14:paraId="1BFD9E3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2.0</w:t>
            </w:r>
          </w:p>
        </w:tc>
        <w:tc>
          <w:tcPr>
            <w:tcW w:w="680" w:type="pct"/>
            <w:vAlign w:val="center"/>
          </w:tcPr>
          <w:p w14:paraId="1684571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1.583</w:t>
            </w:r>
          </w:p>
        </w:tc>
        <w:tc>
          <w:tcPr>
            <w:tcW w:w="680" w:type="pct"/>
            <w:vAlign w:val="center"/>
          </w:tcPr>
          <w:p w14:paraId="1424D93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0.3</w:t>
            </w:r>
          </w:p>
        </w:tc>
        <w:tc>
          <w:tcPr>
            <w:tcW w:w="680" w:type="pct"/>
            <w:vAlign w:val="center"/>
          </w:tcPr>
          <w:p w14:paraId="311D60A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0.238</w:t>
            </w:r>
          </w:p>
        </w:tc>
      </w:tr>
      <w:tr w14:paraId="5A3C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trPr>
        <w:tc>
          <w:tcPr>
            <w:tcW w:w="1058" w:type="pct"/>
            <w:vAlign w:val="center"/>
          </w:tcPr>
          <w:p w14:paraId="6CA17AB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生长育肥猪</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大猪</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689" w:type="pct"/>
            <w:vAlign w:val="center"/>
          </w:tcPr>
          <w:p w14:paraId="09016AC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6653</w:t>
            </w:r>
          </w:p>
        </w:tc>
        <w:tc>
          <w:tcPr>
            <w:tcW w:w="529" w:type="pct"/>
            <w:vAlign w:val="center"/>
          </w:tcPr>
          <w:p w14:paraId="4E3B842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246</w:t>
            </w:r>
          </w:p>
        </w:tc>
        <w:tc>
          <w:tcPr>
            <w:tcW w:w="680" w:type="pct"/>
            <w:vAlign w:val="center"/>
          </w:tcPr>
          <w:p w14:paraId="4782E5C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5.65</w:t>
            </w:r>
          </w:p>
        </w:tc>
        <w:tc>
          <w:tcPr>
            <w:tcW w:w="680" w:type="pct"/>
            <w:vAlign w:val="center"/>
          </w:tcPr>
          <w:p w14:paraId="42A12AF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bidi="ar-SA"/>
                <w14:textFill>
                  <w14:solidFill>
                    <w14:schemeClr w14:val="tx1"/>
                  </w14:solidFill>
                </w14:textFill>
              </w:rPr>
              <w:t>9.247</w:t>
            </w:r>
          </w:p>
        </w:tc>
        <w:tc>
          <w:tcPr>
            <w:tcW w:w="680" w:type="pct"/>
            <w:vAlign w:val="center"/>
          </w:tcPr>
          <w:p w14:paraId="75BD4C3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0.5</w:t>
            </w:r>
          </w:p>
        </w:tc>
        <w:tc>
          <w:tcPr>
            <w:tcW w:w="680" w:type="pct"/>
            <w:vAlign w:val="center"/>
          </w:tcPr>
          <w:p w14:paraId="467BA3D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0.818</w:t>
            </w:r>
          </w:p>
        </w:tc>
      </w:tr>
      <w:tr w14:paraId="3B89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058" w:type="pct"/>
            <w:vAlign w:val="center"/>
          </w:tcPr>
          <w:p w14:paraId="44FB49C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合计</w:t>
            </w:r>
          </w:p>
        </w:tc>
        <w:tc>
          <w:tcPr>
            <w:tcW w:w="689" w:type="pct"/>
            <w:vAlign w:val="center"/>
          </w:tcPr>
          <w:p w14:paraId="425B0F0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29" w:type="pct"/>
            <w:vAlign w:val="center"/>
          </w:tcPr>
          <w:p w14:paraId="3FB28509">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80" w:type="pct"/>
            <w:vAlign w:val="center"/>
          </w:tcPr>
          <w:p w14:paraId="5E415E2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eastAsia="宋体" w:cs="Times New Roman"/>
                <w:color w:val="000000" w:themeColor="text1"/>
                <w:sz w:val="21"/>
                <w:szCs w:val="21"/>
                <w:highlight w:val="none"/>
                <w:lang w:val="en-US" w:eastAsia="zh-CN"/>
                <w14:textFill>
                  <w14:solidFill>
                    <w14:schemeClr w14:val="tx1"/>
                  </w14:solidFill>
                </w14:textFill>
              </w:rPr>
              <w:t>/</w:t>
            </w:r>
          </w:p>
        </w:tc>
        <w:tc>
          <w:tcPr>
            <w:tcW w:w="680" w:type="pct"/>
            <w:vAlign w:val="center"/>
          </w:tcPr>
          <w:p w14:paraId="5B27425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30.13</w:t>
            </w:r>
          </w:p>
        </w:tc>
        <w:tc>
          <w:tcPr>
            <w:tcW w:w="680" w:type="pct"/>
            <w:vAlign w:val="center"/>
          </w:tcPr>
          <w:p w14:paraId="2060BF8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680" w:type="pct"/>
            <w:vAlign w:val="center"/>
          </w:tcPr>
          <w:p w14:paraId="7677CDB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4.739</w:t>
            </w:r>
          </w:p>
        </w:tc>
      </w:tr>
    </w:tbl>
    <w:p w14:paraId="35F71807">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由表</w:t>
      </w:r>
      <w:r>
        <w:rPr>
          <w:color w:val="000000" w:themeColor="text1"/>
          <w:highlight w:val="none"/>
          <w14:textFill>
            <w14:solidFill>
              <w14:schemeClr w14:val="tx1"/>
            </w14:solidFill>
          </w14:textFill>
        </w:rPr>
        <w:t>3.</w:t>
      </w:r>
      <w:r>
        <w:rPr>
          <w:rFonts w:hint="eastAsia"/>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2可知，项目全厂猪舍臭气</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产生量分别为</w:t>
      </w:r>
      <w:r>
        <w:rPr>
          <w:rFonts w:hint="eastAsia"/>
          <w:color w:val="000000" w:themeColor="text1"/>
          <w:highlight w:val="none"/>
          <w:lang w:val="en-US" w:eastAsia="zh-CN"/>
          <w14:textFill>
            <w14:solidFill>
              <w14:schemeClr w14:val="tx1"/>
            </w14:solidFill>
          </w14:textFill>
        </w:rPr>
        <w:t>30.13</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4.739</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。该数据是在猪舍没有采取任何措施情况下的产生量，本项目采用在饲料调配过程添加</w:t>
      </w:r>
      <w:r>
        <w:rPr>
          <w:color w:val="000000" w:themeColor="text1"/>
          <w:highlight w:val="none"/>
          <w14:textFill>
            <w14:solidFill>
              <w14:schemeClr w14:val="tx1"/>
            </w14:solidFill>
          </w14:textFill>
        </w:rPr>
        <w:t>EM</w:t>
      </w:r>
      <w:r>
        <w:rPr>
          <w:rFonts w:hint="eastAsia"/>
          <w:color w:val="000000" w:themeColor="text1"/>
          <w:highlight w:val="none"/>
          <w:lang w:eastAsia="zh-CN"/>
          <w14:textFill>
            <w14:solidFill>
              <w14:schemeClr w14:val="tx1"/>
            </w14:solidFill>
          </w14:textFill>
        </w:rPr>
        <w:t>复合</w:t>
      </w:r>
      <w:r>
        <w:rPr>
          <w:rFonts w:hint="eastAsia"/>
          <w:color w:val="000000" w:themeColor="text1"/>
          <w:highlight w:val="none"/>
          <w14:textFill>
            <w14:solidFill>
              <w14:schemeClr w14:val="tx1"/>
            </w14:solidFill>
          </w14:textFill>
        </w:rPr>
        <w:t>微生物菌剂、采用节水型饮水器、</w:t>
      </w:r>
      <w:r>
        <w:rPr>
          <w:rFonts w:hint="eastAsia"/>
          <w:color w:val="000000" w:themeColor="text1"/>
          <w:highlight w:val="none"/>
          <w:lang w:eastAsia="zh-CN"/>
          <w14:textFill>
            <w14:solidFill>
              <w14:schemeClr w14:val="tx1"/>
            </w14:solidFill>
          </w14:textFill>
        </w:rPr>
        <w:t>半漏板</w:t>
      </w:r>
      <w:r>
        <w:rPr>
          <w:rFonts w:hint="eastAsia"/>
          <w:color w:val="000000" w:themeColor="text1"/>
          <w:highlight w:val="none"/>
          <w14:textFill>
            <w14:solidFill>
              <w14:schemeClr w14:val="tx1"/>
            </w14:solidFill>
          </w14:textFill>
        </w:rPr>
        <w:t>等措施对项目产生的</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进行治理。通过以上措施可以有效抑制和去除</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的产生及排放量。</w:t>
      </w:r>
    </w:p>
    <w:p w14:paraId="40A918B7">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由于猪舍的恶臭污染源分散，集中处理困难，最有效的控制方法是预防为主，从恶臭产生的源头处理。根据《畜禽养殖业污染防治技术政策》（环发〔</w:t>
      </w:r>
      <w:r>
        <w:rPr>
          <w:color w:val="000000" w:themeColor="text1"/>
          <w:highlight w:val="none"/>
          <w14:textFill>
            <w14:solidFill>
              <w14:schemeClr w14:val="tx1"/>
            </w14:solidFill>
          </w14:textFill>
        </w:rPr>
        <w:t>2010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151</w:t>
      </w:r>
      <w:r>
        <w:rPr>
          <w:rFonts w:hint="eastAsia"/>
          <w:color w:val="000000" w:themeColor="text1"/>
          <w:highlight w:val="none"/>
          <w14:textFill>
            <w14:solidFill>
              <w14:schemeClr w14:val="tx1"/>
            </w14:solidFill>
          </w14:textFill>
        </w:rPr>
        <w:t>号）、《畜禽养殖业污染治理工程技术规范》（</w:t>
      </w:r>
      <w:r>
        <w:rPr>
          <w:color w:val="000000" w:themeColor="text1"/>
          <w:highlight w:val="none"/>
          <w14:textFill>
            <w14:solidFill>
              <w14:schemeClr w14:val="tx1"/>
            </w14:solidFill>
          </w14:textFill>
        </w:rPr>
        <w:t>HJ497-2009</w:t>
      </w:r>
      <w:r>
        <w:rPr>
          <w:rFonts w:hint="eastAsia"/>
          <w:color w:val="000000" w:themeColor="text1"/>
          <w:highlight w:val="none"/>
          <w14:textFill>
            <w14:solidFill>
              <w14:schemeClr w14:val="tx1"/>
            </w14:solidFill>
          </w14:textFill>
        </w:rPr>
        <w:t>）等文件，本次评价主要提出如下措施降低恶臭污染物的产生：</w:t>
      </w:r>
    </w:p>
    <w:p w14:paraId="55A16B7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通过控制饲养密度，并加强舍内通风；搞好场区环境卫生，采用节水型饮水器；</w:t>
      </w:r>
    </w:p>
    <w:p w14:paraId="66EFFA3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w:t>
      </w:r>
      <w:r>
        <w:rPr>
          <w:rFonts w:hint="eastAsia"/>
          <w:color w:val="000000" w:themeColor="text1"/>
          <w:highlight w:val="none"/>
          <w14:textFill>
            <w14:solidFill>
              <w14:schemeClr w14:val="tx1"/>
            </w14:solidFill>
          </w14:textFill>
        </w:rPr>
        <w:t>温度高时恶臭气体浓度高，猪粪在</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周后发酵较快，粪便暴露面积大的发酵率高。猪舍使用漏缝地板，保证粪便冷却，在猪舍内加强通风，加速粪便干燥，可减少猪粪污染；</w:t>
      </w:r>
    </w:p>
    <w:p w14:paraId="2D22AB8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w:t>
      </w:r>
      <w:r>
        <w:rPr>
          <w:rFonts w:hint="eastAsia"/>
          <w:color w:val="000000" w:themeColor="text1"/>
          <w:highlight w:val="none"/>
          <w14:textFill>
            <w14:solidFill>
              <w14:schemeClr w14:val="tx1"/>
            </w14:solidFill>
          </w14:textFill>
        </w:rPr>
        <w:t>合理搭配饲料，采用低氮饲喂方式，减轻环境中的恶臭，减少蚊蝇滋生。通过选用优质易消化的膨化饲料原料、添加</w:t>
      </w:r>
      <w:r>
        <w:rPr>
          <w:color w:val="000000" w:themeColor="text1"/>
          <w:highlight w:val="none"/>
          <w14:textFill>
            <w14:solidFill>
              <w14:schemeClr w14:val="tx1"/>
            </w14:solidFill>
          </w14:textFill>
        </w:rPr>
        <w:t>EM</w:t>
      </w:r>
      <w:r>
        <w:rPr>
          <w:rFonts w:hint="eastAsia"/>
          <w:color w:val="000000" w:themeColor="text1"/>
          <w:highlight w:val="none"/>
          <w:lang w:eastAsia="zh-CN"/>
          <w14:textFill>
            <w14:solidFill>
              <w14:schemeClr w14:val="tx1"/>
            </w14:solidFill>
          </w14:textFill>
        </w:rPr>
        <w:t>复合</w:t>
      </w:r>
      <w:r>
        <w:rPr>
          <w:rFonts w:hint="eastAsia"/>
          <w:color w:val="000000" w:themeColor="text1"/>
          <w:highlight w:val="none"/>
          <w14:textFill>
            <w14:solidFill>
              <w14:schemeClr w14:val="tx1"/>
            </w14:solidFill>
          </w14:textFill>
        </w:rPr>
        <w:t>微生物菌剂、酶抑制剂等来提高饲料的消化率和转化率，减少粪便的产生量；在饲料中添加活性肽原，其中含有酸制剂、酶制剂、沸石、丝兰属植物提取物等，可从源头降低恶臭排污量，有效降低空气异常气味；</w:t>
      </w:r>
    </w:p>
    <w:p w14:paraId="6A56C91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向猪舍投放吸附剂和喷洒除臭剂。本项目会定时向猪舍内投放吸附剂（如沸石、膨润土以及秸秆等含纤维素和木质素较多的材料），以减少恶臭的散发，并且每天多次喷洒除臭剂，以减少恶臭的产生，达到除臭目的。猪转栏时利用高压水枪喷淋石灰水对猪舍进行消毒处理，夏季加强猪舍通风，降低舍内有害气体浓度；</w:t>
      </w:r>
    </w:p>
    <w:p w14:paraId="2CE0D6E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w:t>
      </w:r>
      <w:r>
        <w:rPr>
          <w:rFonts w:hint="eastAsia"/>
          <w:color w:val="000000" w:themeColor="text1"/>
          <w:highlight w:val="none"/>
          <w14:textFill>
            <w14:solidFill>
              <w14:schemeClr w14:val="tx1"/>
            </w14:solidFill>
          </w14:textFill>
        </w:rPr>
        <w:t xml:space="preserve">及时清除粪便，定期冲洗猪舍和杀菌消毒，保持猪舍环境卫生； </w:t>
      </w:r>
    </w:p>
    <w:p w14:paraId="2D347C08">
      <w:pPr>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EM</w:t>
      </w:r>
      <w:r>
        <w:rPr>
          <w:rFonts w:hint="eastAsia"/>
          <w:color w:val="000000" w:themeColor="text1"/>
          <w:highlight w:val="none"/>
          <w14:textFill>
            <w14:solidFill>
              <w14:schemeClr w14:val="tx1"/>
            </w14:solidFill>
          </w14:textFill>
        </w:rPr>
        <w:t>菌在养猪生产中的应用》（古永辉，韩晓英</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饲料技术，</w:t>
      </w:r>
      <w:r>
        <w:rPr>
          <w:color w:val="000000" w:themeColor="text1"/>
          <w:highlight w:val="none"/>
          <w14:textFill>
            <w14:solidFill>
              <w14:schemeClr w14:val="tx1"/>
            </w14:solidFill>
          </w14:textFill>
        </w:rPr>
        <w:t>2008</w:t>
      </w:r>
      <w:r>
        <w:rPr>
          <w:rFonts w:hint="eastAsia"/>
          <w:color w:val="000000" w:themeColor="text1"/>
          <w:highlight w:val="none"/>
          <w14:textFill>
            <w14:solidFill>
              <w14:schemeClr w14:val="tx1"/>
            </w14:solidFill>
          </w14:textFill>
        </w:rPr>
        <w:t>年第</w:t>
      </w:r>
      <w:r>
        <w:rPr>
          <w:color w:val="000000" w:themeColor="text1"/>
          <w:highlight w:val="none"/>
          <w14:textFill>
            <w14:solidFill>
              <w14:schemeClr w14:val="tx1"/>
            </w14:solidFill>
          </w14:textFill>
        </w:rPr>
        <w:t>20</w:t>
      </w:r>
      <w:r>
        <w:rPr>
          <w:rFonts w:hint="eastAsia"/>
          <w:color w:val="000000" w:themeColor="text1"/>
          <w:highlight w:val="none"/>
          <w14:textFill>
            <w14:solidFill>
              <w14:schemeClr w14:val="tx1"/>
            </w14:solidFill>
          </w14:textFill>
        </w:rPr>
        <w:t>期），在日粮添加</w:t>
      </w:r>
      <w:r>
        <w:rPr>
          <w:color w:val="000000" w:themeColor="text1"/>
          <w:highlight w:val="none"/>
          <w14:textFill>
            <w14:solidFill>
              <w14:schemeClr w14:val="tx1"/>
            </w14:solidFill>
          </w14:textFill>
        </w:rPr>
        <w:t>EM</w:t>
      </w:r>
      <w:r>
        <w:rPr>
          <w:rFonts w:hint="eastAsia"/>
          <w:color w:val="000000" w:themeColor="text1"/>
          <w:highlight w:val="none"/>
          <w14:textFill>
            <w14:solidFill>
              <w14:schemeClr w14:val="tx1"/>
            </w14:solidFill>
          </w14:textFill>
        </w:rPr>
        <w:t>菌剂能在源头上控制恶臭气体的产生，有效降解</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等有害气体，舍内恶臭可下降</w:t>
      </w:r>
      <w:r>
        <w:rPr>
          <w:color w:val="000000" w:themeColor="text1"/>
          <w:highlight w:val="none"/>
          <w14:textFill>
            <w14:solidFill>
              <w14:schemeClr w14:val="tx1"/>
            </w14:solidFill>
          </w14:textFill>
        </w:rPr>
        <w:t>97.7%</w:t>
      </w:r>
      <w:r>
        <w:rPr>
          <w:rFonts w:hint="eastAsia"/>
          <w:color w:val="000000" w:themeColor="text1"/>
          <w:highlight w:val="none"/>
          <w:lang w:eastAsia="zh-CN"/>
          <w14:textFill>
            <w14:solidFill>
              <w14:schemeClr w14:val="tx1"/>
            </w14:solidFill>
          </w14:textFill>
        </w:rPr>
        <w:t>。</w:t>
      </w:r>
    </w:p>
    <w:p w14:paraId="5F5D08FB">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综上所述，在综合采取控制饲养密度、加强舍内通风，猪舍定期冲洗、杀菌消毒、</w:t>
      </w:r>
      <w:r>
        <w:rPr>
          <w:rFonts w:hint="eastAsia"/>
          <w:color w:val="000000" w:themeColor="text1"/>
          <w:highlight w:val="none"/>
          <w:lang w:eastAsia="zh-CN"/>
          <w14:textFill>
            <w14:solidFill>
              <w14:schemeClr w14:val="tx1"/>
            </w14:solidFill>
          </w14:textFill>
        </w:rPr>
        <w:t>半漏板</w:t>
      </w:r>
      <w:r>
        <w:rPr>
          <w:rFonts w:hint="eastAsia"/>
          <w:color w:val="000000" w:themeColor="text1"/>
          <w:highlight w:val="none"/>
          <w14:textFill>
            <w14:solidFill>
              <w14:schemeClr w14:val="tx1"/>
            </w14:solidFill>
          </w14:textFill>
        </w:rPr>
        <w:t>、及时清粪、定期喷洒新型高效植物除臭剂等措施后恶臭排放量可减少约90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以上，经计算猪舍</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产排情况见表3.10-3。</w:t>
      </w:r>
    </w:p>
    <w:p w14:paraId="40C0BD1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.10-3  猪舍</w:t>
      </w:r>
      <w:r>
        <w:rPr>
          <w:rFonts w:hint="eastAsia"/>
          <w:b/>
          <w:bCs/>
          <w:color w:val="000000" w:themeColor="text1"/>
          <w:sz w:val="21"/>
          <w:szCs w:val="21"/>
          <w:highlight w:val="none"/>
          <w14:textFill>
            <w14:solidFill>
              <w14:schemeClr w14:val="tx1"/>
            </w14:solidFill>
          </w14:textFill>
        </w:rPr>
        <w:t>恶臭</w:t>
      </w:r>
      <w:r>
        <w:rPr>
          <w:b/>
          <w:bCs/>
          <w:color w:val="000000" w:themeColor="text1"/>
          <w:sz w:val="21"/>
          <w:szCs w:val="21"/>
          <w:highlight w:val="none"/>
          <w14:textFill>
            <w14:solidFill>
              <w14:schemeClr w14:val="tx1"/>
            </w14:solidFill>
          </w14:textFill>
        </w:rPr>
        <w:t>排放情况</w:t>
      </w:r>
    </w:p>
    <w:tbl>
      <w:tblPr>
        <w:tblStyle w:val="33"/>
        <w:tblW w:w="5007" w:type="pct"/>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0"/>
        <w:gridCol w:w="928"/>
        <w:gridCol w:w="1090"/>
        <w:gridCol w:w="2932"/>
        <w:gridCol w:w="941"/>
        <w:gridCol w:w="887"/>
        <w:gridCol w:w="1077"/>
      </w:tblGrid>
      <w:tr w14:paraId="1D2F4A1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5" w:hRule="atLeast"/>
        </w:trPr>
        <w:tc>
          <w:tcPr>
            <w:tcW w:w="398" w:type="pct"/>
            <w:vAlign w:val="center"/>
          </w:tcPr>
          <w:p w14:paraId="586219F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恶臭气体</w:t>
            </w:r>
          </w:p>
        </w:tc>
        <w:tc>
          <w:tcPr>
            <w:tcW w:w="543" w:type="pct"/>
            <w:vAlign w:val="center"/>
          </w:tcPr>
          <w:p w14:paraId="6BADFF8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产生量（t/a）</w:t>
            </w:r>
          </w:p>
        </w:tc>
        <w:tc>
          <w:tcPr>
            <w:tcW w:w="638" w:type="pct"/>
            <w:vAlign w:val="center"/>
          </w:tcPr>
          <w:p w14:paraId="5ADA4B4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产生速率（kg/h）</w:t>
            </w:r>
          </w:p>
        </w:tc>
        <w:tc>
          <w:tcPr>
            <w:tcW w:w="1717" w:type="pct"/>
            <w:vAlign w:val="center"/>
          </w:tcPr>
          <w:p w14:paraId="12403377">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拟处理措施</w:t>
            </w:r>
          </w:p>
        </w:tc>
        <w:tc>
          <w:tcPr>
            <w:tcW w:w="551" w:type="pct"/>
            <w:vAlign w:val="center"/>
          </w:tcPr>
          <w:p w14:paraId="686936D7">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处理效率（%）</w:t>
            </w:r>
          </w:p>
        </w:tc>
        <w:tc>
          <w:tcPr>
            <w:tcW w:w="519" w:type="pct"/>
            <w:vAlign w:val="center"/>
          </w:tcPr>
          <w:p w14:paraId="68234152">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排放量（t/a）</w:t>
            </w:r>
          </w:p>
        </w:tc>
        <w:tc>
          <w:tcPr>
            <w:tcW w:w="630" w:type="pct"/>
            <w:vAlign w:val="center"/>
          </w:tcPr>
          <w:p w14:paraId="71656B6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排放速率（kg/h）</w:t>
            </w:r>
          </w:p>
        </w:tc>
      </w:tr>
      <w:tr w14:paraId="055FE9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1" w:hRule="atLeast"/>
        </w:trPr>
        <w:tc>
          <w:tcPr>
            <w:tcW w:w="398" w:type="pct"/>
            <w:vAlign w:val="center"/>
          </w:tcPr>
          <w:p w14:paraId="23A7940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p>
        </w:tc>
        <w:tc>
          <w:tcPr>
            <w:tcW w:w="543" w:type="pct"/>
            <w:vAlign w:val="center"/>
          </w:tcPr>
          <w:p w14:paraId="3CBF362E">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30.13</w:t>
            </w:r>
          </w:p>
        </w:tc>
        <w:tc>
          <w:tcPr>
            <w:tcW w:w="638" w:type="pct"/>
            <w:vAlign w:val="center"/>
          </w:tcPr>
          <w:p w14:paraId="7FFD3D09">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3.44</w:t>
            </w:r>
          </w:p>
        </w:tc>
        <w:tc>
          <w:tcPr>
            <w:tcW w:w="1717" w:type="pct"/>
            <w:vMerge w:val="restart"/>
            <w:vAlign w:val="center"/>
          </w:tcPr>
          <w:p w14:paraId="6FBC109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加强通风、合理搭配饲料、投放吸附剂和喷洒除臭剂、</w:t>
            </w:r>
            <w:r>
              <w:rPr>
                <w:rFonts w:hint="eastAsia"/>
                <w:color w:val="000000" w:themeColor="text1"/>
                <w:sz w:val="21"/>
                <w:szCs w:val="21"/>
                <w:highlight w:val="none"/>
                <w:lang w:eastAsia="zh-CN"/>
                <w14:textFill>
                  <w14:solidFill>
                    <w14:schemeClr w14:val="tx1"/>
                  </w14:solidFill>
                </w14:textFill>
              </w:rPr>
              <w:t>半漏板</w:t>
            </w:r>
            <w:r>
              <w:rPr>
                <w:rFonts w:hint="eastAsia"/>
                <w:color w:val="000000" w:themeColor="text1"/>
                <w:sz w:val="21"/>
                <w:szCs w:val="21"/>
                <w:highlight w:val="none"/>
                <w14:textFill>
                  <w14:solidFill>
                    <w14:schemeClr w14:val="tx1"/>
                  </w14:solidFill>
                </w14:textFill>
              </w:rPr>
              <w:t>、及时清除粪便，定期冲洗猪舍和杀菌消毒，保持猪舍环境卫生</w:t>
            </w:r>
          </w:p>
        </w:tc>
        <w:tc>
          <w:tcPr>
            <w:tcW w:w="551" w:type="pct"/>
            <w:vMerge w:val="restart"/>
            <w:vAlign w:val="center"/>
          </w:tcPr>
          <w:p w14:paraId="5D356F9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90</w:t>
            </w:r>
          </w:p>
        </w:tc>
        <w:tc>
          <w:tcPr>
            <w:tcW w:w="519" w:type="pct"/>
            <w:vAlign w:val="center"/>
          </w:tcPr>
          <w:p w14:paraId="2A3F0585">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3.013</w:t>
            </w:r>
          </w:p>
        </w:tc>
        <w:tc>
          <w:tcPr>
            <w:tcW w:w="630" w:type="pct"/>
            <w:vAlign w:val="center"/>
          </w:tcPr>
          <w:p w14:paraId="4D3C6F3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0.344</w:t>
            </w:r>
          </w:p>
        </w:tc>
      </w:tr>
      <w:tr w14:paraId="1FEEC4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98" w:type="pct"/>
            <w:vAlign w:val="center"/>
          </w:tcPr>
          <w:p w14:paraId="4AC5CB4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w:t>
            </w:r>
          </w:p>
        </w:tc>
        <w:tc>
          <w:tcPr>
            <w:tcW w:w="928" w:type="dxa"/>
            <w:vAlign w:val="center"/>
          </w:tcPr>
          <w:p w14:paraId="4A06E577">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4.739</w:t>
            </w:r>
          </w:p>
        </w:tc>
        <w:tc>
          <w:tcPr>
            <w:tcW w:w="1090" w:type="dxa"/>
            <w:vAlign w:val="center"/>
          </w:tcPr>
          <w:p w14:paraId="70B53681">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0.54</w:t>
            </w:r>
          </w:p>
        </w:tc>
        <w:tc>
          <w:tcPr>
            <w:tcW w:w="1717" w:type="pct"/>
            <w:vMerge w:val="continue"/>
            <w:vAlign w:val="center"/>
          </w:tcPr>
          <w:p w14:paraId="773ABF23">
            <w:pPr>
              <w:spacing w:line="240" w:lineRule="auto"/>
              <w:jc w:val="center"/>
              <w:rPr>
                <w:color w:val="000000" w:themeColor="text1"/>
                <w:sz w:val="21"/>
                <w:szCs w:val="21"/>
                <w:highlight w:val="none"/>
                <w14:textFill>
                  <w14:solidFill>
                    <w14:schemeClr w14:val="tx1"/>
                  </w14:solidFill>
                </w14:textFill>
              </w:rPr>
            </w:pPr>
          </w:p>
        </w:tc>
        <w:tc>
          <w:tcPr>
            <w:tcW w:w="551" w:type="pct"/>
            <w:vMerge w:val="continue"/>
            <w:vAlign w:val="center"/>
          </w:tcPr>
          <w:p w14:paraId="1B0F3B6A">
            <w:pPr>
              <w:spacing w:line="240" w:lineRule="auto"/>
              <w:jc w:val="center"/>
              <w:rPr>
                <w:color w:val="000000" w:themeColor="text1"/>
                <w:sz w:val="21"/>
                <w:szCs w:val="21"/>
                <w:highlight w:val="none"/>
                <w14:textFill>
                  <w14:solidFill>
                    <w14:schemeClr w14:val="tx1"/>
                  </w14:solidFill>
                </w14:textFill>
              </w:rPr>
            </w:pPr>
          </w:p>
        </w:tc>
        <w:tc>
          <w:tcPr>
            <w:tcW w:w="887" w:type="dxa"/>
            <w:vAlign w:val="center"/>
          </w:tcPr>
          <w:p w14:paraId="6A9C3034">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0.474</w:t>
            </w:r>
          </w:p>
        </w:tc>
        <w:tc>
          <w:tcPr>
            <w:tcW w:w="1077" w:type="dxa"/>
            <w:vAlign w:val="center"/>
          </w:tcPr>
          <w:p w14:paraId="33986CA1">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0.054</w:t>
            </w:r>
          </w:p>
        </w:tc>
      </w:tr>
    </w:tbl>
    <w:p w14:paraId="7E38652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（2）固废处理区恶臭G2</w:t>
      </w:r>
    </w:p>
    <w:p w14:paraId="23D7E2E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1)堆粪场恶臭</w:t>
      </w:r>
    </w:p>
    <w:p w14:paraId="27DD77A0">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本项目堆粪场的恶臭主要来自猪粪产生的</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等有害气体，在堆沤和翻堆的过程中会有明显的释放，待发酵完成后则不再产生恶臭。根据《养猪场恶臭影响量化分析及控制对策研究》（天津市环境影响评价中心，孙艳青、张潞、李万庆）资料，粪便收集区在没有任何覆盖及猪粪没有结皮的情况下，</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平均排放强度约为</w:t>
      </w:r>
      <w:r>
        <w:rPr>
          <w:color w:val="000000" w:themeColor="text1"/>
          <w:highlight w:val="none"/>
          <w14:textFill>
            <w14:solidFill>
              <w14:schemeClr w14:val="tx1"/>
            </w14:solidFill>
          </w14:textFill>
        </w:rPr>
        <w:t>5.2g/</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），若是结皮（</w:t>
      </w:r>
      <w:r>
        <w:rPr>
          <w:color w:val="000000" w:themeColor="text1"/>
          <w:highlight w:val="none"/>
          <w14:textFill>
            <w14:solidFill>
              <w14:schemeClr w14:val="tx1"/>
            </w14:solidFill>
          </w14:textFill>
        </w:rPr>
        <w:t>16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30cm</w:t>
      </w:r>
      <w:r>
        <w:rPr>
          <w:rFonts w:hint="eastAsia"/>
          <w:color w:val="000000" w:themeColor="text1"/>
          <w:highlight w:val="none"/>
          <w14:textFill>
            <w14:solidFill>
              <w14:schemeClr w14:val="tx1"/>
            </w14:solidFill>
          </w14:textFill>
        </w:rPr>
        <w:t>）后则为</w:t>
      </w:r>
      <w:r>
        <w:rPr>
          <w:color w:val="000000" w:themeColor="text1"/>
          <w:highlight w:val="none"/>
          <w14:textFill>
            <w14:solidFill>
              <w14:schemeClr w14:val="tx1"/>
            </w14:solidFill>
          </w14:textFill>
        </w:rPr>
        <w:t>0.6</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1.8g/</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），若再覆以稻草（</w:t>
      </w:r>
      <w:r>
        <w:rPr>
          <w:color w:val="000000" w:themeColor="text1"/>
          <w:highlight w:val="none"/>
          <w14:textFill>
            <w14:solidFill>
              <w14:schemeClr w14:val="tx1"/>
            </w14:solidFill>
          </w14:textFill>
        </w:rPr>
        <w:t>15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23cm</w:t>
      </w:r>
      <w:r>
        <w:rPr>
          <w:rFonts w:hint="eastAsia"/>
          <w:color w:val="000000" w:themeColor="text1"/>
          <w:highlight w:val="none"/>
          <w14:textFill>
            <w14:solidFill>
              <w14:schemeClr w14:val="tx1"/>
            </w14:solidFill>
          </w14:textFill>
        </w:rPr>
        <w:t>），则氨气排放强度为</w:t>
      </w:r>
      <w:r>
        <w:rPr>
          <w:color w:val="000000" w:themeColor="text1"/>
          <w:highlight w:val="none"/>
          <w14:textFill>
            <w14:solidFill>
              <w14:schemeClr w14:val="tx1"/>
            </w14:solidFill>
          </w14:textFill>
        </w:rPr>
        <w:t>0.3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1.2g/</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）。可见</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的排放强度和猪粪堆粪场的管理方式极为相关，在有机肥加工车间内，随腐熟程度的推进，臭气的排放强度还会逐渐减少</w:t>
      </w:r>
    </w:p>
    <w:p w14:paraId="471F192A">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本评价</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产生量以最大值</w:t>
      </w:r>
      <w:r>
        <w:rPr>
          <w:color w:val="000000" w:themeColor="text1"/>
          <w:highlight w:val="none"/>
          <w14:textFill>
            <w14:solidFill>
              <w14:schemeClr w14:val="tx1"/>
            </w14:solidFill>
          </w14:textFill>
        </w:rPr>
        <w:t>1.2g/</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）计，本项目设置堆粪场占地面积为</w:t>
      </w:r>
      <w:r>
        <w:rPr>
          <w:rFonts w:hint="eastAsia"/>
          <w:color w:val="000000" w:themeColor="text1"/>
          <w:highlight w:val="none"/>
          <w:lang w:val="en-US" w:eastAsia="zh-CN"/>
          <w14:textFill>
            <w14:solidFill>
              <w14:schemeClr w14:val="tx1"/>
            </w14:solidFill>
          </w14:textFill>
        </w:rPr>
        <w:t>1000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，则本项目堆粪场</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的产生量为</w:t>
      </w:r>
      <w:r>
        <w:rPr>
          <w:rFonts w:hint="eastAsia"/>
          <w:color w:val="000000" w:themeColor="text1"/>
          <w:highlight w:val="none"/>
          <w:lang w:val="en-US" w:eastAsia="zh-CN"/>
          <w14:textFill>
            <w14:solidFill>
              <w14:schemeClr w14:val="tx1"/>
            </w14:solidFill>
          </w14:textFill>
        </w:rPr>
        <w:t>1.2</w:t>
      </w:r>
      <w:r>
        <w:rPr>
          <w:color w:val="000000" w:themeColor="text1"/>
          <w:highlight w:val="none"/>
          <w14:textFill>
            <w14:solidFill>
              <w14:schemeClr w14:val="tx1"/>
            </w14:solidFill>
          </w14:textFill>
        </w:rPr>
        <w:t>kg/d</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0.438</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的产生量以</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的产生量的十分之一计，则</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的产生量为</w:t>
      </w:r>
      <w:r>
        <w:rPr>
          <w:color w:val="000000" w:themeColor="text1"/>
          <w:highlight w:val="none"/>
          <w14:textFill>
            <w14:solidFill>
              <w14:schemeClr w14:val="tx1"/>
            </w14:solidFill>
          </w14:textFill>
        </w:rPr>
        <w:t>0.</w:t>
      </w:r>
      <w:r>
        <w:rPr>
          <w:rFonts w:hint="eastAsia"/>
          <w:color w:val="000000" w:themeColor="text1"/>
          <w:highlight w:val="none"/>
          <w:lang w:val="en-US" w:eastAsia="zh-CN"/>
          <w14:textFill>
            <w14:solidFill>
              <w14:schemeClr w14:val="tx1"/>
            </w14:solidFill>
          </w14:textFill>
        </w:rPr>
        <w:t>12</w:t>
      </w:r>
      <w:r>
        <w:rPr>
          <w:color w:val="000000" w:themeColor="text1"/>
          <w:highlight w:val="none"/>
          <w14:textFill>
            <w14:solidFill>
              <w14:schemeClr w14:val="tx1"/>
            </w14:solidFill>
          </w14:textFill>
        </w:rPr>
        <w:t>kg/d</w:t>
      </w: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44</w:t>
      </w:r>
      <w:r>
        <w:rPr>
          <w:color w:val="000000" w:themeColor="text1"/>
          <w:highlight w:val="none"/>
          <w14:textFill>
            <w14:solidFill>
              <w14:schemeClr w14:val="tx1"/>
            </w14:solidFill>
          </w14:textFill>
        </w:rPr>
        <w:t>t/a</w:t>
      </w:r>
      <w:r>
        <w:rPr>
          <w:rFonts w:hint="eastAsia"/>
          <w:color w:val="000000" w:themeColor="text1"/>
          <w:highlight w:val="none"/>
          <w14:textFill>
            <w14:solidFill>
              <w14:schemeClr w14:val="tx1"/>
            </w14:solidFill>
          </w14:textFill>
        </w:rPr>
        <w:t xml:space="preserve">）。 </w:t>
      </w:r>
    </w:p>
    <w:p w14:paraId="2CAF4AAA">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产生的猪粪在粪便堆粪场堆肥过程规律性翻堆，尽量保持堆肥疏松干燥等，定期给堆粪场添加物理吸附剂，如麸皮、玉米秸秆等，喷洒生化除臭剂，同时采用好氧堆肥方式，投加减少氨释放和保氮的复合菌剂；在翻堆的过程中喷入少量的水，可以有效减少氨气等臭气的排放。在采取以上措施后，堆粪场可减少约</w:t>
      </w:r>
      <w:r>
        <w:rPr>
          <w:color w:val="000000" w:themeColor="text1"/>
          <w:highlight w:val="none"/>
          <w14:textFill>
            <w14:solidFill>
              <w14:schemeClr w14:val="tx1"/>
            </w14:solidFill>
          </w14:textFill>
        </w:rPr>
        <w:t>85%</w:t>
      </w:r>
      <w:r>
        <w:rPr>
          <w:rFonts w:hint="eastAsia"/>
          <w:color w:val="000000" w:themeColor="text1"/>
          <w:highlight w:val="none"/>
          <w14:textFill>
            <w14:solidFill>
              <w14:schemeClr w14:val="tx1"/>
            </w14:solidFill>
          </w14:textFill>
        </w:rPr>
        <w:t>的恶臭排放量，粪场恶臭排放情况见表3.10-4。</w:t>
      </w:r>
    </w:p>
    <w:p w14:paraId="4C1E0E3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3.10-4</w:t>
      </w:r>
      <w:r>
        <w:rPr>
          <w:b/>
          <w:bCs/>
          <w:color w:val="000000" w:themeColor="text1"/>
          <w:sz w:val="21"/>
          <w:szCs w:val="21"/>
          <w:highlight w:val="none"/>
          <w14:textFill>
            <w14:solidFill>
              <w14:schemeClr w14:val="tx1"/>
            </w14:solidFill>
          </w14:textFill>
        </w:rPr>
        <w:t xml:space="preserve">  项目</w:t>
      </w:r>
      <w:r>
        <w:rPr>
          <w:rFonts w:hint="eastAsia"/>
          <w:b/>
          <w:bCs/>
          <w:color w:val="000000" w:themeColor="text1"/>
          <w:sz w:val="21"/>
          <w:szCs w:val="21"/>
          <w:highlight w:val="none"/>
          <w14:textFill>
            <w14:solidFill>
              <w14:schemeClr w14:val="tx1"/>
            </w14:solidFill>
          </w14:textFill>
        </w:rPr>
        <w:t>堆粪场</w:t>
      </w:r>
      <w:r>
        <w:rPr>
          <w:b/>
          <w:bCs/>
          <w:color w:val="000000" w:themeColor="text1"/>
          <w:sz w:val="21"/>
          <w:szCs w:val="21"/>
          <w:highlight w:val="none"/>
          <w14:textFill>
            <w14:solidFill>
              <w14:schemeClr w14:val="tx1"/>
            </w14:solidFill>
          </w14:textFill>
        </w:rPr>
        <w:t>恶臭排放一览表</w:t>
      </w:r>
    </w:p>
    <w:tbl>
      <w:tblPr>
        <w:tblStyle w:val="33"/>
        <w:tblW w:w="4892"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5"/>
        <w:gridCol w:w="873"/>
        <w:gridCol w:w="1137"/>
        <w:gridCol w:w="2536"/>
        <w:gridCol w:w="1036"/>
        <w:gridCol w:w="900"/>
        <w:gridCol w:w="1012"/>
      </w:tblGrid>
      <w:tr w14:paraId="2CECBF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506" w:type="pct"/>
            <w:vAlign w:val="center"/>
          </w:tcPr>
          <w:p w14:paraId="08C6BB5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恶臭气体</w:t>
            </w:r>
          </w:p>
        </w:tc>
        <w:tc>
          <w:tcPr>
            <w:tcW w:w="523" w:type="pct"/>
            <w:vAlign w:val="center"/>
          </w:tcPr>
          <w:p w14:paraId="7BD153D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产生量（t/a）</w:t>
            </w:r>
          </w:p>
        </w:tc>
        <w:tc>
          <w:tcPr>
            <w:tcW w:w="681" w:type="pct"/>
            <w:vAlign w:val="center"/>
          </w:tcPr>
          <w:p w14:paraId="227C455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产生速率（kg/h）</w:t>
            </w:r>
          </w:p>
        </w:tc>
        <w:tc>
          <w:tcPr>
            <w:tcW w:w="1520" w:type="pct"/>
            <w:vAlign w:val="center"/>
          </w:tcPr>
          <w:p w14:paraId="4BB46905">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拟处理措施</w:t>
            </w:r>
          </w:p>
        </w:tc>
        <w:tc>
          <w:tcPr>
            <w:tcW w:w="621" w:type="pct"/>
            <w:vAlign w:val="center"/>
          </w:tcPr>
          <w:p w14:paraId="437BDC4F">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处理效率（%）</w:t>
            </w:r>
          </w:p>
        </w:tc>
        <w:tc>
          <w:tcPr>
            <w:tcW w:w="539" w:type="pct"/>
            <w:vAlign w:val="center"/>
          </w:tcPr>
          <w:p w14:paraId="327B2135">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排放量（t/a）</w:t>
            </w:r>
          </w:p>
        </w:tc>
        <w:tc>
          <w:tcPr>
            <w:tcW w:w="606" w:type="pct"/>
            <w:vAlign w:val="center"/>
          </w:tcPr>
          <w:p w14:paraId="4943646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排放速率（kg/h）</w:t>
            </w:r>
          </w:p>
        </w:tc>
      </w:tr>
      <w:tr w14:paraId="700ED9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506" w:type="pct"/>
            <w:vAlign w:val="center"/>
          </w:tcPr>
          <w:p w14:paraId="6897BA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p>
        </w:tc>
        <w:tc>
          <w:tcPr>
            <w:tcW w:w="523" w:type="pct"/>
            <w:vAlign w:val="center"/>
          </w:tcPr>
          <w:p w14:paraId="0301B479">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0.438</w:t>
            </w:r>
          </w:p>
        </w:tc>
        <w:tc>
          <w:tcPr>
            <w:tcW w:w="681" w:type="pct"/>
            <w:vAlign w:val="center"/>
          </w:tcPr>
          <w:p w14:paraId="71D8BE05">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w:t>
            </w:r>
          </w:p>
        </w:tc>
        <w:tc>
          <w:tcPr>
            <w:tcW w:w="1520" w:type="pct"/>
            <w:vMerge w:val="restart"/>
            <w:vAlign w:val="center"/>
          </w:tcPr>
          <w:p w14:paraId="55B02F4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添加物理吸附剂、喷洒除臭剂等</w:t>
            </w:r>
          </w:p>
        </w:tc>
        <w:tc>
          <w:tcPr>
            <w:tcW w:w="621" w:type="pct"/>
            <w:vMerge w:val="restart"/>
            <w:vAlign w:val="center"/>
          </w:tcPr>
          <w:p w14:paraId="5FE5AB1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85</w:t>
            </w:r>
          </w:p>
        </w:tc>
        <w:tc>
          <w:tcPr>
            <w:tcW w:w="539" w:type="pct"/>
            <w:vAlign w:val="center"/>
          </w:tcPr>
          <w:p w14:paraId="6BFF3DC5">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0.066</w:t>
            </w:r>
          </w:p>
        </w:tc>
        <w:tc>
          <w:tcPr>
            <w:tcW w:w="606" w:type="pct"/>
            <w:vAlign w:val="center"/>
          </w:tcPr>
          <w:p w14:paraId="6E733F0A">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0.0075</w:t>
            </w:r>
          </w:p>
        </w:tc>
      </w:tr>
      <w:tr w14:paraId="3B8FBC8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506" w:type="pct"/>
            <w:vAlign w:val="center"/>
          </w:tcPr>
          <w:p w14:paraId="31C1FEE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w:t>
            </w:r>
          </w:p>
        </w:tc>
        <w:tc>
          <w:tcPr>
            <w:tcW w:w="523" w:type="pct"/>
            <w:vAlign w:val="center"/>
          </w:tcPr>
          <w:p w14:paraId="6076C3F8">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44</w:t>
            </w:r>
          </w:p>
        </w:tc>
        <w:tc>
          <w:tcPr>
            <w:tcW w:w="681" w:type="pct"/>
            <w:vAlign w:val="center"/>
          </w:tcPr>
          <w:p w14:paraId="07D0CF7F">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w:t>
            </w:r>
          </w:p>
        </w:tc>
        <w:tc>
          <w:tcPr>
            <w:tcW w:w="1520" w:type="pct"/>
            <w:vMerge w:val="continue"/>
            <w:vAlign w:val="center"/>
          </w:tcPr>
          <w:p w14:paraId="41A37961">
            <w:pPr>
              <w:spacing w:line="240" w:lineRule="auto"/>
              <w:jc w:val="center"/>
              <w:rPr>
                <w:color w:val="000000" w:themeColor="text1"/>
                <w:sz w:val="21"/>
                <w:szCs w:val="21"/>
                <w:highlight w:val="none"/>
                <w14:textFill>
                  <w14:solidFill>
                    <w14:schemeClr w14:val="tx1"/>
                  </w14:solidFill>
                </w14:textFill>
              </w:rPr>
            </w:pPr>
          </w:p>
        </w:tc>
        <w:tc>
          <w:tcPr>
            <w:tcW w:w="621" w:type="pct"/>
            <w:vMerge w:val="continue"/>
            <w:vAlign w:val="center"/>
          </w:tcPr>
          <w:p w14:paraId="21CA8A08">
            <w:pPr>
              <w:spacing w:line="240" w:lineRule="auto"/>
              <w:jc w:val="center"/>
              <w:rPr>
                <w:color w:val="000000" w:themeColor="text1"/>
                <w:sz w:val="21"/>
                <w:szCs w:val="21"/>
                <w:highlight w:val="none"/>
                <w14:textFill>
                  <w14:solidFill>
                    <w14:schemeClr w14:val="tx1"/>
                  </w14:solidFill>
                </w14:textFill>
              </w:rPr>
            </w:pPr>
          </w:p>
        </w:tc>
        <w:tc>
          <w:tcPr>
            <w:tcW w:w="539" w:type="pct"/>
            <w:vAlign w:val="center"/>
          </w:tcPr>
          <w:p w14:paraId="04B2D8FE">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w:t>
            </w:r>
          </w:p>
        </w:tc>
        <w:tc>
          <w:tcPr>
            <w:tcW w:w="606" w:type="pct"/>
            <w:vAlign w:val="center"/>
          </w:tcPr>
          <w:p w14:paraId="6FCC797F">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0.0008</w:t>
            </w:r>
          </w:p>
        </w:tc>
      </w:tr>
    </w:tbl>
    <w:p w14:paraId="2B3BA2C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2)污水处理恶臭</w:t>
      </w:r>
    </w:p>
    <w:p w14:paraId="2039BB52">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沼液在储存池暂存过程中，部分在</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黑膜池</w:t>
      </w:r>
      <w:r>
        <w:rPr>
          <w:rFonts w:hint="default" w:ascii="Times New Roman" w:hAnsi="Times New Roman" w:eastAsia="宋体" w:cs="Times New Roman"/>
          <w:b w:val="0"/>
          <w:bCs w:val="0"/>
          <w:color w:val="000000" w:themeColor="text1"/>
          <w:highlight w:val="none"/>
          <w14:textFill>
            <w14:solidFill>
              <w14:schemeClr w14:val="tx1"/>
            </w14:solidFill>
          </w14:textFill>
        </w:rPr>
        <w:t>未完全反应的有机物发生厌氧反应，产生部分恶臭气体，</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成分主要为NH</w:t>
      </w:r>
      <w:r>
        <w:rPr>
          <w:rFonts w:hint="eastAsia" w:ascii="Times New Roman" w:hAnsi="Times New Roman" w:cs="Times New Roman"/>
          <w:b w:val="0"/>
          <w:bCs w:val="0"/>
          <w:color w:val="000000" w:themeColor="text1"/>
          <w:highlight w:val="none"/>
          <w:vertAlign w:val="subscript"/>
          <w:lang w:val="en-US" w:eastAsia="zh-CN"/>
          <w14:textFill>
            <w14:solidFill>
              <w14:schemeClr w14:val="tx1"/>
            </w14:solidFill>
          </w14:textFill>
        </w:rPr>
        <w:t>3</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、H</w:t>
      </w:r>
      <w:r>
        <w:rPr>
          <w:rFonts w:hint="eastAsia" w:ascii="Times New Roman" w:hAnsi="Times New Roman" w:cs="Times New Roman"/>
          <w:b w:val="0"/>
          <w:bCs w:val="0"/>
          <w:color w:val="000000" w:themeColor="text1"/>
          <w:highlight w:val="none"/>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S</w:t>
      </w:r>
      <w:r>
        <w:rPr>
          <w:rFonts w:hint="default" w:ascii="Times New Roman" w:hAnsi="Times New Roman" w:eastAsia="宋体" w:cs="Times New Roman"/>
          <w:b w:val="0"/>
          <w:bCs w:val="0"/>
          <w:color w:val="000000" w:themeColor="text1"/>
          <w:highlight w:val="none"/>
          <w14:textFill>
            <w14:solidFill>
              <w14:schemeClr w14:val="tx1"/>
            </w14:solidFill>
          </w14:textFill>
        </w:rPr>
        <w:t>。</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根据美国EPA的研究，污水处理系统每处理1gBOD</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，可产生0.0031gNH</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和0.00012gH</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S，本项目污水产</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生量为</w:t>
      </w:r>
      <w:r>
        <w:rPr>
          <w:rFonts w:hint="eastAsia"/>
          <w:b w:val="0"/>
          <w:bCs w:val="0"/>
          <w:color w:val="000000" w:themeColor="text1"/>
          <w:sz w:val="24"/>
          <w:szCs w:val="24"/>
          <w:highlight w:val="none"/>
          <w:lang w:val="en-US" w:eastAsia="zh-CN"/>
          <w14:textFill>
            <w14:solidFill>
              <w14:schemeClr w14:val="tx1"/>
            </w14:solidFill>
          </w14:textFill>
        </w:rPr>
        <w:t>45420.39</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/a，BO</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D</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浓度按</w:t>
      </w:r>
      <w:r>
        <w:rPr>
          <w:rFonts w:hint="eastAsia" w:ascii="Times New Roman" w:hAnsi="Times New Roman" w:cs="Times New Roman"/>
          <w:b w:val="0"/>
          <w:bCs w:val="0"/>
          <w:color w:val="000000" w:themeColor="text1"/>
          <w:highlight w:val="none"/>
          <w:lang w:val="en-US" w:eastAsia="zh-CN"/>
          <w14:textFill>
            <w14:solidFill>
              <w14:schemeClr w14:val="tx1"/>
            </w14:solidFill>
          </w14:textFill>
        </w:rPr>
        <w:t>7</w:t>
      </w:r>
      <w:r>
        <w:rPr>
          <w:rFonts w:hint="eastAsia" w:cs="Times New Roman"/>
          <w:b w:val="0"/>
          <w:bCs w:val="0"/>
          <w:color w:val="000000" w:themeColor="text1"/>
          <w:highlight w:val="none"/>
          <w:lang w:val="en-US" w:eastAsia="zh-CN"/>
          <w14:textFill>
            <w14:solidFill>
              <w14:schemeClr w14:val="tx1"/>
            </w14:solidFill>
          </w14:textFill>
        </w:rPr>
        <w:t>85</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mg/L计，BOD</w:t>
      </w:r>
      <w:r>
        <w:rPr>
          <w:rFonts w:hint="default" w:ascii="Times New Roman" w:hAnsi="Times New Roman" w:eastAsia="宋体" w:cs="Times New Roman"/>
          <w:b w:val="0"/>
          <w:bCs w:val="0"/>
          <w:color w:val="000000" w:themeColor="text1"/>
          <w:highlight w:val="none"/>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产生量约为</w:t>
      </w:r>
      <w:r>
        <w:rPr>
          <w:rFonts w:hint="eastAsia" w:cs="Times New Roman"/>
          <w:b w:val="0"/>
          <w:bCs w:val="0"/>
          <w:color w:val="000000" w:themeColor="text1"/>
          <w:highlight w:val="none"/>
          <w:lang w:val="en-US" w:eastAsia="zh-CN"/>
          <w14:textFill>
            <w14:solidFill>
              <w14:schemeClr w14:val="tx1"/>
            </w14:solidFill>
          </w14:textFill>
        </w:rPr>
        <w:t>35.655</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t/a，</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查阅相关资料，黑膜池厌氧发酵处理效率可达到8</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5</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%，故本项目废水在厌氧发酵处理工序去除</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BOD</w:t>
      </w:r>
      <w:r>
        <w:rPr>
          <w:rFonts w:hint="eastAsia" w:ascii="Times New Roman" w:hAnsi="Times New Roman" w:eastAsia="宋体" w:cs="宋体"/>
          <w:b w:val="0"/>
          <w:bCs w:val="0"/>
          <w:color w:val="000000" w:themeColor="text1"/>
          <w:kern w:val="0"/>
          <w:szCs w:val="24"/>
          <w:highlight w:val="none"/>
          <w:vertAlign w:val="subscript"/>
          <w14:textFill>
            <w14:solidFill>
              <w14:schemeClr w14:val="tx1"/>
            </w14:solidFill>
          </w14:textFill>
        </w:rPr>
        <w:t>5</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量约为</w:t>
      </w:r>
      <w:r>
        <w:rPr>
          <w:rFonts w:hint="eastAsia" w:cs="宋体"/>
          <w:b w:val="0"/>
          <w:bCs w:val="0"/>
          <w:color w:val="000000" w:themeColor="text1"/>
          <w:kern w:val="0"/>
          <w:szCs w:val="24"/>
          <w:highlight w:val="none"/>
          <w:lang w:val="en-US" w:eastAsia="zh-CN"/>
          <w14:textFill>
            <w14:solidFill>
              <w14:schemeClr w14:val="tx1"/>
            </w14:solidFill>
          </w14:textFill>
        </w:rPr>
        <w:t>30.307</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则产生</w:t>
      </w:r>
      <w:r>
        <w:rPr>
          <w:rFonts w:ascii="Times New Roman" w:hAnsi="Times New Roman" w:eastAsia="宋体" w:cs="宋体"/>
          <w:b w:val="0"/>
          <w:bCs w:val="0"/>
          <w:color w:val="000000" w:themeColor="text1"/>
          <w:kern w:val="0"/>
          <w:szCs w:val="24"/>
          <w:highlight w:val="none"/>
          <w14:textFill>
            <w14:solidFill>
              <w14:schemeClr w14:val="tx1"/>
            </w14:solidFill>
          </w14:textFill>
        </w:rPr>
        <w:t>NH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3</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的产生量为</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0.0</w:t>
      </w:r>
      <w:r>
        <w:rPr>
          <w:rFonts w:hint="eastAsia" w:cs="宋体"/>
          <w:b w:val="0"/>
          <w:bCs w:val="0"/>
          <w:color w:val="000000" w:themeColor="text1"/>
          <w:kern w:val="0"/>
          <w:szCs w:val="24"/>
          <w:highlight w:val="none"/>
          <w:lang w:val="en-US" w:eastAsia="zh-CN"/>
          <w14:textFill>
            <w14:solidFill>
              <w14:schemeClr w14:val="tx1"/>
            </w14:solidFill>
          </w14:textFill>
        </w:rPr>
        <w:t>94</w:t>
      </w:r>
      <w:r>
        <w:rPr>
          <w:rFonts w:ascii="Times New Roman" w:hAnsi="Times New Roman" w:eastAsia="宋体" w:cs="宋体"/>
          <w:b w:val="0"/>
          <w:bCs w:val="0"/>
          <w:color w:val="000000" w:themeColor="text1"/>
          <w:kern w:val="0"/>
          <w:szCs w:val="24"/>
          <w:highlight w:val="none"/>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r>
        <w:rPr>
          <w:rFonts w:ascii="Times New Roman" w:hAnsi="Times New Roman" w:eastAsia="宋体" w:cs="宋体"/>
          <w:b w:val="0"/>
          <w:bCs w:val="0"/>
          <w:color w:val="000000" w:themeColor="text1"/>
          <w:kern w:val="0"/>
          <w:szCs w:val="24"/>
          <w:highlight w:val="none"/>
          <w14:textFill>
            <w14:solidFill>
              <w14:schemeClr w14:val="tx1"/>
            </w14:solidFill>
          </w14:textFill>
        </w:rPr>
        <w:t>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2</w:t>
      </w:r>
      <w:r>
        <w:rPr>
          <w:rFonts w:ascii="Times New Roman" w:hAnsi="Times New Roman" w:eastAsia="宋体" w:cs="宋体"/>
          <w:b w:val="0"/>
          <w:bCs w:val="0"/>
          <w:color w:val="000000" w:themeColor="text1"/>
          <w:kern w:val="0"/>
          <w:szCs w:val="24"/>
          <w:highlight w:val="none"/>
          <w14:textFill>
            <w14:solidFill>
              <w14:schemeClr w14:val="tx1"/>
            </w14:solidFill>
          </w14:textFill>
        </w:rPr>
        <w:t>S</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的产生量为</w:t>
      </w:r>
      <w:r>
        <w:rPr>
          <w:rFonts w:hint="eastAsia" w:cs="宋体"/>
          <w:b w:val="0"/>
          <w:bCs w:val="0"/>
          <w:color w:val="000000" w:themeColor="text1"/>
          <w:kern w:val="0"/>
          <w:szCs w:val="24"/>
          <w:highlight w:val="none"/>
          <w:lang w:val="en-US" w:eastAsia="zh-CN"/>
          <w14:textFill>
            <w14:solidFill>
              <w14:schemeClr w14:val="tx1"/>
            </w14:solidFill>
          </w14:textFill>
        </w:rPr>
        <w:t>0.004</w:t>
      </w:r>
      <w:r>
        <w:rPr>
          <w:rFonts w:ascii="Times New Roman" w:hAnsi="Times New Roman" w:eastAsia="宋体" w:cs="宋体"/>
          <w:b w:val="0"/>
          <w:bCs w:val="0"/>
          <w:color w:val="000000" w:themeColor="text1"/>
          <w:kern w:val="0"/>
          <w:szCs w:val="24"/>
          <w:highlight w:val="none"/>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p>
    <w:p w14:paraId="3FEA4285">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本项目黑膜池位于地下且加膜覆盖，</w:t>
      </w:r>
      <w:r>
        <w:rPr>
          <w:rFonts w:hint="eastAsia" w:cs="Times New Roman"/>
          <w:b w:val="0"/>
          <w:bCs w:val="0"/>
          <w:color w:val="000000" w:themeColor="text1"/>
          <w:highlight w:val="none"/>
          <w:lang w:val="en-US" w:eastAsia="zh-CN"/>
          <w14:textFill>
            <w14:solidFill>
              <w14:schemeClr w14:val="tx1"/>
            </w14:solidFill>
          </w14:textFill>
        </w:rPr>
        <w:t>粪污</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收纳池、黑膜池均位于地下，加盖密闭，污水收集系统均采用管道布设，将整个池体维持在封闭状态，同时在进水口处投放除臭剂，并在黑膜池外围定期喷洒除臭剂，可有效降低恶臭气体的无组织排放。在污水处理系统全封闭、喷洒除臭剂的情况下，臭气污染物逸散量非常小，</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本项目</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处理效率</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按</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85</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计，则臭气</w:t>
      </w:r>
      <w:r>
        <w:rPr>
          <w:rFonts w:ascii="Times New Roman" w:hAnsi="Times New Roman" w:eastAsia="宋体" w:cs="宋体"/>
          <w:b w:val="0"/>
          <w:bCs w:val="0"/>
          <w:color w:val="000000" w:themeColor="text1"/>
          <w:kern w:val="0"/>
          <w:szCs w:val="24"/>
          <w:highlight w:val="none"/>
          <w14:textFill>
            <w14:solidFill>
              <w14:schemeClr w14:val="tx1"/>
            </w14:solidFill>
          </w14:textFill>
        </w:rPr>
        <w:t>NH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3</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的排放量为</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0.0081</w:t>
      </w:r>
      <w:r>
        <w:rPr>
          <w:rFonts w:ascii="Times New Roman" w:hAnsi="Times New Roman" w:eastAsia="宋体" w:cs="宋体"/>
          <w:b w:val="0"/>
          <w:bCs w:val="0"/>
          <w:color w:val="000000" w:themeColor="text1"/>
          <w:kern w:val="0"/>
          <w:szCs w:val="24"/>
          <w:highlight w:val="none"/>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r>
        <w:rPr>
          <w:rFonts w:ascii="Times New Roman" w:hAnsi="Times New Roman" w:eastAsia="宋体" w:cs="宋体"/>
          <w:b w:val="0"/>
          <w:bCs w:val="0"/>
          <w:color w:val="000000" w:themeColor="text1"/>
          <w:kern w:val="0"/>
          <w:szCs w:val="24"/>
          <w:highlight w:val="none"/>
          <w14:textFill>
            <w14:solidFill>
              <w14:schemeClr w14:val="tx1"/>
            </w14:solidFill>
          </w14:textFill>
        </w:rPr>
        <w:t>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2</w:t>
      </w:r>
      <w:r>
        <w:rPr>
          <w:rFonts w:ascii="Times New Roman" w:hAnsi="Times New Roman" w:eastAsia="宋体" w:cs="宋体"/>
          <w:b w:val="0"/>
          <w:bCs w:val="0"/>
          <w:color w:val="000000" w:themeColor="text1"/>
          <w:kern w:val="0"/>
          <w:szCs w:val="24"/>
          <w:highlight w:val="none"/>
          <w14:textFill>
            <w14:solidFill>
              <w14:schemeClr w14:val="tx1"/>
            </w14:solidFill>
          </w14:textFill>
        </w:rPr>
        <w:t>S</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的排放量为</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0.0003</w:t>
      </w:r>
      <w:r>
        <w:rPr>
          <w:rFonts w:ascii="Times New Roman" w:hAnsi="Times New Roman" w:eastAsia="宋体" w:cs="宋体"/>
          <w:b w:val="0"/>
          <w:bCs w:val="0"/>
          <w:color w:val="000000" w:themeColor="text1"/>
          <w:kern w:val="0"/>
          <w:szCs w:val="24"/>
          <w:highlight w:val="none"/>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p>
    <w:p w14:paraId="721E07BA">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表</w:t>
      </w: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3.10-5</w:t>
      </w:r>
      <w:r>
        <w:rPr>
          <w:rFonts w:ascii="Times New Roman" w:hAnsi="Times New Roman" w:eastAsia="宋体" w:cs="宋体"/>
          <w:b/>
          <w:bCs/>
          <w:color w:val="000000" w:themeColor="text1"/>
          <w:kern w:val="0"/>
          <w:sz w:val="21"/>
          <w:szCs w:val="21"/>
          <w:highlight w:val="none"/>
          <w14:textFill>
            <w14:solidFill>
              <w14:schemeClr w14:val="tx1"/>
            </w14:solidFill>
          </w14:textFill>
        </w:rPr>
        <w:t xml:space="preserve">  项目</w:t>
      </w: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黑膜池</w:t>
      </w:r>
      <w:r>
        <w:rPr>
          <w:rFonts w:ascii="Times New Roman" w:hAnsi="Times New Roman" w:eastAsia="宋体" w:cs="宋体"/>
          <w:b/>
          <w:bCs/>
          <w:color w:val="000000" w:themeColor="text1"/>
          <w:kern w:val="0"/>
          <w:sz w:val="21"/>
          <w:szCs w:val="21"/>
          <w:highlight w:val="none"/>
          <w14:textFill>
            <w14:solidFill>
              <w14:schemeClr w14:val="tx1"/>
            </w14:solidFill>
          </w14:textFill>
        </w:rPr>
        <w:t>恶臭排放一览表</w:t>
      </w:r>
    </w:p>
    <w:tbl>
      <w:tblPr>
        <w:tblStyle w:val="33"/>
        <w:tblW w:w="492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88"/>
        <w:gridCol w:w="864"/>
        <w:gridCol w:w="1118"/>
        <w:gridCol w:w="2428"/>
        <w:gridCol w:w="1131"/>
        <w:gridCol w:w="1064"/>
        <w:gridCol w:w="1105"/>
      </w:tblGrid>
      <w:tr w14:paraId="6D04B38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409" w:type="pct"/>
            <w:vAlign w:val="center"/>
          </w:tcPr>
          <w:p w14:paraId="7DA65CBA">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恶臭气体</w:t>
            </w:r>
          </w:p>
        </w:tc>
        <w:tc>
          <w:tcPr>
            <w:tcW w:w="514" w:type="pct"/>
            <w:vAlign w:val="center"/>
          </w:tcPr>
          <w:p w14:paraId="2D6D98C7">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产生量（t/a）</w:t>
            </w:r>
          </w:p>
        </w:tc>
        <w:tc>
          <w:tcPr>
            <w:tcW w:w="1118" w:type="dxa"/>
            <w:vAlign w:val="center"/>
          </w:tcPr>
          <w:p w14:paraId="4ED4F0BA">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产生速率（kg/h）</w:t>
            </w:r>
          </w:p>
        </w:tc>
        <w:tc>
          <w:tcPr>
            <w:tcW w:w="1445" w:type="pct"/>
            <w:vAlign w:val="center"/>
          </w:tcPr>
          <w:p w14:paraId="569DC9E5">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拟处理措施</w:t>
            </w:r>
          </w:p>
        </w:tc>
        <w:tc>
          <w:tcPr>
            <w:tcW w:w="673" w:type="pct"/>
            <w:vAlign w:val="center"/>
          </w:tcPr>
          <w:p w14:paraId="4894DD5D">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处理效率（%）</w:t>
            </w:r>
          </w:p>
        </w:tc>
        <w:tc>
          <w:tcPr>
            <w:tcW w:w="633" w:type="pct"/>
            <w:vAlign w:val="center"/>
          </w:tcPr>
          <w:p w14:paraId="4A2FFB57">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排放量</w:t>
            </w:r>
          </w:p>
          <w:p w14:paraId="3ABCE453">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（t/a）</w:t>
            </w:r>
          </w:p>
        </w:tc>
        <w:tc>
          <w:tcPr>
            <w:tcW w:w="657" w:type="pct"/>
            <w:vAlign w:val="center"/>
          </w:tcPr>
          <w:p w14:paraId="561F2291">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排放速率（kg/h）</w:t>
            </w:r>
          </w:p>
        </w:tc>
      </w:tr>
      <w:tr w14:paraId="13FA01F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409" w:type="pct"/>
            <w:vAlign w:val="center"/>
          </w:tcPr>
          <w:p w14:paraId="6C6461F5">
            <w:pPr>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NH</w:t>
            </w:r>
            <w:r>
              <w:rPr>
                <w:rFonts w:ascii="Times New Roman" w:hAnsi="Times New Roman" w:eastAsia="宋体" w:cs="宋体"/>
                <w:b w:val="0"/>
                <w:bCs w:val="0"/>
                <w:color w:val="000000" w:themeColor="text1"/>
                <w:kern w:val="0"/>
                <w:sz w:val="21"/>
                <w:szCs w:val="21"/>
                <w:highlight w:val="none"/>
                <w:vertAlign w:val="subscript"/>
                <w14:textFill>
                  <w14:solidFill>
                    <w14:schemeClr w14:val="tx1"/>
                  </w14:solidFill>
                </w14:textFill>
              </w:rPr>
              <w:t>3</w:t>
            </w:r>
          </w:p>
        </w:tc>
        <w:tc>
          <w:tcPr>
            <w:tcW w:w="514" w:type="pct"/>
            <w:vAlign w:val="center"/>
          </w:tcPr>
          <w:p w14:paraId="4ED2A813">
            <w:pPr>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0.0</w:t>
            </w:r>
            <w:r>
              <w:rPr>
                <w:rFonts w:hint="eastAsia" w:cs="宋体"/>
                <w:b w:val="0"/>
                <w:bCs w:val="0"/>
                <w:color w:val="000000" w:themeColor="text1"/>
                <w:kern w:val="0"/>
                <w:sz w:val="21"/>
                <w:szCs w:val="21"/>
                <w:highlight w:val="none"/>
                <w:lang w:val="en-US" w:eastAsia="zh-CN"/>
                <w14:textFill>
                  <w14:solidFill>
                    <w14:schemeClr w14:val="tx1"/>
                  </w14:solidFill>
                </w14:textFill>
              </w:rPr>
              <w:t>94</w:t>
            </w:r>
          </w:p>
        </w:tc>
        <w:tc>
          <w:tcPr>
            <w:tcW w:w="1118" w:type="dxa"/>
            <w:vAlign w:val="center"/>
          </w:tcPr>
          <w:p w14:paraId="3AC5240C">
            <w:pPr>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0.011</w:t>
            </w:r>
          </w:p>
        </w:tc>
        <w:tc>
          <w:tcPr>
            <w:tcW w:w="1445" w:type="pct"/>
            <w:vMerge w:val="restart"/>
            <w:vAlign w:val="center"/>
          </w:tcPr>
          <w:p w14:paraId="4E3B9DFE">
            <w:pPr>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加盖密闭、黑膜池外围定期喷洒除臭剂</w:t>
            </w:r>
          </w:p>
        </w:tc>
        <w:tc>
          <w:tcPr>
            <w:tcW w:w="673" w:type="pct"/>
            <w:vMerge w:val="restart"/>
            <w:vAlign w:val="center"/>
          </w:tcPr>
          <w:p w14:paraId="01AE4DA5">
            <w:pPr>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85</w:t>
            </w:r>
          </w:p>
        </w:tc>
        <w:tc>
          <w:tcPr>
            <w:tcW w:w="633" w:type="pct"/>
            <w:vAlign w:val="center"/>
          </w:tcPr>
          <w:p w14:paraId="2D88740D">
            <w:pPr>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0.014</w:t>
            </w:r>
          </w:p>
        </w:tc>
        <w:tc>
          <w:tcPr>
            <w:tcW w:w="657" w:type="pct"/>
            <w:vAlign w:val="center"/>
          </w:tcPr>
          <w:p w14:paraId="44D2F4C7">
            <w:pPr>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0.002</w:t>
            </w:r>
          </w:p>
        </w:tc>
      </w:tr>
      <w:tr w14:paraId="2049348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409" w:type="pct"/>
            <w:vAlign w:val="center"/>
          </w:tcPr>
          <w:p w14:paraId="61B863A2">
            <w:pPr>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H</w:t>
            </w:r>
            <w:r>
              <w:rPr>
                <w:rFonts w:ascii="Times New Roman" w:hAnsi="Times New Roman" w:eastAsia="宋体" w:cs="宋体"/>
                <w:b w:val="0"/>
                <w:bCs w:val="0"/>
                <w:color w:val="000000" w:themeColor="text1"/>
                <w:kern w:val="0"/>
                <w:sz w:val="21"/>
                <w:szCs w:val="21"/>
                <w:highlight w:val="none"/>
                <w:vertAlign w:val="subscript"/>
                <w14:textFill>
                  <w14:solidFill>
                    <w14:schemeClr w14:val="tx1"/>
                  </w14:solidFill>
                </w14:textFill>
              </w:rPr>
              <w:t>2</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S</w:t>
            </w:r>
          </w:p>
        </w:tc>
        <w:tc>
          <w:tcPr>
            <w:tcW w:w="514" w:type="pct"/>
            <w:vAlign w:val="center"/>
          </w:tcPr>
          <w:p w14:paraId="2741F8B4">
            <w:pPr>
              <w:spacing w:line="240" w:lineRule="auto"/>
              <w:jc w:val="cente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0.00</w:t>
            </w:r>
            <w:r>
              <w:rPr>
                <w:rFonts w:hint="eastAsia" w:cs="宋体"/>
                <w:b w:val="0"/>
                <w:bCs w:val="0"/>
                <w:color w:val="000000" w:themeColor="text1"/>
                <w:kern w:val="0"/>
                <w:sz w:val="21"/>
                <w:szCs w:val="21"/>
                <w:highlight w:val="none"/>
                <w:lang w:val="en-US" w:eastAsia="zh-CN"/>
                <w14:textFill>
                  <w14:solidFill>
                    <w14:schemeClr w14:val="tx1"/>
                  </w14:solidFill>
                </w14:textFill>
              </w:rPr>
              <w:t>4</w:t>
            </w:r>
          </w:p>
        </w:tc>
        <w:tc>
          <w:tcPr>
            <w:tcW w:w="1118" w:type="dxa"/>
            <w:vAlign w:val="center"/>
          </w:tcPr>
          <w:p w14:paraId="584F1876">
            <w:pPr>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0.0005</w:t>
            </w:r>
          </w:p>
        </w:tc>
        <w:tc>
          <w:tcPr>
            <w:tcW w:w="1445" w:type="pct"/>
            <w:vMerge w:val="continue"/>
            <w:vAlign w:val="center"/>
          </w:tcPr>
          <w:p w14:paraId="31580C6E">
            <w:pPr>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673" w:type="pct"/>
            <w:vMerge w:val="continue"/>
            <w:vAlign w:val="center"/>
          </w:tcPr>
          <w:p w14:paraId="2BA232E9">
            <w:pPr>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633" w:type="pct"/>
            <w:vAlign w:val="center"/>
          </w:tcPr>
          <w:p w14:paraId="7ECB4F0D">
            <w:pPr>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0.0006</w:t>
            </w:r>
          </w:p>
        </w:tc>
        <w:tc>
          <w:tcPr>
            <w:tcW w:w="657" w:type="pct"/>
            <w:vAlign w:val="center"/>
          </w:tcPr>
          <w:p w14:paraId="1E76CAAB">
            <w:pPr>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0.00007</w:t>
            </w:r>
          </w:p>
        </w:tc>
      </w:tr>
    </w:tbl>
    <w:p w14:paraId="3CB7324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3)干湿分离车间恶臭</w:t>
      </w:r>
    </w:p>
    <w:p w14:paraId="02DB593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项目猪粪和污水处理产生的沼渣</w:t>
      </w:r>
      <w:r>
        <w:rPr>
          <w:rFonts w:hint="eastAsia"/>
          <w:color w:val="000000" w:themeColor="text1"/>
          <w:highlight w:val="none"/>
          <w14:textFill>
            <w14:solidFill>
              <w14:schemeClr w14:val="tx1"/>
            </w14:solidFill>
          </w14:textFill>
        </w:rPr>
        <w:t>、经干湿分离后运至清运至堆肥区堆肥处理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查阅</w:t>
      </w:r>
      <w:r>
        <w:rPr>
          <w:color w:val="000000" w:themeColor="text1"/>
          <w:highlight w:val="none"/>
          <w14:textFill>
            <w14:solidFill>
              <w14:schemeClr w14:val="tx1"/>
            </w14:solidFill>
          </w14:textFill>
        </w:rPr>
        <w:t>相关</w:t>
      </w:r>
      <w:r>
        <w:rPr>
          <w:rFonts w:hint="eastAsia"/>
          <w:color w:val="000000" w:themeColor="text1"/>
          <w:highlight w:val="none"/>
          <w14:textFill>
            <w14:solidFill>
              <w14:schemeClr w14:val="tx1"/>
            </w14:solidFill>
          </w14:textFill>
        </w:rPr>
        <w:t>产生</w:t>
      </w:r>
      <w:r>
        <w:rPr>
          <w:color w:val="000000" w:themeColor="text1"/>
          <w:highlight w:val="none"/>
          <w14:textFill>
            <w14:solidFill>
              <w14:schemeClr w14:val="tx1"/>
            </w14:solidFill>
          </w14:textFill>
        </w:rPr>
        <w:t>恶臭的建设项目</w:t>
      </w:r>
      <w:r>
        <w:rPr>
          <w:rFonts w:hint="eastAsia"/>
          <w:color w:val="000000" w:themeColor="text1"/>
          <w:highlight w:val="none"/>
          <w14:textFill>
            <w14:solidFill>
              <w14:schemeClr w14:val="tx1"/>
            </w14:solidFill>
          </w14:textFill>
        </w:rPr>
        <w:t>资料及报告</w:t>
      </w:r>
      <w:r>
        <w:rPr>
          <w:color w:val="000000" w:themeColor="text1"/>
          <w:highlight w:val="none"/>
          <w14:textFill>
            <w14:solidFill>
              <w14:schemeClr w14:val="tx1"/>
            </w14:solidFill>
          </w14:textFill>
        </w:rPr>
        <w:t>，对恶臭做定量分析的较少，对场地无组织排放的恶臭物质定量评价和预测有一定难度</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根据《恶臭的评价与分析》（化学工业出版社）、《养猪场恶臭影响量化分析及控制对策研究》等技术资料和书籍，</w:t>
      </w:r>
      <w:r>
        <w:rPr>
          <w:rFonts w:hint="eastAsia"/>
          <w:color w:val="000000" w:themeColor="text1"/>
          <w:highlight w:val="none"/>
          <w14:textFill>
            <w14:solidFill>
              <w14:schemeClr w14:val="tx1"/>
            </w14:solidFill>
          </w14:textFill>
        </w:rPr>
        <w:t>项目堆粪场和车间发酵、原料混合</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和H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S产生量的计算方法</w:t>
      </w:r>
      <w:r>
        <w:rPr>
          <w:rFonts w:hint="eastAsia"/>
          <w:color w:val="000000" w:themeColor="text1"/>
          <w:highlight w:val="none"/>
          <w14:textFill>
            <w14:solidFill>
              <w14:schemeClr w14:val="tx1"/>
            </w14:solidFill>
          </w14:textFill>
        </w:rPr>
        <w:t>按NH</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产生系数0.55g/m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·d、</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S产生系数</w:t>
      </w:r>
      <w:r>
        <w:rPr>
          <w:rFonts w:hint="eastAsia"/>
          <w:color w:val="000000" w:themeColor="text1"/>
          <w:highlight w:val="none"/>
          <w14:textFill>
            <w14:solidFill>
              <w14:schemeClr w14:val="tx1"/>
            </w14:solidFill>
          </w14:textFill>
        </w:rPr>
        <w:t>0.03</w:t>
      </w:r>
      <w:r>
        <w:rPr>
          <w:color w:val="000000" w:themeColor="text1"/>
          <w:highlight w:val="none"/>
          <w14:textFill>
            <w14:solidFill>
              <w14:schemeClr w14:val="tx1"/>
            </w14:solidFill>
          </w14:textFill>
        </w:rPr>
        <w:t>g/m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计算</w:t>
      </w:r>
      <w:r>
        <w:rPr>
          <w:color w:val="000000" w:themeColor="text1"/>
          <w:highlight w:val="none"/>
          <w14:textFill>
            <w14:solidFill>
              <w14:schemeClr w14:val="tx1"/>
            </w14:solidFill>
          </w14:textFill>
        </w:rPr>
        <w:t>。根据以上参数及</w:t>
      </w:r>
      <w:r>
        <w:rPr>
          <w:rFonts w:hint="eastAsia"/>
          <w:color w:val="000000" w:themeColor="text1"/>
          <w:highlight w:val="none"/>
          <w14:textFill>
            <w14:solidFill>
              <w14:schemeClr w14:val="tx1"/>
            </w14:solidFill>
          </w14:textFill>
        </w:rPr>
        <w:t>干湿分离车间</w:t>
      </w:r>
      <w:r>
        <w:rPr>
          <w:color w:val="000000" w:themeColor="text1"/>
          <w:highlight w:val="none"/>
          <w14:textFill>
            <w14:solidFill>
              <w14:schemeClr w14:val="tx1"/>
            </w14:solidFill>
          </w14:textFill>
        </w:rPr>
        <w:t>面积</w:t>
      </w:r>
      <w:r>
        <w:rPr>
          <w:rFonts w:hint="eastAsia"/>
          <w:color w:val="000000" w:themeColor="text1"/>
          <w:highlight w:val="none"/>
          <w:lang w:val="en-US" w:eastAsia="zh-CN"/>
          <w14:textFill>
            <w14:solidFill>
              <w14:schemeClr w14:val="tx1"/>
            </w14:solidFill>
          </w14:textFill>
        </w:rPr>
        <w:t>1000</w:t>
      </w:r>
      <w:r>
        <w:rPr>
          <w:rFonts w:hint="eastAsia"/>
          <w:color w:val="000000" w:themeColor="text1"/>
          <w:highlight w:val="none"/>
          <w14:textFill>
            <w14:solidFill>
              <w14:schemeClr w14:val="tx1"/>
            </w14:solidFill>
          </w14:textFill>
        </w:rPr>
        <w:t>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计算NH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和H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w:t>
      </w:r>
      <w:r>
        <w:rPr>
          <w:rFonts w:hint="eastAsia"/>
          <w:color w:val="000000" w:themeColor="text1"/>
          <w:highlight w:val="none"/>
          <w14:textFill>
            <w14:solidFill>
              <w14:schemeClr w14:val="tx1"/>
            </w14:solidFill>
          </w14:textFill>
        </w:rPr>
        <w:t>产生量分别为0.</w:t>
      </w:r>
      <w:r>
        <w:rPr>
          <w:rFonts w:hint="eastAsia"/>
          <w:color w:val="000000" w:themeColor="text1"/>
          <w:highlight w:val="none"/>
          <w:lang w:val="en-US" w:eastAsia="zh-CN"/>
          <w14:textFill>
            <w14:solidFill>
              <w14:schemeClr w14:val="tx1"/>
            </w14:solidFill>
          </w14:textFill>
        </w:rPr>
        <w:t>201</w:t>
      </w:r>
      <w:r>
        <w:rPr>
          <w:rFonts w:hint="eastAsia"/>
          <w:color w:val="000000" w:themeColor="text1"/>
          <w:highlight w:val="none"/>
          <w14:textFill>
            <w14:solidFill>
              <w14:schemeClr w14:val="tx1"/>
            </w14:solidFill>
          </w14:textFill>
        </w:rPr>
        <w:t>/a、0.0</w:t>
      </w:r>
      <w:r>
        <w:rPr>
          <w:rFonts w:hint="eastAsia"/>
          <w:color w:val="000000" w:themeColor="text1"/>
          <w:highlight w:val="none"/>
          <w:lang w:val="en-US" w:eastAsia="zh-CN"/>
          <w14:textFill>
            <w14:solidFill>
              <w14:schemeClr w14:val="tx1"/>
            </w14:solidFill>
          </w14:textFill>
        </w:rPr>
        <w:t>11</w:t>
      </w:r>
      <w:r>
        <w:rPr>
          <w:rFonts w:hint="eastAsia"/>
          <w:color w:val="000000" w:themeColor="text1"/>
          <w:highlight w:val="none"/>
          <w14:textFill>
            <w14:solidFill>
              <w14:schemeClr w14:val="tx1"/>
            </w14:solidFill>
          </w14:textFill>
        </w:rPr>
        <w:t>t/a。</w:t>
      </w:r>
    </w:p>
    <w:p w14:paraId="4F8067FD">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项目拟采用干湿分离车间封闭、喷洒除臭剂等减少恶臭排放，去除率70%。实施上述措施后干粪堆粪场及无害化处理间恶臭污染物产生及排放情况见表3.10-6。</w:t>
      </w:r>
    </w:p>
    <w:p w14:paraId="5A86E67B">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表3.10-6   干湿分离车间恶臭产生及排放一览表</w:t>
      </w:r>
    </w:p>
    <w:tbl>
      <w:tblPr>
        <w:tblStyle w:val="33"/>
        <w:tblW w:w="485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87"/>
        <w:gridCol w:w="951"/>
        <w:gridCol w:w="1287"/>
        <w:gridCol w:w="1857"/>
        <w:gridCol w:w="1201"/>
        <w:gridCol w:w="1020"/>
        <w:gridCol w:w="1174"/>
      </w:tblGrid>
      <w:tr w14:paraId="3A74F9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475" w:type="pct"/>
            <w:vAlign w:val="center"/>
          </w:tcPr>
          <w:p w14:paraId="0B69851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恶臭气体</w:t>
            </w:r>
          </w:p>
        </w:tc>
        <w:tc>
          <w:tcPr>
            <w:tcW w:w="574" w:type="pct"/>
            <w:vAlign w:val="center"/>
          </w:tcPr>
          <w:p w14:paraId="3511A6C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产生量（t/a）</w:t>
            </w:r>
          </w:p>
        </w:tc>
        <w:tc>
          <w:tcPr>
            <w:tcW w:w="777" w:type="pct"/>
            <w:vAlign w:val="center"/>
          </w:tcPr>
          <w:p w14:paraId="4861563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产生速率（kg/h）</w:t>
            </w:r>
          </w:p>
        </w:tc>
        <w:tc>
          <w:tcPr>
            <w:tcW w:w="1121" w:type="pct"/>
            <w:vAlign w:val="center"/>
          </w:tcPr>
          <w:p w14:paraId="1491F8F8">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拟处理措施</w:t>
            </w:r>
          </w:p>
        </w:tc>
        <w:tc>
          <w:tcPr>
            <w:tcW w:w="725" w:type="pct"/>
            <w:vAlign w:val="center"/>
          </w:tcPr>
          <w:p w14:paraId="22A6D0A0">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处理效率</w:t>
            </w:r>
          </w:p>
          <w:p w14:paraId="2D56E899">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w:t>
            </w:r>
          </w:p>
        </w:tc>
        <w:tc>
          <w:tcPr>
            <w:tcW w:w="616" w:type="pct"/>
            <w:vAlign w:val="center"/>
          </w:tcPr>
          <w:p w14:paraId="4E7483F7">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排放量</w:t>
            </w:r>
          </w:p>
          <w:p w14:paraId="42FE1B04">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（t/a）</w:t>
            </w:r>
          </w:p>
        </w:tc>
        <w:tc>
          <w:tcPr>
            <w:tcW w:w="709" w:type="pct"/>
            <w:vAlign w:val="center"/>
          </w:tcPr>
          <w:p w14:paraId="58F6E43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排放速率</w:t>
            </w:r>
          </w:p>
          <w:p w14:paraId="242498A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（kg/h）</w:t>
            </w:r>
          </w:p>
        </w:tc>
      </w:tr>
      <w:tr w14:paraId="7F53BE7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475" w:type="pct"/>
            <w:vAlign w:val="center"/>
          </w:tcPr>
          <w:p w14:paraId="7185BBA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p>
        </w:tc>
        <w:tc>
          <w:tcPr>
            <w:tcW w:w="574" w:type="pct"/>
            <w:vAlign w:val="center"/>
          </w:tcPr>
          <w:p w14:paraId="4C95F483">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201</w:t>
            </w:r>
          </w:p>
        </w:tc>
        <w:tc>
          <w:tcPr>
            <w:tcW w:w="777" w:type="pct"/>
            <w:vAlign w:val="center"/>
          </w:tcPr>
          <w:p w14:paraId="42500147">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0.023</w:t>
            </w:r>
          </w:p>
        </w:tc>
        <w:tc>
          <w:tcPr>
            <w:tcW w:w="1121" w:type="pct"/>
            <w:vMerge w:val="restart"/>
            <w:vAlign w:val="center"/>
          </w:tcPr>
          <w:p w14:paraId="570E40B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密闭、喷洒除臭剂</w:t>
            </w:r>
          </w:p>
        </w:tc>
        <w:tc>
          <w:tcPr>
            <w:tcW w:w="725" w:type="pct"/>
            <w:vMerge w:val="restart"/>
            <w:vAlign w:val="center"/>
          </w:tcPr>
          <w:p w14:paraId="2ED3B0C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70</w:t>
            </w:r>
          </w:p>
        </w:tc>
        <w:tc>
          <w:tcPr>
            <w:tcW w:w="616" w:type="pct"/>
            <w:vAlign w:val="center"/>
          </w:tcPr>
          <w:p w14:paraId="70DCBB89">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709" w:type="pct"/>
            <w:vAlign w:val="center"/>
          </w:tcPr>
          <w:p w14:paraId="5D6C312C">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w:t>
            </w:r>
          </w:p>
        </w:tc>
      </w:tr>
      <w:tr w14:paraId="1EB1789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5" w:hRule="atLeast"/>
          <w:jc w:val="center"/>
        </w:trPr>
        <w:tc>
          <w:tcPr>
            <w:tcW w:w="475" w:type="pct"/>
            <w:vAlign w:val="center"/>
          </w:tcPr>
          <w:p w14:paraId="56D8387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w:t>
            </w:r>
          </w:p>
        </w:tc>
        <w:tc>
          <w:tcPr>
            <w:tcW w:w="574" w:type="pct"/>
            <w:vAlign w:val="center"/>
          </w:tcPr>
          <w:p w14:paraId="514CE42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0.0</w:t>
            </w:r>
            <w:r>
              <w:rPr>
                <w:rFonts w:hint="eastAsia"/>
                <w:color w:val="000000" w:themeColor="text1"/>
                <w:sz w:val="21"/>
                <w:szCs w:val="21"/>
                <w:highlight w:val="none"/>
                <w:lang w:val="en-US" w:eastAsia="zh-CN"/>
                <w14:textFill>
                  <w14:solidFill>
                    <w14:schemeClr w14:val="tx1"/>
                  </w14:solidFill>
                </w14:textFill>
              </w:rPr>
              <w:t>11</w:t>
            </w:r>
          </w:p>
        </w:tc>
        <w:tc>
          <w:tcPr>
            <w:tcW w:w="777" w:type="pct"/>
            <w:vAlign w:val="center"/>
          </w:tcPr>
          <w:p w14:paraId="6F249038">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0.0013</w:t>
            </w:r>
          </w:p>
        </w:tc>
        <w:tc>
          <w:tcPr>
            <w:tcW w:w="1121" w:type="pct"/>
            <w:vMerge w:val="continue"/>
            <w:vAlign w:val="center"/>
          </w:tcPr>
          <w:p w14:paraId="50BC91A1">
            <w:pPr>
              <w:spacing w:line="240" w:lineRule="auto"/>
              <w:jc w:val="center"/>
              <w:rPr>
                <w:color w:val="000000" w:themeColor="text1"/>
                <w:sz w:val="21"/>
                <w:szCs w:val="21"/>
                <w:highlight w:val="none"/>
                <w14:textFill>
                  <w14:solidFill>
                    <w14:schemeClr w14:val="tx1"/>
                  </w14:solidFill>
                </w14:textFill>
              </w:rPr>
            </w:pPr>
          </w:p>
        </w:tc>
        <w:tc>
          <w:tcPr>
            <w:tcW w:w="725" w:type="pct"/>
            <w:vMerge w:val="continue"/>
            <w:vAlign w:val="center"/>
          </w:tcPr>
          <w:p w14:paraId="1ED1566B">
            <w:pPr>
              <w:spacing w:line="240" w:lineRule="auto"/>
              <w:jc w:val="center"/>
              <w:rPr>
                <w:color w:val="000000" w:themeColor="text1"/>
                <w:sz w:val="21"/>
                <w:szCs w:val="21"/>
                <w:highlight w:val="none"/>
                <w14:textFill>
                  <w14:solidFill>
                    <w14:schemeClr w14:val="tx1"/>
                  </w14:solidFill>
                </w14:textFill>
              </w:rPr>
            </w:pPr>
          </w:p>
        </w:tc>
        <w:tc>
          <w:tcPr>
            <w:tcW w:w="616" w:type="pct"/>
            <w:vAlign w:val="center"/>
          </w:tcPr>
          <w:p w14:paraId="23558A3B">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w:t>
            </w:r>
          </w:p>
        </w:tc>
        <w:tc>
          <w:tcPr>
            <w:tcW w:w="709" w:type="pct"/>
            <w:vAlign w:val="center"/>
          </w:tcPr>
          <w:p w14:paraId="11B2E74C">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0.0003</w:t>
            </w:r>
          </w:p>
        </w:tc>
      </w:tr>
    </w:tbl>
    <w:p w14:paraId="37B216F1">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default"/>
          <w:color w:val="000000" w:themeColor="text1"/>
          <w:highlight w:val="none"/>
          <w:lang w:val="en-US" w:eastAsia="zh-CN"/>
          <w14:textFill>
            <w14:solidFill>
              <w14:schemeClr w14:val="tx1"/>
            </w14:solidFill>
          </w14:textFill>
        </w:rPr>
        <w:t>黑膜池沼气</w:t>
      </w:r>
    </w:p>
    <w:p w14:paraId="65A79C10">
      <w:pPr>
        <w:bidi w:val="0"/>
        <w:spacing w:line="360" w:lineRule="auto"/>
        <w:ind w:firstLine="480" w:firstLineChars="200"/>
        <w:jc w:val="left"/>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本项目猪舍冲洗水、猪尿和员工生活污水经过黑膜沼气池厌氧发酵，产生沼气。本项目废水产生量为</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45420.39</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m</w:t>
      </w:r>
      <w:r>
        <w:rPr>
          <w:rFonts w:hint="default"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/a，其中污染物COD产生量为</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117.43</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t/a，查阅相关资料，黑膜池厌氧发酵处理效率可达到80%，故本项目废水在厌氧发酵处理工序去除COD量约为</w:t>
      </w:r>
      <w:r>
        <w:rPr>
          <w:rFonts w:hint="eastAsia" w:cs="宋体"/>
          <w:b w:val="0"/>
          <w:bCs w:val="0"/>
          <w:color w:val="000000" w:themeColor="text1"/>
          <w:kern w:val="0"/>
          <w:szCs w:val="24"/>
          <w:highlight w:val="none"/>
          <w:lang w:val="en-US" w:eastAsia="zh-CN"/>
          <w14:textFill>
            <w14:solidFill>
              <w14:schemeClr w14:val="tx1"/>
            </w14:solidFill>
          </w14:textFill>
        </w:rPr>
        <w:t>93.94</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t/a，根据《规模化畜禽养殖场沼气工程设计规范》（NY/T1222-2006）可知，理论上每削减1kgCOD可产生0.35m</w:t>
      </w:r>
      <w:r>
        <w:rPr>
          <w:rFonts w:hint="default"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沼气，沼气的密度为1.215kg/m</w:t>
      </w:r>
      <w:r>
        <w:rPr>
          <w:rFonts w:hint="default"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，则本项目沼气产生量为</w:t>
      </w:r>
      <w:r>
        <w:rPr>
          <w:rFonts w:hint="eastAsia" w:cs="宋体"/>
          <w:b w:val="0"/>
          <w:bCs w:val="0"/>
          <w:color w:val="000000" w:themeColor="text1"/>
          <w:kern w:val="0"/>
          <w:szCs w:val="24"/>
          <w:highlight w:val="none"/>
          <w:lang w:val="en-US" w:eastAsia="zh-CN"/>
          <w14:textFill>
            <w14:solidFill>
              <w14:schemeClr w14:val="tx1"/>
            </w14:solidFill>
          </w14:textFill>
        </w:rPr>
        <w:t>39.948</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t/a（0.</w:t>
      </w:r>
      <w:r>
        <w:rPr>
          <w:rFonts w:hint="eastAsia" w:cs="宋体"/>
          <w:b w:val="0"/>
          <w:bCs w:val="0"/>
          <w:color w:val="000000" w:themeColor="text1"/>
          <w:kern w:val="0"/>
          <w:szCs w:val="24"/>
          <w:highlight w:val="none"/>
          <w:lang w:val="en-US" w:eastAsia="zh-CN"/>
          <w14:textFill>
            <w14:solidFill>
              <w14:schemeClr w14:val="tx1"/>
            </w14:solidFill>
          </w14:textFill>
        </w:rPr>
        <w:t>109</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t/d），产生的沼气无组织逸散。</w:t>
      </w:r>
      <w:r>
        <w:rPr>
          <w:rFonts w:hint="eastAsia" w:cs="宋体"/>
          <w:b w:val="0"/>
          <w:bCs w:val="0"/>
          <w:color w:val="000000" w:themeColor="text1"/>
          <w:kern w:val="0"/>
          <w:szCs w:val="24"/>
          <w:highlight w:val="none"/>
          <w:lang w:val="en-US" w:eastAsia="zh-CN"/>
          <w14:textFill>
            <w14:solidFill>
              <w14:schemeClr w14:val="tx1"/>
            </w14:solidFill>
          </w14:textFill>
        </w:rPr>
        <w:t>本环评建议适时进行沼气综合利用改造。</w:t>
      </w:r>
    </w:p>
    <w:p w14:paraId="6ECB0CAE">
      <w:pPr>
        <w:bidi w:val="0"/>
        <w:ind w:firstLine="480" w:firstLineChars="20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黑膜池沼气产生及排放情况见表3.10-7。</w:t>
      </w:r>
    </w:p>
    <w:p w14:paraId="508849C2">
      <w:pPr>
        <w:bidi w:val="0"/>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表3.10-</w:t>
      </w:r>
      <w:r>
        <w:rPr>
          <w:rFonts w:hint="eastAsia"/>
          <w:b/>
          <w:bCs/>
          <w:color w:val="000000" w:themeColor="text1"/>
          <w:sz w:val="21"/>
          <w:szCs w:val="21"/>
          <w:highlight w:val="none"/>
          <w:lang w:val="en-US" w:eastAsia="zh-CN"/>
          <w14:textFill>
            <w14:solidFill>
              <w14:schemeClr w14:val="tx1"/>
            </w14:solidFill>
          </w14:textFill>
        </w:rPr>
        <w:t>7</w:t>
      </w:r>
      <w:r>
        <w:rPr>
          <w:rFonts w:hint="eastAsia"/>
          <w:b/>
          <w:bCs/>
          <w:color w:val="000000" w:themeColor="text1"/>
          <w:sz w:val="21"/>
          <w:szCs w:val="21"/>
          <w:highlight w:val="none"/>
          <w14:textFill>
            <w14:solidFill>
              <w14:schemeClr w14:val="tx1"/>
            </w14:solidFill>
          </w14:textFill>
        </w:rPr>
        <w:t xml:space="preserve">  </w:t>
      </w:r>
      <w:r>
        <w:rPr>
          <w:rFonts w:hint="default"/>
          <w:b/>
          <w:bCs/>
          <w:color w:val="000000" w:themeColor="text1"/>
          <w:sz w:val="21"/>
          <w:szCs w:val="21"/>
          <w:highlight w:val="none"/>
          <w:lang w:val="en-US" w:eastAsia="zh-CN"/>
          <w14:textFill>
            <w14:solidFill>
              <w14:schemeClr w14:val="tx1"/>
            </w14:solidFill>
          </w14:textFill>
        </w:rPr>
        <w:t>黑膜池沼气</w:t>
      </w:r>
      <w:r>
        <w:rPr>
          <w:rFonts w:hint="eastAsia"/>
          <w:b/>
          <w:bCs/>
          <w:color w:val="000000" w:themeColor="text1"/>
          <w:sz w:val="21"/>
          <w:szCs w:val="21"/>
          <w:highlight w:val="none"/>
          <w14:textFill>
            <w14:solidFill>
              <w14:schemeClr w14:val="tx1"/>
            </w14:solidFill>
          </w14:textFill>
        </w:rPr>
        <w:t>产生及排放一览表</w:t>
      </w:r>
    </w:p>
    <w:tbl>
      <w:tblPr>
        <w:tblStyle w:val="33"/>
        <w:tblW w:w="4886"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6"/>
        <w:gridCol w:w="1211"/>
        <w:gridCol w:w="1420"/>
        <w:gridCol w:w="1937"/>
        <w:gridCol w:w="1145"/>
        <w:gridCol w:w="1639"/>
      </w:tblGrid>
      <w:tr w14:paraId="7D56CDF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86" w:hRule="atLeast"/>
          <w:jc w:val="center"/>
        </w:trPr>
        <w:tc>
          <w:tcPr>
            <w:tcW w:w="585" w:type="pct"/>
            <w:vAlign w:val="center"/>
          </w:tcPr>
          <w:p w14:paraId="74A316BC">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气体</w:t>
            </w:r>
          </w:p>
        </w:tc>
        <w:tc>
          <w:tcPr>
            <w:tcW w:w="727" w:type="pct"/>
            <w:vAlign w:val="center"/>
          </w:tcPr>
          <w:p w14:paraId="5E8FEDDB">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产生量（t/a）</w:t>
            </w:r>
          </w:p>
        </w:tc>
        <w:tc>
          <w:tcPr>
            <w:tcW w:w="852" w:type="pct"/>
            <w:vAlign w:val="center"/>
          </w:tcPr>
          <w:p w14:paraId="5494B29D">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产生速率</w:t>
            </w:r>
          </w:p>
          <w:p w14:paraId="5827725B">
            <w:pPr>
              <w:bidi w:val="0"/>
              <w:spacing w:line="240" w:lineRule="auto"/>
              <w:jc w:val="center"/>
              <w:rPr>
                <w:rFonts w:hint="eastAsia"/>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（kg/h）</w:t>
            </w:r>
          </w:p>
        </w:tc>
        <w:tc>
          <w:tcPr>
            <w:tcW w:w="1162" w:type="pct"/>
            <w:vAlign w:val="center"/>
          </w:tcPr>
          <w:p w14:paraId="36256C12">
            <w:pPr>
              <w:bidi w:val="0"/>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拟处理措施</w:t>
            </w:r>
          </w:p>
        </w:tc>
        <w:tc>
          <w:tcPr>
            <w:tcW w:w="687" w:type="pct"/>
            <w:vAlign w:val="center"/>
          </w:tcPr>
          <w:p w14:paraId="5C59E291">
            <w:pPr>
              <w:bidi w:val="0"/>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排放量</w:t>
            </w:r>
          </w:p>
          <w:p w14:paraId="3F31AC85">
            <w:pPr>
              <w:bidi w:val="0"/>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（t/a）</w:t>
            </w:r>
          </w:p>
        </w:tc>
        <w:tc>
          <w:tcPr>
            <w:tcW w:w="984" w:type="pct"/>
            <w:vAlign w:val="center"/>
          </w:tcPr>
          <w:p w14:paraId="540886C3">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排放速率</w:t>
            </w:r>
          </w:p>
          <w:p w14:paraId="0755B0C5">
            <w:pPr>
              <w:bidi w:val="0"/>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（kg/h）</w:t>
            </w:r>
          </w:p>
        </w:tc>
      </w:tr>
      <w:tr w14:paraId="254A3D2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49" w:hRule="atLeast"/>
          <w:jc w:val="center"/>
        </w:trPr>
        <w:tc>
          <w:tcPr>
            <w:tcW w:w="585" w:type="pct"/>
            <w:vAlign w:val="center"/>
          </w:tcPr>
          <w:p w14:paraId="5113EF51">
            <w:pPr>
              <w:bidi w:val="0"/>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沼气</w:t>
            </w:r>
          </w:p>
        </w:tc>
        <w:tc>
          <w:tcPr>
            <w:tcW w:w="1211" w:type="dxa"/>
            <w:vAlign w:val="center"/>
          </w:tcPr>
          <w:p w14:paraId="37141B4E">
            <w:pPr>
              <w:bidi w:val="0"/>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1420" w:type="dxa"/>
            <w:vAlign w:val="center"/>
          </w:tcPr>
          <w:p w14:paraId="1D6A2F0C">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c>
          <w:tcPr>
            <w:tcW w:w="1937" w:type="dxa"/>
            <w:vAlign w:val="center"/>
          </w:tcPr>
          <w:p w14:paraId="166188B5">
            <w:pPr>
              <w:bidi w:val="0"/>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w:t>
            </w:r>
          </w:p>
        </w:tc>
        <w:tc>
          <w:tcPr>
            <w:tcW w:w="1145" w:type="dxa"/>
            <w:vAlign w:val="center"/>
          </w:tcPr>
          <w:p w14:paraId="663D9B41">
            <w:pPr>
              <w:bidi w:val="0"/>
              <w:spacing w:line="240" w:lineRule="auto"/>
              <w:jc w:val="center"/>
              <w:rPr>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1639" w:type="dxa"/>
            <w:vAlign w:val="center"/>
          </w:tcPr>
          <w:p w14:paraId="20816A11">
            <w:pPr>
              <w:bidi w:val="0"/>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r>
    </w:tbl>
    <w:p w14:paraId="75DC7D33">
      <w:pPr>
        <w:numPr>
          <w:ilvl w:val="0"/>
          <w:numId w:val="3"/>
        </w:numPr>
        <w:bidi w:val="0"/>
        <w:rPr>
          <w:rFonts w:hint="eastAsia"/>
          <w:color w:val="000000" w:themeColor="text1"/>
          <w:highlight w:val="none"/>
          <w:lang w:val="en-US" w:eastAsia="zh-CN"/>
          <w14:textFill>
            <w14:solidFill>
              <w14:schemeClr w14:val="tx1"/>
            </w14:solidFill>
          </w14:textFill>
        </w:rPr>
      </w:pPr>
      <w:bookmarkStart w:id="145" w:name="_Toc21407"/>
      <w:r>
        <w:rPr>
          <w:rFonts w:hint="eastAsia"/>
          <w:color w:val="000000" w:themeColor="text1"/>
          <w:highlight w:val="none"/>
          <w:lang w:val="en-US" w:eastAsia="zh-CN"/>
          <w14:textFill>
            <w14:solidFill>
              <w14:schemeClr w14:val="tx1"/>
            </w14:solidFill>
          </w14:textFill>
        </w:rPr>
        <w:t>饲料加工车间颗粒物</w:t>
      </w:r>
    </w:p>
    <w:p w14:paraId="45B6F19A">
      <w:pPr>
        <w:bidi w:val="0"/>
        <w:spacing w:line="360" w:lineRule="auto"/>
        <w:ind w:firstLine="480" w:firstLineChars="200"/>
        <w:jc w:val="left"/>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本项目原料玉米、豆粕及小麦在粉碎、混合过程会产生粉尘，根据《排放源统计调查产排污核算方法和系数手册》中</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 xml:space="preserve">“132 </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饲料加工行业系数手册</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，饲料加工行业粉碎、混合粉尘产污系数为</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0.041</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千克</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吨产品，项目年产约15310.84吨饲料，则粉碎、混合粉尘产生量约为0.63</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产生速率</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为</w:t>
      </w:r>
      <w:r>
        <w:rPr>
          <w:rFonts w:hint="eastAsia" w:eastAsia="宋体" w:cs="宋体"/>
          <w:b w:val="0"/>
          <w:bCs w:val="0"/>
          <w:color w:val="000000" w:themeColor="text1"/>
          <w:kern w:val="0"/>
          <w:szCs w:val="24"/>
          <w:highlight w:val="none"/>
          <w:lang w:val="en-US" w:eastAsia="zh-CN"/>
          <w14:textFill>
            <w14:solidFill>
              <w14:schemeClr w14:val="tx1"/>
            </w14:solidFill>
          </w14:textFill>
        </w:rPr>
        <w:t>0.072</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kg/h</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。本项目粉碎、混合为一体式设备，除进料口和卸料口外基本全封闭，</w:t>
      </w:r>
      <w:r>
        <w:rPr>
          <w:rFonts w:hint="eastAsia" w:eastAsia="宋体" w:cs="宋体"/>
          <w:b w:val="0"/>
          <w:bCs w:val="0"/>
          <w:color w:val="000000" w:themeColor="text1"/>
          <w:kern w:val="0"/>
          <w:szCs w:val="24"/>
          <w:highlight w:val="none"/>
          <w:lang w:val="en-US" w:eastAsia="zh-CN"/>
          <w14:textFill>
            <w14:solidFill>
              <w14:schemeClr w14:val="tx1"/>
            </w14:solidFill>
          </w14:textFill>
        </w:rPr>
        <w:t>采取洒水降尘措施，</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降尘效率按</w:t>
      </w:r>
      <w:r>
        <w:rPr>
          <w:rFonts w:hint="eastAsia" w:eastAsia="宋体" w:cs="宋体"/>
          <w:b w:val="0"/>
          <w:bCs w:val="0"/>
          <w:color w:val="000000" w:themeColor="text1"/>
          <w:kern w:val="0"/>
          <w:szCs w:val="24"/>
          <w:highlight w:val="none"/>
          <w:lang w:val="en-US" w:eastAsia="zh-CN"/>
          <w14:textFill>
            <w14:solidFill>
              <w14:schemeClr w14:val="tx1"/>
            </w14:solidFill>
          </w14:textFill>
        </w:rPr>
        <w:t>8</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0%计，无组织排放量为0</w:t>
      </w:r>
      <w:r>
        <w:rPr>
          <w:rFonts w:hint="eastAsia" w:eastAsia="宋体" w:cs="宋体"/>
          <w:b w:val="0"/>
          <w:bCs w:val="0"/>
          <w:color w:val="000000" w:themeColor="text1"/>
          <w:kern w:val="0"/>
          <w:szCs w:val="24"/>
          <w:highlight w:val="none"/>
          <w:lang w:val="en-US" w:eastAsia="zh-CN"/>
          <w14:textFill>
            <w14:solidFill>
              <w14:schemeClr w14:val="tx1"/>
            </w14:solidFill>
          </w14:textFill>
        </w:rPr>
        <w:t>.126</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t/a</w:t>
      </w:r>
      <w:r>
        <w:rPr>
          <w:rFonts w:hint="eastAsia" w:eastAsia="宋体" w:cs="宋体"/>
          <w:b w:val="0"/>
          <w:bCs w:val="0"/>
          <w:color w:val="000000" w:themeColor="text1"/>
          <w:kern w:val="0"/>
          <w:szCs w:val="24"/>
          <w:highlight w:val="none"/>
          <w:lang w:val="en-US" w:eastAsia="zh-CN"/>
          <w14:textFill>
            <w14:solidFill>
              <w14:schemeClr w14:val="tx1"/>
            </w14:solidFill>
          </w14:textFill>
        </w:rPr>
        <w:t>，排放</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速率</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为</w:t>
      </w:r>
      <w:r>
        <w:rPr>
          <w:rFonts w:hint="eastAsia" w:eastAsia="宋体" w:cs="宋体"/>
          <w:b w:val="0"/>
          <w:bCs w:val="0"/>
          <w:color w:val="000000" w:themeColor="text1"/>
          <w:kern w:val="0"/>
          <w:szCs w:val="24"/>
          <w:highlight w:val="none"/>
          <w:lang w:val="en-US" w:eastAsia="zh-CN"/>
          <w14:textFill>
            <w14:solidFill>
              <w14:schemeClr w14:val="tx1"/>
            </w14:solidFill>
          </w14:textFill>
        </w:rPr>
        <w:t>0.014</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kg/h</w:t>
      </w:r>
      <w:r>
        <w:rPr>
          <w:rFonts w:hint="eastAsia" w:cs="宋体"/>
          <w:b w:val="0"/>
          <w:bCs w:val="0"/>
          <w:color w:val="000000" w:themeColor="text1"/>
          <w:kern w:val="0"/>
          <w:szCs w:val="24"/>
          <w:highlight w:val="none"/>
          <w:lang w:val="en-US" w:eastAsia="zh-CN"/>
          <w14:textFill>
            <w14:solidFill>
              <w14:schemeClr w14:val="tx1"/>
            </w14:solidFill>
          </w14:textFill>
        </w:rPr>
        <w:t>。</w:t>
      </w:r>
    </w:p>
    <w:p w14:paraId="0EABE251">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（3）废气产生及处理情况汇总</w:t>
      </w:r>
    </w:p>
    <w:p w14:paraId="27683DA3">
      <w:pPr>
        <w:bidi w:val="0"/>
        <w:ind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本项目废气污染物产生及排放情况汇总见下表：</w:t>
      </w:r>
    </w:p>
    <w:p w14:paraId="6ECBE6D0">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eastAsia"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表</w:t>
      </w:r>
      <w:r>
        <w:rPr>
          <w:rFonts w:hint="eastAsia" w:ascii="Times New Roman" w:hAnsi="Times New Roman" w:cs="Times New Roman"/>
          <w:b/>
          <w:bCs/>
          <w:color w:val="000000" w:themeColor="text1"/>
          <w:sz w:val="21"/>
          <w:szCs w:val="21"/>
          <w:highlight w:val="none"/>
          <w:shd w:val="clear" w:color="auto" w:fill="auto"/>
          <w:lang w:val="en-US" w:eastAsia="zh-CN"/>
          <w14:textFill>
            <w14:solidFill>
              <w14:schemeClr w14:val="tx1"/>
            </w14:solidFill>
          </w14:textFill>
        </w:rPr>
        <w:t>3.10-8</w:t>
      </w:r>
      <w:r>
        <w:rPr>
          <w:rFonts w:hint="eastAsia"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 xml:space="preserve">  项目废气污染物产生及排放情况一览表</w:t>
      </w:r>
    </w:p>
    <w:tbl>
      <w:tblPr>
        <w:tblStyle w:val="33"/>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648"/>
        <w:gridCol w:w="751"/>
        <w:gridCol w:w="993"/>
        <w:gridCol w:w="1121"/>
        <w:gridCol w:w="2290"/>
        <w:gridCol w:w="947"/>
        <w:gridCol w:w="1096"/>
      </w:tblGrid>
      <w:tr w14:paraId="2C70E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14:paraId="6B73D56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污染源</w:t>
            </w:r>
          </w:p>
        </w:tc>
        <w:tc>
          <w:tcPr>
            <w:tcW w:w="648" w:type="dxa"/>
            <w:vMerge w:val="restart"/>
            <w:vAlign w:val="center"/>
          </w:tcPr>
          <w:p w14:paraId="4FC0E0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排放形式</w:t>
            </w:r>
          </w:p>
        </w:tc>
        <w:tc>
          <w:tcPr>
            <w:tcW w:w="751" w:type="dxa"/>
            <w:vMerge w:val="restart"/>
            <w:vAlign w:val="center"/>
          </w:tcPr>
          <w:p w14:paraId="0E5CE32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污染物名称</w:t>
            </w:r>
          </w:p>
        </w:tc>
        <w:tc>
          <w:tcPr>
            <w:tcW w:w="2114" w:type="dxa"/>
            <w:gridSpan w:val="2"/>
            <w:vAlign w:val="center"/>
          </w:tcPr>
          <w:p w14:paraId="0A17588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产生情况</w:t>
            </w:r>
          </w:p>
        </w:tc>
        <w:tc>
          <w:tcPr>
            <w:tcW w:w="2290" w:type="dxa"/>
            <w:vMerge w:val="restart"/>
            <w:vAlign w:val="center"/>
          </w:tcPr>
          <w:p w14:paraId="1474771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治理措施</w:t>
            </w:r>
          </w:p>
        </w:tc>
        <w:tc>
          <w:tcPr>
            <w:tcW w:w="2043" w:type="dxa"/>
            <w:gridSpan w:val="2"/>
            <w:vAlign w:val="center"/>
          </w:tcPr>
          <w:p w14:paraId="6099C14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lang w:eastAsia="zh-TW"/>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排放情况</w:t>
            </w:r>
          </w:p>
        </w:tc>
      </w:tr>
      <w:tr w14:paraId="63E52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14:paraId="0A3E8FE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p>
        </w:tc>
        <w:tc>
          <w:tcPr>
            <w:tcW w:w="648" w:type="dxa"/>
            <w:vMerge w:val="continue"/>
            <w:vAlign w:val="center"/>
          </w:tcPr>
          <w:p w14:paraId="315B900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p>
        </w:tc>
        <w:tc>
          <w:tcPr>
            <w:tcW w:w="751" w:type="dxa"/>
            <w:vMerge w:val="continue"/>
            <w:vAlign w:val="center"/>
          </w:tcPr>
          <w:p w14:paraId="20ED82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p>
        </w:tc>
        <w:tc>
          <w:tcPr>
            <w:tcW w:w="993" w:type="dxa"/>
            <w:vAlign w:val="center"/>
          </w:tcPr>
          <w:p w14:paraId="63126EC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产生量（t/a）</w:t>
            </w:r>
          </w:p>
        </w:tc>
        <w:tc>
          <w:tcPr>
            <w:tcW w:w="1121" w:type="dxa"/>
            <w:vAlign w:val="center"/>
          </w:tcPr>
          <w:p w14:paraId="76A0CAF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产生速率（kg/h）</w:t>
            </w:r>
          </w:p>
        </w:tc>
        <w:tc>
          <w:tcPr>
            <w:tcW w:w="2290" w:type="dxa"/>
            <w:vMerge w:val="continue"/>
            <w:vAlign w:val="center"/>
          </w:tcPr>
          <w:p w14:paraId="7AFFB1A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lang w:eastAsia="zh-TW"/>
                <w14:textFill>
                  <w14:solidFill>
                    <w14:schemeClr w14:val="tx1"/>
                  </w14:solidFill>
                </w14:textFill>
              </w:rPr>
            </w:pPr>
          </w:p>
        </w:tc>
        <w:tc>
          <w:tcPr>
            <w:tcW w:w="947" w:type="dxa"/>
            <w:vAlign w:val="center"/>
          </w:tcPr>
          <w:p w14:paraId="272940C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lang w:eastAsia="zh-TW"/>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排放量（t/a）</w:t>
            </w:r>
          </w:p>
        </w:tc>
        <w:tc>
          <w:tcPr>
            <w:tcW w:w="1096" w:type="dxa"/>
            <w:vAlign w:val="center"/>
          </w:tcPr>
          <w:p w14:paraId="144DE79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lang w:eastAsia="zh-TW"/>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排放速率（kg/h）</w:t>
            </w:r>
          </w:p>
        </w:tc>
      </w:tr>
      <w:tr w14:paraId="1A10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905" w:type="dxa"/>
            <w:vMerge w:val="restart"/>
            <w:vAlign w:val="center"/>
          </w:tcPr>
          <w:p w14:paraId="6DD895B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圈舍</w:t>
            </w:r>
          </w:p>
        </w:tc>
        <w:tc>
          <w:tcPr>
            <w:tcW w:w="648" w:type="dxa"/>
            <w:vMerge w:val="restart"/>
            <w:vAlign w:val="center"/>
          </w:tcPr>
          <w:p w14:paraId="3548F5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无组织</w:t>
            </w:r>
          </w:p>
        </w:tc>
        <w:tc>
          <w:tcPr>
            <w:tcW w:w="751" w:type="dxa"/>
            <w:vAlign w:val="center"/>
          </w:tcPr>
          <w:p w14:paraId="7B87D9D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3</w:t>
            </w:r>
          </w:p>
        </w:tc>
        <w:tc>
          <w:tcPr>
            <w:tcW w:w="993" w:type="dxa"/>
            <w:vAlign w:val="center"/>
          </w:tcPr>
          <w:p w14:paraId="2430799C">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30.13</w:t>
            </w:r>
          </w:p>
        </w:tc>
        <w:tc>
          <w:tcPr>
            <w:tcW w:w="1121" w:type="dxa"/>
            <w:vAlign w:val="center"/>
          </w:tcPr>
          <w:p w14:paraId="50627C5C">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3.44</w:t>
            </w:r>
          </w:p>
        </w:tc>
        <w:tc>
          <w:tcPr>
            <w:tcW w:w="2290" w:type="dxa"/>
            <w:vMerge w:val="restart"/>
            <w:vAlign w:val="center"/>
          </w:tcPr>
          <w:p w14:paraId="17F4ECC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加强通风、合理搭配饲料、投放吸附剂和喷洒除臭剂、</w:t>
            </w:r>
            <w:r>
              <w:rPr>
                <w:rFonts w:hint="eastAsia" w:cs="Times New Roman"/>
                <w:b w:val="0"/>
                <w:bCs w:val="0"/>
                <w:color w:val="000000" w:themeColor="text1"/>
                <w:sz w:val="21"/>
                <w:szCs w:val="21"/>
                <w:highlight w:val="none"/>
                <w:lang w:eastAsia="zh-CN"/>
                <w14:textFill>
                  <w14:solidFill>
                    <w14:schemeClr w14:val="tx1"/>
                  </w14:solidFill>
                </w14:textFill>
              </w:rPr>
              <w:t>半漏板</w:t>
            </w:r>
            <w:r>
              <w:rPr>
                <w:rFonts w:hint="default" w:ascii="Times New Roman" w:hAnsi="Times New Roman" w:cs="Times New Roman"/>
                <w:b w:val="0"/>
                <w:bCs w:val="0"/>
                <w:color w:val="000000" w:themeColor="text1"/>
                <w:sz w:val="21"/>
                <w:szCs w:val="21"/>
                <w:highlight w:val="none"/>
                <w14:textFill>
                  <w14:solidFill>
                    <w14:schemeClr w14:val="tx1"/>
                  </w14:solidFill>
                </w14:textFill>
              </w:rPr>
              <w:t>、及时清除粪便，定期冲洗猪舍和杀菌消毒，保持猪舍环境卫生</w:t>
            </w:r>
          </w:p>
        </w:tc>
        <w:tc>
          <w:tcPr>
            <w:tcW w:w="947" w:type="dxa"/>
            <w:vAlign w:val="center"/>
          </w:tcPr>
          <w:p w14:paraId="4679EAF4">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3.013</w:t>
            </w:r>
          </w:p>
        </w:tc>
        <w:tc>
          <w:tcPr>
            <w:tcW w:w="1096" w:type="dxa"/>
            <w:vAlign w:val="center"/>
          </w:tcPr>
          <w:p w14:paraId="6705613F">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0.344</w:t>
            </w:r>
          </w:p>
        </w:tc>
      </w:tr>
      <w:tr w14:paraId="386FE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14:paraId="781F9B6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648" w:type="dxa"/>
            <w:vMerge w:val="continue"/>
            <w:vAlign w:val="center"/>
          </w:tcPr>
          <w:p w14:paraId="3469884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3EE10C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14:textFill>
                  <w14:solidFill>
                    <w14:schemeClr w14:val="tx1"/>
                  </w14:solidFill>
                </w14:textFill>
              </w:rPr>
              <w:t>S</w:t>
            </w:r>
          </w:p>
        </w:tc>
        <w:tc>
          <w:tcPr>
            <w:tcW w:w="993" w:type="dxa"/>
            <w:vAlign w:val="center"/>
          </w:tcPr>
          <w:p w14:paraId="43D07915">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4.739</w:t>
            </w:r>
          </w:p>
        </w:tc>
        <w:tc>
          <w:tcPr>
            <w:tcW w:w="1121" w:type="dxa"/>
            <w:vAlign w:val="center"/>
          </w:tcPr>
          <w:p w14:paraId="4F25FB84">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0.54</w:t>
            </w:r>
          </w:p>
        </w:tc>
        <w:tc>
          <w:tcPr>
            <w:tcW w:w="2290" w:type="dxa"/>
            <w:vMerge w:val="continue"/>
            <w:vAlign w:val="center"/>
          </w:tcPr>
          <w:p w14:paraId="6540580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lang w:eastAsia="zh-TW"/>
                <w14:textFill>
                  <w14:solidFill>
                    <w14:schemeClr w14:val="tx1"/>
                  </w14:solidFill>
                </w14:textFill>
              </w:rPr>
            </w:pPr>
          </w:p>
        </w:tc>
        <w:tc>
          <w:tcPr>
            <w:tcW w:w="947" w:type="dxa"/>
            <w:vAlign w:val="center"/>
          </w:tcPr>
          <w:p w14:paraId="6E5F76DA">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0.474</w:t>
            </w:r>
          </w:p>
        </w:tc>
        <w:tc>
          <w:tcPr>
            <w:tcW w:w="1096" w:type="dxa"/>
            <w:vAlign w:val="center"/>
          </w:tcPr>
          <w:p w14:paraId="1DB4835B">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0.054</w:t>
            </w:r>
          </w:p>
        </w:tc>
      </w:tr>
      <w:tr w14:paraId="5C7EB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14:paraId="05B4E38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堆</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粪</w:t>
            </w:r>
            <w:r>
              <w:rPr>
                <w:rFonts w:hint="default" w:ascii="Times New Roman" w:hAnsi="Times New Roman" w:cs="Times New Roman"/>
                <w:b w:val="0"/>
                <w:bCs w:val="0"/>
                <w:color w:val="000000" w:themeColor="text1"/>
                <w:sz w:val="21"/>
                <w:szCs w:val="21"/>
                <w:highlight w:val="none"/>
                <w14:textFill>
                  <w14:solidFill>
                    <w14:schemeClr w14:val="tx1"/>
                  </w14:solidFill>
                </w14:textFill>
              </w:rPr>
              <w:t>场</w:t>
            </w:r>
          </w:p>
        </w:tc>
        <w:tc>
          <w:tcPr>
            <w:tcW w:w="648" w:type="dxa"/>
            <w:vMerge w:val="restart"/>
            <w:vAlign w:val="center"/>
          </w:tcPr>
          <w:p w14:paraId="1DFA75C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无组织</w:t>
            </w:r>
          </w:p>
        </w:tc>
        <w:tc>
          <w:tcPr>
            <w:tcW w:w="751" w:type="dxa"/>
            <w:vAlign w:val="center"/>
          </w:tcPr>
          <w:p w14:paraId="01ABDC5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3</w:t>
            </w:r>
          </w:p>
        </w:tc>
        <w:tc>
          <w:tcPr>
            <w:tcW w:w="993" w:type="dxa"/>
            <w:vAlign w:val="center"/>
          </w:tcPr>
          <w:p w14:paraId="0266E549">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0.438</w:t>
            </w:r>
          </w:p>
        </w:tc>
        <w:tc>
          <w:tcPr>
            <w:tcW w:w="1121" w:type="dxa"/>
            <w:vAlign w:val="center"/>
          </w:tcPr>
          <w:p w14:paraId="19E55DFE">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w:t>
            </w:r>
          </w:p>
        </w:tc>
        <w:tc>
          <w:tcPr>
            <w:tcW w:w="2290" w:type="dxa"/>
            <w:vMerge w:val="restart"/>
            <w:vAlign w:val="center"/>
          </w:tcPr>
          <w:p w14:paraId="2CC0C67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添加物理吸附剂、喷洒除臭剂</w:t>
            </w:r>
          </w:p>
        </w:tc>
        <w:tc>
          <w:tcPr>
            <w:tcW w:w="947" w:type="dxa"/>
            <w:vAlign w:val="center"/>
          </w:tcPr>
          <w:p w14:paraId="467AF6AF">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0.066</w:t>
            </w:r>
          </w:p>
        </w:tc>
        <w:tc>
          <w:tcPr>
            <w:tcW w:w="1096" w:type="dxa"/>
            <w:vAlign w:val="center"/>
          </w:tcPr>
          <w:p w14:paraId="5940EB63">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0.0075</w:t>
            </w:r>
          </w:p>
        </w:tc>
      </w:tr>
      <w:tr w14:paraId="6FCB3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14:paraId="2BEB6EF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648" w:type="dxa"/>
            <w:vMerge w:val="continue"/>
            <w:vAlign w:val="center"/>
          </w:tcPr>
          <w:p w14:paraId="416CAF8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32BAA6E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14:textFill>
                  <w14:solidFill>
                    <w14:schemeClr w14:val="tx1"/>
                  </w14:solidFill>
                </w14:textFill>
              </w:rPr>
              <w:t>S</w:t>
            </w:r>
          </w:p>
        </w:tc>
        <w:tc>
          <w:tcPr>
            <w:tcW w:w="993" w:type="dxa"/>
            <w:vAlign w:val="center"/>
          </w:tcPr>
          <w:p w14:paraId="09DA333E">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44</w:t>
            </w:r>
          </w:p>
        </w:tc>
        <w:tc>
          <w:tcPr>
            <w:tcW w:w="1121" w:type="dxa"/>
            <w:vAlign w:val="center"/>
          </w:tcPr>
          <w:p w14:paraId="0208F6CA">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w:t>
            </w:r>
          </w:p>
        </w:tc>
        <w:tc>
          <w:tcPr>
            <w:tcW w:w="2290" w:type="dxa"/>
            <w:vMerge w:val="continue"/>
            <w:vAlign w:val="center"/>
          </w:tcPr>
          <w:p w14:paraId="2386E9F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lang w:eastAsia="zh-TW"/>
                <w14:textFill>
                  <w14:solidFill>
                    <w14:schemeClr w14:val="tx1"/>
                  </w14:solidFill>
                </w14:textFill>
              </w:rPr>
            </w:pPr>
          </w:p>
        </w:tc>
        <w:tc>
          <w:tcPr>
            <w:tcW w:w="947" w:type="dxa"/>
            <w:vAlign w:val="center"/>
          </w:tcPr>
          <w:p w14:paraId="4CB58611">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w:t>
            </w:r>
          </w:p>
        </w:tc>
        <w:tc>
          <w:tcPr>
            <w:tcW w:w="1096" w:type="dxa"/>
            <w:vAlign w:val="center"/>
          </w:tcPr>
          <w:p w14:paraId="317AFD46">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0.0008</w:t>
            </w:r>
          </w:p>
        </w:tc>
      </w:tr>
      <w:tr w14:paraId="64A3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14:paraId="5B2179B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污水处理恶臭</w:t>
            </w:r>
          </w:p>
        </w:tc>
        <w:tc>
          <w:tcPr>
            <w:tcW w:w="648" w:type="dxa"/>
            <w:vMerge w:val="restart"/>
            <w:vAlign w:val="center"/>
          </w:tcPr>
          <w:p w14:paraId="5235339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无组织</w:t>
            </w:r>
          </w:p>
        </w:tc>
        <w:tc>
          <w:tcPr>
            <w:tcW w:w="751" w:type="dxa"/>
            <w:vAlign w:val="center"/>
          </w:tcPr>
          <w:p w14:paraId="72610EC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3</w:t>
            </w:r>
          </w:p>
        </w:tc>
        <w:tc>
          <w:tcPr>
            <w:tcW w:w="993" w:type="dxa"/>
            <w:vAlign w:val="center"/>
          </w:tcPr>
          <w:p w14:paraId="0DF6F0B8">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0.0</w:t>
            </w:r>
            <w:r>
              <w:rPr>
                <w:rFonts w:hint="eastAsia" w:cs="宋体"/>
                <w:b w:val="0"/>
                <w:bCs w:val="0"/>
                <w:color w:val="000000" w:themeColor="text1"/>
                <w:kern w:val="0"/>
                <w:sz w:val="21"/>
                <w:szCs w:val="21"/>
                <w:highlight w:val="none"/>
                <w:lang w:val="en-US" w:eastAsia="zh-CN"/>
                <w14:textFill>
                  <w14:solidFill>
                    <w14:schemeClr w14:val="tx1"/>
                  </w14:solidFill>
                </w14:textFill>
              </w:rPr>
              <w:t>94</w:t>
            </w:r>
          </w:p>
        </w:tc>
        <w:tc>
          <w:tcPr>
            <w:tcW w:w="1121" w:type="dxa"/>
            <w:vAlign w:val="center"/>
          </w:tcPr>
          <w:p w14:paraId="68C73F7D">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0.011</w:t>
            </w:r>
          </w:p>
        </w:tc>
        <w:tc>
          <w:tcPr>
            <w:tcW w:w="2290" w:type="dxa"/>
            <w:vMerge w:val="restart"/>
            <w:vAlign w:val="center"/>
          </w:tcPr>
          <w:p w14:paraId="44C03AA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加盖密闭、黑膜池外围定期喷洒除臭剂</w:t>
            </w:r>
          </w:p>
        </w:tc>
        <w:tc>
          <w:tcPr>
            <w:tcW w:w="947" w:type="dxa"/>
            <w:vAlign w:val="center"/>
          </w:tcPr>
          <w:p w14:paraId="077B721D">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0.014</w:t>
            </w:r>
          </w:p>
        </w:tc>
        <w:tc>
          <w:tcPr>
            <w:tcW w:w="1096" w:type="dxa"/>
            <w:vAlign w:val="center"/>
          </w:tcPr>
          <w:p w14:paraId="49ADD3A5">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0.002</w:t>
            </w:r>
          </w:p>
        </w:tc>
      </w:tr>
      <w:tr w14:paraId="52D95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14:paraId="4E9DA4E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648" w:type="dxa"/>
            <w:vMerge w:val="continue"/>
            <w:vAlign w:val="center"/>
          </w:tcPr>
          <w:p w14:paraId="276EB1D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1586CFB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14:textFill>
                  <w14:solidFill>
                    <w14:schemeClr w14:val="tx1"/>
                  </w14:solidFill>
                </w14:textFill>
              </w:rPr>
              <w:t>S</w:t>
            </w:r>
          </w:p>
        </w:tc>
        <w:tc>
          <w:tcPr>
            <w:tcW w:w="993" w:type="dxa"/>
            <w:vAlign w:val="center"/>
          </w:tcPr>
          <w:p w14:paraId="71B86E43">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0.00</w:t>
            </w:r>
            <w:r>
              <w:rPr>
                <w:rFonts w:hint="eastAsia" w:cs="宋体"/>
                <w:b w:val="0"/>
                <w:bCs w:val="0"/>
                <w:color w:val="000000" w:themeColor="text1"/>
                <w:kern w:val="0"/>
                <w:sz w:val="21"/>
                <w:szCs w:val="21"/>
                <w:highlight w:val="none"/>
                <w:lang w:val="en-US" w:eastAsia="zh-CN"/>
                <w14:textFill>
                  <w14:solidFill>
                    <w14:schemeClr w14:val="tx1"/>
                  </w14:solidFill>
                </w14:textFill>
              </w:rPr>
              <w:t>4</w:t>
            </w:r>
          </w:p>
        </w:tc>
        <w:tc>
          <w:tcPr>
            <w:tcW w:w="1121" w:type="dxa"/>
            <w:vAlign w:val="center"/>
          </w:tcPr>
          <w:p w14:paraId="65134905">
            <w:pPr>
              <w:spacing w:line="240" w:lineRule="auto"/>
              <w:jc w:val="center"/>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0.0005</w:t>
            </w:r>
          </w:p>
        </w:tc>
        <w:tc>
          <w:tcPr>
            <w:tcW w:w="2290" w:type="dxa"/>
            <w:vMerge w:val="continue"/>
            <w:vAlign w:val="center"/>
          </w:tcPr>
          <w:p w14:paraId="7FDA781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lang w:eastAsia="zh-TW"/>
                <w14:textFill>
                  <w14:solidFill>
                    <w14:schemeClr w14:val="tx1"/>
                  </w14:solidFill>
                </w14:textFill>
              </w:rPr>
            </w:pPr>
          </w:p>
        </w:tc>
        <w:tc>
          <w:tcPr>
            <w:tcW w:w="947" w:type="dxa"/>
            <w:vAlign w:val="center"/>
          </w:tcPr>
          <w:p w14:paraId="15192F7B">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0.0006</w:t>
            </w:r>
          </w:p>
        </w:tc>
        <w:tc>
          <w:tcPr>
            <w:tcW w:w="1096" w:type="dxa"/>
            <w:vAlign w:val="center"/>
          </w:tcPr>
          <w:p w14:paraId="57D8D9B1">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0.00007</w:t>
            </w:r>
          </w:p>
        </w:tc>
      </w:tr>
      <w:tr w14:paraId="22038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905" w:type="dxa"/>
            <w:vMerge w:val="restart"/>
            <w:vAlign w:val="center"/>
          </w:tcPr>
          <w:p w14:paraId="053A56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干湿分离车间恶臭</w:t>
            </w:r>
          </w:p>
        </w:tc>
        <w:tc>
          <w:tcPr>
            <w:tcW w:w="648" w:type="dxa"/>
            <w:vMerge w:val="restart"/>
            <w:vAlign w:val="center"/>
          </w:tcPr>
          <w:p w14:paraId="4EFF778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无</w:t>
            </w:r>
            <w:r>
              <w:rPr>
                <w:rFonts w:hint="default" w:ascii="Times New Roman" w:hAnsi="Times New Roman" w:cs="Times New Roman"/>
                <w:b w:val="0"/>
                <w:bCs w:val="0"/>
                <w:color w:val="000000" w:themeColor="text1"/>
                <w:sz w:val="21"/>
                <w:szCs w:val="21"/>
                <w:highlight w:val="none"/>
                <w14:textFill>
                  <w14:solidFill>
                    <w14:schemeClr w14:val="tx1"/>
                  </w14:solidFill>
                </w14:textFill>
              </w:rPr>
              <w:t>组织</w:t>
            </w:r>
          </w:p>
        </w:tc>
        <w:tc>
          <w:tcPr>
            <w:tcW w:w="751" w:type="dxa"/>
            <w:vAlign w:val="center"/>
          </w:tcPr>
          <w:p w14:paraId="2DB6DD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3</w:t>
            </w:r>
          </w:p>
        </w:tc>
        <w:tc>
          <w:tcPr>
            <w:tcW w:w="993" w:type="dxa"/>
            <w:vAlign w:val="center"/>
          </w:tcPr>
          <w:p w14:paraId="5C637AAC">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201</w:t>
            </w:r>
          </w:p>
        </w:tc>
        <w:tc>
          <w:tcPr>
            <w:tcW w:w="1121" w:type="dxa"/>
            <w:vAlign w:val="center"/>
          </w:tcPr>
          <w:p w14:paraId="4639186A">
            <w:pPr>
              <w:spacing w:line="240" w:lineRule="auto"/>
              <w:jc w:val="center"/>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0.023</w:t>
            </w:r>
          </w:p>
        </w:tc>
        <w:tc>
          <w:tcPr>
            <w:tcW w:w="2290" w:type="dxa"/>
            <w:vMerge w:val="restart"/>
            <w:vAlign w:val="center"/>
          </w:tcPr>
          <w:p w14:paraId="700EFD3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密闭、喷洒除臭剂</w:t>
            </w:r>
          </w:p>
        </w:tc>
        <w:tc>
          <w:tcPr>
            <w:tcW w:w="947" w:type="dxa"/>
            <w:vAlign w:val="center"/>
          </w:tcPr>
          <w:p w14:paraId="72D4FBBB">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1096" w:type="dxa"/>
            <w:vAlign w:val="center"/>
          </w:tcPr>
          <w:p w14:paraId="5715B0D6">
            <w:pPr>
              <w:spacing w:line="240" w:lineRule="auto"/>
              <w:jc w:val="center"/>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w:t>
            </w:r>
          </w:p>
        </w:tc>
      </w:tr>
      <w:tr w14:paraId="6DF95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14:paraId="1E1743E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648" w:type="dxa"/>
            <w:vMerge w:val="continue"/>
            <w:vAlign w:val="center"/>
          </w:tcPr>
          <w:p w14:paraId="6A25AAA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5588578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14:textFill>
                  <w14:solidFill>
                    <w14:schemeClr w14:val="tx1"/>
                  </w14:solidFill>
                </w14:textFill>
              </w:rPr>
              <w:t>S</w:t>
            </w:r>
          </w:p>
        </w:tc>
        <w:tc>
          <w:tcPr>
            <w:tcW w:w="993" w:type="dxa"/>
            <w:vAlign w:val="center"/>
          </w:tcPr>
          <w:p w14:paraId="02B9559C">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0.0</w:t>
            </w:r>
            <w:r>
              <w:rPr>
                <w:rFonts w:hint="eastAsia"/>
                <w:color w:val="000000" w:themeColor="text1"/>
                <w:sz w:val="21"/>
                <w:szCs w:val="21"/>
                <w:highlight w:val="none"/>
                <w:lang w:val="en-US" w:eastAsia="zh-CN"/>
                <w14:textFill>
                  <w14:solidFill>
                    <w14:schemeClr w14:val="tx1"/>
                  </w14:solidFill>
                </w14:textFill>
              </w:rPr>
              <w:t>11</w:t>
            </w:r>
          </w:p>
        </w:tc>
        <w:tc>
          <w:tcPr>
            <w:tcW w:w="1121" w:type="dxa"/>
            <w:vAlign w:val="center"/>
          </w:tcPr>
          <w:p w14:paraId="6697B500">
            <w:pPr>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0.0013</w:t>
            </w:r>
          </w:p>
        </w:tc>
        <w:tc>
          <w:tcPr>
            <w:tcW w:w="2290" w:type="dxa"/>
            <w:vMerge w:val="continue"/>
            <w:vAlign w:val="center"/>
          </w:tcPr>
          <w:p w14:paraId="1ABB0FE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lang w:eastAsia="zh-TW"/>
                <w14:textFill>
                  <w14:solidFill>
                    <w14:schemeClr w14:val="tx1"/>
                  </w14:solidFill>
                </w14:textFill>
              </w:rPr>
            </w:pPr>
          </w:p>
        </w:tc>
        <w:tc>
          <w:tcPr>
            <w:tcW w:w="947" w:type="dxa"/>
            <w:vAlign w:val="center"/>
          </w:tcPr>
          <w:p w14:paraId="607D55AF">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w:t>
            </w:r>
          </w:p>
        </w:tc>
        <w:tc>
          <w:tcPr>
            <w:tcW w:w="1096" w:type="dxa"/>
            <w:vAlign w:val="center"/>
          </w:tcPr>
          <w:p w14:paraId="3094384C">
            <w:pPr>
              <w:spacing w:line="240" w:lineRule="auto"/>
              <w:jc w:val="center"/>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0.0003</w:t>
            </w:r>
          </w:p>
        </w:tc>
      </w:tr>
      <w:tr w14:paraId="49264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05" w:type="dxa"/>
            <w:vAlign w:val="center"/>
          </w:tcPr>
          <w:p w14:paraId="7968474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黑膜池沼气</w:t>
            </w:r>
          </w:p>
        </w:tc>
        <w:tc>
          <w:tcPr>
            <w:tcW w:w="648" w:type="dxa"/>
            <w:vAlign w:val="center"/>
          </w:tcPr>
          <w:p w14:paraId="7568E93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无</w:t>
            </w:r>
            <w:r>
              <w:rPr>
                <w:rFonts w:hint="default" w:ascii="Times New Roman" w:hAnsi="Times New Roman" w:cs="Times New Roman"/>
                <w:b w:val="0"/>
                <w:bCs w:val="0"/>
                <w:color w:val="000000" w:themeColor="text1"/>
                <w:sz w:val="21"/>
                <w:szCs w:val="21"/>
                <w:highlight w:val="none"/>
                <w14:textFill>
                  <w14:solidFill>
                    <w14:schemeClr w14:val="tx1"/>
                  </w14:solidFill>
                </w14:textFill>
              </w:rPr>
              <w:t>组织</w:t>
            </w:r>
          </w:p>
        </w:tc>
        <w:tc>
          <w:tcPr>
            <w:tcW w:w="751" w:type="dxa"/>
            <w:vAlign w:val="center"/>
          </w:tcPr>
          <w:p w14:paraId="0BBADD8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沼气</w:t>
            </w:r>
          </w:p>
        </w:tc>
        <w:tc>
          <w:tcPr>
            <w:tcW w:w="993" w:type="dxa"/>
            <w:vAlign w:val="center"/>
          </w:tcPr>
          <w:p w14:paraId="12EFAD20">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1121" w:type="dxa"/>
            <w:vAlign w:val="center"/>
          </w:tcPr>
          <w:p w14:paraId="4A9F76C3">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c>
          <w:tcPr>
            <w:tcW w:w="2290" w:type="dxa"/>
            <w:vAlign w:val="center"/>
          </w:tcPr>
          <w:p w14:paraId="189478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947" w:type="dxa"/>
            <w:vAlign w:val="center"/>
          </w:tcPr>
          <w:p w14:paraId="65AE5DBF">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1096" w:type="dxa"/>
            <w:vAlign w:val="center"/>
          </w:tcPr>
          <w:p w14:paraId="4725B2D9">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r>
      <w:tr w14:paraId="43A4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05" w:type="dxa"/>
            <w:vAlign w:val="center"/>
          </w:tcPr>
          <w:p w14:paraId="34C5802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饲料加工车间</w:t>
            </w:r>
          </w:p>
        </w:tc>
        <w:tc>
          <w:tcPr>
            <w:tcW w:w="648" w:type="dxa"/>
            <w:vAlign w:val="center"/>
          </w:tcPr>
          <w:p w14:paraId="68E2074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w:t>
            </w:r>
          </w:p>
        </w:tc>
        <w:tc>
          <w:tcPr>
            <w:tcW w:w="751" w:type="dxa"/>
            <w:vAlign w:val="center"/>
          </w:tcPr>
          <w:p w14:paraId="08CE859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TSP</w:t>
            </w:r>
          </w:p>
        </w:tc>
        <w:tc>
          <w:tcPr>
            <w:tcW w:w="993" w:type="dxa"/>
            <w:vAlign w:val="center"/>
          </w:tcPr>
          <w:p w14:paraId="6F2E4A5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0.63</w:t>
            </w:r>
          </w:p>
        </w:tc>
        <w:tc>
          <w:tcPr>
            <w:tcW w:w="1121" w:type="dxa"/>
            <w:vAlign w:val="center"/>
          </w:tcPr>
          <w:p w14:paraId="61DAA76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0.072</w:t>
            </w:r>
          </w:p>
        </w:tc>
        <w:tc>
          <w:tcPr>
            <w:tcW w:w="2290" w:type="dxa"/>
            <w:vAlign w:val="center"/>
          </w:tcPr>
          <w:p w14:paraId="399D680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全封闭，洒水降尘</w:t>
            </w:r>
          </w:p>
        </w:tc>
        <w:tc>
          <w:tcPr>
            <w:tcW w:w="947" w:type="dxa"/>
            <w:vAlign w:val="center"/>
          </w:tcPr>
          <w:p w14:paraId="74EC08A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0.126</w:t>
            </w:r>
          </w:p>
        </w:tc>
        <w:tc>
          <w:tcPr>
            <w:tcW w:w="1096" w:type="dxa"/>
            <w:vAlign w:val="center"/>
          </w:tcPr>
          <w:p w14:paraId="5465E89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0.014</w:t>
            </w:r>
          </w:p>
        </w:tc>
      </w:tr>
      <w:tr w14:paraId="60BAD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3" w:type="dxa"/>
            <w:gridSpan w:val="2"/>
            <w:vMerge w:val="restart"/>
            <w:vAlign w:val="center"/>
          </w:tcPr>
          <w:p w14:paraId="5FAC4D2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总计</w:t>
            </w:r>
          </w:p>
        </w:tc>
        <w:tc>
          <w:tcPr>
            <w:tcW w:w="751" w:type="dxa"/>
            <w:vAlign w:val="center"/>
          </w:tcPr>
          <w:p w14:paraId="6495BB3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3</w:t>
            </w:r>
          </w:p>
        </w:tc>
        <w:tc>
          <w:tcPr>
            <w:tcW w:w="993" w:type="dxa"/>
            <w:vAlign w:val="center"/>
          </w:tcPr>
          <w:p w14:paraId="5F8F85FA">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30.863</w:t>
            </w:r>
          </w:p>
        </w:tc>
        <w:tc>
          <w:tcPr>
            <w:tcW w:w="1121" w:type="dxa"/>
            <w:vAlign w:val="center"/>
          </w:tcPr>
          <w:p w14:paraId="01DC505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2290" w:type="dxa"/>
            <w:vAlign w:val="center"/>
          </w:tcPr>
          <w:p w14:paraId="762BA4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947" w:type="dxa"/>
            <w:vAlign w:val="center"/>
          </w:tcPr>
          <w:p w14:paraId="24A201C4">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3.153</w:t>
            </w:r>
          </w:p>
        </w:tc>
        <w:tc>
          <w:tcPr>
            <w:tcW w:w="1096" w:type="dxa"/>
            <w:vAlign w:val="center"/>
          </w:tcPr>
          <w:p w14:paraId="130C09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r>
      <w:tr w14:paraId="61BE4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3" w:type="dxa"/>
            <w:gridSpan w:val="2"/>
            <w:vMerge w:val="continue"/>
            <w:vAlign w:val="center"/>
          </w:tcPr>
          <w:p w14:paraId="1631F1F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2FC97DD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14:textFill>
                  <w14:solidFill>
                    <w14:schemeClr w14:val="tx1"/>
                  </w14:solidFill>
                </w14:textFill>
              </w:rPr>
              <w:t>S</w:t>
            </w:r>
          </w:p>
        </w:tc>
        <w:tc>
          <w:tcPr>
            <w:tcW w:w="993" w:type="dxa"/>
            <w:vAlign w:val="center"/>
          </w:tcPr>
          <w:p w14:paraId="19CB63B0">
            <w:pPr>
              <w:spacing w:line="240" w:lineRule="auto"/>
              <w:jc w:val="cente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4.798</w:t>
            </w:r>
          </w:p>
        </w:tc>
        <w:tc>
          <w:tcPr>
            <w:tcW w:w="1121" w:type="dxa"/>
            <w:vAlign w:val="center"/>
          </w:tcPr>
          <w:p w14:paraId="4A06465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2290" w:type="dxa"/>
            <w:vAlign w:val="center"/>
          </w:tcPr>
          <w:p w14:paraId="321166F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947" w:type="dxa"/>
            <w:vAlign w:val="center"/>
          </w:tcPr>
          <w:p w14:paraId="25531874">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0.4846</w:t>
            </w:r>
          </w:p>
        </w:tc>
        <w:tc>
          <w:tcPr>
            <w:tcW w:w="1096" w:type="dxa"/>
            <w:vAlign w:val="center"/>
          </w:tcPr>
          <w:p w14:paraId="3753D13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r>
      <w:tr w14:paraId="2D333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3" w:type="dxa"/>
            <w:gridSpan w:val="2"/>
            <w:vMerge w:val="continue"/>
            <w:vAlign w:val="center"/>
          </w:tcPr>
          <w:p w14:paraId="1B7E89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707C34D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沼气</w:t>
            </w:r>
          </w:p>
        </w:tc>
        <w:tc>
          <w:tcPr>
            <w:tcW w:w="993" w:type="dxa"/>
            <w:vAlign w:val="center"/>
          </w:tcPr>
          <w:p w14:paraId="4108AABB">
            <w:pPr>
              <w:bidi w:val="0"/>
              <w:spacing w:line="240" w:lineRule="auto"/>
              <w:jc w:val="cente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1121" w:type="dxa"/>
            <w:vAlign w:val="center"/>
          </w:tcPr>
          <w:p w14:paraId="6D2BE941">
            <w:pPr>
              <w:bidi w:val="0"/>
              <w:spacing w:line="240" w:lineRule="auto"/>
              <w:jc w:val="center"/>
              <w:rPr>
                <w:rFonts w:hint="eastAsia" w:ascii="Times New Roman" w:hAnsi="Times New Roman" w:cs="Times New Roman"/>
                <w:b w:val="0"/>
                <w:bCs w:val="0"/>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c>
          <w:tcPr>
            <w:tcW w:w="2290" w:type="dxa"/>
            <w:vAlign w:val="center"/>
          </w:tcPr>
          <w:p w14:paraId="000B2A0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lang w:eastAsia="zh-TW"/>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947" w:type="dxa"/>
            <w:vAlign w:val="center"/>
          </w:tcPr>
          <w:p w14:paraId="5D4828A5">
            <w:pPr>
              <w:bidi w:val="0"/>
              <w:spacing w:line="240" w:lineRule="auto"/>
              <w:jc w:val="cente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1096" w:type="dxa"/>
            <w:vAlign w:val="center"/>
          </w:tcPr>
          <w:p w14:paraId="0C1CF8A1">
            <w:pPr>
              <w:bidi w:val="0"/>
              <w:spacing w:line="240" w:lineRule="auto"/>
              <w:jc w:val="center"/>
              <w:rPr>
                <w:rFonts w:hint="eastAsia" w:ascii="Times New Roman" w:hAnsi="Times New Roman" w:cs="Times New Roman"/>
                <w:b w:val="0"/>
                <w:bCs w:val="0"/>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r>
      <w:tr w14:paraId="2AD3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3" w:type="dxa"/>
            <w:gridSpan w:val="2"/>
            <w:vMerge w:val="continue"/>
            <w:vAlign w:val="center"/>
          </w:tcPr>
          <w:p w14:paraId="52687C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157B2C8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TSP</w:t>
            </w:r>
          </w:p>
        </w:tc>
        <w:tc>
          <w:tcPr>
            <w:tcW w:w="993" w:type="dxa"/>
            <w:vAlign w:val="center"/>
          </w:tcPr>
          <w:p w14:paraId="2EAE71C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0.63</w:t>
            </w:r>
          </w:p>
        </w:tc>
        <w:tc>
          <w:tcPr>
            <w:tcW w:w="1121" w:type="dxa"/>
            <w:vAlign w:val="center"/>
          </w:tcPr>
          <w:p w14:paraId="05BE6B9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0.072</w:t>
            </w:r>
          </w:p>
        </w:tc>
        <w:tc>
          <w:tcPr>
            <w:tcW w:w="2290" w:type="dxa"/>
            <w:vAlign w:val="center"/>
          </w:tcPr>
          <w:p w14:paraId="66FC9F7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947" w:type="dxa"/>
            <w:vAlign w:val="center"/>
          </w:tcPr>
          <w:p w14:paraId="543B3D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0.126</w:t>
            </w:r>
          </w:p>
        </w:tc>
        <w:tc>
          <w:tcPr>
            <w:tcW w:w="1096" w:type="dxa"/>
            <w:vAlign w:val="center"/>
          </w:tcPr>
          <w:p w14:paraId="353222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0.014</w:t>
            </w:r>
          </w:p>
        </w:tc>
      </w:tr>
    </w:tbl>
    <w:p w14:paraId="1FCC2DBB">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.10.2废水</w:t>
      </w:r>
      <w:bookmarkEnd w:id="145"/>
    </w:p>
    <w:p w14:paraId="1B928A1F">
      <w:p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废水产生情况</w:t>
      </w:r>
    </w:p>
    <w:p w14:paraId="1D5679A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本项目废水主要为</w:t>
      </w:r>
      <w:r>
        <w:rPr>
          <w:rFonts w:hint="eastAsia"/>
          <w:color w:val="000000" w:themeColor="text1"/>
          <w:highlight w:val="none"/>
          <w14:textFill>
            <w14:solidFill>
              <w14:schemeClr w14:val="tx1"/>
            </w14:solidFill>
          </w14:textFill>
        </w:rPr>
        <w:t>养殖废水（</w:t>
      </w:r>
      <w:r>
        <w:rPr>
          <w:color w:val="000000" w:themeColor="text1"/>
          <w:highlight w:val="none"/>
          <w14:textFill>
            <w14:solidFill>
              <w14:schemeClr w14:val="tx1"/>
            </w14:solidFill>
          </w14:textFill>
        </w:rPr>
        <w:t>猪尿、猪舍冲洗废水</w:t>
      </w:r>
      <w:r>
        <w:rPr>
          <w:rFonts w:hint="eastAsia"/>
          <w:color w:val="000000" w:themeColor="text1"/>
          <w:highlight w:val="none"/>
          <w14:textFill>
            <w14:solidFill>
              <w14:schemeClr w14:val="tx1"/>
            </w14:solidFill>
          </w14:textFill>
        </w:rPr>
        <w:t>、猪粪滤液）及职工</w:t>
      </w:r>
      <w:r>
        <w:rPr>
          <w:color w:val="000000" w:themeColor="text1"/>
          <w:highlight w:val="none"/>
          <w14:textFill>
            <w14:solidFill>
              <w14:schemeClr w14:val="tx1"/>
            </w14:solidFill>
          </w14:textFill>
        </w:rPr>
        <w:t>生活污水。</w:t>
      </w:r>
    </w:p>
    <w:p w14:paraId="67F306D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1）生活污水</w:t>
      </w:r>
    </w:p>
    <w:p w14:paraId="53077A7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本项目劳动定员</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人，年工作时间为3</w:t>
      </w:r>
      <w:r>
        <w:rPr>
          <w:rFonts w:hint="eastAsia"/>
          <w:color w:val="000000" w:themeColor="text1"/>
          <w:highlight w:val="none"/>
          <w:lang w:val="en-US" w:eastAsia="zh-CN"/>
          <w14:textFill>
            <w14:solidFill>
              <w14:schemeClr w14:val="tx1"/>
            </w14:solidFill>
          </w14:textFill>
        </w:rPr>
        <w:t>65</w:t>
      </w:r>
      <w:r>
        <w:rPr>
          <w:color w:val="000000" w:themeColor="text1"/>
          <w:highlight w:val="none"/>
          <w14:textFill>
            <w14:solidFill>
              <w14:schemeClr w14:val="tx1"/>
            </w14:solidFill>
          </w14:textFill>
        </w:rPr>
        <w:t>天，生活区内设置洗浴间，根据《</w:t>
      </w:r>
      <w:r>
        <w:rPr>
          <w:rFonts w:hint="eastAsia"/>
          <w:color w:val="000000" w:themeColor="text1"/>
          <w:highlight w:val="none"/>
          <w14:textFill>
            <w14:solidFill>
              <w14:schemeClr w14:val="tx1"/>
            </w14:solidFill>
          </w14:textFill>
        </w:rPr>
        <w:t>建筑给水排水设计标准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GB 50015-2019</w:t>
      </w:r>
      <w:r>
        <w:rPr>
          <w:color w:val="000000" w:themeColor="text1"/>
          <w:highlight w:val="none"/>
          <w14:textFill>
            <w14:solidFill>
              <w14:schemeClr w14:val="tx1"/>
            </w14:solidFill>
          </w14:textFill>
        </w:rPr>
        <w:t>），职工生活用水定额按120L/（人·d）计，则生活用水量为</w:t>
      </w:r>
      <w:r>
        <w:rPr>
          <w:rFonts w:hint="eastAsia"/>
          <w:color w:val="000000" w:themeColor="text1"/>
          <w:highlight w:val="none"/>
          <w:lang w:val="en-US" w:eastAsia="zh-CN"/>
          <w14:textFill>
            <w14:solidFill>
              <w14:schemeClr w14:val="tx1"/>
            </w14:solidFill>
          </w14:textFill>
        </w:rPr>
        <w:t>3.6</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lang w:val="en-US" w:eastAsia="zh-CN"/>
          <w14:textFill>
            <w14:solidFill>
              <w14:schemeClr w14:val="tx1"/>
            </w14:solidFill>
          </w14:textFill>
        </w:rPr>
        <w:t>1314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废水产生量按照用水量的80%计算，职工生活污水产生量为</w:t>
      </w:r>
      <w:r>
        <w:rPr>
          <w:rFonts w:hint="eastAsia"/>
          <w:color w:val="000000" w:themeColor="text1"/>
          <w:highlight w:val="none"/>
          <w:lang w:val="en-US" w:eastAsia="zh-CN"/>
          <w14:textFill>
            <w14:solidFill>
              <w14:schemeClr w14:val="tx1"/>
            </w14:solidFill>
          </w14:textFill>
        </w:rPr>
        <w:t>1051.2</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lang w:val="en-US" w:eastAsia="zh-CN"/>
          <w14:textFill>
            <w14:solidFill>
              <w14:schemeClr w14:val="tx1"/>
            </w14:solidFill>
          </w14:textFill>
        </w:rPr>
        <w:t>2.88</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类比同类型污水水质，本项目排放生活污水中主要污染物为</w:t>
      </w:r>
      <w:r>
        <w:rPr>
          <w:color w:val="000000" w:themeColor="text1"/>
          <w:highlight w:val="none"/>
          <w14:textFill>
            <w14:solidFill>
              <w14:schemeClr w14:val="tx1"/>
            </w14:solidFill>
          </w14:textFill>
        </w:rPr>
        <w:t>CODcr</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SS</w:t>
      </w:r>
      <w:r>
        <w:rPr>
          <w:rFonts w:hint="eastAsia"/>
          <w:color w:val="000000" w:themeColor="text1"/>
          <w:highlight w:val="none"/>
          <w14:textFill>
            <w14:solidFill>
              <w14:schemeClr w14:val="tx1"/>
            </w14:solidFill>
          </w14:textFill>
        </w:rPr>
        <w:t>，各污染物浓度分别为：</w:t>
      </w:r>
      <w:r>
        <w:rPr>
          <w:color w:val="000000" w:themeColor="text1"/>
          <w:highlight w:val="none"/>
          <w14:textFill>
            <w14:solidFill>
              <w14:schemeClr w14:val="tx1"/>
            </w14:solidFill>
          </w14:textFill>
        </w:rPr>
        <w:t>CODcr</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280mg/L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160mg/L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30mg/L</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SS</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200mg/L</w:t>
      </w:r>
      <w:r>
        <w:rPr>
          <w:rFonts w:hint="eastAsia"/>
          <w:color w:val="000000" w:themeColor="text1"/>
          <w:highlight w:val="none"/>
          <w14:textFill>
            <w14:solidFill>
              <w14:schemeClr w14:val="tx1"/>
            </w14:solidFill>
          </w14:textFill>
        </w:rPr>
        <w:t>。</w:t>
      </w:r>
    </w:p>
    <w:p w14:paraId="731B6A5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本项目产生的生活污水水质及污染物产生量详见表3.10-</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w:t>
      </w:r>
    </w:p>
    <w:p w14:paraId="672E68E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3.10-</w:t>
      </w:r>
      <w:r>
        <w:rPr>
          <w:rFonts w:hint="eastAsia"/>
          <w:b/>
          <w:bCs/>
          <w:color w:val="000000" w:themeColor="text1"/>
          <w:sz w:val="21"/>
          <w:szCs w:val="21"/>
          <w:highlight w:val="none"/>
          <w:lang w:val="en-US" w:eastAsia="zh-CN"/>
          <w14:textFill>
            <w14:solidFill>
              <w14:schemeClr w14:val="tx1"/>
            </w14:solidFill>
          </w14:textFill>
        </w:rPr>
        <w:t>9</w:t>
      </w:r>
      <w:r>
        <w:rPr>
          <w:b/>
          <w:bCs/>
          <w:color w:val="000000" w:themeColor="text1"/>
          <w:sz w:val="21"/>
          <w:szCs w:val="21"/>
          <w:highlight w:val="none"/>
          <w14:textFill>
            <w14:solidFill>
              <w14:schemeClr w14:val="tx1"/>
            </w14:solidFill>
          </w14:textFill>
        </w:rPr>
        <w:t xml:space="preserve">  本项目</w:t>
      </w:r>
      <w:r>
        <w:rPr>
          <w:rFonts w:hint="eastAsia"/>
          <w:b/>
          <w:bCs/>
          <w:color w:val="000000" w:themeColor="text1"/>
          <w:sz w:val="21"/>
          <w:szCs w:val="21"/>
          <w:highlight w:val="none"/>
          <w14:textFill>
            <w14:solidFill>
              <w14:schemeClr w14:val="tx1"/>
            </w14:solidFill>
          </w14:textFill>
        </w:rPr>
        <w:t>生活污水</w:t>
      </w:r>
      <w:r>
        <w:rPr>
          <w:b/>
          <w:bCs/>
          <w:color w:val="000000" w:themeColor="text1"/>
          <w:sz w:val="21"/>
          <w:szCs w:val="21"/>
          <w:highlight w:val="none"/>
          <w14:textFill>
            <w14:solidFill>
              <w14:schemeClr w14:val="tx1"/>
            </w14:solidFill>
          </w14:textFill>
        </w:rPr>
        <w:t>水质及污染物产生量一览表</w:t>
      </w:r>
    </w:p>
    <w:tbl>
      <w:tblPr>
        <w:tblStyle w:val="34"/>
        <w:tblW w:w="48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4"/>
        <w:gridCol w:w="1433"/>
        <w:gridCol w:w="1416"/>
        <w:gridCol w:w="1418"/>
        <w:gridCol w:w="1418"/>
        <w:gridCol w:w="1178"/>
      </w:tblGrid>
      <w:tr w14:paraId="6C564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pct"/>
            <w:vAlign w:val="center"/>
          </w:tcPr>
          <w:p w14:paraId="2DCA366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污水产生量m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/a</w:t>
            </w:r>
          </w:p>
        </w:tc>
        <w:tc>
          <w:tcPr>
            <w:tcW w:w="865" w:type="pct"/>
            <w:vAlign w:val="center"/>
          </w:tcPr>
          <w:p w14:paraId="34126920">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w:t>
            </w:r>
          </w:p>
        </w:tc>
        <w:tc>
          <w:tcPr>
            <w:tcW w:w="855" w:type="pct"/>
            <w:vAlign w:val="center"/>
          </w:tcPr>
          <w:p w14:paraId="68CE29A1">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CODcr</w:t>
            </w:r>
          </w:p>
        </w:tc>
        <w:tc>
          <w:tcPr>
            <w:tcW w:w="856" w:type="pct"/>
            <w:vAlign w:val="center"/>
          </w:tcPr>
          <w:p w14:paraId="32582F36">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BOD</w:t>
            </w:r>
            <w:r>
              <w:rPr>
                <w:rFonts w:hint="eastAsia"/>
                <w:b/>
                <w:bCs/>
                <w:color w:val="000000" w:themeColor="text1"/>
                <w:sz w:val="21"/>
                <w:szCs w:val="21"/>
                <w:highlight w:val="none"/>
                <w:vertAlign w:val="subscript"/>
                <w14:textFill>
                  <w14:solidFill>
                    <w14:schemeClr w14:val="tx1"/>
                  </w14:solidFill>
                </w14:textFill>
              </w:rPr>
              <w:t>5</w:t>
            </w:r>
          </w:p>
        </w:tc>
        <w:tc>
          <w:tcPr>
            <w:tcW w:w="856" w:type="pct"/>
            <w:vAlign w:val="center"/>
          </w:tcPr>
          <w:p w14:paraId="34E3F9F0">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NH</w:t>
            </w:r>
            <w:r>
              <w:rPr>
                <w:rFonts w:hint="eastAsia"/>
                <w:b/>
                <w:bCs/>
                <w:color w:val="000000" w:themeColor="text1"/>
                <w:sz w:val="21"/>
                <w:szCs w:val="21"/>
                <w:highlight w:val="none"/>
                <w:vertAlign w:val="subscript"/>
                <w14:textFill>
                  <w14:solidFill>
                    <w14:schemeClr w14:val="tx1"/>
                  </w14:solidFill>
                </w14:textFill>
              </w:rPr>
              <w:t>3</w:t>
            </w:r>
            <w:r>
              <w:rPr>
                <w:rFonts w:hint="eastAsia"/>
                <w:b/>
                <w:bCs/>
                <w:color w:val="000000" w:themeColor="text1"/>
                <w:sz w:val="21"/>
                <w:szCs w:val="21"/>
                <w:highlight w:val="none"/>
                <w14:textFill>
                  <w14:solidFill>
                    <w14:schemeClr w14:val="tx1"/>
                  </w14:solidFill>
                </w14:textFill>
              </w:rPr>
              <w:t>-N</w:t>
            </w:r>
          </w:p>
        </w:tc>
        <w:tc>
          <w:tcPr>
            <w:tcW w:w="711" w:type="pct"/>
            <w:vAlign w:val="center"/>
          </w:tcPr>
          <w:p w14:paraId="3BAD59A7">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SS</w:t>
            </w:r>
          </w:p>
        </w:tc>
      </w:tr>
      <w:tr w14:paraId="0D3A2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54" w:type="pct"/>
            <w:vMerge w:val="restart"/>
            <w:vAlign w:val="center"/>
          </w:tcPr>
          <w:p w14:paraId="145BF195">
            <w:pPr>
              <w:spacing w:line="240" w:lineRule="auto"/>
              <w:jc w:val="center"/>
              <w:rPr>
                <w:color w:val="000000" w:themeColor="text1"/>
                <w:sz w:val="21"/>
                <w:szCs w:val="21"/>
                <w:highlight w:val="none"/>
                <w14:textFill>
                  <w14:solidFill>
                    <w14:schemeClr w14:val="tx1"/>
                  </w14:solidFill>
                </w14:textFill>
              </w:rPr>
            </w:pPr>
            <w:r>
              <w:rPr>
                <w:rFonts w:hint="eastAsia" w:eastAsia="宋体" w:cs="宋体"/>
                <w:color w:val="000000" w:themeColor="text1"/>
                <w:sz w:val="21"/>
                <w:szCs w:val="21"/>
                <w:highlight w:val="none"/>
                <w:lang w:val="en-US" w:eastAsia="zh-CN"/>
                <w14:textFill>
                  <w14:solidFill>
                    <w14:schemeClr w14:val="tx1"/>
                  </w14:solidFill>
                </w14:textFill>
              </w:rPr>
              <w:t>1051.2</w:t>
            </w:r>
          </w:p>
        </w:tc>
        <w:tc>
          <w:tcPr>
            <w:tcW w:w="865" w:type="pct"/>
            <w:vAlign w:val="center"/>
          </w:tcPr>
          <w:p w14:paraId="35F04D0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污染物浓度（mg/L）</w:t>
            </w:r>
          </w:p>
        </w:tc>
        <w:tc>
          <w:tcPr>
            <w:tcW w:w="855" w:type="pct"/>
            <w:vAlign w:val="center"/>
          </w:tcPr>
          <w:p w14:paraId="39EC951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280</w:t>
            </w:r>
          </w:p>
        </w:tc>
        <w:tc>
          <w:tcPr>
            <w:tcW w:w="856" w:type="pct"/>
            <w:vAlign w:val="center"/>
          </w:tcPr>
          <w:p w14:paraId="5C770B0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160</w:t>
            </w:r>
          </w:p>
        </w:tc>
        <w:tc>
          <w:tcPr>
            <w:tcW w:w="856" w:type="pct"/>
            <w:vAlign w:val="center"/>
          </w:tcPr>
          <w:p w14:paraId="00718C8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w:t>
            </w:r>
          </w:p>
        </w:tc>
        <w:tc>
          <w:tcPr>
            <w:tcW w:w="711" w:type="pct"/>
            <w:vAlign w:val="center"/>
          </w:tcPr>
          <w:p w14:paraId="47DED88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200</w:t>
            </w:r>
          </w:p>
        </w:tc>
      </w:tr>
      <w:tr w14:paraId="2752D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854" w:type="pct"/>
            <w:vMerge w:val="continue"/>
            <w:vAlign w:val="center"/>
          </w:tcPr>
          <w:p w14:paraId="3B1DF2E7">
            <w:pPr>
              <w:spacing w:line="240" w:lineRule="auto"/>
              <w:jc w:val="center"/>
              <w:rPr>
                <w:color w:val="000000" w:themeColor="text1"/>
                <w:sz w:val="21"/>
                <w:szCs w:val="21"/>
                <w:highlight w:val="none"/>
                <w14:textFill>
                  <w14:solidFill>
                    <w14:schemeClr w14:val="tx1"/>
                  </w14:solidFill>
                </w14:textFill>
              </w:rPr>
            </w:pPr>
          </w:p>
        </w:tc>
        <w:tc>
          <w:tcPr>
            <w:tcW w:w="865" w:type="pct"/>
            <w:vAlign w:val="center"/>
          </w:tcPr>
          <w:p w14:paraId="4220729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产生量t/a</w:t>
            </w:r>
          </w:p>
        </w:tc>
        <w:tc>
          <w:tcPr>
            <w:tcW w:w="855" w:type="pct"/>
            <w:vAlign w:val="center"/>
          </w:tcPr>
          <w:p w14:paraId="13B99E11">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0.294</w:t>
            </w:r>
          </w:p>
        </w:tc>
        <w:tc>
          <w:tcPr>
            <w:tcW w:w="856" w:type="pct"/>
            <w:vAlign w:val="center"/>
          </w:tcPr>
          <w:p w14:paraId="2FE27E05">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0.168</w:t>
            </w:r>
          </w:p>
        </w:tc>
        <w:tc>
          <w:tcPr>
            <w:tcW w:w="856" w:type="pct"/>
            <w:vAlign w:val="center"/>
          </w:tcPr>
          <w:p w14:paraId="29298E10">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0.032</w:t>
            </w:r>
          </w:p>
        </w:tc>
        <w:tc>
          <w:tcPr>
            <w:tcW w:w="711" w:type="pct"/>
            <w:vAlign w:val="center"/>
          </w:tcPr>
          <w:p w14:paraId="2C8F7D1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0.210</w:t>
            </w:r>
          </w:p>
        </w:tc>
      </w:tr>
    </w:tbl>
    <w:p w14:paraId="2C4EF1AF">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2）养殖废水</w:t>
      </w:r>
    </w:p>
    <w:p w14:paraId="25FB8C74">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根据分析，养殖废水主要为养殖场地冲洗废水和猪尿，废水中含少量的粪便，导致水中的污染物</w:t>
      </w:r>
      <w:r>
        <w:rPr>
          <w:color w:val="000000" w:themeColor="text1"/>
          <w:highlight w:val="none"/>
          <w14:textFill>
            <w14:solidFill>
              <w14:schemeClr w14:val="tx1"/>
            </w14:solidFill>
          </w14:textFill>
        </w:rPr>
        <w:t>CODcr</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BOD</w:t>
      </w:r>
      <w:r>
        <w:rPr>
          <w:color w:val="000000" w:themeColor="text1"/>
          <w:highlight w:val="none"/>
          <w:vertAlign w:val="subscript"/>
          <w14:textFill>
            <w14:solidFill>
              <w14:schemeClr w14:val="tx1"/>
            </w14:solidFill>
          </w14:textFill>
        </w:rPr>
        <w:t>5</w:t>
      </w:r>
      <w:r>
        <w:rPr>
          <w:rFonts w:hint="eastAsia"/>
          <w:color w:val="000000" w:themeColor="text1"/>
          <w:highlight w:val="none"/>
          <w14:textFill>
            <w14:solidFill>
              <w14:schemeClr w14:val="tx1"/>
            </w14:solidFill>
          </w14:textFill>
        </w:rPr>
        <w:t>、氨氮和磷酸盐等含量较高，随意排放会造成土壤和地下水一定程度的污染。</w:t>
      </w:r>
    </w:p>
    <w:p w14:paraId="3FAC49E5">
      <w:pPr>
        <w:ind w:firstLine="480" w:firstLineChars="200"/>
        <w:rPr>
          <w:color w:val="000000" w:themeColor="text1"/>
          <w:highlight w:val="none"/>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本项目</w:t>
      </w:r>
      <w:r>
        <w:rPr>
          <w:rFonts w:ascii="Times New Roman" w:hAnsi="Times New Roman" w:eastAsia="宋体" w:cs="宋体"/>
          <w:b w:val="0"/>
          <w:bCs w:val="0"/>
          <w:color w:val="000000" w:themeColor="text1"/>
          <w:kern w:val="0"/>
          <w:szCs w:val="24"/>
          <w:highlight w:val="none"/>
          <w14:textFill>
            <w14:solidFill>
              <w14:schemeClr w14:val="tx1"/>
            </w14:solidFill>
          </w14:textFill>
        </w:rPr>
        <w:t>猪尿液</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产生量为</w:t>
      </w:r>
      <w:r>
        <w:rPr>
          <w:rFonts w:hint="eastAsia" w:cs="宋体"/>
          <w:b w:val="0"/>
          <w:bCs w:val="0"/>
          <w:color w:val="000000" w:themeColor="text1"/>
          <w:kern w:val="0"/>
          <w:szCs w:val="24"/>
          <w:highlight w:val="none"/>
          <w:lang w:val="en-US" w:eastAsia="zh-CN"/>
          <w14:textFill>
            <w14:solidFill>
              <w14:schemeClr w14:val="tx1"/>
            </w14:solidFill>
          </w14:textFill>
        </w:rPr>
        <w:t>26668.5</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/a，猪粪滤液产生量</w:t>
      </w:r>
      <w:r>
        <w:rPr>
          <w:rFonts w:hint="eastAsia" w:cs="宋体"/>
          <w:b w:val="0"/>
          <w:bCs w:val="0"/>
          <w:color w:val="000000" w:themeColor="text1"/>
          <w:kern w:val="0"/>
          <w:szCs w:val="24"/>
          <w:highlight w:val="none"/>
          <w:lang w:eastAsia="zh-CN"/>
          <w14:textFill>
            <w14:solidFill>
              <w14:schemeClr w14:val="tx1"/>
            </w14:solidFill>
          </w14:textFill>
        </w:rPr>
        <w:t>为</w:t>
      </w:r>
      <w:r>
        <w:rPr>
          <w:rFonts w:hint="eastAsia" w:cs="宋体"/>
          <w:b w:val="0"/>
          <w:bCs w:val="0"/>
          <w:color w:val="000000" w:themeColor="text1"/>
          <w:kern w:val="0"/>
          <w:szCs w:val="24"/>
          <w:highlight w:val="none"/>
          <w:lang w:val="en-US" w:eastAsia="zh-CN"/>
          <w14:textFill>
            <w14:solidFill>
              <w14:schemeClr w14:val="tx1"/>
            </w14:solidFill>
          </w14:textFill>
        </w:rPr>
        <w:t>2254.99</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，猪舍冲洗废水</w:t>
      </w:r>
      <w:r>
        <w:rPr>
          <w:rFonts w:hint="eastAsia" w:cs="宋体"/>
          <w:b w:val="0"/>
          <w:bCs w:val="0"/>
          <w:color w:val="000000" w:themeColor="text1"/>
          <w:kern w:val="0"/>
          <w:szCs w:val="24"/>
          <w:highlight w:val="none"/>
          <w:lang w:eastAsia="zh-CN"/>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14892</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分娩设备清洗消毒废水</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产生量</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为553.70m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/a</w:t>
      </w:r>
      <w:r>
        <w:rPr>
          <w:rFonts w:hint="eastAsia"/>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 </w:t>
      </w:r>
      <w:r>
        <w:rPr>
          <w:rFonts w:hint="eastAsia" w:cs="宋体"/>
          <w:b w:val="0"/>
          <w:bCs w:val="0"/>
          <w:color w:val="000000" w:themeColor="text1"/>
          <w:kern w:val="0"/>
          <w:szCs w:val="24"/>
          <w:highlight w:val="none"/>
          <w:lang w:val="en-US" w:eastAsia="zh-CN"/>
          <w14:textFill>
            <w14:solidFill>
              <w14:schemeClr w14:val="tx1"/>
            </w14:solidFill>
          </w14:textFill>
        </w:rPr>
        <w:t>则</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养殖废水量</w:t>
      </w:r>
      <w:r>
        <w:rPr>
          <w:rFonts w:hint="eastAsia"/>
          <w:color w:val="000000" w:themeColor="text1"/>
          <w:highlight w:val="none"/>
          <w:lang w:val="en-US" w:eastAsia="zh-CN"/>
          <w14:textFill>
            <w14:solidFill>
              <w14:schemeClr w14:val="tx1"/>
            </w14:solidFill>
          </w14:textFill>
        </w:rPr>
        <w:t>为44369.19m</w:t>
      </w:r>
      <w:r>
        <w:rPr>
          <w:rFonts w:hint="eastAsia"/>
          <w:color w:val="000000" w:themeColor="text1"/>
          <w:highlight w:val="none"/>
          <w:vertAlign w:val="superscript"/>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/a。采</w:t>
      </w:r>
      <w:r>
        <w:rPr>
          <w:rFonts w:hint="eastAsia"/>
          <w:color w:val="000000" w:themeColor="text1"/>
          <w:highlight w:val="none"/>
          <w14:textFill>
            <w14:solidFill>
              <w14:schemeClr w14:val="tx1"/>
            </w14:solidFill>
          </w14:textFill>
        </w:rPr>
        <w:t>用干清粪工艺，则养殖废水水质浓度参考《畜禽养殖业污染治理工程技术规范》（</w:t>
      </w:r>
      <w:r>
        <w:rPr>
          <w:color w:val="000000" w:themeColor="text1"/>
          <w:highlight w:val="none"/>
          <w14:textFill>
            <w14:solidFill>
              <w14:schemeClr w14:val="tx1"/>
            </w14:solidFill>
          </w14:textFill>
        </w:rPr>
        <w:t>HJ 497-2009</w:t>
      </w:r>
      <w:r>
        <w:rPr>
          <w:rFonts w:hint="eastAsia"/>
          <w:color w:val="000000" w:themeColor="text1"/>
          <w:highlight w:val="none"/>
          <w14:textFill>
            <w14:solidFill>
              <w14:schemeClr w14:val="tx1"/>
            </w14:solidFill>
          </w14:textFill>
        </w:rPr>
        <w:t>）附录</w:t>
      </w:r>
      <w:r>
        <w:rPr>
          <w:color w:val="000000" w:themeColor="text1"/>
          <w:highlight w:val="none"/>
          <w14:textFill>
            <w14:solidFill>
              <w14:schemeClr w14:val="tx1"/>
            </w14:solidFill>
          </w14:textFill>
        </w:rPr>
        <w:t>A</w:t>
      </w:r>
      <w:r>
        <w:rPr>
          <w:rFonts w:hint="eastAsia"/>
          <w:color w:val="000000" w:themeColor="text1"/>
          <w:highlight w:val="none"/>
          <w14:textFill>
            <w14:solidFill>
              <w14:schemeClr w14:val="tx1"/>
            </w14:solidFill>
          </w14:textFill>
        </w:rPr>
        <w:t>中“表</w:t>
      </w:r>
      <w:r>
        <w:rPr>
          <w:color w:val="000000" w:themeColor="text1"/>
          <w:highlight w:val="none"/>
          <w14:textFill>
            <w14:solidFill>
              <w14:schemeClr w14:val="tx1"/>
            </w14:solidFill>
          </w14:textFill>
        </w:rPr>
        <w:t>A.1</w:t>
      </w:r>
      <w:r>
        <w:rPr>
          <w:rFonts w:hint="eastAsia"/>
          <w:color w:val="000000" w:themeColor="text1"/>
          <w:highlight w:val="none"/>
          <w14:textFill>
            <w14:solidFill>
              <w14:schemeClr w14:val="tx1"/>
            </w14:solidFill>
          </w14:textFill>
        </w:rPr>
        <w:t>畜禽养殖场废水中的污染物质量浓度和</w:t>
      </w:r>
      <w:r>
        <w:rPr>
          <w:color w:val="000000" w:themeColor="text1"/>
          <w:highlight w:val="none"/>
          <w14:textFill>
            <w14:solidFill>
              <w14:schemeClr w14:val="tx1"/>
            </w14:solidFill>
          </w14:textFill>
        </w:rPr>
        <w:t>pH</w:t>
      </w:r>
      <w:r>
        <w:rPr>
          <w:rFonts w:hint="eastAsia"/>
          <w:color w:val="000000" w:themeColor="text1"/>
          <w:highlight w:val="none"/>
          <w14:textFill>
            <w14:solidFill>
              <w14:schemeClr w14:val="tx1"/>
            </w14:solidFill>
          </w14:textFill>
        </w:rPr>
        <w:t>值”参考数据，并类比同项目已投入运营的养殖场废水水质。</w:t>
      </w:r>
    </w:p>
    <w:p w14:paraId="1ADABECE">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本项目产生的养殖废水水质及污染物产生量详见表3.10-</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w:t>
      </w:r>
    </w:p>
    <w:p w14:paraId="00DFF24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.10-</w:t>
      </w:r>
      <w:r>
        <w:rPr>
          <w:rFonts w:hint="eastAsia"/>
          <w:b/>
          <w:bCs/>
          <w:color w:val="000000" w:themeColor="text1"/>
          <w:sz w:val="21"/>
          <w:szCs w:val="21"/>
          <w:highlight w:val="none"/>
          <w:lang w:val="en-US" w:eastAsia="zh-CN"/>
          <w14:textFill>
            <w14:solidFill>
              <w14:schemeClr w14:val="tx1"/>
            </w14:solidFill>
          </w14:textFill>
        </w:rPr>
        <w:t>10</w:t>
      </w:r>
      <w:r>
        <w:rPr>
          <w:b/>
          <w:bCs/>
          <w:color w:val="000000" w:themeColor="text1"/>
          <w:sz w:val="21"/>
          <w:szCs w:val="21"/>
          <w:highlight w:val="none"/>
          <w14:textFill>
            <w14:solidFill>
              <w14:schemeClr w14:val="tx1"/>
            </w14:solidFill>
          </w14:textFill>
        </w:rPr>
        <w:t xml:space="preserve">  本项目养殖废水水质及污染物产生量一览表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328"/>
        <w:gridCol w:w="879"/>
        <w:gridCol w:w="978"/>
        <w:gridCol w:w="1079"/>
        <w:gridCol w:w="1061"/>
        <w:gridCol w:w="889"/>
        <w:gridCol w:w="941"/>
      </w:tblGrid>
      <w:tr w14:paraId="13C5E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35" w:type="dxa"/>
            <w:vAlign w:val="center"/>
          </w:tcPr>
          <w:p w14:paraId="0487A47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污水产生量m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/a</w:t>
            </w:r>
          </w:p>
        </w:tc>
        <w:tc>
          <w:tcPr>
            <w:tcW w:w="1328" w:type="dxa"/>
            <w:vAlign w:val="center"/>
          </w:tcPr>
          <w:p w14:paraId="4A84AFBC">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w:t>
            </w:r>
          </w:p>
        </w:tc>
        <w:tc>
          <w:tcPr>
            <w:tcW w:w="879" w:type="dxa"/>
            <w:vAlign w:val="center"/>
          </w:tcPr>
          <w:p w14:paraId="790D0E94">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CODcr</w:t>
            </w:r>
          </w:p>
        </w:tc>
        <w:tc>
          <w:tcPr>
            <w:tcW w:w="978" w:type="dxa"/>
            <w:vAlign w:val="center"/>
          </w:tcPr>
          <w:p w14:paraId="3ECA8E18">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BOD</w:t>
            </w:r>
            <w:r>
              <w:rPr>
                <w:rFonts w:hint="eastAsia"/>
                <w:b/>
                <w:bCs/>
                <w:color w:val="000000" w:themeColor="text1"/>
                <w:sz w:val="21"/>
                <w:szCs w:val="21"/>
                <w:highlight w:val="none"/>
                <w:vertAlign w:val="subscript"/>
                <w14:textFill>
                  <w14:solidFill>
                    <w14:schemeClr w14:val="tx1"/>
                  </w14:solidFill>
                </w14:textFill>
              </w:rPr>
              <w:t>5</w:t>
            </w:r>
          </w:p>
        </w:tc>
        <w:tc>
          <w:tcPr>
            <w:tcW w:w="1079" w:type="dxa"/>
            <w:vAlign w:val="center"/>
          </w:tcPr>
          <w:p w14:paraId="639A6773">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NH</w:t>
            </w:r>
            <w:r>
              <w:rPr>
                <w:rFonts w:hint="eastAsia"/>
                <w:b/>
                <w:bCs/>
                <w:color w:val="000000" w:themeColor="text1"/>
                <w:sz w:val="21"/>
                <w:szCs w:val="21"/>
                <w:highlight w:val="none"/>
                <w:vertAlign w:val="subscript"/>
                <w14:textFill>
                  <w14:solidFill>
                    <w14:schemeClr w14:val="tx1"/>
                  </w14:solidFill>
                </w14:textFill>
              </w:rPr>
              <w:t>3</w:t>
            </w:r>
            <w:r>
              <w:rPr>
                <w:rFonts w:hint="eastAsia"/>
                <w:b/>
                <w:bCs/>
                <w:color w:val="000000" w:themeColor="text1"/>
                <w:sz w:val="21"/>
                <w:szCs w:val="21"/>
                <w:highlight w:val="none"/>
                <w14:textFill>
                  <w14:solidFill>
                    <w14:schemeClr w14:val="tx1"/>
                  </w14:solidFill>
                </w14:textFill>
              </w:rPr>
              <w:t>-N</w:t>
            </w:r>
          </w:p>
        </w:tc>
        <w:tc>
          <w:tcPr>
            <w:tcW w:w="1061" w:type="dxa"/>
            <w:vAlign w:val="center"/>
          </w:tcPr>
          <w:p w14:paraId="2D77FF59">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SS</w:t>
            </w:r>
          </w:p>
        </w:tc>
        <w:tc>
          <w:tcPr>
            <w:tcW w:w="889" w:type="dxa"/>
            <w:vAlign w:val="center"/>
          </w:tcPr>
          <w:p w14:paraId="2D9DCA8D">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TP</w:t>
            </w:r>
          </w:p>
        </w:tc>
        <w:tc>
          <w:tcPr>
            <w:tcW w:w="941" w:type="dxa"/>
            <w:vAlign w:val="center"/>
          </w:tcPr>
          <w:p w14:paraId="2D865272">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TN</w:t>
            </w:r>
          </w:p>
        </w:tc>
      </w:tr>
      <w:tr w14:paraId="1C188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1135" w:type="dxa"/>
            <w:vMerge w:val="restart"/>
            <w:vAlign w:val="center"/>
          </w:tcPr>
          <w:p w14:paraId="2141F2C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bookmarkStart w:id="146" w:name="OLE_LINK5"/>
            <w:r>
              <w:rPr>
                <w:rFonts w:hint="eastAsia" w:cs="宋体"/>
                <w:b w:val="0"/>
                <w:bCs w:val="0"/>
                <w:color w:val="000000" w:themeColor="text1"/>
                <w:kern w:val="0"/>
                <w:sz w:val="21"/>
                <w:szCs w:val="21"/>
                <w:highlight w:val="none"/>
                <w:lang w:val="en-US" w:eastAsia="zh-CN"/>
                <w14:textFill>
                  <w14:solidFill>
                    <w14:schemeClr w14:val="tx1"/>
                  </w14:solidFill>
                </w14:textFill>
              </w:rPr>
              <w:t>44369.19</w:t>
            </w:r>
            <w:bookmarkEnd w:id="146"/>
          </w:p>
        </w:tc>
        <w:tc>
          <w:tcPr>
            <w:tcW w:w="1328" w:type="dxa"/>
            <w:vAlign w:val="center"/>
          </w:tcPr>
          <w:p w14:paraId="1D7CC612">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污染物浓度（mg/L）</w:t>
            </w:r>
          </w:p>
        </w:tc>
        <w:tc>
          <w:tcPr>
            <w:tcW w:w="879" w:type="dxa"/>
            <w:vAlign w:val="center"/>
          </w:tcPr>
          <w:p w14:paraId="4DCE4593">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2640</w:t>
            </w:r>
          </w:p>
        </w:tc>
        <w:tc>
          <w:tcPr>
            <w:tcW w:w="978" w:type="dxa"/>
            <w:vAlign w:val="center"/>
          </w:tcPr>
          <w:p w14:paraId="3D71EC20">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800</w:t>
            </w:r>
          </w:p>
        </w:tc>
        <w:tc>
          <w:tcPr>
            <w:tcW w:w="1079" w:type="dxa"/>
            <w:vAlign w:val="center"/>
          </w:tcPr>
          <w:p w14:paraId="6B13A5BC">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261</w:t>
            </w:r>
          </w:p>
        </w:tc>
        <w:tc>
          <w:tcPr>
            <w:tcW w:w="1061" w:type="dxa"/>
            <w:vAlign w:val="center"/>
          </w:tcPr>
          <w:p w14:paraId="3D9667E2">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800</w:t>
            </w:r>
          </w:p>
        </w:tc>
        <w:tc>
          <w:tcPr>
            <w:tcW w:w="889" w:type="dxa"/>
            <w:vAlign w:val="center"/>
          </w:tcPr>
          <w:p w14:paraId="7B08B976">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43.5</w:t>
            </w:r>
          </w:p>
        </w:tc>
        <w:tc>
          <w:tcPr>
            <w:tcW w:w="941" w:type="dxa"/>
            <w:vAlign w:val="center"/>
          </w:tcPr>
          <w:p w14:paraId="23A9F2BC">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370</w:t>
            </w:r>
          </w:p>
        </w:tc>
      </w:tr>
      <w:tr w14:paraId="6BC0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135" w:type="dxa"/>
            <w:vMerge w:val="continue"/>
            <w:vAlign w:val="center"/>
          </w:tcPr>
          <w:p w14:paraId="3892F69A">
            <w:pPr>
              <w:spacing w:line="240" w:lineRule="auto"/>
              <w:jc w:val="center"/>
              <w:rPr>
                <w:color w:val="000000" w:themeColor="text1"/>
                <w:sz w:val="21"/>
                <w:szCs w:val="21"/>
                <w:highlight w:val="none"/>
                <w14:textFill>
                  <w14:solidFill>
                    <w14:schemeClr w14:val="tx1"/>
                  </w14:solidFill>
                </w14:textFill>
              </w:rPr>
            </w:pPr>
          </w:p>
        </w:tc>
        <w:tc>
          <w:tcPr>
            <w:tcW w:w="1328" w:type="dxa"/>
            <w:vAlign w:val="center"/>
          </w:tcPr>
          <w:p w14:paraId="0BA790A8">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产生量t/a</w:t>
            </w:r>
          </w:p>
        </w:tc>
        <w:tc>
          <w:tcPr>
            <w:tcW w:w="879" w:type="dxa"/>
            <w:vAlign w:val="center"/>
          </w:tcPr>
          <w:p w14:paraId="54C49198">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117.13</w:t>
            </w:r>
          </w:p>
        </w:tc>
        <w:tc>
          <w:tcPr>
            <w:tcW w:w="978" w:type="dxa"/>
            <w:vAlign w:val="center"/>
          </w:tcPr>
          <w:p w14:paraId="3E9AAF48">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35.50</w:t>
            </w:r>
          </w:p>
        </w:tc>
        <w:tc>
          <w:tcPr>
            <w:tcW w:w="1079" w:type="dxa"/>
            <w:vAlign w:val="center"/>
          </w:tcPr>
          <w:p w14:paraId="7E2B5EB8">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11.58</w:t>
            </w:r>
          </w:p>
        </w:tc>
        <w:tc>
          <w:tcPr>
            <w:tcW w:w="1061" w:type="dxa"/>
            <w:vAlign w:val="center"/>
          </w:tcPr>
          <w:p w14:paraId="5ABEB01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35.50</w:t>
            </w:r>
          </w:p>
        </w:tc>
        <w:tc>
          <w:tcPr>
            <w:tcW w:w="889" w:type="dxa"/>
            <w:vAlign w:val="center"/>
          </w:tcPr>
          <w:p w14:paraId="5ED6AB91">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1.93</w:t>
            </w:r>
          </w:p>
        </w:tc>
        <w:tc>
          <w:tcPr>
            <w:tcW w:w="941" w:type="dxa"/>
            <w:vAlign w:val="center"/>
          </w:tcPr>
          <w:p w14:paraId="6C147904">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16.42</w:t>
            </w:r>
          </w:p>
        </w:tc>
      </w:tr>
    </w:tbl>
    <w:p w14:paraId="69B0729A">
      <w:pPr>
        <w:bidi w:val="0"/>
        <w:ind w:firstLine="480" w:firstLineChars="200"/>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Cs w:val="24"/>
          <w:highlight w:val="none"/>
          <w:shd w:val="clear" w:color="auto" w:fill="auto"/>
          <w:lang w:val="en-US" w:eastAsia="zh-CN"/>
          <w14:textFill>
            <w14:solidFill>
              <w14:schemeClr w14:val="tx1"/>
            </w14:solidFill>
          </w14:textFill>
        </w:rPr>
        <w:t>综上，本项目产生的废水主要包括养殖废水和生活污水，其中养殖废水主要为猪尿、猪粪滤液及猪舍冲洗废水。</w:t>
      </w:r>
      <w:r>
        <w:rPr>
          <w:rFonts w:hint="eastAsia"/>
          <w:color w:val="000000" w:themeColor="text1"/>
          <w:highlight w:val="none"/>
          <w:lang w:val="en-US" w:eastAsia="zh-CN"/>
          <w14:textFill>
            <w14:solidFill>
              <w14:schemeClr w14:val="tx1"/>
            </w14:solidFill>
          </w14:textFill>
        </w:rPr>
        <w:t>废水污染物产生及排放情况汇总见下表：</w:t>
      </w:r>
    </w:p>
    <w:p w14:paraId="56CC2A37">
      <w:pPr>
        <w:keepNext w:val="0"/>
        <w:keepLines w:val="0"/>
        <w:pageBreakBefore w:val="0"/>
        <w:widowControl/>
        <w:kinsoku/>
        <w:wordWrap/>
        <w:overflowPunct/>
        <w:topLinePunct w:val="0"/>
        <w:autoSpaceDE/>
        <w:autoSpaceDN/>
        <w:bidi w:val="0"/>
        <w:adjustRightInd/>
        <w:snapToGrid w:val="0"/>
        <w:spacing w:line="240" w:lineRule="auto"/>
        <w:ind w:firstLine="422" w:firstLineChars="200"/>
        <w:jc w:val="center"/>
        <w:textAlignment w:val="auto"/>
        <w:rPr>
          <w:rFonts w:hint="eastAsia" w:ascii="Times New Roman" w:hAnsi="Times New Roman" w:eastAsia="宋体" w:cs="Times New Roman"/>
          <w:b/>
          <w:bCs w:val="0"/>
          <w:color w:val="000000" w:themeColor="text1"/>
          <w:kern w:val="0"/>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val="0"/>
          <w:color w:val="000000" w:themeColor="text1"/>
          <w:kern w:val="0"/>
          <w:sz w:val="21"/>
          <w:szCs w:val="21"/>
          <w:highlight w:val="none"/>
          <w:shd w:val="clear" w:color="auto" w:fill="auto"/>
          <w:lang w:val="en-US" w:eastAsia="zh-CN"/>
          <w14:textFill>
            <w14:solidFill>
              <w14:schemeClr w14:val="tx1"/>
            </w14:solidFill>
          </w14:textFill>
        </w:rPr>
        <w:t>表3.10-11  本项目废水水质及污染物产生量一览表</w:t>
      </w:r>
    </w:p>
    <w:tbl>
      <w:tblPr>
        <w:tblStyle w:val="33"/>
        <w:tblW w:w="5099" w:type="pct"/>
        <w:tblInd w:w="0" w:type="dxa"/>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Layout w:type="autofit"/>
        <w:tblCellMar>
          <w:top w:w="0" w:type="dxa"/>
          <w:left w:w="0" w:type="dxa"/>
          <w:bottom w:w="0" w:type="dxa"/>
          <w:right w:w="0" w:type="dxa"/>
        </w:tblCellMar>
      </w:tblPr>
      <w:tblGrid>
        <w:gridCol w:w="890"/>
        <w:gridCol w:w="685"/>
        <w:gridCol w:w="1181"/>
        <w:gridCol w:w="1538"/>
        <w:gridCol w:w="674"/>
        <w:gridCol w:w="633"/>
        <w:gridCol w:w="628"/>
        <w:gridCol w:w="640"/>
        <w:gridCol w:w="806"/>
        <w:gridCol w:w="806"/>
      </w:tblGrid>
      <w:tr w14:paraId="78755CA5">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542" w:type="pct"/>
            <w:tcBorders>
              <w:bottom w:val="single" w:color="auto" w:sz="4" w:space="0"/>
              <w:right w:val="single" w:color="auto" w:sz="4" w:space="0"/>
            </w:tcBorders>
            <w:vAlign w:val="center"/>
          </w:tcPr>
          <w:p w14:paraId="49773301">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产生区域</w:t>
            </w:r>
          </w:p>
        </w:tc>
        <w:tc>
          <w:tcPr>
            <w:tcW w:w="421" w:type="pct"/>
            <w:tcBorders>
              <w:left w:val="single" w:color="auto" w:sz="4" w:space="0"/>
              <w:bottom w:val="single" w:color="auto" w:sz="4" w:space="0"/>
              <w:right w:val="single" w:color="auto" w:sz="4" w:space="0"/>
            </w:tcBorders>
            <w:vAlign w:val="center"/>
          </w:tcPr>
          <w:p w14:paraId="7CA50697">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污染源</w:t>
            </w:r>
          </w:p>
        </w:tc>
        <w:tc>
          <w:tcPr>
            <w:tcW w:w="541" w:type="pct"/>
            <w:tcBorders>
              <w:left w:val="single" w:color="auto" w:sz="4" w:space="0"/>
              <w:bottom w:val="single" w:color="auto" w:sz="4" w:space="0"/>
              <w:right w:val="single" w:color="auto" w:sz="4" w:space="0"/>
            </w:tcBorders>
            <w:vAlign w:val="center"/>
          </w:tcPr>
          <w:p w14:paraId="269E0CBA">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废水</w:t>
            </w:r>
            <w:r>
              <w:rPr>
                <w:rFonts w:ascii="Times New Roman" w:hAnsi="Times New Roman" w:eastAsia="宋体" w:cs="Times New Roman"/>
                <w:b/>
                <w:bCs/>
                <w:color w:val="000000" w:themeColor="text1"/>
                <w:kern w:val="0"/>
                <w:sz w:val="21"/>
                <w:szCs w:val="21"/>
                <w:highlight w:val="none"/>
                <w14:textFill>
                  <w14:solidFill>
                    <w14:schemeClr w14:val="tx1"/>
                  </w14:solidFill>
                </w14:textFill>
              </w:rPr>
              <w:t>量</w:t>
            </w:r>
          </w:p>
        </w:tc>
        <w:tc>
          <w:tcPr>
            <w:tcW w:w="923" w:type="pct"/>
            <w:tcBorders>
              <w:left w:val="single" w:color="auto" w:sz="4" w:space="0"/>
              <w:bottom w:val="single" w:color="auto" w:sz="4" w:space="0"/>
              <w:right w:val="single" w:color="auto" w:sz="4" w:space="0"/>
            </w:tcBorders>
            <w:vAlign w:val="center"/>
          </w:tcPr>
          <w:p w14:paraId="04072F03">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bCs/>
                <w:color w:val="000000" w:themeColor="text1"/>
                <w:kern w:val="0"/>
                <w:sz w:val="21"/>
                <w:szCs w:val="21"/>
                <w:highlight w:val="none"/>
                <w14:textFill>
                  <w14:solidFill>
                    <w14:schemeClr w14:val="tx1"/>
                  </w14:solidFill>
                </w14:textFill>
              </w:rPr>
              <w:t>产生情况</w:t>
            </w:r>
          </w:p>
        </w:tc>
        <w:tc>
          <w:tcPr>
            <w:tcW w:w="414" w:type="pct"/>
            <w:tcBorders>
              <w:left w:val="single" w:color="auto" w:sz="4" w:space="0"/>
              <w:bottom w:val="single" w:color="auto" w:sz="4" w:space="0"/>
              <w:right w:val="single" w:color="auto" w:sz="4" w:space="0"/>
            </w:tcBorders>
            <w:vAlign w:val="center"/>
          </w:tcPr>
          <w:p w14:paraId="71BD8A27">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14:textFill>
                  <w14:solidFill>
                    <w14:schemeClr w14:val="tx1"/>
                  </w14:solidFill>
                </w14:textFill>
              </w:rPr>
              <w:t>COD</w:t>
            </w:r>
            <w:r>
              <w:rPr>
                <w:rFonts w:ascii="Times New Roman" w:hAnsi="Times New Roman" w:eastAsia="宋体" w:cs="Times New Roman"/>
                <w:b/>
                <w:bCs/>
                <w:color w:val="000000" w:themeColor="text1"/>
                <w:kern w:val="0"/>
                <w:sz w:val="21"/>
                <w:szCs w:val="21"/>
                <w:highlight w:val="none"/>
                <w:vertAlign w:val="subscript"/>
                <w14:textFill>
                  <w14:solidFill>
                    <w14:schemeClr w14:val="tx1"/>
                  </w14:solidFill>
                </w14:textFill>
              </w:rPr>
              <w:t>Cr</w:t>
            </w:r>
          </w:p>
        </w:tc>
        <w:tc>
          <w:tcPr>
            <w:tcW w:w="390" w:type="pct"/>
            <w:tcBorders>
              <w:left w:val="single" w:color="auto" w:sz="4" w:space="0"/>
              <w:bottom w:val="single" w:color="auto" w:sz="4" w:space="0"/>
              <w:right w:val="single" w:color="auto" w:sz="4" w:space="0"/>
            </w:tcBorders>
            <w:vAlign w:val="center"/>
          </w:tcPr>
          <w:p w14:paraId="304A64D2">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14:textFill>
                  <w14:solidFill>
                    <w14:schemeClr w14:val="tx1"/>
                  </w14:solidFill>
                </w14:textFill>
              </w:rPr>
              <w:t>BOD</w:t>
            </w:r>
            <w:r>
              <w:rPr>
                <w:rFonts w:ascii="Times New Roman" w:hAnsi="Times New Roman" w:eastAsia="宋体" w:cs="Times New Roman"/>
                <w:b/>
                <w:bCs/>
                <w:color w:val="000000" w:themeColor="text1"/>
                <w:kern w:val="0"/>
                <w:sz w:val="21"/>
                <w:szCs w:val="21"/>
                <w:highlight w:val="none"/>
                <w:vertAlign w:val="subscript"/>
                <w14:textFill>
                  <w14:solidFill>
                    <w14:schemeClr w14:val="tx1"/>
                  </w14:solidFill>
                </w14:textFill>
              </w:rPr>
              <w:t>5</w:t>
            </w:r>
          </w:p>
        </w:tc>
        <w:tc>
          <w:tcPr>
            <w:tcW w:w="387" w:type="pct"/>
            <w:tcBorders>
              <w:left w:val="single" w:color="auto" w:sz="4" w:space="0"/>
              <w:bottom w:val="single" w:color="auto" w:sz="4" w:space="0"/>
              <w:right w:val="single" w:color="auto" w:sz="4" w:space="0"/>
            </w:tcBorders>
            <w:vAlign w:val="center"/>
          </w:tcPr>
          <w:p w14:paraId="094C4323">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14:textFill>
                  <w14:solidFill>
                    <w14:schemeClr w14:val="tx1"/>
                  </w14:solidFill>
                </w14:textFill>
              </w:rPr>
              <w:t>NH</w:t>
            </w:r>
            <w:r>
              <w:rPr>
                <w:rFonts w:ascii="Times New Roman" w:hAnsi="Times New Roman" w:eastAsia="宋体" w:cs="Times New Roman"/>
                <w:b/>
                <w:bCs/>
                <w:color w:val="000000" w:themeColor="text1"/>
                <w:kern w:val="0"/>
                <w:sz w:val="21"/>
                <w:szCs w:val="21"/>
                <w:highlight w:val="none"/>
                <w:vertAlign w:val="subscript"/>
                <w14:textFill>
                  <w14:solidFill>
                    <w14:schemeClr w14:val="tx1"/>
                  </w14:solidFill>
                </w14:textFill>
              </w:rPr>
              <w:t>3</w:t>
            </w:r>
            <w:r>
              <w:rPr>
                <w:rFonts w:ascii="Times New Roman" w:hAnsi="Times New Roman" w:eastAsia="宋体" w:cs="Times New Roman"/>
                <w:b/>
                <w:bCs/>
                <w:color w:val="000000" w:themeColor="text1"/>
                <w:kern w:val="0"/>
                <w:sz w:val="21"/>
                <w:szCs w:val="21"/>
                <w:highlight w:val="none"/>
                <w14:textFill>
                  <w14:solidFill>
                    <w14:schemeClr w14:val="tx1"/>
                  </w14:solidFill>
                </w14:textFill>
              </w:rPr>
              <w:t>-N</w:t>
            </w:r>
          </w:p>
        </w:tc>
        <w:tc>
          <w:tcPr>
            <w:tcW w:w="394" w:type="pct"/>
            <w:tcBorders>
              <w:left w:val="single" w:color="auto" w:sz="4" w:space="0"/>
              <w:bottom w:val="single" w:color="auto" w:sz="4" w:space="0"/>
              <w:right w:val="single" w:color="auto" w:sz="4" w:space="0"/>
            </w:tcBorders>
            <w:vAlign w:val="center"/>
          </w:tcPr>
          <w:p w14:paraId="6C8313B5">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14:textFill>
                  <w14:solidFill>
                    <w14:schemeClr w14:val="tx1"/>
                  </w14:solidFill>
                </w14:textFill>
              </w:rPr>
              <w:t>SS</w:t>
            </w:r>
          </w:p>
        </w:tc>
        <w:tc>
          <w:tcPr>
            <w:tcW w:w="492" w:type="pct"/>
            <w:tcBorders>
              <w:left w:val="single" w:color="auto" w:sz="4" w:space="0"/>
              <w:bottom w:val="single" w:color="auto" w:sz="4" w:space="0"/>
              <w:right w:val="single" w:color="auto" w:sz="4" w:space="0"/>
            </w:tcBorders>
            <w:vAlign w:val="center"/>
          </w:tcPr>
          <w:p w14:paraId="6235EFA7">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14:textFill>
                  <w14:solidFill>
                    <w14:schemeClr w14:val="tx1"/>
                  </w14:solidFill>
                </w14:textFill>
              </w:rPr>
              <w:t>TP</w:t>
            </w:r>
          </w:p>
        </w:tc>
        <w:tc>
          <w:tcPr>
            <w:tcW w:w="492" w:type="pct"/>
            <w:tcBorders>
              <w:left w:val="single" w:color="auto" w:sz="4" w:space="0"/>
              <w:bottom w:val="single" w:color="auto" w:sz="4" w:space="0"/>
            </w:tcBorders>
            <w:vAlign w:val="center"/>
          </w:tcPr>
          <w:p w14:paraId="0A4FAC1E">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ascii="Times New Roman" w:hAnsi="Times New Roman" w:eastAsia="宋体" w:cs="Times New Roman"/>
                <w:b/>
                <w:bCs/>
                <w:color w:val="000000" w:themeColor="text1"/>
                <w:kern w:val="0"/>
                <w:sz w:val="21"/>
                <w:szCs w:val="21"/>
                <w:highlight w:val="none"/>
                <w14:textFill>
                  <w14:solidFill>
                    <w14:schemeClr w14:val="tx1"/>
                  </w14:solidFill>
                </w14:textFill>
              </w:rPr>
              <w:t>TN</w:t>
            </w:r>
          </w:p>
        </w:tc>
      </w:tr>
      <w:tr w14:paraId="691AB62D">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890" w:type="dxa"/>
            <w:vMerge w:val="restart"/>
            <w:tcBorders>
              <w:top w:val="single" w:color="auto" w:sz="4" w:space="0"/>
              <w:bottom w:val="single" w:color="auto" w:sz="4" w:space="0"/>
              <w:right w:val="single" w:color="auto" w:sz="4" w:space="0"/>
            </w:tcBorders>
            <w:vAlign w:val="center"/>
          </w:tcPr>
          <w:p w14:paraId="0F468904">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养殖区</w:t>
            </w:r>
          </w:p>
        </w:tc>
        <w:tc>
          <w:tcPr>
            <w:tcW w:w="685" w:type="dxa"/>
            <w:vMerge w:val="restart"/>
            <w:tcBorders>
              <w:top w:val="single" w:color="auto" w:sz="4" w:space="0"/>
              <w:left w:val="single" w:color="auto" w:sz="4" w:space="0"/>
              <w:bottom w:val="single" w:color="auto" w:sz="4" w:space="0"/>
              <w:right w:val="single" w:color="auto" w:sz="4" w:space="0"/>
            </w:tcBorders>
            <w:vAlign w:val="center"/>
          </w:tcPr>
          <w:p w14:paraId="26F2896A">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养殖废水</w:t>
            </w:r>
          </w:p>
        </w:tc>
        <w:tc>
          <w:tcPr>
            <w:tcW w:w="1181" w:type="dxa"/>
            <w:vMerge w:val="restart"/>
            <w:tcBorders>
              <w:top w:val="single" w:color="auto" w:sz="4" w:space="0"/>
              <w:left w:val="single" w:color="auto" w:sz="4" w:space="0"/>
              <w:bottom w:val="single" w:color="auto" w:sz="4" w:space="0"/>
              <w:right w:val="single" w:color="auto" w:sz="4" w:space="0"/>
            </w:tcBorders>
            <w:vAlign w:val="center"/>
          </w:tcPr>
          <w:p w14:paraId="249923C6">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44369.19</w:t>
            </w: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m</w:t>
            </w:r>
            <w:r>
              <w:rPr>
                <w:rFonts w:ascii="Times New Roman" w:hAnsi="Times New Roman" w:eastAsia="宋体" w:cs="Times New Roman"/>
                <w:b w:val="0"/>
                <w:bCs w:val="0"/>
                <w:color w:val="000000" w:themeColor="text1"/>
                <w:kern w:val="0"/>
                <w:sz w:val="21"/>
                <w:szCs w:val="21"/>
                <w:highlight w:val="none"/>
                <w:vertAlign w:val="superscript"/>
                <w14:textFill>
                  <w14:solidFill>
                    <w14:schemeClr w14:val="tx1"/>
                  </w14:solidFill>
                </w14:textFill>
              </w:rPr>
              <w:t>3</w:t>
            </w: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/a</w:t>
            </w:r>
          </w:p>
        </w:tc>
        <w:tc>
          <w:tcPr>
            <w:tcW w:w="1538" w:type="dxa"/>
            <w:tcBorders>
              <w:top w:val="single" w:color="auto" w:sz="4" w:space="0"/>
              <w:left w:val="single" w:color="auto" w:sz="4" w:space="0"/>
              <w:bottom w:val="single" w:color="auto" w:sz="4" w:space="0"/>
              <w:right w:val="single" w:color="auto" w:sz="4" w:space="0"/>
            </w:tcBorders>
            <w:vAlign w:val="center"/>
          </w:tcPr>
          <w:p w14:paraId="625C54BB">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产生</w:t>
            </w: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浓度（mg/L）</w:t>
            </w:r>
          </w:p>
        </w:tc>
        <w:tc>
          <w:tcPr>
            <w:tcW w:w="674" w:type="dxa"/>
            <w:tcBorders>
              <w:top w:val="single" w:color="auto" w:sz="4" w:space="0"/>
              <w:left w:val="single" w:color="auto" w:sz="4" w:space="0"/>
              <w:bottom w:val="single" w:color="auto" w:sz="4" w:space="0"/>
              <w:right w:val="single" w:color="auto" w:sz="4" w:space="0"/>
            </w:tcBorders>
            <w:vAlign w:val="center"/>
          </w:tcPr>
          <w:p w14:paraId="264ED820">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640</w:t>
            </w:r>
          </w:p>
        </w:tc>
        <w:tc>
          <w:tcPr>
            <w:tcW w:w="633" w:type="dxa"/>
            <w:tcBorders>
              <w:top w:val="single" w:color="auto" w:sz="4" w:space="0"/>
              <w:left w:val="single" w:color="auto" w:sz="4" w:space="0"/>
              <w:bottom w:val="single" w:color="auto" w:sz="4" w:space="0"/>
              <w:right w:val="single" w:color="auto" w:sz="4" w:space="0"/>
            </w:tcBorders>
            <w:vAlign w:val="center"/>
          </w:tcPr>
          <w:p w14:paraId="4D942D4D">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800</w:t>
            </w:r>
          </w:p>
        </w:tc>
        <w:tc>
          <w:tcPr>
            <w:tcW w:w="628" w:type="dxa"/>
            <w:tcBorders>
              <w:top w:val="single" w:color="auto" w:sz="4" w:space="0"/>
              <w:left w:val="single" w:color="auto" w:sz="4" w:space="0"/>
              <w:bottom w:val="single" w:color="auto" w:sz="4" w:space="0"/>
              <w:right w:val="single" w:color="auto" w:sz="4" w:space="0"/>
            </w:tcBorders>
            <w:vAlign w:val="center"/>
          </w:tcPr>
          <w:p w14:paraId="53215611">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261</w:t>
            </w:r>
          </w:p>
        </w:tc>
        <w:tc>
          <w:tcPr>
            <w:tcW w:w="640" w:type="dxa"/>
            <w:tcBorders>
              <w:top w:val="single" w:color="auto" w:sz="4" w:space="0"/>
              <w:left w:val="single" w:color="auto" w:sz="4" w:space="0"/>
              <w:bottom w:val="single" w:color="auto" w:sz="4" w:space="0"/>
              <w:right w:val="single" w:color="auto" w:sz="4" w:space="0"/>
            </w:tcBorders>
            <w:vAlign w:val="center"/>
          </w:tcPr>
          <w:p w14:paraId="79C98ED1">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8</w:t>
            </w: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00</w:t>
            </w:r>
          </w:p>
        </w:tc>
        <w:tc>
          <w:tcPr>
            <w:tcW w:w="806" w:type="dxa"/>
            <w:tcBorders>
              <w:top w:val="single" w:color="auto" w:sz="4" w:space="0"/>
              <w:left w:val="single" w:color="auto" w:sz="4" w:space="0"/>
              <w:bottom w:val="single" w:color="auto" w:sz="4" w:space="0"/>
              <w:right w:val="single" w:color="auto" w:sz="4" w:space="0"/>
            </w:tcBorders>
            <w:vAlign w:val="center"/>
          </w:tcPr>
          <w:p w14:paraId="2E162544">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43.5</w:t>
            </w:r>
          </w:p>
        </w:tc>
        <w:tc>
          <w:tcPr>
            <w:tcW w:w="806" w:type="dxa"/>
            <w:tcBorders>
              <w:top w:val="single" w:color="auto" w:sz="4" w:space="0"/>
              <w:left w:val="single" w:color="auto" w:sz="4" w:space="0"/>
              <w:bottom w:val="single" w:color="auto" w:sz="4" w:space="0"/>
            </w:tcBorders>
            <w:vAlign w:val="center"/>
          </w:tcPr>
          <w:p w14:paraId="7DB9591C">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370</w:t>
            </w:r>
          </w:p>
        </w:tc>
      </w:tr>
      <w:tr w14:paraId="69237CF0">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890" w:type="dxa"/>
            <w:vMerge w:val="continue"/>
            <w:tcBorders>
              <w:top w:val="single" w:color="auto" w:sz="4" w:space="0"/>
              <w:bottom w:val="single" w:color="auto" w:sz="4" w:space="0"/>
              <w:right w:val="single" w:color="auto" w:sz="4" w:space="0"/>
            </w:tcBorders>
            <w:vAlign w:val="center"/>
          </w:tcPr>
          <w:p w14:paraId="6FCCA648">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bookmarkStart w:id="147" w:name="OLE_LINK6" w:colFirst="4" w:colLast="9"/>
          </w:p>
        </w:tc>
        <w:tc>
          <w:tcPr>
            <w:tcW w:w="685" w:type="dxa"/>
            <w:vMerge w:val="continue"/>
            <w:tcBorders>
              <w:top w:val="single" w:color="auto" w:sz="4" w:space="0"/>
              <w:left w:val="single" w:color="auto" w:sz="4" w:space="0"/>
              <w:bottom w:val="single" w:color="auto" w:sz="4" w:space="0"/>
              <w:right w:val="single" w:color="auto" w:sz="4" w:space="0"/>
            </w:tcBorders>
            <w:vAlign w:val="center"/>
          </w:tcPr>
          <w:p w14:paraId="2EFE80EC">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p>
        </w:tc>
        <w:tc>
          <w:tcPr>
            <w:tcW w:w="1181" w:type="dxa"/>
            <w:vMerge w:val="continue"/>
            <w:tcBorders>
              <w:top w:val="single" w:color="auto" w:sz="4" w:space="0"/>
              <w:left w:val="single" w:color="auto" w:sz="4" w:space="0"/>
              <w:bottom w:val="single" w:color="auto" w:sz="4" w:space="0"/>
              <w:right w:val="single" w:color="auto" w:sz="4" w:space="0"/>
            </w:tcBorders>
            <w:vAlign w:val="center"/>
          </w:tcPr>
          <w:p w14:paraId="6F14FCC7">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538" w:type="dxa"/>
            <w:tcBorders>
              <w:top w:val="single" w:color="auto" w:sz="4" w:space="0"/>
              <w:left w:val="single" w:color="auto" w:sz="4" w:space="0"/>
              <w:bottom w:val="single" w:color="auto" w:sz="4" w:space="0"/>
              <w:right w:val="single" w:color="auto" w:sz="4" w:space="0"/>
            </w:tcBorders>
            <w:vAlign w:val="center"/>
          </w:tcPr>
          <w:p w14:paraId="1038815C">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产生量（t/a）</w:t>
            </w:r>
          </w:p>
        </w:tc>
        <w:tc>
          <w:tcPr>
            <w:tcW w:w="703" w:type="dxa"/>
            <w:tcBorders>
              <w:top w:val="single" w:color="auto" w:sz="4" w:space="0"/>
              <w:left w:val="single" w:color="auto" w:sz="4" w:space="0"/>
              <w:bottom w:val="single" w:color="auto" w:sz="4" w:space="0"/>
              <w:right w:val="single" w:color="auto" w:sz="4" w:space="0"/>
            </w:tcBorders>
            <w:vAlign w:val="center"/>
          </w:tcPr>
          <w:p w14:paraId="2572CAB0">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117.13</w:t>
            </w:r>
          </w:p>
        </w:tc>
        <w:tc>
          <w:tcPr>
            <w:tcW w:w="662" w:type="dxa"/>
            <w:tcBorders>
              <w:top w:val="single" w:color="auto" w:sz="4" w:space="0"/>
              <w:left w:val="single" w:color="auto" w:sz="4" w:space="0"/>
              <w:bottom w:val="single" w:color="auto" w:sz="4" w:space="0"/>
              <w:right w:val="single" w:color="auto" w:sz="4" w:space="0"/>
            </w:tcBorders>
            <w:vAlign w:val="center"/>
          </w:tcPr>
          <w:p w14:paraId="2E932676">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35.50 </w:t>
            </w:r>
          </w:p>
        </w:tc>
        <w:tc>
          <w:tcPr>
            <w:tcW w:w="657" w:type="dxa"/>
            <w:tcBorders>
              <w:top w:val="single" w:color="auto" w:sz="4" w:space="0"/>
              <w:left w:val="single" w:color="auto" w:sz="4" w:space="0"/>
              <w:bottom w:val="single" w:color="auto" w:sz="4" w:space="0"/>
              <w:right w:val="single" w:color="auto" w:sz="4" w:space="0"/>
            </w:tcBorders>
            <w:vAlign w:val="center"/>
          </w:tcPr>
          <w:p w14:paraId="6C6C99E4">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11.58 </w:t>
            </w:r>
          </w:p>
        </w:tc>
        <w:tc>
          <w:tcPr>
            <w:tcW w:w="669" w:type="dxa"/>
            <w:tcBorders>
              <w:top w:val="single" w:color="auto" w:sz="4" w:space="0"/>
              <w:left w:val="single" w:color="auto" w:sz="4" w:space="0"/>
              <w:bottom w:val="single" w:color="auto" w:sz="4" w:space="0"/>
              <w:right w:val="single" w:color="auto" w:sz="4" w:space="0"/>
            </w:tcBorders>
            <w:vAlign w:val="center"/>
          </w:tcPr>
          <w:p w14:paraId="78C1014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35.50 </w:t>
            </w:r>
          </w:p>
        </w:tc>
        <w:tc>
          <w:tcPr>
            <w:tcW w:w="835" w:type="dxa"/>
            <w:tcBorders>
              <w:top w:val="single" w:color="auto" w:sz="4" w:space="0"/>
              <w:left w:val="single" w:color="auto" w:sz="4" w:space="0"/>
              <w:bottom w:val="single" w:color="auto" w:sz="4" w:space="0"/>
              <w:right w:val="single" w:color="auto" w:sz="4" w:space="0"/>
            </w:tcBorders>
            <w:vAlign w:val="center"/>
          </w:tcPr>
          <w:p w14:paraId="0E0FB23B">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1.93 </w:t>
            </w:r>
          </w:p>
        </w:tc>
        <w:tc>
          <w:tcPr>
            <w:tcW w:w="835" w:type="dxa"/>
            <w:tcBorders>
              <w:top w:val="single" w:color="auto" w:sz="4" w:space="0"/>
              <w:left w:val="single" w:color="auto" w:sz="4" w:space="0"/>
              <w:bottom w:val="single" w:color="auto" w:sz="4" w:space="0"/>
            </w:tcBorders>
            <w:vAlign w:val="center"/>
          </w:tcPr>
          <w:p w14:paraId="1EAB6704">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16.42 </w:t>
            </w:r>
          </w:p>
        </w:tc>
      </w:tr>
      <w:bookmarkEnd w:id="147"/>
      <w:tr w14:paraId="4C509778">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890" w:type="dxa"/>
            <w:vMerge w:val="restart"/>
            <w:tcBorders>
              <w:top w:val="single" w:color="auto" w:sz="4" w:space="0"/>
              <w:bottom w:val="single" w:color="auto" w:sz="4" w:space="0"/>
              <w:right w:val="single" w:color="auto" w:sz="4" w:space="0"/>
            </w:tcBorders>
            <w:vAlign w:val="center"/>
          </w:tcPr>
          <w:p w14:paraId="05905E25">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生活区</w:t>
            </w:r>
          </w:p>
        </w:tc>
        <w:tc>
          <w:tcPr>
            <w:tcW w:w="685" w:type="dxa"/>
            <w:vMerge w:val="restart"/>
            <w:tcBorders>
              <w:top w:val="single" w:color="auto" w:sz="4" w:space="0"/>
              <w:left w:val="single" w:color="auto" w:sz="4" w:space="0"/>
              <w:bottom w:val="single" w:color="auto" w:sz="4" w:space="0"/>
              <w:right w:val="single" w:color="auto" w:sz="4" w:space="0"/>
            </w:tcBorders>
            <w:vAlign w:val="center"/>
          </w:tcPr>
          <w:p w14:paraId="16C0330C">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生活污水</w:t>
            </w:r>
          </w:p>
        </w:tc>
        <w:tc>
          <w:tcPr>
            <w:tcW w:w="1181" w:type="dxa"/>
            <w:vMerge w:val="restart"/>
            <w:tcBorders>
              <w:top w:val="single" w:color="auto" w:sz="4" w:space="0"/>
              <w:left w:val="single" w:color="auto" w:sz="4" w:space="0"/>
              <w:bottom w:val="single" w:color="auto" w:sz="4" w:space="0"/>
              <w:right w:val="single" w:color="auto" w:sz="4" w:space="0"/>
            </w:tcBorders>
            <w:vAlign w:val="center"/>
          </w:tcPr>
          <w:p w14:paraId="080713B6">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eastAsia" w:eastAsia="宋体" w:cs="宋体"/>
                <w:color w:val="000000" w:themeColor="text1"/>
                <w:sz w:val="21"/>
                <w:szCs w:val="21"/>
                <w:highlight w:val="none"/>
                <w:lang w:val="en-US" w:eastAsia="zh-CN"/>
                <w14:textFill>
                  <w14:solidFill>
                    <w14:schemeClr w14:val="tx1"/>
                  </w14:solidFill>
                </w14:textFill>
              </w:rPr>
              <w:t>1051.2</w:t>
            </w: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m</w:t>
            </w:r>
            <w:r>
              <w:rPr>
                <w:rFonts w:ascii="Times New Roman" w:hAnsi="Times New Roman" w:eastAsia="宋体" w:cs="Times New Roman"/>
                <w:b w:val="0"/>
                <w:bCs w:val="0"/>
                <w:color w:val="000000" w:themeColor="text1"/>
                <w:kern w:val="0"/>
                <w:sz w:val="21"/>
                <w:szCs w:val="21"/>
                <w:highlight w:val="none"/>
                <w:vertAlign w:val="superscript"/>
                <w14:textFill>
                  <w14:solidFill>
                    <w14:schemeClr w14:val="tx1"/>
                  </w14:solidFill>
                </w14:textFill>
              </w:rPr>
              <w:t>3</w:t>
            </w: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/a</w:t>
            </w:r>
          </w:p>
        </w:tc>
        <w:tc>
          <w:tcPr>
            <w:tcW w:w="1538" w:type="dxa"/>
            <w:tcBorders>
              <w:top w:val="single" w:color="auto" w:sz="4" w:space="0"/>
              <w:left w:val="single" w:color="auto" w:sz="4" w:space="0"/>
              <w:bottom w:val="single" w:color="auto" w:sz="4" w:space="0"/>
              <w:right w:val="single" w:color="auto" w:sz="4" w:space="0"/>
            </w:tcBorders>
            <w:vAlign w:val="center"/>
          </w:tcPr>
          <w:p w14:paraId="65BA55BA">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产生浓度（mg/L）</w:t>
            </w:r>
          </w:p>
        </w:tc>
        <w:tc>
          <w:tcPr>
            <w:tcW w:w="674" w:type="dxa"/>
            <w:tcBorders>
              <w:top w:val="single" w:color="auto" w:sz="4" w:space="0"/>
              <w:left w:val="single" w:color="auto" w:sz="4" w:space="0"/>
              <w:bottom w:val="single" w:color="auto" w:sz="4" w:space="0"/>
              <w:right w:val="single" w:color="auto" w:sz="4" w:space="0"/>
            </w:tcBorders>
            <w:vAlign w:val="center"/>
          </w:tcPr>
          <w:p w14:paraId="795DBB38">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280</w:t>
            </w:r>
          </w:p>
        </w:tc>
        <w:tc>
          <w:tcPr>
            <w:tcW w:w="633" w:type="dxa"/>
            <w:tcBorders>
              <w:top w:val="single" w:color="auto" w:sz="4" w:space="0"/>
              <w:left w:val="single" w:color="auto" w:sz="4" w:space="0"/>
              <w:bottom w:val="single" w:color="auto" w:sz="4" w:space="0"/>
              <w:right w:val="single" w:color="auto" w:sz="4" w:space="0"/>
            </w:tcBorders>
            <w:vAlign w:val="center"/>
          </w:tcPr>
          <w:p w14:paraId="17A7A1CC">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160</w:t>
            </w:r>
          </w:p>
        </w:tc>
        <w:tc>
          <w:tcPr>
            <w:tcW w:w="628" w:type="dxa"/>
            <w:tcBorders>
              <w:top w:val="single" w:color="auto" w:sz="4" w:space="0"/>
              <w:left w:val="single" w:color="auto" w:sz="4" w:space="0"/>
              <w:bottom w:val="single" w:color="auto" w:sz="4" w:space="0"/>
              <w:right w:val="single" w:color="auto" w:sz="4" w:space="0"/>
            </w:tcBorders>
            <w:vAlign w:val="center"/>
          </w:tcPr>
          <w:p w14:paraId="043EEA99">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30</w:t>
            </w:r>
          </w:p>
        </w:tc>
        <w:tc>
          <w:tcPr>
            <w:tcW w:w="640" w:type="dxa"/>
            <w:tcBorders>
              <w:top w:val="single" w:color="auto" w:sz="4" w:space="0"/>
              <w:left w:val="single" w:color="auto" w:sz="4" w:space="0"/>
              <w:bottom w:val="single" w:color="auto" w:sz="4" w:space="0"/>
              <w:right w:val="single" w:color="auto" w:sz="4" w:space="0"/>
            </w:tcBorders>
            <w:vAlign w:val="center"/>
          </w:tcPr>
          <w:p w14:paraId="41BBBF97">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200</w:t>
            </w:r>
          </w:p>
        </w:tc>
        <w:tc>
          <w:tcPr>
            <w:tcW w:w="806" w:type="dxa"/>
            <w:tcBorders>
              <w:top w:val="single" w:color="auto" w:sz="4" w:space="0"/>
              <w:left w:val="single" w:color="auto" w:sz="4" w:space="0"/>
              <w:bottom w:val="single" w:color="auto" w:sz="4" w:space="0"/>
              <w:right w:val="single" w:color="auto" w:sz="4" w:space="0"/>
            </w:tcBorders>
            <w:vAlign w:val="center"/>
          </w:tcPr>
          <w:p w14:paraId="495B894B">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w:t>
            </w:r>
          </w:p>
        </w:tc>
        <w:tc>
          <w:tcPr>
            <w:tcW w:w="806" w:type="dxa"/>
            <w:tcBorders>
              <w:top w:val="single" w:color="auto" w:sz="4" w:space="0"/>
              <w:left w:val="single" w:color="auto" w:sz="4" w:space="0"/>
              <w:bottom w:val="single" w:color="auto" w:sz="4" w:space="0"/>
            </w:tcBorders>
            <w:vAlign w:val="center"/>
          </w:tcPr>
          <w:p w14:paraId="17A4DC24">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w:t>
            </w:r>
          </w:p>
        </w:tc>
      </w:tr>
      <w:tr w14:paraId="4682F7E2">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890" w:type="dxa"/>
            <w:vMerge w:val="continue"/>
            <w:tcBorders>
              <w:top w:val="single" w:color="auto" w:sz="4" w:space="0"/>
              <w:bottom w:val="single" w:color="auto" w:sz="4" w:space="0"/>
              <w:right w:val="single" w:color="auto" w:sz="4" w:space="0"/>
            </w:tcBorders>
            <w:vAlign w:val="center"/>
          </w:tcPr>
          <w:p w14:paraId="75D43118">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685" w:type="dxa"/>
            <w:vMerge w:val="continue"/>
            <w:tcBorders>
              <w:top w:val="single" w:color="auto" w:sz="4" w:space="0"/>
              <w:left w:val="single" w:color="auto" w:sz="4" w:space="0"/>
              <w:bottom w:val="single" w:color="auto" w:sz="4" w:space="0"/>
              <w:right w:val="single" w:color="auto" w:sz="4" w:space="0"/>
            </w:tcBorders>
            <w:vAlign w:val="center"/>
          </w:tcPr>
          <w:p w14:paraId="272F223F">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181" w:type="dxa"/>
            <w:vMerge w:val="continue"/>
            <w:tcBorders>
              <w:top w:val="single" w:color="auto" w:sz="4" w:space="0"/>
              <w:left w:val="single" w:color="auto" w:sz="4" w:space="0"/>
              <w:bottom w:val="single" w:color="auto" w:sz="4" w:space="0"/>
              <w:right w:val="single" w:color="auto" w:sz="4" w:space="0"/>
            </w:tcBorders>
            <w:vAlign w:val="center"/>
          </w:tcPr>
          <w:p w14:paraId="59D4F6C0">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1538" w:type="dxa"/>
            <w:tcBorders>
              <w:top w:val="single" w:color="auto" w:sz="4" w:space="0"/>
              <w:left w:val="single" w:color="auto" w:sz="4" w:space="0"/>
              <w:bottom w:val="single" w:color="auto" w:sz="4" w:space="0"/>
              <w:right w:val="single" w:color="auto" w:sz="4" w:space="0"/>
            </w:tcBorders>
            <w:vAlign w:val="center"/>
          </w:tcPr>
          <w:p w14:paraId="1525A95A">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年产生量（t）</w:t>
            </w:r>
          </w:p>
        </w:tc>
        <w:tc>
          <w:tcPr>
            <w:tcW w:w="674" w:type="dxa"/>
            <w:tcBorders>
              <w:top w:val="single" w:color="auto" w:sz="4" w:space="0"/>
              <w:left w:val="single" w:color="auto" w:sz="4" w:space="0"/>
              <w:bottom w:val="single" w:color="auto" w:sz="4" w:space="0"/>
              <w:right w:val="single" w:color="auto" w:sz="4" w:space="0"/>
            </w:tcBorders>
            <w:vAlign w:val="center"/>
          </w:tcPr>
          <w:p w14:paraId="5C842AB8">
            <w:pPr>
              <w:spacing w:line="240" w:lineRule="auto"/>
              <w:jc w:val="cente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0.294</w:t>
            </w:r>
          </w:p>
        </w:tc>
        <w:tc>
          <w:tcPr>
            <w:tcW w:w="633" w:type="dxa"/>
            <w:tcBorders>
              <w:top w:val="single" w:color="auto" w:sz="4" w:space="0"/>
              <w:left w:val="single" w:color="auto" w:sz="4" w:space="0"/>
              <w:bottom w:val="single" w:color="auto" w:sz="4" w:space="0"/>
              <w:right w:val="single" w:color="auto" w:sz="4" w:space="0"/>
            </w:tcBorders>
            <w:vAlign w:val="center"/>
          </w:tcPr>
          <w:p w14:paraId="5C00B42F">
            <w:pPr>
              <w:spacing w:line="240" w:lineRule="auto"/>
              <w:jc w:val="cente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0.168</w:t>
            </w:r>
          </w:p>
        </w:tc>
        <w:tc>
          <w:tcPr>
            <w:tcW w:w="628" w:type="dxa"/>
            <w:tcBorders>
              <w:top w:val="single" w:color="auto" w:sz="4" w:space="0"/>
              <w:left w:val="single" w:color="auto" w:sz="4" w:space="0"/>
              <w:bottom w:val="single" w:color="auto" w:sz="4" w:space="0"/>
              <w:right w:val="single" w:color="auto" w:sz="4" w:space="0"/>
            </w:tcBorders>
            <w:vAlign w:val="center"/>
          </w:tcPr>
          <w:p w14:paraId="3E8EE8A2">
            <w:pPr>
              <w:spacing w:line="240" w:lineRule="auto"/>
              <w:jc w:val="cente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0.032</w:t>
            </w:r>
          </w:p>
        </w:tc>
        <w:tc>
          <w:tcPr>
            <w:tcW w:w="640" w:type="dxa"/>
            <w:tcBorders>
              <w:top w:val="single" w:color="auto" w:sz="4" w:space="0"/>
              <w:left w:val="single" w:color="auto" w:sz="4" w:space="0"/>
              <w:bottom w:val="single" w:color="auto" w:sz="4" w:space="0"/>
              <w:right w:val="single" w:color="auto" w:sz="4" w:space="0"/>
            </w:tcBorders>
            <w:vAlign w:val="center"/>
          </w:tcPr>
          <w:p w14:paraId="34525472">
            <w:pPr>
              <w:spacing w:line="240" w:lineRule="auto"/>
              <w:jc w:val="cente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0.210</w:t>
            </w:r>
          </w:p>
        </w:tc>
        <w:tc>
          <w:tcPr>
            <w:tcW w:w="806" w:type="dxa"/>
            <w:tcBorders>
              <w:top w:val="single" w:color="auto" w:sz="4" w:space="0"/>
              <w:left w:val="single" w:color="auto" w:sz="4" w:space="0"/>
              <w:bottom w:val="single" w:color="auto" w:sz="4" w:space="0"/>
              <w:right w:val="single" w:color="auto" w:sz="4" w:space="0"/>
            </w:tcBorders>
            <w:vAlign w:val="center"/>
          </w:tcPr>
          <w:p w14:paraId="45EF0D86">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w:t>
            </w:r>
          </w:p>
        </w:tc>
        <w:tc>
          <w:tcPr>
            <w:tcW w:w="806" w:type="dxa"/>
            <w:tcBorders>
              <w:top w:val="single" w:color="auto" w:sz="4" w:space="0"/>
              <w:left w:val="single" w:color="auto" w:sz="4" w:space="0"/>
              <w:bottom w:val="single" w:color="auto" w:sz="4" w:space="0"/>
            </w:tcBorders>
            <w:vAlign w:val="center"/>
          </w:tcPr>
          <w:p w14:paraId="34162F9B">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w:t>
            </w:r>
          </w:p>
        </w:tc>
      </w:tr>
      <w:tr w14:paraId="6A6D13DC">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1575" w:type="dxa"/>
            <w:gridSpan w:val="2"/>
            <w:vMerge w:val="restart"/>
            <w:tcBorders>
              <w:top w:val="single" w:color="auto" w:sz="4" w:space="0"/>
              <w:right w:val="single" w:color="auto" w:sz="4" w:space="0"/>
            </w:tcBorders>
            <w:vAlign w:val="center"/>
          </w:tcPr>
          <w:p w14:paraId="22FCA240">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混合废水</w:t>
            </w:r>
          </w:p>
        </w:tc>
        <w:tc>
          <w:tcPr>
            <w:tcW w:w="1181" w:type="dxa"/>
            <w:vMerge w:val="restart"/>
            <w:tcBorders>
              <w:top w:val="single" w:color="auto" w:sz="4" w:space="0"/>
              <w:left w:val="single" w:color="auto" w:sz="4" w:space="0"/>
              <w:right w:val="single" w:color="auto" w:sz="4" w:space="0"/>
            </w:tcBorders>
            <w:vAlign w:val="center"/>
          </w:tcPr>
          <w:p w14:paraId="182C57D7">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45420.39</w:t>
            </w: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m</w:t>
            </w:r>
            <w:r>
              <w:rPr>
                <w:rFonts w:ascii="Times New Roman" w:hAnsi="Times New Roman" w:eastAsia="宋体" w:cs="Times New Roman"/>
                <w:b w:val="0"/>
                <w:bCs w:val="0"/>
                <w:color w:val="000000" w:themeColor="text1"/>
                <w:kern w:val="0"/>
                <w:sz w:val="21"/>
                <w:szCs w:val="21"/>
                <w:highlight w:val="none"/>
                <w:vertAlign w:val="superscript"/>
                <w14:textFill>
                  <w14:solidFill>
                    <w14:schemeClr w14:val="tx1"/>
                  </w14:solidFill>
                </w14:textFill>
              </w:rPr>
              <w:t>3</w:t>
            </w: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/a</w:t>
            </w:r>
          </w:p>
        </w:tc>
        <w:tc>
          <w:tcPr>
            <w:tcW w:w="1538" w:type="dxa"/>
            <w:tcBorders>
              <w:top w:val="single" w:color="auto" w:sz="4" w:space="0"/>
              <w:left w:val="single" w:color="auto" w:sz="4" w:space="0"/>
              <w:bottom w:val="single" w:color="auto" w:sz="4" w:space="0"/>
              <w:right w:val="single" w:color="auto" w:sz="4" w:space="0"/>
            </w:tcBorders>
            <w:vAlign w:val="center"/>
          </w:tcPr>
          <w:p w14:paraId="72AA0B36">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产生浓度（mg/L）</w:t>
            </w:r>
          </w:p>
        </w:tc>
        <w:tc>
          <w:tcPr>
            <w:tcW w:w="703" w:type="dxa"/>
            <w:tcBorders>
              <w:top w:val="single" w:color="auto" w:sz="4" w:space="0"/>
              <w:left w:val="single" w:color="auto" w:sz="4" w:space="0"/>
              <w:bottom w:val="single" w:color="auto" w:sz="4" w:space="0"/>
              <w:right w:val="single" w:color="auto" w:sz="4" w:space="0"/>
            </w:tcBorders>
            <w:vAlign w:val="center"/>
          </w:tcPr>
          <w:p w14:paraId="57494B5D">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2585</w:t>
            </w:r>
          </w:p>
        </w:tc>
        <w:tc>
          <w:tcPr>
            <w:tcW w:w="662" w:type="dxa"/>
            <w:tcBorders>
              <w:top w:val="single" w:color="auto" w:sz="4" w:space="0"/>
              <w:left w:val="single" w:color="auto" w:sz="4" w:space="0"/>
              <w:bottom w:val="single" w:color="auto" w:sz="4" w:space="0"/>
              <w:right w:val="single" w:color="auto" w:sz="4" w:space="0"/>
            </w:tcBorders>
            <w:vAlign w:val="center"/>
          </w:tcPr>
          <w:p w14:paraId="140C36A4">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785</w:t>
            </w:r>
          </w:p>
        </w:tc>
        <w:tc>
          <w:tcPr>
            <w:tcW w:w="657" w:type="dxa"/>
            <w:tcBorders>
              <w:top w:val="single" w:color="auto" w:sz="4" w:space="0"/>
              <w:left w:val="single" w:color="auto" w:sz="4" w:space="0"/>
              <w:bottom w:val="single" w:color="auto" w:sz="4" w:space="0"/>
              <w:right w:val="single" w:color="auto" w:sz="4" w:space="0"/>
            </w:tcBorders>
            <w:vAlign w:val="center"/>
          </w:tcPr>
          <w:p w14:paraId="15E0AED4">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256</w:t>
            </w:r>
          </w:p>
        </w:tc>
        <w:tc>
          <w:tcPr>
            <w:tcW w:w="669" w:type="dxa"/>
            <w:tcBorders>
              <w:top w:val="single" w:color="auto" w:sz="4" w:space="0"/>
              <w:left w:val="single" w:color="auto" w:sz="4" w:space="0"/>
              <w:bottom w:val="single" w:color="auto" w:sz="4" w:space="0"/>
              <w:right w:val="single" w:color="auto" w:sz="4" w:space="0"/>
            </w:tcBorders>
            <w:vAlign w:val="center"/>
          </w:tcPr>
          <w:p w14:paraId="56B32C19">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786</w:t>
            </w:r>
          </w:p>
        </w:tc>
        <w:tc>
          <w:tcPr>
            <w:tcW w:w="835" w:type="dxa"/>
            <w:tcBorders>
              <w:top w:val="single" w:color="auto" w:sz="4" w:space="0"/>
              <w:left w:val="single" w:color="auto" w:sz="4" w:space="0"/>
              <w:bottom w:val="single" w:color="auto" w:sz="4" w:space="0"/>
              <w:right w:val="single" w:color="auto" w:sz="4" w:space="0"/>
            </w:tcBorders>
            <w:vAlign w:val="center"/>
          </w:tcPr>
          <w:p w14:paraId="244C0793">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43.5</w:t>
            </w:r>
          </w:p>
        </w:tc>
        <w:tc>
          <w:tcPr>
            <w:tcW w:w="835" w:type="dxa"/>
            <w:tcBorders>
              <w:top w:val="single" w:color="auto" w:sz="4" w:space="0"/>
              <w:left w:val="single" w:color="auto" w:sz="4" w:space="0"/>
              <w:bottom w:val="single" w:color="auto" w:sz="4" w:space="0"/>
            </w:tcBorders>
            <w:vAlign w:val="center"/>
          </w:tcPr>
          <w:p w14:paraId="0B9E5F2F">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14:textFill>
                  <w14:solidFill>
                    <w14:schemeClr w14:val="tx1"/>
                  </w14:solidFill>
                </w14:textFill>
              </w:rPr>
              <w:t>370</w:t>
            </w:r>
          </w:p>
        </w:tc>
      </w:tr>
      <w:tr w14:paraId="384120ED">
        <w:tblPrEx>
          <w:tblBorders>
            <w:top w:val="single" w:color="auto" w:sz="4" w:space="0"/>
            <w:left w:val="single" w:color="auto" w:sz="4" w:space="0"/>
            <w:bottom w:val="single" w:color="auto" w:sz="4" w:space="0"/>
            <w:right w:val="single" w:color="auto" w:sz="4" w:space="0"/>
            <w:insideH w:val="single" w:color="000000" w:sz="12" w:space="0"/>
            <w:insideV w:val="single" w:color="000000" w:sz="12" w:space="0"/>
          </w:tblBorders>
          <w:tblCellMar>
            <w:top w:w="0" w:type="dxa"/>
            <w:left w:w="0" w:type="dxa"/>
            <w:bottom w:w="0" w:type="dxa"/>
            <w:right w:w="0" w:type="dxa"/>
          </w:tblCellMar>
        </w:tblPrEx>
        <w:trPr>
          <w:trHeight w:val="454" w:hRule="atLeast"/>
        </w:trPr>
        <w:tc>
          <w:tcPr>
            <w:tcW w:w="1575" w:type="dxa"/>
            <w:gridSpan w:val="2"/>
            <w:vMerge w:val="continue"/>
            <w:tcBorders>
              <w:right w:val="single" w:color="auto" w:sz="4" w:space="0"/>
            </w:tcBorders>
            <w:vAlign w:val="center"/>
          </w:tcPr>
          <w:p w14:paraId="03F7978B">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p>
        </w:tc>
        <w:tc>
          <w:tcPr>
            <w:tcW w:w="1181" w:type="dxa"/>
            <w:vMerge w:val="continue"/>
            <w:tcBorders>
              <w:left w:val="single" w:color="auto" w:sz="4" w:space="0"/>
              <w:right w:val="single" w:color="auto" w:sz="4" w:space="0"/>
            </w:tcBorders>
            <w:vAlign w:val="center"/>
          </w:tcPr>
          <w:p w14:paraId="75A03805">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p>
        </w:tc>
        <w:tc>
          <w:tcPr>
            <w:tcW w:w="1538" w:type="dxa"/>
            <w:tcBorders>
              <w:top w:val="single" w:color="auto" w:sz="4" w:space="0"/>
              <w:left w:val="single" w:color="auto" w:sz="4" w:space="0"/>
              <w:right w:val="single" w:color="auto" w:sz="4" w:space="0"/>
            </w:tcBorders>
            <w:vAlign w:val="center"/>
          </w:tcPr>
          <w:p w14:paraId="25451BFA">
            <w:pPr>
              <w:keepNext w:val="0"/>
              <w:keepLines w:val="0"/>
              <w:pageBreakBefore w:val="0"/>
              <w:widowControl/>
              <w:kinsoku/>
              <w:wordWrap/>
              <w:overflowPunct/>
              <w:topLinePunct w:val="0"/>
              <w:autoSpaceDE/>
              <w:autoSpaceDN/>
              <w:bidi w:val="0"/>
              <w:adjustRightInd/>
              <w:spacing w:line="240" w:lineRule="auto"/>
              <w:ind w:firstLine="0" w:firstLineChars="0"/>
              <w:jc w:val="center"/>
              <w:textAlignment w:val="auto"/>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ascii="Times New Roman" w:hAnsi="Times New Roman" w:eastAsia="宋体" w:cs="Times New Roman"/>
                <w:b w:val="0"/>
                <w:bCs w:val="0"/>
                <w:color w:val="000000" w:themeColor="text1"/>
                <w:kern w:val="0"/>
                <w:sz w:val="21"/>
                <w:szCs w:val="21"/>
                <w:highlight w:val="none"/>
                <w14:textFill>
                  <w14:solidFill>
                    <w14:schemeClr w14:val="tx1"/>
                  </w14:solidFill>
                </w14:textFill>
              </w:rPr>
              <w:t>年产生量（t）</w:t>
            </w:r>
          </w:p>
        </w:tc>
        <w:tc>
          <w:tcPr>
            <w:tcW w:w="703" w:type="dxa"/>
            <w:tcBorders>
              <w:top w:val="single" w:color="auto" w:sz="4" w:space="0"/>
              <w:left w:val="single" w:color="auto" w:sz="4" w:space="0"/>
              <w:right w:val="single" w:color="auto" w:sz="4" w:space="0"/>
            </w:tcBorders>
            <w:vAlign w:val="center"/>
          </w:tcPr>
          <w:p w14:paraId="60E6EEE6">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117.43</w:t>
            </w:r>
          </w:p>
        </w:tc>
        <w:tc>
          <w:tcPr>
            <w:tcW w:w="662" w:type="dxa"/>
            <w:tcBorders>
              <w:top w:val="single" w:color="auto" w:sz="4" w:space="0"/>
              <w:left w:val="single" w:color="auto" w:sz="4" w:space="0"/>
              <w:right w:val="single" w:color="auto" w:sz="4" w:space="0"/>
            </w:tcBorders>
            <w:vAlign w:val="center"/>
          </w:tcPr>
          <w:p w14:paraId="47D24E29">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35.66 </w:t>
            </w:r>
          </w:p>
        </w:tc>
        <w:tc>
          <w:tcPr>
            <w:tcW w:w="657" w:type="dxa"/>
            <w:tcBorders>
              <w:top w:val="single" w:color="auto" w:sz="4" w:space="0"/>
              <w:left w:val="single" w:color="auto" w:sz="4" w:space="0"/>
              <w:right w:val="single" w:color="auto" w:sz="4" w:space="0"/>
            </w:tcBorders>
            <w:vAlign w:val="center"/>
          </w:tcPr>
          <w:p w14:paraId="727E2DB4">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11.61 </w:t>
            </w:r>
          </w:p>
        </w:tc>
        <w:tc>
          <w:tcPr>
            <w:tcW w:w="669" w:type="dxa"/>
            <w:tcBorders>
              <w:top w:val="single" w:color="auto" w:sz="4" w:space="0"/>
              <w:left w:val="single" w:color="auto" w:sz="4" w:space="0"/>
              <w:right w:val="single" w:color="auto" w:sz="4" w:space="0"/>
            </w:tcBorders>
            <w:vAlign w:val="center"/>
          </w:tcPr>
          <w:p w14:paraId="3BA9E955">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35.71 </w:t>
            </w:r>
          </w:p>
        </w:tc>
        <w:tc>
          <w:tcPr>
            <w:tcW w:w="835" w:type="dxa"/>
            <w:tcBorders>
              <w:top w:val="single" w:color="auto" w:sz="4" w:space="0"/>
              <w:left w:val="single" w:color="auto" w:sz="4" w:space="0"/>
              <w:right w:val="single" w:color="auto" w:sz="4" w:space="0"/>
            </w:tcBorders>
            <w:vAlign w:val="center"/>
          </w:tcPr>
          <w:p w14:paraId="12E28050">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1.93 </w:t>
            </w:r>
          </w:p>
        </w:tc>
        <w:tc>
          <w:tcPr>
            <w:tcW w:w="835" w:type="dxa"/>
            <w:tcBorders>
              <w:top w:val="single" w:color="auto" w:sz="4" w:space="0"/>
              <w:left w:val="single" w:color="auto" w:sz="4" w:space="0"/>
            </w:tcBorders>
            <w:vAlign w:val="center"/>
          </w:tcPr>
          <w:p w14:paraId="2DBE6008">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16.42 </w:t>
            </w:r>
          </w:p>
        </w:tc>
      </w:tr>
    </w:tbl>
    <w:p w14:paraId="0121D8A8">
      <w:p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污水处理措施</w:t>
      </w:r>
    </w:p>
    <w:p w14:paraId="2544E0B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本项目养殖过程中产生的粪尿依靠重力通过漏粪板离开猪舍进入猪舍下部的储存池，通过管道流入</w:t>
      </w:r>
      <w:r>
        <w:rPr>
          <w:rFonts w:hint="eastAsia"/>
          <w:color w:val="000000" w:themeColor="text1"/>
          <w:highlight w:val="none"/>
          <w:lang w:eastAsia="zh-CN"/>
          <w14:textFill>
            <w14:solidFill>
              <w14:schemeClr w14:val="tx1"/>
            </w14:solidFill>
          </w14:textFill>
        </w:rPr>
        <w:t>集粪池</w:t>
      </w:r>
      <w:r>
        <w:rPr>
          <w:color w:val="000000" w:themeColor="text1"/>
          <w:highlight w:val="none"/>
          <w14:textFill>
            <w14:solidFill>
              <w14:schemeClr w14:val="tx1"/>
            </w14:solidFill>
          </w14:textFill>
        </w:rPr>
        <w:t>，在</w:t>
      </w:r>
      <w:r>
        <w:rPr>
          <w:rFonts w:hint="eastAsia"/>
          <w:color w:val="000000" w:themeColor="text1"/>
          <w:highlight w:val="none"/>
          <w:lang w:eastAsia="zh-CN"/>
          <w14:textFill>
            <w14:solidFill>
              <w14:schemeClr w14:val="tx1"/>
            </w14:solidFill>
          </w14:textFill>
        </w:rPr>
        <w:t>集粪池</w:t>
      </w:r>
      <w:r>
        <w:rPr>
          <w:color w:val="000000" w:themeColor="text1"/>
          <w:highlight w:val="none"/>
          <w14:textFill>
            <w14:solidFill>
              <w14:schemeClr w14:val="tx1"/>
            </w14:solidFill>
          </w14:textFill>
        </w:rPr>
        <w:t>进行固液分离，液体进入</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，固粪在</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堆肥处理后外售；利用</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的大容积，在厌氧条件下，微生物与污水有足够的接触时间进行反应（35d），从而最大程度上降解污水中的有机物，产生沼气和沼液。沼液经排液口排入</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，在施肥季节根据农作物需求液态施肥。</w:t>
      </w:r>
    </w:p>
    <w:p w14:paraId="5FDFBC02">
      <w:pPr>
        <w:ind w:firstLine="480" w:firstLineChars="200"/>
        <w:rPr>
          <w:color w:val="000000" w:themeColor="text1"/>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根据水平衡分析数据，按废水平均产生量</w:t>
      </w:r>
      <w:r>
        <w:rPr>
          <w:rFonts w:hint="eastAsia" w:cs="宋体"/>
          <w:b w:val="0"/>
          <w:bCs w:val="0"/>
          <w:color w:val="000000" w:themeColor="text1"/>
          <w:kern w:val="0"/>
          <w:szCs w:val="24"/>
          <w:highlight w:val="none"/>
          <w:lang w:val="en-US" w:eastAsia="zh-CN"/>
          <w14:textFill>
            <w14:solidFill>
              <w14:schemeClr w14:val="tx1"/>
            </w14:solidFill>
          </w14:textFill>
        </w:rPr>
        <w:t>124.44</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/d，同时考虑废水处理的不稳定性，日处理系数按1.1计，</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黑膜池</w:t>
      </w:r>
      <w:r>
        <w:rPr>
          <w:rFonts w:ascii="Times New Roman" w:hAnsi="Times New Roman" w:eastAsia="宋体" w:cs="宋体"/>
          <w:b w:val="0"/>
          <w:bCs w:val="0"/>
          <w:color w:val="000000" w:themeColor="text1"/>
          <w:kern w:val="0"/>
          <w:szCs w:val="24"/>
          <w:highlight w:val="none"/>
          <w14:textFill>
            <w14:solidFill>
              <w14:schemeClr w14:val="tx1"/>
            </w14:solidFill>
          </w14:textFill>
        </w:rPr>
        <w:t>的厌氧周期为35天，根据以上数据计算，所需</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黑膜池</w:t>
      </w:r>
      <w:r>
        <w:rPr>
          <w:rFonts w:ascii="Times New Roman" w:hAnsi="Times New Roman" w:eastAsia="宋体" w:cs="宋体"/>
          <w:b w:val="0"/>
          <w:bCs w:val="0"/>
          <w:color w:val="000000" w:themeColor="text1"/>
          <w:kern w:val="0"/>
          <w:szCs w:val="24"/>
          <w:highlight w:val="none"/>
          <w14:textFill>
            <w14:solidFill>
              <w14:schemeClr w14:val="tx1"/>
            </w14:solidFill>
          </w14:textFill>
        </w:rPr>
        <w:t>的容积为</w:t>
      </w:r>
      <w:r>
        <w:rPr>
          <w:rFonts w:hint="eastAsia" w:cs="宋体"/>
          <w:b w:val="0"/>
          <w:bCs w:val="0"/>
          <w:color w:val="000000" w:themeColor="text1"/>
          <w:kern w:val="0"/>
          <w:szCs w:val="24"/>
          <w:highlight w:val="none"/>
          <w:lang w:val="en-US" w:eastAsia="zh-CN"/>
          <w14:textFill>
            <w14:solidFill>
              <w14:schemeClr w14:val="tx1"/>
            </w14:solidFill>
          </w14:textFill>
        </w:rPr>
        <w:t>4790.94</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w:t>
      </w:r>
      <w:r>
        <w:rPr>
          <w:rFonts w:eastAsia="宋体" w:cs="宋体"/>
          <w:color w:val="000000" w:themeColor="text1"/>
          <w:highlight w:val="none"/>
          <w14:textFill>
            <w14:solidFill>
              <w14:schemeClr w14:val="tx1"/>
            </w14:solidFill>
          </w14:textFill>
        </w:rPr>
        <w:t>设计</w:t>
      </w:r>
      <w:r>
        <w:rPr>
          <w:rFonts w:hint="eastAsia" w:eastAsia="宋体" w:cs="宋体"/>
          <w:color w:val="000000" w:themeColor="text1"/>
          <w:highlight w:val="none"/>
          <w:lang w:val="en-US" w:eastAsia="zh-CN"/>
          <w14:textFill>
            <w14:solidFill>
              <w14:schemeClr w14:val="tx1"/>
            </w14:solidFill>
          </w14:textFill>
        </w:rPr>
        <w:t>11125</w:t>
      </w:r>
      <w:r>
        <w:rPr>
          <w:rFonts w:eastAsia="宋体" w:cs="宋体"/>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黑膜池2座</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共22250</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能够满足污水处理需求。</w:t>
      </w:r>
    </w:p>
    <w:p w14:paraId="54F247AC">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冬季时沼液无法还田，可暂时在黑膜池储存，</w:t>
      </w:r>
      <w:r>
        <w:rPr>
          <w:rFonts w:ascii="Times New Roman" w:hAnsi="Times New Roman" w:eastAsia="宋体" w:cs="宋体"/>
          <w:b w:val="0"/>
          <w:bCs w:val="0"/>
          <w:color w:val="000000" w:themeColor="text1"/>
          <w:kern w:val="0"/>
          <w:szCs w:val="24"/>
          <w:highlight w:val="none"/>
          <w14:textFill>
            <w14:solidFill>
              <w14:schemeClr w14:val="tx1"/>
            </w14:solidFill>
          </w14:textFill>
        </w:rPr>
        <w:t>按废水平均产生量</w:t>
      </w:r>
      <w:r>
        <w:rPr>
          <w:rFonts w:hint="eastAsia" w:cs="宋体"/>
          <w:b w:val="0"/>
          <w:bCs w:val="0"/>
          <w:color w:val="000000" w:themeColor="text1"/>
          <w:kern w:val="0"/>
          <w:szCs w:val="24"/>
          <w:highlight w:val="none"/>
          <w:lang w:val="en-US" w:eastAsia="zh-CN"/>
          <w14:textFill>
            <w14:solidFill>
              <w14:schemeClr w14:val="tx1"/>
            </w14:solidFill>
          </w14:textFill>
        </w:rPr>
        <w:t>124.44</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/d，同时考虑废水处理的不稳定性，日处理系数按1.1计，</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新疆冬季较长，暂存1</w:t>
      </w:r>
      <w:r>
        <w:rPr>
          <w:rFonts w:hint="eastAsia" w:cs="宋体"/>
          <w:b w:val="0"/>
          <w:bCs w:val="0"/>
          <w:color w:val="000000" w:themeColor="text1"/>
          <w:kern w:val="0"/>
          <w:szCs w:val="24"/>
          <w:highlight w:val="none"/>
          <w:lang w:val="en-US" w:eastAsia="zh-CN"/>
          <w14:textFill>
            <w14:solidFill>
              <w14:schemeClr w14:val="tx1"/>
            </w14:solidFill>
          </w14:textFill>
        </w:rPr>
        <w:t>5</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0天（</w:t>
      </w:r>
      <w:r>
        <w:rPr>
          <w:rFonts w:hint="eastAsia" w:cs="宋体"/>
          <w:b w:val="0"/>
          <w:bCs w:val="0"/>
          <w:color w:val="000000" w:themeColor="text1"/>
          <w:kern w:val="0"/>
          <w:szCs w:val="24"/>
          <w:highlight w:val="none"/>
          <w:lang w:val="en-US" w:eastAsia="zh-CN"/>
          <w14:textFill>
            <w14:solidFill>
              <w14:schemeClr w14:val="tx1"/>
            </w14:solidFill>
          </w14:textFill>
        </w:rPr>
        <w:t>5</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个月）</w:t>
      </w:r>
      <w:r>
        <w:rPr>
          <w:color w:val="000000" w:themeColor="text1"/>
          <w:highlight w:val="none"/>
          <w14:textFill>
            <w14:solidFill>
              <w14:schemeClr w14:val="tx1"/>
            </w14:solidFill>
          </w14:textFill>
        </w:rPr>
        <w:t>，</w:t>
      </w:r>
      <w:r>
        <w:rPr>
          <w:rFonts w:ascii="Times New Roman" w:hAnsi="Times New Roman" w:eastAsia="宋体" w:cs="宋体"/>
          <w:b w:val="0"/>
          <w:bCs w:val="0"/>
          <w:color w:val="000000" w:themeColor="text1"/>
          <w:kern w:val="0"/>
          <w:szCs w:val="24"/>
          <w:highlight w:val="none"/>
          <w14:textFill>
            <w14:solidFill>
              <w14:schemeClr w14:val="tx1"/>
            </w14:solidFill>
          </w14:textFill>
        </w:rPr>
        <w:t>所需</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黑膜池</w:t>
      </w:r>
      <w:r>
        <w:rPr>
          <w:rFonts w:ascii="Times New Roman" w:hAnsi="Times New Roman" w:eastAsia="宋体" w:cs="宋体"/>
          <w:b w:val="0"/>
          <w:bCs w:val="0"/>
          <w:color w:val="000000" w:themeColor="text1"/>
          <w:kern w:val="0"/>
          <w:szCs w:val="24"/>
          <w:highlight w:val="none"/>
          <w14:textFill>
            <w14:solidFill>
              <w14:schemeClr w14:val="tx1"/>
            </w14:solidFill>
          </w14:textFill>
        </w:rPr>
        <w:t>的容积为</w:t>
      </w:r>
      <w:r>
        <w:rPr>
          <w:rFonts w:hint="eastAsia" w:cs="宋体"/>
          <w:b w:val="0"/>
          <w:bCs w:val="0"/>
          <w:color w:val="000000" w:themeColor="text1"/>
          <w:kern w:val="0"/>
          <w:szCs w:val="24"/>
          <w:highlight w:val="none"/>
          <w:lang w:val="en-US" w:eastAsia="zh-CN"/>
          <w14:textFill>
            <w14:solidFill>
              <w14:schemeClr w14:val="tx1"/>
            </w14:solidFill>
          </w14:textFill>
        </w:rPr>
        <w:t>20532.6</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hint="eastAsia" w:ascii="Times New Roman" w:hAnsi="Times New Roman" w:cs="宋体"/>
          <w:b w:val="0"/>
          <w:bCs w:val="0"/>
          <w:color w:val="000000" w:themeColor="text1"/>
          <w:kern w:val="0"/>
          <w:szCs w:val="24"/>
          <w:highlight w:val="none"/>
          <w:vertAlign w:val="baseli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设计</w:t>
      </w:r>
      <w:r>
        <w:rPr>
          <w:rFonts w:hint="eastAsia" w:eastAsia="宋体" w:cs="宋体"/>
          <w:color w:val="000000" w:themeColor="text1"/>
          <w:highlight w:val="none"/>
          <w:lang w:val="en-US" w:eastAsia="zh-CN"/>
          <w14:textFill>
            <w14:solidFill>
              <w14:schemeClr w14:val="tx1"/>
            </w14:solidFill>
          </w14:textFill>
        </w:rPr>
        <w:t>11125</w:t>
      </w:r>
      <w:r>
        <w:rPr>
          <w:rFonts w:eastAsia="宋体" w:cs="宋体"/>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黑膜池2座</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共22250</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，能够满足污水处理需求。</w:t>
      </w:r>
      <w:r>
        <w:rPr>
          <w:rFonts w:hint="eastAsia"/>
          <w:color w:val="000000" w:themeColor="text1"/>
          <w:highlight w:val="none"/>
          <w:lang w:val="en-US" w:eastAsia="zh-CN"/>
          <w14:textFill>
            <w14:solidFill>
              <w14:schemeClr w14:val="tx1"/>
            </w14:solidFill>
          </w14:textFill>
        </w:rPr>
        <w:t>故</w:t>
      </w: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能够满足沼液暂存的要求。本项目产生的沼液全部还田综合利用，满足减量化、资源化</w:t>
      </w:r>
      <w:r>
        <w:rPr>
          <w:rFonts w:hint="eastAsia"/>
          <w:color w:val="000000" w:themeColor="text1"/>
          <w:highlight w:val="none"/>
          <w14:textFill>
            <w14:solidFill>
              <w14:schemeClr w14:val="tx1"/>
            </w14:solidFill>
          </w14:textFill>
        </w:rPr>
        <w:t>及</w:t>
      </w:r>
      <w:r>
        <w:rPr>
          <w:color w:val="000000" w:themeColor="text1"/>
          <w:highlight w:val="none"/>
          <w14:textFill>
            <w14:solidFill>
              <w14:schemeClr w14:val="tx1"/>
            </w14:solidFill>
          </w14:textFill>
        </w:rPr>
        <w:t>无害化原则。</w:t>
      </w:r>
    </w:p>
    <w:p w14:paraId="20D25CE9">
      <w:pPr>
        <w:pStyle w:val="4"/>
        <w:rPr>
          <w:color w:val="000000" w:themeColor="text1"/>
          <w:highlight w:val="none"/>
          <w14:textFill>
            <w14:solidFill>
              <w14:schemeClr w14:val="tx1"/>
            </w14:solidFill>
          </w14:textFill>
        </w:rPr>
      </w:pPr>
      <w:bookmarkStart w:id="148" w:name="_Toc7309"/>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.10.3噪声</w:t>
      </w:r>
      <w:bookmarkEnd w:id="148"/>
    </w:p>
    <w:p w14:paraId="1F06F8E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本项目主要噪声源为风机、泵类、固液分离机等设备噪声，噪声源强在</w:t>
      </w:r>
      <w:r>
        <w:rPr>
          <w:rFonts w:hint="eastAsia"/>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85</w:t>
      </w:r>
      <w:r>
        <w:rPr>
          <w:color w:val="000000" w:themeColor="text1"/>
          <w:highlight w:val="none"/>
          <w14:textFill>
            <w14:solidFill>
              <w14:schemeClr w14:val="tx1"/>
            </w14:solidFill>
          </w14:textFill>
        </w:rPr>
        <w:t>dB(A)之间。项目主要噪声源分布情况见表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12</w:t>
      </w:r>
      <w:r>
        <w:rPr>
          <w:color w:val="000000" w:themeColor="text1"/>
          <w:highlight w:val="none"/>
          <w14:textFill>
            <w14:solidFill>
              <w14:schemeClr w14:val="tx1"/>
            </w14:solidFill>
          </w14:textFill>
        </w:rPr>
        <w:t>。</w:t>
      </w:r>
    </w:p>
    <w:p w14:paraId="7333095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.10-</w:t>
      </w:r>
      <w:r>
        <w:rPr>
          <w:rFonts w:hint="eastAsia"/>
          <w:b/>
          <w:bCs/>
          <w:color w:val="000000" w:themeColor="text1"/>
          <w:sz w:val="21"/>
          <w:szCs w:val="21"/>
          <w:highlight w:val="none"/>
          <w:lang w:val="en-US" w:eastAsia="zh-CN"/>
          <w14:textFill>
            <w14:solidFill>
              <w14:schemeClr w14:val="tx1"/>
            </w14:solidFill>
          </w14:textFill>
        </w:rPr>
        <w:t xml:space="preserve">12 </w:t>
      </w:r>
      <w:r>
        <w:rPr>
          <w:b/>
          <w:bCs/>
          <w:color w:val="000000" w:themeColor="text1"/>
          <w:sz w:val="21"/>
          <w:szCs w:val="21"/>
          <w:highlight w:val="none"/>
          <w14:textFill>
            <w14:solidFill>
              <w14:schemeClr w14:val="tx1"/>
            </w14:solidFill>
          </w14:textFill>
        </w:rPr>
        <w:t xml:space="preserve"> 本项目主要噪声源</w:t>
      </w:r>
    </w:p>
    <w:tbl>
      <w:tblPr>
        <w:tblStyle w:val="33"/>
        <w:tblW w:w="48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2"/>
        <w:gridCol w:w="1272"/>
        <w:gridCol w:w="1156"/>
        <w:gridCol w:w="2108"/>
        <w:gridCol w:w="1502"/>
        <w:gridCol w:w="1737"/>
      </w:tblGrid>
      <w:tr w14:paraId="403E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Align w:val="center"/>
          </w:tcPr>
          <w:p w14:paraId="79B5429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768" w:type="pct"/>
            <w:vAlign w:val="center"/>
          </w:tcPr>
          <w:p w14:paraId="2C01155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设备名称</w:t>
            </w:r>
          </w:p>
        </w:tc>
        <w:tc>
          <w:tcPr>
            <w:tcW w:w="698" w:type="pct"/>
            <w:vAlign w:val="center"/>
          </w:tcPr>
          <w:p w14:paraId="6AC8645A">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位置</w:t>
            </w:r>
          </w:p>
        </w:tc>
        <w:tc>
          <w:tcPr>
            <w:tcW w:w="1273" w:type="pct"/>
            <w:vAlign w:val="center"/>
          </w:tcPr>
          <w:p w14:paraId="3A2120D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防治措施</w:t>
            </w:r>
          </w:p>
        </w:tc>
        <w:tc>
          <w:tcPr>
            <w:tcW w:w="907" w:type="pct"/>
            <w:vAlign w:val="center"/>
          </w:tcPr>
          <w:p w14:paraId="5AAD7C7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单台设备噪声强度dB(A)</w:t>
            </w:r>
          </w:p>
        </w:tc>
        <w:tc>
          <w:tcPr>
            <w:tcW w:w="1049" w:type="pct"/>
            <w:vAlign w:val="center"/>
          </w:tcPr>
          <w:p w14:paraId="4E80C61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单台设备噪声降噪后强度dB(A)</w:t>
            </w:r>
          </w:p>
        </w:tc>
      </w:tr>
      <w:tr w14:paraId="71FB5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Align w:val="center"/>
          </w:tcPr>
          <w:p w14:paraId="7F3E2AE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768" w:type="pct"/>
            <w:vAlign w:val="center"/>
          </w:tcPr>
          <w:p w14:paraId="3CC91BF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猪叫声</w:t>
            </w:r>
          </w:p>
        </w:tc>
        <w:tc>
          <w:tcPr>
            <w:tcW w:w="698" w:type="pct"/>
            <w:vMerge w:val="restart"/>
            <w:vAlign w:val="center"/>
          </w:tcPr>
          <w:p w14:paraId="7DBFDBF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猪舍</w:t>
            </w:r>
          </w:p>
        </w:tc>
        <w:tc>
          <w:tcPr>
            <w:tcW w:w="1273" w:type="pct"/>
            <w:vAlign w:val="center"/>
          </w:tcPr>
          <w:p w14:paraId="00CFA82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隔声</w:t>
            </w:r>
          </w:p>
        </w:tc>
        <w:tc>
          <w:tcPr>
            <w:tcW w:w="907" w:type="pct"/>
            <w:vAlign w:val="center"/>
          </w:tcPr>
          <w:p w14:paraId="5FFE34C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80</w:t>
            </w:r>
          </w:p>
        </w:tc>
        <w:tc>
          <w:tcPr>
            <w:tcW w:w="1049" w:type="pct"/>
            <w:vAlign w:val="center"/>
          </w:tcPr>
          <w:p w14:paraId="67270B0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w:t>
            </w:r>
          </w:p>
        </w:tc>
      </w:tr>
      <w:tr w14:paraId="465E9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303" w:type="pct"/>
            <w:vAlign w:val="center"/>
          </w:tcPr>
          <w:p w14:paraId="3295041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768" w:type="pct"/>
            <w:vAlign w:val="center"/>
          </w:tcPr>
          <w:p w14:paraId="6EB5F30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风机</w:t>
            </w:r>
          </w:p>
        </w:tc>
        <w:tc>
          <w:tcPr>
            <w:tcW w:w="698" w:type="pct"/>
            <w:vMerge w:val="continue"/>
            <w:vAlign w:val="center"/>
          </w:tcPr>
          <w:p w14:paraId="26E5CDEE">
            <w:pPr>
              <w:spacing w:line="240" w:lineRule="auto"/>
              <w:jc w:val="center"/>
              <w:rPr>
                <w:color w:val="000000" w:themeColor="text1"/>
                <w:sz w:val="21"/>
                <w:szCs w:val="21"/>
                <w:highlight w:val="none"/>
                <w14:textFill>
                  <w14:solidFill>
                    <w14:schemeClr w14:val="tx1"/>
                  </w14:solidFill>
                </w14:textFill>
              </w:rPr>
            </w:pPr>
          </w:p>
        </w:tc>
        <w:tc>
          <w:tcPr>
            <w:tcW w:w="1273" w:type="pct"/>
            <w:vAlign w:val="center"/>
          </w:tcPr>
          <w:p w14:paraId="060E7A5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隔声、减震</w:t>
            </w:r>
          </w:p>
        </w:tc>
        <w:tc>
          <w:tcPr>
            <w:tcW w:w="907" w:type="pct"/>
            <w:vAlign w:val="center"/>
          </w:tcPr>
          <w:p w14:paraId="2B87250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75</w:t>
            </w:r>
          </w:p>
        </w:tc>
        <w:tc>
          <w:tcPr>
            <w:tcW w:w="1049" w:type="pct"/>
            <w:vAlign w:val="center"/>
          </w:tcPr>
          <w:p w14:paraId="546E57F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55</w:t>
            </w:r>
          </w:p>
        </w:tc>
      </w:tr>
      <w:tr w14:paraId="63E5C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vAlign w:val="center"/>
          </w:tcPr>
          <w:p w14:paraId="43D6C7F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768" w:type="pct"/>
            <w:vAlign w:val="center"/>
          </w:tcPr>
          <w:p w14:paraId="4E1118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泵</w:t>
            </w:r>
          </w:p>
        </w:tc>
        <w:tc>
          <w:tcPr>
            <w:tcW w:w="698" w:type="pct"/>
            <w:vMerge w:val="continue"/>
            <w:vAlign w:val="center"/>
          </w:tcPr>
          <w:p w14:paraId="1860660E">
            <w:pPr>
              <w:spacing w:line="240" w:lineRule="auto"/>
              <w:jc w:val="center"/>
              <w:rPr>
                <w:color w:val="000000" w:themeColor="text1"/>
                <w:sz w:val="21"/>
                <w:szCs w:val="21"/>
                <w:highlight w:val="none"/>
                <w14:textFill>
                  <w14:solidFill>
                    <w14:schemeClr w14:val="tx1"/>
                  </w14:solidFill>
                </w14:textFill>
              </w:rPr>
            </w:pPr>
          </w:p>
        </w:tc>
        <w:tc>
          <w:tcPr>
            <w:tcW w:w="1273" w:type="pct"/>
            <w:vAlign w:val="center"/>
          </w:tcPr>
          <w:p w14:paraId="1EEF488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隔声、减震</w:t>
            </w:r>
          </w:p>
        </w:tc>
        <w:tc>
          <w:tcPr>
            <w:tcW w:w="907" w:type="pct"/>
            <w:vAlign w:val="center"/>
          </w:tcPr>
          <w:p w14:paraId="34B86FC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80</w:t>
            </w:r>
          </w:p>
        </w:tc>
        <w:tc>
          <w:tcPr>
            <w:tcW w:w="1049" w:type="pct"/>
            <w:vAlign w:val="center"/>
          </w:tcPr>
          <w:p w14:paraId="2AD62E9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w:t>
            </w:r>
          </w:p>
        </w:tc>
      </w:tr>
      <w:tr w14:paraId="19864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tcPr>
          <w:p w14:paraId="13551A9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768" w:type="pct"/>
          </w:tcPr>
          <w:p w14:paraId="1063019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固液分离机</w:t>
            </w:r>
          </w:p>
        </w:tc>
        <w:tc>
          <w:tcPr>
            <w:tcW w:w="698" w:type="pct"/>
            <w:vMerge w:val="restart"/>
            <w:vAlign w:val="center"/>
          </w:tcPr>
          <w:p w14:paraId="7A87B3A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污水处理区</w:t>
            </w:r>
          </w:p>
        </w:tc>
        <w:tc>
          <w:tcPr>
            <w:tcW w:w="1273" w:type="pct"/>
            <w:vAlign w:val="center"/>
          </w:tcPr>
          <w:p w14:paraId="3BE1F25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隔声、减震</w:t>
            </w:r>
          </w:p>
        </w:tc>
        <w:tc>
          <w:tcPr>
            <w:tcW w:w="907" w:type="pct"/>
            <w:vAlign w:val="center"/>
          </w:tcPr>
          <w:p w14:paraId="2358890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85</w:t>
            </w:r>
          </w:p>
        </w:tc>
        <w:tc>
          <w:tcPr>
            <w:tcW w:w="1049" w:type="pct"/>
            <w:vAlign w:val="center"/>
          </w:tcPr>
          <w:p w14:paraId="252D71A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65</w:t>
            </w:r>
          </w:p>
        </w:tc>
      </w:tr>
      <w:tr w14:paraId="1CFD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3" w:type="pct"/>
          </w:tcPr>
          <w:p w14:paraId="3D7936F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768" w:type="pct"/>
          </w:tcPr>
          <w:p w14:paraId="006D303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各种泵类</w:t>
            </w:r>
          </w:p>
        </w:tc>
        <w:tc>
          <w:tcPr>
            <w:tcW w:w="698" w:type="pct"/>
            <w:vMerge w:val="continue"/>
            <w:vAlign w:val="center"/>
          </w:tcPr>
          <w:p w14:paraId="66621697">
            <w:pPr>
              <w:spacing w:line="240" w:lineRule="auto"/>
              <w:jc w:val="center"/>
              <w:rPr>
                <w:color w:val="000000" w:themeColor="text1"/>
                <w:sz w:val="21"/>
                <w:szCs w:val="21"/>
                <w:highlight w:val="none"/>
                <w14:textFill>
                  <w14:solidFill>
                    <w14:schemeClr w14:val="tx1"/>
                  </w14:solidFill>
                </w14:textFill>
              </w:rPr>
            </w:pPr>
          </w:p>
        </w:tc>
        <w:tc>
          <w:tcPr>
            <w:tcW w:w="1273" w:type="pct"/>
            <w:vAlign w:val="center"/>
          </w:tcPr>
          <w:p w14:paraId="5EB5481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隔声、减震</w:t>
            </w:r>
          </w:p>
        </w:tc>
        <w:tc>
          <w:tcPr>
            <w:tcW w:w="907" w:type="pct"/>
            <w:vAlign w:val="center"/>
          </w:tcPr>
          <w:p w14:paraId="2937620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80</w:t>
            </w:r>
          </w:p>
        </w:tc>
        <w:tc>
          <w:tcPr>
            <w:tcW w:w="1049" w:type="pct"/>
            <w:vAlign w:val="center"/>
          </w:tcPr>
          <w:p w14:paraId="5945E34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w:t>
            </w:r>
          </w:p>
        </w:tc>
      </w:tr>
    </w:tbl>
    <w:p w14:paraId="59361F1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本项目拟采用以下噪声防治措施：</w:t>
      </w:r>
    </w:p>
    <w:p w14:paraId="3243BCD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（1）在设备选型上，首先选用装备先进的低噪音设备，并采取适当的降噪措施，如机组基础设置衬垫，使之与建筑结构隔开。</w:t>
      </w:r>
    </w:p>
    <w:p w14:paraId="259A5D6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（2）风机的进出口安装消声装置，泵类加隔音罩。</w:t>
      </w:r>
    </w:p>
    <w:p w14:paraId="2799809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（3）在设备、管道设计中，注意</w:t>
      </w:r>
      <w:r>
        <w:rPr>
          <w:rFonts w:hint="eastAsia"/>
          <w:color w:val="000000" w:themeColor="text1"/>
          <w:highlight w:val="none"/>
          <w:lang w:eastAsia="zh-CN"/>
          <w14:textFill>
            <w14:solidFill>
              <w14:schemeClr w14:val="tx1"/>
            </w14:solidFill>
          </w14:textFill>
        </w:rPr>
        <w:t>防震</w:t>
      </w:r>
      <w:r>
        <w:rPr>
          <w:color w:val="000000" w:themeColor="text1"/>
          <w:highlight w:val="none"/>
          <w14:textFill>
            <w14:solidFill>
              <w14:schemeClr w14:val="tx1"/>
            </w14:solidFill>
          </w14:textFill>
        </w:rPr>
        <w:t>、防冲击，以减轻振动噪声，并应注意改善气体输送时流场状况，以减少空气动力噪声。</w:t>
      </w:r>
    </w:p>
    <w:p w14:paraId="2ADFBE5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厂区平面布置要优化，合理布局，将高噪声设备尽量布置在远离厂界处，通过距离衰减减轻噪声源对厂界噪声的影响。噪声设备布置时尽量远离行政办公区及宿舍区，设置隔音机房；操作间做吸音、隔音处理，厂区周围及高噪音车间周围种植降噪植物等。</w:t>
      </w:r>
    </w:p>
    <w:p w14:paraId="2F4FE15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在采取了必要的降噪措施后，本项目的运营对周围声环境的贡献值较小。</w:t>
      </w:r>
    </w:p>
    <w:p w14:paraId="30E4901B">
      <w:pPr>
        <w:pStyle w:val="4"/>
        <w:rPr>
          <w:color w:val="000000" w:themeColor="text1"/>
          <w:highlight w:val="none"/>
          <w14:textFill>
            <w14:solidFill>
              <w14:schemeClr w14:val="tx1"/>
            </w14:solidFill>
          </w14:textFill>
        </w:rPr>
      </w:pPr>
      <w:bookmarkStart w:id="149" w:name="_Toc26337"/>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.10.4固体废物</w:t>
      </w:r>
      <w:bookmarkEnd w:id="149"/>
    </w:p>
    <w:p w14:paraId="475A52F4">
      <w:p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固废产生情况</w:t>
      </w:r>
    </w:p>
    <w:p w14:paraId="35212FC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本项目产生的固体废物主要包括猪粪、沼渣、</w:t>
      </w:r>
      <w:r>
        <w:rPr>
          <w:rFonts w:hint="eastAsia"/>
          <w:color w:val="000000" w:themeColor="text1"/>
          <w:highlight w:val="none"/>
          <w:lang w:eastAsia="zh-CN"/>
          <w14:textFill>
            <w14:solidFill>
              <w14:schemeClr w14:val="tx1"/>
            </w14:solidFill>
          </w14:textFill>
        </w:rPr>
        <w:t>病死猪、胎衣</w:t>
      </w:r>
      <w:r>
        <w:rPr>
          <w:rFonts w:hint="eastAsia"/>
          <w:color w:val="000000" w:themeColor="text1"/>
          <w:highlight w:val="none"/>
          <w:lang w:val="en-US" w:eastAsia="zh-CN"/>
          <w14:textFill>
            <w14:solidFill>
              <w14:schemeClr w14:val="tx1"/>
            </w14:solidFill>
          </w14:textFill>
        </w:rPr>
        <w:t>、</w:t>
      </w:r>
      <w:r>
        <w:rPr>
          <w:color w:val="000000" w:themeColor="text1"/>
          <w:highlight w:val="none"/>
          <w14:textFill>
            <w14:solidFill>
              <w14:schemeClr w14:val="tx1"/>
            </w14:solidFill>
          </w14:textFill>
        </w:rPr>
        <w:t>医疗废物、职工生活垃圾。</w:t>
      </w:r>
    </w:p>
    <w:p w14:paraId="6EF89E52">
      <w:pPr>
        <w:bidi w:val="0"/>
        <w:spacing w:line="360" w:lineRule="auto"/>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1）猪粪</w:t>
      </w:r>
    </w:p>
    <w:p w14:paraId="379D1652">
      <w:pPr>
        <w:spacing w:line="360" w:lineRule="auto"/>
        <w:ind w:firstLine="960" w:firstLineChars="4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根据《规模畜禽养殖场污染防治最佳可行技术指南（试行）》</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（HJ-BAT-10-2013）</w:t>
      </w:r>
      <w:r>
        <w:rPr>
          <w:rFonts w:ascii="Times New Roman" w:hAnsi="Times New Roman" w:eastAsia="宋体" w:cs="宋体"/>
          <w:b w:val="0"/>
          <w:bCs w:val="0"/>
          <w:color w:val="000000" w:themeColor="text1"/>
          <w:kern w:val="0"/>
          <w:szCs w:val="24"/>
          <w:highlight w:val="none"/>
          <w14:textFill>
            <w14:solidFill>
              <w14:schemeClr w14:val="tx1"/>
            </w14:solidFill>
          </w14:textFill>
        </w:rPr>
        <w:t>编制说明，猪</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粪</w:t>
      </w:r>
      <w:r>
        <w:rPr>
          <w:rFonts w:ascii="Times New Roman" w:hAnsi="Times New Roman" w:eastAsia="宋体" w:cs="宋体"/>
          <w:b w:val="0"/>
          <w:bCs w:val="0"/>
          <w:color w:val="000000" w:themeColor="text1"/>
          <w:kern w:val="0"/>
          <w:szCs w:val="24"/>
          <w:highlight w:val="none"/>
          <w14:textFill>
            <w14:solidFill>
              <w14:schemeClr w14:val="tx1"/>
            </w14:solidFill>
          </w14:textFill>
        </w:rPr>
        <w:t>排泄量计算公式为：</w:t>
      </w:r>
    </w:p>
    <w:p w14:paraId="71066C4E">
      <w:pPr>
        <w:spacing w:line="360" w:lineRule="auto"/>
        <w:ind w:firstLine="480" w:firstLineChars="200"/>
        <w:jc w:val="left"/>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Yf</w:t>
      </w:r>
      <w:r>
        <w:rPr>
          <w:rFonts w:ascii="Times New Roman" w:hAnsi="Times New Roman" w:eastAsia="宋体" w:cs="宋体"/>
          <w:b w:val="0"/>
          <w:bCs w:val="0"/>
          <w:color w:val="000000" w:themeColor="text1"/>
          <w:kern w:val="0"/>
          <w:szCs w:val="24"/>
          <w:highlight w:val="none"/>
          <w14:textFill>
            <w14:solidFill>
              <w14:schemeClr w14:val="tx1"/>
            </w14:solidFill>
          </w14:textFill>
        </w:rPr>
        <w:t>=0.</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530F-0.049</w:t>
      </w:r>
    </w:p>
    <w:p w14:paraId="6E94D147">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式中，</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Yf</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粪便</w:t>
      </w:r>
      <w:r>
        <w:rPr>
          <w:rFonts w:ascii="Times New Roman" w:hAnsi="Times New Roman" w:eastAsia="宋体" w:cs="宋体"/>
          <w:b w:val="0"/>
          <w:bCs w:val="0"/>
          <w:color w:val="000000" w:themeColor="text1"/>
          <w:kern w:val="0"/>
          <w:szCs w:val="24"/>
          <w:highlight w:val="none"/>
          <w14:textFill>
            <w14:solidFill>
              <w14:schemeClr w14:val="tx1"/>
            </w14:solidFill>
          </w14:textFill>
        </w:rPr>
        <w:t>排泄量，单位：</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w:t>
      </w:r>
      <w:r>
        <w:rPr>
          <w:rFonts w:ascii="Times New Roman" w:hAnsi="Times New Roman" w:eastAsia="宋体" w:cs="宋体"/>
          <w:b w:val="0"/>
          <w:bCs w:val="0"/>
          <w:color w:val="000000" w:themeColor="text1"/>
          <w:kern w:val="0"/>
          <w:szCs w:val="24"/>
          <w:highlight w:val="none"/>
          <w14:textFill>
            <w14:solidFill>
              <w14:schemeClr w14:val="tx1"/>
            </w14:solidFill>
          </w14:textFill>
        </w:rPr>
        <w:t>；</w:t>
      </w:r>
    </w:p>
    <w:p w14:paraId="735E66A4">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F</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饲料采食量</w:t>
      </w:r>
      <w:r>
        <w:rPr>
          <w:rFonts w:ascii="Times New Roman" w:hAnsi="Times New Roman" w:eastAsia="宋体" w:cs="宋体"/>
          <w:b w:val="0"/>
          <w:bCs w:val="0"/>
          <w:color w:val="000000" w:themeColor="text1"/>
          <w:kern w:val="0"/>
          <w:szCs w:val="24"/>
          <w:highlight w:val="none"/>
          <w14:textFill>
            <w14:solidFill>
              <w14:schemeClr w14:val="tx1"/>
            </w14:solidFill>
          </w14:textFill>
        </w:rPr>
        <w:t>，单位：</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kg</w:t>
      </w:r>
      <w:r>
        <w:rPr>
          <w:rFonts w:ascii="Times New Roman" w:hAnsi="Times New Roman" w:eastAsia="宋体" w:cs="宋体"/>
          <w:b w:val="0"/>
          <w:bCs w:val="0"/>
          <w:color w:val="000000" w:themeColor="text1"/>
          <w:kern w:val="0"/>
          <w:szCs w:val="24"/>
          <w:highlight w:val="none"/>
          <w14:textFill>
            <w14:solidFill>
              <w14:schemeClr w14:val="tx1"/>
            </w14:solidFill>
          </w14:textFill>
        </w:rPr>
        <w:t>/(d·头)。</w:t>
      </w:r>
    </w:p>
    <w:p w14:paraId="12842B8A">
      <w:pPr>
        <w:spacing w:line="360" w:lineRule="auto"/>
        <w:ind w:firstLine="480" w:firstLineChars="200"/>
        <w:jc w:val="left"/>
        <w:rPr>
          <w:rFonts w:hint="eastAsia" w:eastAsia="宋体"/>
          <w:color w:val="000000" w:themeColor="text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经计算，项目养殖过程猪</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粪便</w:t>
      </w:r>
      <w:r>
        <w:rPr>
          <w:rFonts w:ascii="Times New Roman" w:hAnsi="Times New Roman" w:eastAsia="宋体" w:cs="宋体"/>
          <w:b w:val="0"/>
          <w:bCs w:val="0"/>
          <w:color w:val="000000" w:themeColor="text1"/>
          <w:kern w:val="0"/>
          <w:szCs w:val="24"/>
          <w:highlight w:val="none"/>
          <w14:textFill>
            <w14:solidFill>
              <w14:schemeClr w14:val="tx1"/>
            </w14:solidFill>
          </w14:textFill>
        </w:rPr>
        <w:t>产生量见表</w:t>
      </w:r>
      <w:r>
        <w:rPr>
          <w:rFonts w:hint="eastAsia" w:eastAsia="宋体" w:cs="宋体"/>
          <w:b w:val="0"/>
          <w:bCs w:val="0"/>
          <w:color w:val="000000" w:themeColor="text1"/>
          <w:kern w:val="0"/>
          <w:szCs w:val="24"/>
          <w:highlight w:val="none"/>
          <w:lang w:val="en-US" w:eastAsia="zh-CN"/>
          <w14:textFill>
            <w14:solidFill>
              <w14:schemeClr w14:val="tx1"/>
            </w14:solidFill>
          </w14:textFill>
        </w:rPr>
        <w:t>3.10-13</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p>
    <w:p w14:paraId="6D11F354">
      <w:pPr>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表</w:t>
      </w: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3.</w:t>
      </w:r>
      <w:r>
        <w:rPr>
          <w:rFonts w:hint="eastAsia" w:eastAsia="宋体" w:cs="宋体"/>
          <w:b/>
          <w:bCs/>
          <w:color w:val="000000" w:themeColor="text1"/>
          <w:kern w:val="0"/>
          <w:sz w:val="21"/>
          <w:szCs w:val="21"/>
          <w:highlight w:val="none"/>
          <w:lang w:val="en-US" w:eastAsia="zh-CN"/>
          <w14:textFill>
            <w14:solidFill>
              <w14:schemeClr w14:val="tx1"/>
            </w14:solidFill>
          </w14:textFill>
        </w:rPr>
        <w:t>10</w:t>
      </w:r>
      <w:r>
        <w:rPr>
          <w:rFonts w:hint="eastAsia" w:ascii="Times New Roman" w:hAnsi="Times New Roman" w:eastAsia="宋体" w:cs="宋体"/>
          <w:b/>
          <w:bCs/>
          <w:color w:val="000000" w:themeColor="text1"/>
          <w:kern w:val="0"/>
          <w:sz w:val="21"/>
          <w:szCs w:val="21"/>
          <w:highlight w:val="none"/>
          <w14:textFill>
            <w14:solidFill>
              <w14:schemeClr w14:val="tx1"/>
            </w14:solidFill>
          </w14:textFill>
        </w:rPr>
        <w:t>-</w:t>
      </w:r>
      <w:r>
        <w:rPr>
          <w:rFonts w:hint="eastAsia" w:eastAsia="宋体" w:cs="宋体"/>
          <w:b/>
          <w:bCs/>
          <w:color w:val="000000" w:themeColor="text1"/>
          <w:kern w:val="0"/>
          <w:sz w:val="21"/>
          <w:szCs w:val="21"/>
          <w:highlight w:val="none"/>
          <w:lang w:val="en-US" w:eastAsia="zh-CN"/>
          <w14:textFill>
            <w14:solidFill>
              <w14:schemeClr w14:val="tx1"/>
            </w14:solidFill>
          </w14:textFill>
        </w:rPr>
        <w:t>13</w:t>
      </w:r>
      <w:r>
        <w:rPr>
          <w:rFonts w:hint="eastAsia" w:ascii="Times New Roman" w:hAnsi="Times New Roman" w:eastAsia="宋体" w:cs="宋体"/>
          <w:b/>
          <w:bCs/>
          <w:color w:val="000000" w:themeColor="text1"/>
          <w:kern w:val="0"/>
          <w:sz w:val="21"/>
          <w:szCs w:val="21"/>
          <w:highlight w:val="none"/>
          <w:lang w:val="en-US" w:eastAsia="zh-CN"/>
          <w14:textFill>
            <w14:solidFill>
              <w14:schemeClr w14:val="tx1"/>
            </w14:solidFill>
          </w14:textFill>
        </w:rPr>
        <w:t xml:space="preserve">  项目粪便产生量分</w:t>
      </w:r>
      <w:r>
        <w:rPr>
          <w:rFonts w:ascii="Times New Roman" w:hAnsi="Times New Roman" w:eastAsia="宋体" w:cs="宋体"/>
          <w:b/>
          <w:bCs/>
          <w:color w:val="000000" w:themeColor="text1"/>
          <w:kern w:val="0"/>
          <w:sz w:val="21"/>
          <w:szCs w:val="21"/>
          <w:highlight w:val="none"/>
          <w14:textFill>
            <w14:solidFill>
              <w14:schemeClr w14:val="tx1"/>
            </w14:solidFill>
          </w14:textFill>
        </w:rPr>
        <w:t>析</w:t>
      </w:r>
    </w:p>
    <w:tbl>
      <w:tblPr>
        <w:tblStyle w:val="33"/>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9"/>
        <w:gridCol w:w="1351"/>
        <w:gridCol w:w="1283"/>
        <w:gridCol w:w="1402"/>
        <w:gridCol w:w="984"/>
        <w:gridCol w:w="1267"/>
      </w:tblGrid>
      <w:tr w14:paraId="5963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1192" w:type="pct"/>
            <w:vAlign w:val="center"/>
          </w:tcPr>
          <w:p w14:paraId="56BF3A1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种类</w:t>
            </w:r>
          </w:p>
        </w:tc>
        <w:tc>
          <w:tcPr>
            <w:tcW w:w="818" w:type="pct"/>
            <w:vAlign w:val="center"/>
          </w:tcPr>
          <w:p w14:paraId="5FF0820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b/>
                <w:bCs/>
                <w:color w:val="000000" w:themeColor="text1"/>
                <w:sz w:val="21"/>
                <w:szCs w:val="21"/>
                <w:highlight w:val="none"/>
                <w14:textFill>
                  <w14:solidFill>
                    <w14:schemeClr w14:val="tx1"/>
                  </w14:solidFill>
                </w14:textFill>
              </w:rPr>
              <w:t>饲料定额（kg/头·d）</w:t>
            </w:r>
          </w:p>
        </w:tc>
        <w:tc>
          <w:tcPr>
            <w:tcW w:w="777" w:type="pct"/>
            <w:vAlign w:val="center"/>
          </w:tcPr>
          <w:p w14:paraId="7398D76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常年存栏量</w:t>
            </w:r>
          </w:p>
        </w:tc>
        <w:tc>
          <w:tcPr>
            <w:tcW w:w="849" w:type="pct"/>
            <w:vAlign w:val="center"/>
          </w:tcPr>
          <w:p w14:paraId="1115976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宋体"/>
                <w:b/>
                <w:bCs/>
                <w:color w:val="000000" w:themeColor="text1"/>
                <w:kern w:val="0"/>
                <w:sz w:val="21"/>
                <w:szCs w:val="21"/>
                <w:highlight w:val="none"/>
                <w:lang w:val="en-US" w:eastAsia="zh-CN"/>
                <w14:textFill>
                  <w14:solidFill>
                    <w14:schemeClr w14:val="tx1"/>
                  </w14:solidFill>
                </w14:textFill>
              </w:rPr>
              <w:t>粪便产生量</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（kg/d.头）</w:t>
            </w:r>
          </w:p>
        </w:tc>
        <w:tc>
          <w:tcPr>
            <w:tcW w:w="595" w:type="pct"/>
            <w:vAlign w:val="center"/>
          </w:tcPr>
          <w:p w14:paraId="2BC808D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生产</w:t>
            </w: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天数</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d</w:t>
            </w:r>
          </w:p>
        </w:tc>
        <w:tc>
          <w:tcPr>
            <w:tcW w:w="767" w:type="pct"/>
            <w:vAlign w:val="center"/>
          </w:tcPr>
          <w:p w14:paraId="255DC7B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eastAsia="zh-CN"/>
                <w14:textFill>
                  <w14:solidFill>
                    <w14:schemeClr w14:val="tx1"/>
                  </w14:solidFill>
                </w14:textFill>
              </w:rPr>
              <w:t>总</w:t>
            </w:r>
            <w:r>
              <w:rPr>
                <w:rFonts w:hint="eastAsia" w:ascii="Times New Roman" w:hAnsi="Times New Roman" w:eastAsia="宋体" w:cs="宋体"/>
                <w:b/>
                <w:bCs/>
                <w:color w:val="000000" w:themeColor="text1"/>
                <w:kern w:val="0"/>
                <w:sz w:val="21"/>
                <w:szCs w:val="21"/>
                <w:highlight w:val="none"/>
                <w:lang w:val="en-US" w:eastAsia="zh-CN"/>
                <w14:textFill>
                  <w14:solidFill>
                    <w14:schemeClr w14:val="tx1"/>
                  </w14:solidFill>
                </w14:textFill>
              </w:rPr>
              <w:t>粪便产生量</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t</w:t>
            </w:r>
          </w:p>
        </w:tc>
      </w:tr>
      <w:tr w14:paraId="22F9C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1192" w:type="pct"/>
            <w:vAlign w:val="center"/>
          </w:tcPr>
          <w:p w14:paraId="4739242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成年母猪</w:t>
            </w:r>
            <w:r>
              <w:rPr>
                <w:rFonts w:hint="eastAsia" w:cs="Times New Roman"/>
                <w:color w:val="000000" w:themeColor="text1"/>
                <w:sz w:val="21"/>
                <w:szCs w:val="21"/>
                <w:highlight w:val="none"/>
                <w:lang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除</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带仔哺乳母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猪</w:t>
            </w:r>
            <w:r>
              <w:rPr>
                <w:rFonts w:hint="eastAsia" w:cs="Times New Roman"/>
                <w:color w:val="000000" w:themeColor="text1"/>
                <w:sz w:val="21"/>
                <w:szCs w:val="21"/>
                <w:highlight w:val="none"/>
                <w:lang w:eastAsia="zh-CN"/>
                <w14:textFill>
                  <w14:solidFill>
                    <w14:schemeClr w14:val="tx1"/>
                  </w14:solidFill>
                </w14:textFill>
              </w:rPr>
              <w:t>）</w:t>
            </w:r>
          </w:p>
        </w:tc>
        <w:tc>
          <w:tcPr>
            <w:tcW w:w="818" w:type="pct"/>
            <w:vAlign w:val="center"/>
          </w:tcPr>
          <w:p w14:paraId="7E591AD5">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777" w:type="pct"/>
            <w:vAlign w:val="center"/>
          </w:tcPr>
          <w:p w14:paraId="5008278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4023</w:t>
            </w:r>
          </w:p>
        </w:tc>
        <w:tc>
          <w:tcPr>
            <w:tcW w:w="849" w:type="pct"/>
            <w:vAlign w:val="center"/>
          </w:tcPr>
          <w:p w14:paraId="2A33F314">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1.276</w:t>
            </w:r>
          </w:p>
        </w:tc>
        <w:tc>
          <w:tcPr>
            <w:tcW w:w="595" w:type="pct"/>
            <w:vMerge w:val="restart"/>
            <w:vAlign w:val="center"/>
          </w:tcPr>
          <w:p w14:paraId="31257CDA">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365</w:t>
            </w:r>
          </w:p>
        </w:tc>
        <w:tc>
          <w:tcPr>
            <w:tcW w:w="767" w:type="pct"/>
            <w:vAlign w:val="center"/>
          </w:tcPr>
          <w:p w14:paraId="0B4847C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1873.67</w:t>
            </w:r>
          </w:p>
        </w:tc>
      </w:tr>
      <w:tr w14:paraId="1944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2" w:type="pct"/>
            <w:vAlign w:val="center"/>
          </w:tcPr>
          <w:p w14:paraId="2B095F8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后备母猪</w:t>
            </w:r>
          </w:p>
        </w:tc>
        <w:tc>
          <w:tcPr>
            <w:tcW w:w="818" w:type="pct"/>
            <w:vAlign w:val="center"/>
          </w:tcPr>
          <w:p w14:paraId="1BC27974">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777" w:type="pct"/>
            <w:vAlign w:val="center"/>
          </w:tcPr>
          <w:p w14:paraId="01B9690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1452</w:t>
            </w:r>
          </w:p>
        </w:tc>
        <w:tc>
          <w:tcPr>
            <w:tcW w:w="849" w:type="pct"/>
            <w:vAlign w:val="center"/>
          </w:tcPr>
          <w:p w14:paraId="5366E3BA">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1.011</w:t>
            </w:r>
          </w:p>
        </w:tc>
        <w:tc>
          <w:tcPr>
            <w:tcW w:w="595" w:type="pct"/>
            <w:vMerge w:val="continue"/>
            <w:vAlign w:val="center"/>
          </w:tcPr>
          <w:p w14:paraId="4F1A4B8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05928D6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535.81</w:t>
            </w:r>
          </w:p>
        </w:tc>
      </w:tr>
      <w:tr w14:paraId="7F9F1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2" w:type="pct"/>
            <w:vAlign w:val="center"/>
          </w:tcPr>
          <w:p w14:paraId="5747093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种公猪</w:t>
            </w:r>
          </w:p>
        </w:tc>
        <w:tc>
          <w:tcPr>
            <w:tcW w:w="818" w:type="pct"/>
            <w:vAlign w:val="center"/>
          </w:tcPr>
          <w:p w14:paraId="76D9BB0F">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777" w:type="pct"/>
            <w:vAlign w:val="center"/>
          </w:tcPr>
          <w:p w14:paraId="31D7824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160</w:t>
            </w:r>
          </w:p>
        </w:tc>
        <w:tc>
          <w:tcPr>
            <w:tcW w:w="849" w:type="pct"/>
            <w:vAlign w:val="center"/>
          </w:tcPr>
          <w:p w14:paraId="1B9FAD9B">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1.276</w:t>
            </w:r>
          </w:p>
        </w:tc>
        <w:tc>
          <w:tcPr>
            <w:tcW w:w="595" w:type="pct"/>
            <w:vMerge w:val="continue"/>
            <w:vAlign w:val="center"/>
          </w:tcPr>
          <w:p w14:paraId="14AC2F5F">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24789DB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74.52</w:t>
            </w:r>
          </w:p>
        </w:tc>
      </w:tr>
      <w:tr w14:paraId="5C9D6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2" w:type="pct"/>
            <w:vAlign w:val="center"/>
          </w:tcPr>
          <w:p w14:paraId="729D3A12">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后备公猪</w:t>
            </w:r>
          </w:p>
        </w:tc>
        <w:tc>
          <w:tcPr>
            <w:tcW w:w="818" w:type="pct"/>
            <w:vAlign w:val="center"/>
          </w:tcPr>
          <w:p w14:paraId="30969BCB">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777" w:type="pct"/>
            <w:vAlign w:val="center"/>
          </w:tcPr>
          <w:p w14:paraId="7D50D37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849" w:type="pct"/>
            <w:vAlign w:val="center"/>
          </w:tcPr>
          <w:p w14:paraId="13A52908">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1.011</w:t>
            </w:r>
          </w:p>
        </w:tc>
        <w:tc>
          <w:tcPr>
            <w:tcW w:w="595" w:type="pct"/>
            <w:vMerge w:val="continue"/>
            <w:vAlign w:val="center"/>
          </w:tcPr>
          <w:p w14:paraId="1D6761A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3D729DC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29.52</w:t>
            </w:r>
          </w:p>
        </w:tc>
      </w:tr>
      <w:tr w14:paraId="7714E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exact"/>
          <w:jc w:val="center"/>
        </w:trPr>
        <w:tc>
          <w:tcPr>
            <w:tcW w:w="1192" w:type="pct"/>
            <w:vAlign w:val="center"/>
          </w:tcPr>
          <w:p w14:paraId="51DD760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带仔哺乳母</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猪</w:t>
            </w:r>
          </w:p>
        </w:tc>
        <w:tc>
          <w:tcPr>
            <w:tcW w:w="818" w:type="pct"/>
            <w:vAlign w:val="center"/>
          </w:tcPr>
          <w:p w14:paraId="4B024A9C">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w:t>
            </w:r>
          </w:p>
        </w:tc>
        <w:tc>
          <w:tcPr>
            <w:tcW w:w="777" w:type="pct"/>
            <w:vAlign w:val="center"/>
          </w:tcPr>
          <w:p w14:paraId="0F7143E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817</w:t>
            </w:r>
          </w:p>
        </w:tc>
        <w:tc>
          <w:tcPr>
            <w:tcW w:w="849" w:type="pct"/>
            <w:vAlign w:val="center"/>
          </w:tcPr>
          <w:p w14:paraId="63FEF65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2.071</w:t>
            </w:r>
          </w:p>
        </w:tc>
        <w:tc>
          <w:tcPr>
            <w:tcW w:w="595" w:type="pct"/>
            <w:vMerge w:val="continue"/>
            <w:vAlign w:val="center"/>
          </w:tcPr>
          <w:p w14:paraId="2D6BB35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6BB67BD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617.58</w:t>
            </w:r>
          </w:p>
        </w:tc>
      </w:tr>
      <w:tr w14:paraId="34E0D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2" w:type="pct"/>
            <w:vAlign w:val="center"/>
          </w:tcPr>
          <w:p w14:paraId="47DA7F1D">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保育仔猪</w:t>
            </w:r>
          </w:p>
        </w:tc>
        <w:tc>
          <w:tcPr>
            <w:tcW w:w="818" w:type="pct"/>
            <w:vAlign w:val="center"/>
          </w:tcPr>
          <w:p w14:paraId="0C1FEB47">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777" w:type="pct"/>
            <w:vAlign w:val="center"/>
          </w:tcPr>
          <w:p w14:paraId="56B6D5E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11852</w:t>
            </w:r>
          </w:p>
        </w:tc>
        <w:tc>
          <w:tcPr>
            <w:tcW w:w="849" w:type="pct"/>
            <w:vAlign w:val="center"/>
          </w:tcPr>
          <w:p w14:paraId="6231EBA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0.481</w:t>
            </w:r>
          </w:p>
        </w:tc>
        <w:tc>
          <w:tcPr>
            <w:tcW w:w="595" w:type="pct"/>
            <w:vMerge w:val="continue"/>
            <w:vAlign w:val="center"/>
          </w:tcPr>
          <w:p w14:paraId="27DD4DE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4EB754A9">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2080.80</w:t>
            </w:r>
          </w:p>
        </w:tc>
      </w:tr>
      <w:tr w14:paraId="65AA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exact"/>
          <w:jc w:val="center"/>
        </w:trPr>
        <w:tc>
          <w:tcPr>
            <w:tcW w:w="1192" w:type="pct"/>
            <w:vAlign w:val="center"/>
          </w:tcPr>
          <w:p w14:paraId="3394632B">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生长育肥猪</w:t>
            </w:r>
          </w:p>
        </w:tc>
        <w:tc>
          <w:tcPr>
            <w:tcW w:w="818" w:type="pct"/>
            <w:vAlign w:val="center"/>
          </w:tcPr>
          <w:p w14:paraId="08A30E2D">
            <w:pPr>
              <w:spacing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777" w:type="pct"/>
            <w:vAlign w:val="center"/>
          </w:tcPr>
          <w:p w14:paraId="77D8F856">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6653</w:t>
            </w:r>
          </w:p>
        </w:tc>
        <w:tc>
          <w:tcPr>
            <w:tcW w:w="849" w:type="pct"/>
            <w:vAlign w:val="center"/>
          </w:tcPr>
          <w:p w14:paraId="540014C7">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1.011</w:t>
            </w:r>
          </w:p>
        </w:tc>
        <w:tc>
          <w:tcPr>
            <w:tcW w:w="595" w:type="pct"/>
            <w:vMerge w:val="continue"/>
            <w:vAlign w:val="center"/>
          </w:tcPr>
          <w:p w14:paraId="32AD6168">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p>
        </w:tc>
        <w:tc>
          <w:tcPr>
            <w:tcW w:w="767" w:type="pct"/>
            <w:vAlign w:val="center"/>
          </w:tcPr>
          <w:p w14:paraId="37735193">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2455.06</w:t>
            </w:r>
          </w:p>
        </w:tc>
      </w:tr>
      <w:tr w14:paraId="2D81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192" w:type="pct"/>
            <w:vAlign w:val="center"/>
          </w:tcPr>
          <w:p w14:paraId="0492CAB5">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合计</w:t>
            </w:r>
          </w:p>
        </w:tc>
        <w:tc>
          <w:tcPr>
            <w:tcW w:w="818" w:type="pct"/>
            <w:vAlign w:val="center"/>
          </w:tcPr>
          <w:p w14:paraId="1B9B6AFE">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77" w:type="pct"/>
            <w:vAlign w:val="center"/>
          </w:tcPr>
          <w:p w14:paraId="3E6238B0">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849" w:type="pct"/>
            <w:vAlign w:val="center"/>
          </w:tcPr>
          <w:p w14:paraId="0AB75981">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595" w:type="pct"/>
            <w:vAlign w:val="center"/>
          </w:tcPr>
          <w:p w14:paraId="0C11A6F3">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w:t>
            </w:r>
          </w:p>
        </w:tc>
        <w:tc>
          <w:tcPr>
            <w:tcW w:w="767" w:type="pct"/>
            <w:vAlign w:val="center"/>
          </w:tcPr>
          <w:p w14:paraId="5E813F4C">
            <w:pPr>
              <w:pStyle w:val="78"/>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7666.96</w:t>
            </w:r>
          </w:p>
        </w:tc>
      </w:tr>
    </w:tbl>
    <w:p w14:paraId="5C4464E5">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故粪便总排泄量</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为</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7666.96</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t/d）。</w:t>
      </w:r>
    </w:p>
    <w:p w14:paraId="0040F888">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eastAsia="宋体"/>
          <w:color w:val="000000" w:themeColor="text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根据类比已投入运营的种猪育肥场运营经验，粪尿经固液分离后，约有3</w:t>
      </w:r>
      <w:r>
        <w:rPr>
          <w:rFonts w:ascii="Times New Roman" w:hAnsi="Times New Roman" w:eastAsia="宋体" w:cs="宋体"/>
          <w:b w:val="0"/>
          <w:bCs w:val="0"/>
          <w:color w:val="000000" w:themeColor="text1"/>
          <w:kern w:val="0"/>
          <w:szCs w:val="24"/>
          <w:highlight w:val="none"/>
          <w14:textFill>
            <w14:solidFill>
              <w14:schemeClr w14:val="tx1"/>
            </w14:solidFill>
          </w14:textFill>
        </w:rPr>
        <w:t>0%</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滤液产生量，即</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2</w:t>
      </w:r>
      <w:r>
        <w:rPr>
          <w:rFonts w:hint="eastAsia" w:cs="宋体"/>
          <w:b w:val="0"/>
          <w:bCs w:val="0"/>
          <w:color w:val="000000" w:themeColor="text1"/>
          <w:kern w:val="0"/>
          <w:szCs w:val="24"/>
          <w:highlight w:val="none"/>
          <w:lang w:val="en-US" w:eastAsia="zh-CN"/>
          <w14:textFill>
            <w14:solidFill>
              <w14:schemeClr w14:val="tx1"/>
            </w14:solidFill>
          </w14:textFill>
        </w:rPr>
        <w:t>300.09</w:t>
      </w:r>
      <w:r>
        <w:rPr>
          <w:rFonts w:hint="eastAsia" w:ascii="Times New Roman" w:hAnsi="Times New Roman" w:eastAsia="宋体" w:cs="宋体"/>
          <w:b w:val="0"/>
          <w:bCs w:val="0"/>
          <w:color w:val="000000" w:themeColor="text1"/>
          <w:kern w:val="0"/>
          <w:szCs w:val="24"/>
          <w:highlight w:val="none"/>
          <w:vertAlign w:val="baseline"/>
          <w:lang w:val="en-US" w:eastAsia="zh-CN"/>
          <w14:textFill>
            <w14:solidFill>
              <w14:schemeClr w14:val="tx1"/>
            </w14:solidFill>
          </w14:textFill>
        </w:rPr>
        <w:t>t</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cs="宋体"/>
          <w:b w:val="0"/>
          <w:bCs w:val="0"/>
          <w:color w:val="000000" w:themeColor="text1"/>
          <w:kern w:val="0"/>
          <w:szCs w:val="24"/>
          <w:highlight w:val="none"/>
          <w:lang w:val="en-US" w:eastAsia="zh-CN"/>
          <w14:textFill>
            <w14:solidFill>
              <w14:schemeClr w14:val="tx1"/>
            </w14:solidFill>
          </w14:textFill>
        </w:rPr>
        <w:t>2254.99</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。其余</w:t>
      </w:r>
      <w:r>
        <w:rPr>
          <w:rFonts w:ascii="Times New Roman" w:hAnsi="Times New Roman" w:eastAsia="宋体" w:cs="宋体"/>
          <w:b w:val="0"/>
          <w:bCs w:val="0"/>
          <w:color w:val="000000" w:themeColor="text1"/>
          <w:kern w:val="0"/>
          <w:szCs w:val="24"/>
          <w:highlight w:val="none"/>
          <w14:textFill>
            <w14:solidFill>
              <w14:schemeClr w14:val="tx1"/>
            </w14:solidFill>
          </w14:textFill>
        </w:rPr>
        <w:t>70%</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作为粪渣好氧堆肥生产有机肥基料。</w:t>
      </w:r>
      <w:r>
        <w:rPr>
          <w:rFonts w:hint="eastAsia" w:eastAsia="宋体" w:cs="宋体"/>
          <w:b w:val="0"/>
          <w:bCs w:val="0"/>
          <w:color w:val="000000" w:themeColor="text1"/>
          <w:kern w:val="0"/>
          <w:szCs w:val="24"/>
          <w:highlight w:val="none"/>
          <w:lang w:val="en-US" w:eastAsia="zh-CN"/>
          <w14:textFill>
            <w14:solidFill>
              <w14:schemeClr w14:val="tx1"/>
            </w14:solidFill>
          </w14:textFill>
        </w:rPr>
        <w:t>则去除</w:t>
      </w:r>
      <w:r>
        <w:rPr>
          <w:rFonts w:hint="default" w:ascii="Times New Roman" w:hAnsi="Times New Roman" w:eastAsia="宋体" w:cs="Times New Roman"/>
          <w:b w:val="0"/>
          <w:bCs w:val="0"/>
          <w:color w:val="000000" w:themeColor="text1"/>
          <w:highlight w:val="none"/>
          <w14:textFill>
            <w14:solidFill>
              <w14:schemeClr w14:val="tx1"/>
            </w14:solidFill>
          </w14:textFill>
        </w:rPr>
        <w:t>猪粪</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滤液</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后猪粪量为5366.87</w:t>
      </w:r>
      <w:r>
        <w:rPr>
          <w:rFonts w:hint="eastAsia" w:ascii="Times New Roman" w:hAnsi="Times New Roman" w:eastAsia="宋体" w:cs="宋体"/>
          <w:b w:val="0"/>
          <w:bCs w:val="0"/>
          <w:color w:val="000000" w:themeColor="text1"/>
          <w:kern w:val="0"/>
          <w:szCs w:val="24"/>
          <w:highlight w:val="none"/>
          <w:vertAlign w:val="baseline"/>
          <w:lang w:val="en-US" w:eastAsia="zh-CN"/>
          <w14:textFill>
            <w14:solidFill>
              <w14:schemeClr w14:val="tx1"/>
            </w14:solidFill>
          </w14:textFill>
        </w:rPr>
        <w:t>t</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p>
    <w:p w14:paraId="6152BBA1">
      <w:pPr>
        <w:bidi w:val="0"/>
        <w:spacing w:line="360" w:lineRule="auto"/>
        <w:ind w:firstLine="480" w:firstLineChars="20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cs="Times New Roman"/>
          <w:b w:val="0"/>
          <w:bCs w:val="0"/>
          <w:color w:val="000000" w:themeColor="text1"/>
          <w:highlight w:val="none"/>
          <w:lang w:eastAsia="zh-CN"/>
          <w14:textFill>
            <w14:solidFill>
              <w14:schemeClr w14:val="tx1"/>
            </w14:solidFill>
          </w14:textFill>
        </w:rPr>
        <w:t>项目</w:t>
      </w:r>
      <w:r>
        <w:rPr>
          <w:rFonts w:hint="default" w:ascii="Times New Roman" w:hAnsi="Times New Roman" w:eastAsia="宋体" w:cs="Times New Roman"/>
          <w:b w:val="0"/>
          <w:bCs w:val="0"/>
          <w:color w:val="000000" w:themeColor="text1"/>
          <w:highlight w:val="none"/>
          <w14:textFill>
            <w14:solidFill>
              <w14:schemeClr w14:val="tx1"/>
            </w14:solidFill>
          </w14:textFill>
        </w:rPr>
        <w:t>猪舍采用</w:t>
      </w:r>
      <w:r>
        <w:rPr>
          <w:rFonts w:hint="eastAsia" w:cs="Times New Roman"/>
          <w:b w:val="0"/>
          <w:bCs w:val="0"/>
          <w:color w:val="000000" w:themeColor="text1"/>
          <w:highlight w:val="none"/>
          <w:lang w:eastAsia="zh-CN"/>
          <w14:textFill>
            <w14:solidFill>
              <w14:schemeClr w14:val="tx1"/>
            </w14:solidFill>
          </w14:textFill>
        </w:rPr>
        <w:t>半漏缝地板</w:t>
      </w:r>
      <w:r>
        <w:rPr>
          <w:rFonts w:hint="default" w:ascii="Times New Roman" w:hAnsi="Times New Roman" w:eastAsia="宋体" w:cs="Times New Roman"/>
          <w:b w:val="0"/>
          <w:bCs w:val="0"/>
          <w:color w:val="000000" w:themeColor="text1"/>
          <w:highlight w:val="none"/>
          <w14:textFill>
            <w14:solidFill>
              <w14:schemeClr w14:val="tx1"/>
            </w14:solidFill>
          </w14:textFill>
        </w:rPr>
        <w:t>，不需人工清理。猪舍地板设置为漏缝板，猪粪在</w:t>
      </w:r>
      <w:r>
        <w:rPr>
          <w:rFonts w:hint="eastAsia" w:cs="Times New Roman"/>
          <w:b w:val="0"/>
          <w:bCs w:val="0"/>
          <w:color w:val="000000" w:themeColor="text1"/>
          <w:highlight w:val="none"/>
          <w:lang w:eastAsia="zh-CN"/>
          <w14:textFill>
            <w14:solidFill>
              <w14:schemeClr w14:val="tx1"/>
            </w14:solidFill>
          </w14:textFill>
        </w:rPr>
        <w:t>半漏板</w:t>
      </w:r>
      <w:r>
        <w:rPr>
          <w:rFonts w:hint="default" w:ascii="Times New Roman" w:hAnsi="Times New Roman" w:eastAsia="宋体" w:cs="Times New Roman"/>
          <w:b w:val="0"/>
          <w:bCs w:val="0"/>
          <w:color w:val="000000" w:themeColor="text1"/>
          <w:highlight w:val="none"/>
          <w14:textFill>
            <w14:solidFill>
              <w14:schemeClr w14:val="tx1"/>
            </w14:solidFill>
          </w14:textFill>
        </w:rPr>
        <w:t>上由猪踩踏后掉入下方的粪尿储存池，</w:t>
      </w:r>
      <w:r>
        <w:rPr>
          <w:rFonts w:hint="eastAsia" w:cs="Times New Roman"/>
          <w:b w:val="0"/>
          <w:bCs w:val="0"/>
          <w:color w:val="000000" w:themeColor="text1"/>
          <w:highlight w:val="none"/>
          <w:lang w:eastAsia="zh-CN"/>
          <w14:textFill>
            <w14:solidFill>
              <w14:schemeClr w14:val="tx1"/>
            </w14:solidFill>
          </w14:textFill>
        </w:rPr>
        <w:t>每天冲洗一次。</w:t>
      </w:r>
      <w:r>
        <w:rPr>
          <w:rFonts w:hint="default" w:ascii="Times New Roman" w:hAnsi="Times New Roman" w:eastAsia="宋体" w:cs="Times New Roman"/>
          <w:b w:val="0"/>
          <w:bCs w:val="0"/>
          <w:color w:val="000000" w:themeColor="text1"/>
          <w:highlight w:val="none"/>
          <w14:textFill>
            <w14:solidFill>
              <w14:schemeClr w14:val="tx1"/>
            </w14:solidFill>
          </w14:textFill>
        </w:rPr>
        <w:t>猪舍下粪尿储存池设置液位检测设施，液位达到一定高度后将猪舍冲水、尿、粪等排至废水收集池暂存后密闭输送至</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堆粪场</w:t>
      </w:r>
      <w:r>
        <w:rPr>
          <w:rFonts w:hint="default" w:ascii="Times New Roman" w:hAnsi="Times New Roman" w:eastAsia="宋体" w:cs="Times New Roman"/>
          <w:b w:val="0"/>
          <w:bCs w:val="0"/>
          <w:color w:val="000000" w:themeColor="text1"/>
          <w:highlight w:val="none"/>
          <w14:textFill>
            <w14:solidFill>
              <w14:schemeClr w14:val="tx1"/>
            </w14:solidFill>
          </w14:textFill>
        </w:rPr>
        <w:t>进行固液分离，经固液分离后，液体通过管道自流进入</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黑膜池</w:t>
      </w:r>
      <w:r>
        <w:rPr>
          <w:rFonts w:hint="default" w:ascii="Times New Roman" w:hAnsi="Times New Roman" w:eastAsia="宋体" w:cs="Times New Roman"/>
          <w:b w:val="0"/>
          <w:bCs w:val="0"/>
          <w:color w:val="000000" w:themeColor="text1"/>
          <w:highlight w:val="none"/>
          <w14:textFill>
            <w14:solidFill>
              <w14:schemeClr w14:val="tx1"/>
            </w14:solidFill>
          </w14:textFill>
        </w:rPr>
        <w:t>，猪粪去堆肥区。</w:t>
      </w:r>
    </w:p>
    <w:p w14:paraId="293A2C75">
      <w:pPr>
        <w:bidi w:val="0"/>
        <w:spacing w:line="360" w:lineRule="auto"/>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2）沼渣</w:t>
      </w:r>
    </w:p>
    <w:p w14:paraId="5F7C1227">
      <w:pPr>
        <w:spacing w:line="360" w:lineRule="auto"/>
        <w:ind w:firstLine="480" w:firstLineChars="200"/>
        <w:jc w:val="left"/>
        <w:rPr>
          <w:rFonts w:ascii="Times New Roman" w:hAnsi="Times New Roman" w:eastAsia="宋体" w:cs="宋体"/>
          <w:b w:val="0"/>
          <w:bCs w:val="0"/>
          <w:color w:val="000000" w:themeColor="text1"/>
          <w:kern w:val="0"/>
          <w:szCs w:val="24"/>
          <w:highlight w:val="none"/>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根据类比已投入运营的种猪育肥场运营经验</w:t>
      </w:r>
      <w:r>
        <w:rPr>
          <w:rFonts w:hint="eastAsia" w:ascii="Times New Roman" w:hAnsi="Times New Roman"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厌氧反应后的沼渣产生量约为</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沼液的7%，则</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产生量为</w:t>
      </w:r>
      <w:r>
        <w:rPr>
          <w:rFonts w:hint="eastAsia" w:cs="宋体"/>
          <w:b w:val="0"/>
          <w:bCs w:val="0"/>
          <w:color w:val="000000" w:themeColor="text1"/>
          <w:kern w:val="0"/>
          <w:szCs w:val="24"/>
          <w:highlight w:val="none"/>
          <w:lang w:val="en-US" w:eastAsia="zh-CN"/>
          <w14:textFill>
            <w14:solidFill>
              <w14:schemeClr w14:val="tx1"/>
            </w14:solidFill>
          </w14:textFill>
        </w:rPr>
        <w:t>3179.43</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，沼渣</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可做农肥，与发酵后的猪粪一起作为有机肥还田。</w:t>
      </w:r>
    </w:p>
    <w:p w14:paraId="6A4ED235">
      <w:pPr>
        <w:bidi w:val="0"/>
        <w:spacing w:line="360" w:lineRule="auto"/>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3）</w:t>
      </w:r>
      <w:r>
        <w:rPr>
          <w:rFonts w:hint="eastAsia" w:cs="Times New Roman"/>
          <w:b w:val="0"/>
          <w:bCs w:val="0"/>
          <w:color w:val="000000" w:themeColor="text1"/>
          <w:highlight w:val="none"/>
          <w:lang w:eastAsia="zh-CN"/>
          <w14:textFill>
            <w14:solidFill>
              <w14:schemeClr w14:val="tx1"/>
            </w14:solidFill>
          </w14:textFill>
        </w:rPr>
        <w:t>病死猪、胎衣</w:t>
      </w:r>
    </w:p>
    <w:p w14:paraId="54FBE6E0">
      <w:pPr>
        <w:bidi w:val="0"/>
        <w:spacing w:line="360" w:lineRule="auto"/>
        <w:ind w:firstLine="480" w:firstLineChars="200"/>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公司养殖场采用了科学化管理与养殖方式，</w:t>
      </w:r>
      <w:r>
        <w:rPr>
          <w:rFonts w:hint="eastAsia" w:cs="Times New Roman"/>
          <w:b w:val="0"/>
          <w:bCs w:val="0"/>
          <w:color w:val="000000" w:themeColor="text1"/>
          <w:highlight w:val="none"/>
          <w:lang w:eastAsia="zh-CN"/>
          <w14:textFill>
            <w14:solidFill>
              <w14:schemeClr w14:val="tx1"/>
            </w14:solidFill>
          </w14:textFill>
        </w:rPr>
        <w:t>病死猪、胎衣</w:t>
      </w:r>
      <w:r>
        <w:rPr>
          <w:rFonts w:hint="default" w:ascii="Times New Roman" w:hAnsi="Times New Roman" w:eastAsia="宋体" w:cs="Times New Roman"/>
          <w:b w:val="0"/>
          <w:bCs w:val="0"/>
          <w:color w:val="000000" w:themeColor="text1"/>
          <w:highlight w:val="none"/>
          <w14:textFill>
            <w14:solidFill>
              <w14:schemeClr w14:val="tx1"/>
            </w14:solidFill>
          </w14:textFill>
        </w:rPr>
        <w:t>产生量控制</w:t>
      </w:r>
      <w:r>
        <w:rPr>
          <w:rFonts w:hint="eastAsia" w:cs="Times New Roman"/>
          <w:b w:val="0"/>
          <w:bCs w:val="0"/>
          <w:color w:val="000000" w:themeColor="text1"/>
          <w:highlight w:val="none"/>
          <w:lang w:eastAsia="zh-CN"/>
          <w14:textFill>
            <w14:solidFill>
              <w14:schemeClr w14:val="tx1"/>
            </w14:solidFill>
          </w14:textFill>
        </w:rPr>
        <w:t>在</w:t>
      </w:r>
      <w:r>
        <w:rPr>
          <w:rFonts w:hint="default" w:ascii="Times New Roman" w:hAnsi="Times New Roman" w:eastAsia="宋体" w:cs="Times New Roman"/>
          <w:b w:val="0"/>
          <w:bCs w:val="0"/>
          <w:color w:val="000000" w:themeColor="text1"/>
          <w:highlight w:val="none"/>
          <w14:textFill>
            <w14:solidFill>
              <w14:schemeClr w14:val="tx1"/>
            </w14:solidFill>
          </w14:textFill>
        </w:rPr>
        <w:t>较低的比例，根据目前规模化养殖场的管理水平，出现</w:t>
      </w:r>
      <w:r>
        <w:rPr>
          <w:rFonts w:hint="eastAsia" w:cs="Times New Roman"/>
          <w:b w:val="0"/>
          <w:bCs w:val="0"/>
          <w:color w:val="000000" w:themeColor="text1"/>
          <w:highlight w:val="none"/>
          <w:lang w:eastAsia="zh-CN"/>
          <w14:textFill>
            <w14:solidFill>
              <w14:schemeClr w14:val="tx1"/>
            </w14:solidFill>
          </w14:textFill>
        </w:rPr>
        <w:t>病死猪、胎衣</w:t>
      </w:r>
      <w:r>
        <w:rPr>
          <w:rFonts w:hint="default" w:ascii="Times New Roman" w:hAnsi="Times New Roman" w:eastAsia="宋体" w:cs="Times New Roman"/>
          <w:b w:val="0"/>
          <w:bCs w:val="0"/>
          <w:color w:val="000000" w:themeColor="text1"/>
          <w:highlight w:val="none"/>
          <w14:textFill>
            <w14:solidFill>
              <w14:schemeClr w14:val="tx1"/>
            </w14:solidFill>
          </w14:textFill>
        </w:rPr>
        <w:t>的几率和数量较低。类比现有已建规模化养殖场生产情况，本项目</w:t>
      </w:r>
      <w:r>
        <w:rPr>
          <w:rFonts w:hint="eastAsia"/>
          <w:color w:val="000000" w:themeColor="text1"/>
          <w:highlight w:val="none"/>
          <w:lang w:val="en-US" w:eastAsia="zh-CN"/>
          <w14:textFill>
            <w14:solidFill>
              <w14:schemeClr w14:val="tx1"/>
            </w14:solidFill>
          </w14:textFill>
        </w:rPr>
        <w:t>哺乳期成活率</w:t>
      </w:r>
      <w:r>
        <w:rPr>
          <w:rFonts w:hint="default"/>
          <w:color w:val="000000" w:themeColor="text1"/>
          <w:highlight w:val="none"/>
          <w:lang w:val="en-US" w:eastAsia="zh-CN"/>
          <w14:textFill>
            <w14:solidFill>
              <w14:schemeClr w14:val="tx1"/>
            </w14:solidFill>
          </w14:textFill>
        </w:rPr>
        <w:t>9</w:t>
      </w: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color w:val="000000" w:themeColor="text1"/>
          <w:spacing w:val="8"/>
          <w:highlight w:val="none"/>
          <w14:textFill>
            <w14:solidFill>
              <w14:schemeClr w14:val="tx1"/>
            </w14:solidFill>
          </w14:textFill>
        </w:rPr>
        <w:t>保育仔猪</w:t>
      </w:r>
      <w:r>
        <w:rPr>
          <w:rFonts w:hint="eastAsia"/>
          <w:color w:val="000000" w:themeColor="text1"/>
          <w:highlight w:val="none"/>
          <w:lang w:val="en-US" w:eastAsia="zh-CN"/>
          <w14:textFill>
            <w14:solidFill>
              <w14:schemeClr w14:val="tx1"/>
            </w14:solidFill>
          </w14:textFill>
        </w:rPr>
        <w:t>成活率</w:t>
      </w:r>
      <w:r>
        <w:rPr>
          <w:rFonts w:hint="default"/>
          <w:color w:val="000000" w:themeColor="text1"/>
          <w:highlight w:val="none"/>
          <w:lang w:val="en-US" w:eastAsia="zh-CN"/>
          <w14:textFill>
            <w14:solidFill>
              <w14:schemeClr w14:val="tx1"/>
            </w14:solidFill>
          </w14:textFill>
        </w:rPr>
        <w:t>9</w:t>
      </w:r>
      <w:r>
        <w:rPr>
          <w:rFonts w:hint="eastAsia"/>
          <w:color w:val="000000" w:themeColor="text1"/>
          <w:highlight w:val="none"/>
          <w:lang w:val="en-US" w:eastAsia="zh-CN"/>
          <w14:textFill>
            <w14:solidFill>
              <w14:schemeClr w14:val="tx1"/>
            </w14:solidFill>
          </w14:textFill>
        </w:rPr>
        <w:t>6</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，育肥期成活率</w:t>
      </w:r>
      <w:r>
        <w:rPr>
          <w:rFonts w:hint="default"/>
          <w:color w:val="000000" w:themeColor="text1"/>
          <w:highlight w:val="none"/>
          <w:lang w:val="en-US" w:eastAsia="zh-CN"/>
          <w14:textFill>
            <w14:solidFill>
              <w14:schemeClr w14:val="tx1"/>
            </w14:solidFill>
          </w14:textFill>
        </w:rPr>
        <w:t>9</w:t>
      </w:r>
      <w:r>
        <w:rPr>
          <w:rFonts w:hint="eastAsia"/>
          <w:color w:val="000000" w:themeColor="text1"/>
          <w:highlight w:val="none"/>
          <w:lang w:val="en-US" w:eastAsia="zh-CN"/>
          <w14:textFill>
            <w14:solidFill>
              <w14:schemeClr w14:val="tx1"/>
            </w14:solidFill>
          </w14:textFill>
        </w:rPr>
        <w:t>9</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则</w:t>
      </w:r>
      <w:r>
        <w:rPr>
          <w:rFonts w:hint="eastAsia"/>
          <w:color w:val="000000" w:themeColor="text1"/>
          <w:highlight w:val="none"/>
          <w:lang w:val="en-US" w:eastAsia="zh-CN"/>
          <w14:textFill>
            <w14:solidFill>
              <w14:schemeClr w14:val="tx1"/>
            </w14:solidFill>
          </w14:textFill>
        </w:rPr>
        <w:t>哺乳期仔猪</w:t>
      </w:r>
      <w:r>
        <w:rPr>
          <w:rFonts w:hint="default" w:ascii="Times New Roman" w:hAnsi="Times New Roman" w:eastAsia="宋体" w:cs="Times New Roman"/>
          <w:b w:val="0"/>
          <w:bCs w:val="0"/>
          <w:color w:val="000000" w:themeColor="text1"/>
          <w:highlight w:val="none"/>
          <w14:textFill>
            <w14:solidFill>
              <w14:schemeClr w14:val="tx1"/>
            </w14:solidFill>
          </w14:textFill>
        </w:rPr>
        <w:t>年死亡数</w:t>
      </w:r>
      <w:r>
        <w:rPr>
          <w:rFonts w:hint="eastAsia" w:cs="Times New Roman"/>
          <w:b w:val="0"/>
          <w:bCs w:val="0"/>
          <w:color w:val="000000" w:themeColor="text1"/>
          <w:highlight w:val="none"/>
          <w:lang w:val="en-US" w:eastAsia="zh-CN"/>
          <w14:textFill>
            <w14:solidFill>
              <w14:schemeClr w14:val="tx1"/>
            </w14:solidFill>
          </w14:textFill>
        </w:rPr>
        <w:t>约</w:t>
      </w:r>
      <w:r>
        <w:rPr>
          <w:rFonts w:hint="default" w:ascii="Times New Roman" w:hAnsi="Times New Roman" w:eastAsia="宋体" w:cs="Times New Roman"/>
          <w:b w:val="0"/>
          <w:bCs w:val="0"/>
          <w:color w:val="000000" w:themeColor="text1"/>
          <w:highlight w:val="none"/>
          <w14:textFill>
            <w14:solidFill>
              <w14:schemeClr w14:val="tx1"/>
            </w14:solidFill>
          </w14:textFill>
        </w:rPr>
        <w:t>为</w:t>
      </w:r>
      <w:r>
        <w:rPr>
          <w:rFonts w:hint="eastAsia" w:cs="Times New Roman"/>
          <w:b w:val="0"/>
          <w:bCs w:val="0"/>
          <w:color w:val="000000" w:themeColor="text1"/>
          <w:highlight w:val="none"/>
          <w:lang w:val="en-US" w:eastAsia="zh-CN"/>
          <w14:textFill>
            <w14:solidFill>
              <w14:schemeClr w14:val="tx1"/>
            </w14:solidFill>
          </w14:textFill>
        </w:rPr>
        <w:t>9690</w:t>
      </w:r>
      <w:r>
        <w:rPr>
          <w:rFonts w:hint="default" w:ascii="Times New Roman" w:hAnsi="Times New Roman" w:eastAsia="宋体" w:cs="Times New Roman"/>
          <w:b w:val="0"/>
          <w:bCs w:val="0"/>
          <w:color w:val="000000" w:themeColor="text1"/>
          <w:highlight w:val="none"/>
          <w14:textFill>
            <w14:solidFill>
              <w14:schemeClr w14:val="tx1"/>
            </w14:solidFill>
          </w14:textFill>
        </w:rPr>
        <w:t>头，重量按</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highlight w:val="none"/>
          <w14:textFill>
            <w14:solidFill>
              <w14:schemeClr w14:val="tx1"/>
            </w14:solidFill>
          </w14:textFill>
        </w:rPr>
        <w:t>kg计</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r>
        <w:rPr>
          <w:color w:val="000000" w:themeColor="text1"/>
          <w:spacing w:val="8"/>
          <w:highlight w:val="none"/>
          <w14:textFill>
            <w14:solidFill>
              <w14:schemeClr w14:val="tx1"/>
            </w14:solidFill>
          </w14:textFill>
        </w:rPr>
        <w:t>保育仔猪</w:t>
      </w:r>
      <w:r>
        <w:rPr>
          <w:rFonts w:hint="default" w:ascii="Times New Roman" w:hAnsi="Times New Roman" w:eastAsia="宋体" w:cs="Times New Roman"/>
          <w:b w:val="0"/>
          <w:bCs w:val="0"/>
          <w:color w:val="000000" w:themeColor="text1"/>
          <w:highlight w:val="none"/>
          <w14:textFill>
            <w14:solidFill>
              <w14:schemeClr w14:val="tx1"/>
            </w14:solidFill>
          </w14:textFill>
        </w:rPr>
        <w:t>年死亡数</w:t>
      </w:r>
      <w:r>
        <w:rPr>
          <w:rFonts w:hint="eastAsia" w:cs="Times New Roman"/>
          <w:b w:val="0"/>
          <w:bCs w:val="0"/>
          <w:color w:val="000000" w:themeColor="text1"/>
          <w:highlight w:val="none"/>
          <w:lang w:val="en-US" w:eastAsia="zh-CN"/>
          <w14:textFill>
            <w14:solidFill>
              <w14:schemeClr w14:val="tx1"/>
            </w14:solidFill>
          </w14:textFill>
        </w:rPr>
        <w:t>约</w:t>
      </w:r>
      <w:r>
        <w:rPr>
          <w:rFonts w:hint="default" w:ascii="Times New Roman" w:hAnsi="Times New Roman" w:eastAsia="宋体" w:cs="Times New Roman"/>
          <w:b w:val="0"/>
          <w:bCs w:val="0"/>
          <w:color w:val="000000" w:themeColor="text1"/>
          <w:highlight w:val="none"/>
          <w14:textFill>
            <w14:solidFill>
              <w14:schemeClr w14:val="tx1"/>
            </w14:solidFill>
          </w14:textFill>
        </w:rPr>
        <w:t>为</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5150</w:t>
      </w:r>
      <w:r>
        <w:rPr>
          <w:rFonts w:hint="default" w:ascii="Times New Roman" w:hAnsi="Times New Roman" w:eastAsia="宋体" w:cs="Times New Roman"/>
          <w:b w:val="0"/>
          <w:bCs w:val="0"/>
          <w:color w:val="000000" w:themeColor="text1"/>
          <w:highlight w:val="none"/>
          <w14:textFill>
            <w14:solidFill>
              <w14:schemeClr w14:val="tx1"/>
            </w14:solidFill>
          </w14:textFill>
        </w:rPr>
        <w:t>头</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重量按</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highlight w:val="none"/>
          <w14:textFill>
            <w14:solidFill>
              <w14:schemeClr w14:val="tx1"/>
            </w14:solidFill>
          </w14:textFill>
        </w:rPr>
        <w:t>kg计</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育肥猪年死亡数</w:t>
      </w:r>
      <w:r>
        <w:rPr>
          <w:rFonts w:hint="eastAsia" w:cs="Times New Roman"/>
          <w:b w:val="0"/>
          <w:bCs w:val="0"/>
          <w:color w:val="000000" w:themeColor="text1"/>
          <w:highlight w:val="none"/>
          <w:lang w:val="en-US" w:eastAsia="zh-CN"/>
          <w14:textFill>
            <w14:solidFill>
              <w14:schemeClr w14:val="tx1"/>
            </w14:solidFill>
          </w14:textFill>
        </w:rPr>
        <w:t>约</w:t>
      </w:r>
      <w:r>
        <w:rPr>
          <w:rFonts w:hint="default" w:ascii="Times New Roman" w:hAnsi="Times New Roman" w:eastAsia="宋体" w:cs="Times New Roman"/>
          <w:b w:val="0"/>
          <w:bCs w:val="0"/>
          <w:color w:val="000000" w:themeColor="text1"/>
          <w:highlight w:val="none"/>
          <w14:textFill>
            <w14:solidFill>
              <w14:schemeClr w14:val="tx1"/>
            </w14:solidFill>
          </w14:textFill>
        </w:rPr>
        <w:t>为</w:t>
      </w:r>
      <w:r>
        <w:rPr>
          <w:rFonts w:hint="eastAsia" w:ascii="Times New Roman" w:hAnsi="Times New Roman" w:eastAsia="宋体" w:cs="Times New Roman"/>
          <w:b w:val="0"/>
          <w:bCs w:val="0"/>
          <w:color w:val="000000" w:themeColor="text1"/>
          <w:highlight w:val="none"/>
          <w:lang w:val="en-US" w:eastAsia="zh-CN"/>
          <w14:textFill>
            <w14:solidFill>
              <w14:schemeClr w14:val="tx1"/>
            </w14:solidFill>
          </w14:textFill>
        </w:rPr>
        <w:t>236</w:t>
      </w:r>
      <w:r>
        <w:rPr>
          <w:rFonts w:hint="default" w:ascii="Times New Roman" w:hAnsi="Times New Roman" w:eastAsia="宋体" w:cs="Times New Roman"/>
          <w:b w:val="0"/>
          <w:bCs w:val="0"/>
          <w:color w:val="000000" w:themeColor="text1"/>
          <w:highlight w:val="none"/>
          <w14:textFill>
            <w14:solidFill>
              <w14:schemeClr w14:val="tx1"/>
            </w14:solidFill>
          </w14:textFill>
        </w:rPr>
        <w:t>头</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重量按</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70</w:t>
      </w:r>
      <w:r>
        <w:rPr>
          <w:rFonts w:hint="default" w:ascii="Times New Roman" w:hAnsi="Times New Roman" w:eastAsia="宋体" w:cs="Times New Roman"/>
          <w:b w:val="0"/>
          <w:bCs w:val="0"/>
          <w:color w:val="000000" w:themeColor="text1"/>
          <w:highlight w:val="none"/>
          <w14:textFill>
            <w14:solidFill>
              <w14:schemeClr w14:val="tx1"/>
            </w14:solidFill>
          </w14:textFill>
        </w:rPr>
        <w:t>kg计</w:t>
      </w:r>
      <w:r>
        <w:rPr>
          <w:rFonts w:hint="eastAsia"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则</w:t>
      </w:r>
      <w:r>
        <w:rPr>
          <w:rFonts w:hint="eastAsia" w:cs="Times New Roman"/>
          <w:b w:val="0"/>
          <w:bCs w:val="0"/>
          <w:color w:val="000000" w:themeColor="text1"/>
          <w:highlight w:val="none"/>
          <w:lang w:eastAsia="zh-CN"/>
          <w14:textFill>
            <w14:solidFill>
              <w14:schemeClr w14:val="tx1"/>
            </w14:solidFill>
          </w14:textFill>
        </w:rPr>
        <w:t>病死猪、胎衣</w:t>
      </w:r>
      <w:r>
        <w:rPr>
          <w:rFonts w:hint="default" w:ascii="Times New Roman" w:hAnsi="Times New Roman" w:eastAsia="宋体" w:cs="Times New Roman"/>
          <w:b w:val="0"/>
          <w:bCs w:val="0"/>
          <w:color w:val="000000" w:themeColor="text1"/>
          <w:highlight w:val="none"/>
          <w14:textFill>
            <w14:solidFill>
              <w14:schemeClr w14:val="tx1"/>
            </w14:solidFill>
          </w14:textFill>
        </w:rPr>
        <w:t>产生量为</w:t>
      </w:r>
      <w:r>
        <w:rPr>
          <w:rFonts w:hint="eastAsia" w:cs="Times New Roman"/>
          <w:b w:val="0"/>
          <w:bCs w:val="0"/>
          <w:color w:val="000000" w:themeColor="text1"/>
          <w:highlight w:val="none"/>
          <w:lang w:val="en-US" w:eastAsia="zh-CN"/>
          <w14:textFill>
            <w14:solidFill>
              <w14:schemeClr w14:val="tx1"/>
            </w14:solidFill>
          </w14:textFill>
        </w:rPr>
        <w:t>197.04</w:t>
      </w:r>
      <w:r>
        <w:rPr>
          <w:rFonts w:hint="default" w:ascii="Times New Roman" w:hAnsi="Times New Roman" w:eastAsia="宋体" w:cs="Times New Roman"/>
          <w:b w:val="0"/>
          <w:bCs w:val="0"/>
          <w:color w:val="000000" w:themeColor="text1"/>
          <w:highlight w:val="none"/>
          <w14:textFill>
            <w14:solidFill>
              <w14:schemeClr w14:val="tx1"/>
            </w14:solidFill>
          </w14:textFill>
        </w:rPr>
        <w:t>t/a。</w:t>
      </w:r>
      <w:r>
        <w:rPr>
          <w:rFonts w:hint="default" w:ascii="Times New Roman" w:hAnsi="Times New Roman" w:eastAsia="宋体" w:cs="Times New Roman"/>
          <w:color w:val="000000" w:themeColor="text1"/>
          <w:highlight w:val="none"/>
          <w14:textFill>
            <w14:solidFill>
              <w14:schemeClr w14:val="tx1"/>
            </w14:solidFill>
          </w14:textFill>
        </w:rPr>
        <w:t>项目母猪繁育过程中将产生胎盘固废，产生量约为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highlight w:val="none"/>
          <w14:textFill>
            <w14:solidFill>
              <w14:schemeClr w14:val="tx1"/>
            </w14:solidFill>
          </w14:textFill>
        </w:rPr>
        <w:t>t/a</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则本项目</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病死猪、胎衣</w:t>
      </w:r>
      <w:r>
        <w:rPr>
          <w:rFonts w:hint="default" w:ascii="Times New Roman" w:hAnsi="Times New Roman" w:eastAsia="宋体" w:cs="Times New Roman"/>
          <w:color w:val="000000" w:themeColor="text1"/>
          <w:highlight w:val="none"/>
          <w14:textFill>
            <w14:solidFill>
              <w14:schemeClr w14:val="tx1"/>
            </w14:solidFill>
          </w14:textFill>
        </w:rPr>
        <w:t>产生量约为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200.04</w:t>
      </w:r>
      <w:r>
        <w:rPr>
          <w:rFonts w:hint="default" w:ascii="Times New Roman" w:hAnsi="Times New Roman" w:eastAsia="宋体" w:cs="Times New Roman"/>
          <w:color w:val="000000" w:themeColor="text1"/>
          <w:highlight w:val="none"/>
          <w14:textFill>
            <w14:solidFill>
              <w14:schemeClr w14:val="tx1"/>
            </w14:solidFill>
          </w14:textFill>
        </w:rPr>
        <w:t>t/a</w:t>
      </w:r>
      <w:r>
        <w:rPr>
          <w:rFonts w:hint="eastAsia" w:ascii="Times New Roman" w:hAnsi="Times New Roman" w:eastAsia="宋体" w:cs="Times New Roman"/>
          <w:color w:val="000000" w:themeColor="text1"/>
          <w:highlight w:val="none"/>
          <w:lang w:eastAsia="zh-CN"/>
          <w14:textFill>
            <w14:solidFill>
              <w14:schemeClr w14:val="tx1"/>
            </w14:solidFill>
          </w14:textFill>
        </w:rPr>
        <w:t>。</w:t>
      </w:r>
    </w:p>
    <w:p w14:paraId="037D1C36">
      <w:pPr>
        <w:bidi w:val="0"/>
        <w:spacing w:line="360" w:lineRule="auto"/>
        <w:ind w:firstLine="480" w:firstLineChars="20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eastAsia" w:ascii="Times New Roman" w:hAnsi="Times New Roman" w:cs="Times New Roman"/>
          <w:b w:val="0"/>
          <w:bCs w:val="0"/>
          <w:color w:val="000000" w:themeColor="text1"/>
          <w:highlight w:val="none"/>
          <w:lang w:val="en-US" w:eastAsia="zh-CN"/>
          <w14:textFill>
            <w14:solidFill>
              <w14:schemeClr w14:val="tx1"/>
            </w14:solidFill>
          </w14:textFill>
        </w:rPr>
        <w:t>根据</w:t>
      </w:r>
      <w:r>
        <w:rPr>
          <w:rFonts w:hint="default" w:ascii="Times New Roman" w:hAnsi="Times New Roman" w:eastAsia="宋体" w:cs="Times New Roman"/>
          <w:b w:val="0"/>
          <w:bCs w:val="0"/>
          <w:color w:val="000000" w:themeColor="text1"/>
          <w:highlight w:val="none"/>
          <w14:textFill>
            <w14:solidFill>
              <w14:schemeClr w14:val="tx1"/>
            </w14:solidFill>
          </w14:textFill>
        </w:rPr>
        <w:t>《国家危险废物名录》（</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2021</w:t>
      </w:r>
      <w:r>
        <w:rPr>
          <w:rFonts w:hint="default" w:ascii="Times New Roman" w:hAnsi="Times New Roman" w:eastAsia="宋体" w:cs="Times New Roman"/>
          <w:b w:val="0"/>
          <w:bCs w:val="0"/>
          <w:color w:val="000000" w:themeColor="text1"/>
          <w:highlight w:val="none"/>
          <w14:textFill>
            <w14:solidFill>
              <w14:schemeClr w14:val="tx1"/>
            </w14:solidFill>
          </w14:textFill>
        </w:rPr>
        <w:t>年）</w:t>
      </w:r>
      <w:r>
        <w:rPr>
          <w:rFonts w:hint="eastAsia"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病死家禽</w:t>
      </w:r>
      <w:r>
        <w:rPr>
          <w:rFonts w:hint="eastAsia" w:cs="Times New Roman"/>
          <w:b w:val="0"/>
          <w:bCs w:val="0"/>
          <w:color w:val="000000" w:themeColor="text1"/>
          <w:highlight w:val="none"/>
          <w:lang w:val="en-US" w:eastAsia="zh-CN"/>
          <w14:textFill>
            <w14:solidFill>
              <w14:schemeClr w14:val="tx1"/>
            </w14:solidFill>
          </w14:textFill>
        </w:rPr>
        <w:t>和胎衣</w:t>
      </w:r>
      <w:r>
        <w:rPr>
          <w:rFonts w:hint="default" w:ascii="Times New Roman" w:hAnsi="Times New Roman" w:eastAsia="宋体" w:cs="Times New Roman"/>
          <w:b w:val="0"/>
          <w:bCs w:val="0"/>
          <w:color w:val="000000" w:themeColor="text1"/>
          <w:highlight w:val="none"/>
          <w14:textFill>
            <w14:solidFill>
              <w14:schemeClr w14:val="tx1"/>
            </w14:solidFill>
          </w14:textFill>
        </w:rPr>
        <w:t>不属于危险废物。按照《关于进一步加强病死动物无害化处理监管工作的通知》（农医发</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2012</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12号）的要求，由动物卫生监督机构承担病死动物及动物产品无害化处理的监管责任，按照《病死动物无害化处理技术规范》（农医发</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2013</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34号）的有关要求进行无害化处理。</w:t>
      </w:r>
    </w:p>
    <w:p w14:paraId="3002FB56">
      <w:pPr>
        <w:bidi w:val="0"/>
        <w:spacing w:line="360" w:lineRule="auto"/>
        <w:ind w:firstLine="480" w:firstLineChars="200"/>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pPr>
      <w:r>
        <w:rPr>
          <w:rFonts w:hint="eastAsia" w:cs="Times New Roman"/>
          <w:b w:val="0"/>
          <w:bCs w:val="0"/>
          <w:color w:val="000000" w:themeColor="text1"/>
          <w:highlight w:val="none"/>
          <w:lang w:eastAsia="zh-CN"/>
          <w14:textFill>
            <w14:solidFill>
              <w14:schemeClr w14:val="tx1"/>
            </w14:solidFill>
          </w14:textFill>
        </w:rPr>
        <w:t>项目</w:t>
      </w:r>
      <w:r>
        <w:rPr>
          <w:rFonts w:hint="default" w:ascii="Times New Roman" w:hAnsi="Times New Roman" w:eastAsia="宋体" w:cs="Times New Roman"/>
          <w:b w:val="0"/>
          <w:bCs w:val="0"/>
          <w:color w:val="000000" w:themeColor="text1"/>
          <w:highlight w:val="none"/>
          <w14:textFill>
            <w14:solidFill>
              <w14:schemeClr w14:val="tx1"/>
            </w14:solidFill>
          </w14:textFill>
        </w:rPr>
        <w:t>产生的</w:t>
      </w:r>
      <w:r>
        <w:rPr>
          <w:rFonts w:hint="eastAsia" w:cs="Times New Roman"/>
          <w:b w:val="0"/>
          <w:bCs w:val="0"/>
          <w:color w:val="000000" w:themeColor="text1"/>
          <w:highlight w:val="none"/>
          <w:lang w:eastAsia="zh-CN"/>
          <w14:textFill>
            <w14:solidFill>
              <w14:schemeClr w14:val="tx1"/>
            </w14:solidFill>
          </w14:textFill>
        </w:rPr>
        <w:t>病死猪、胎衣</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及时交由有资质单位处理</w:t>
      </w:r>
      <w:r>
        <w:rPr>
          <w:rFonts w:hint="default" w:ascii="Times New Roman" w:hAnsi="Times New Roman" w:eastAsia="宋体" w:cs="Times New Roman"/>
          <w:b w:val="0"/>
          <w:bCs w:val="0"/>
          <w:color w:val="000000" w:themeColor="text1"/>
          <w:highlight w:val="none"/>
          <w14:textFill>
            <w14:solidFill>
              <w14:schemeClr w14:val="tx1"/>
            </w14:solidFill>
          </w14:textFill>
        </w:rPr>
        <w:t>，防止产生恶臭等二次污染，并杜绝传播疾病。</w:t>
      </w:r>
    </w:p>
    <w:p w14:paraId="67F66EE9">
      <w:pPr>
        <w:bidi w:val="0"/>
        <w:spacing w:line="360" w:lineRule="auto"/>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4）</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兽用</w:t>
      </w:r>
      <w:r>
        <w:rPr>
          <w:rFonts w:hint="default" w:ascii="Times New Roman" w:hAnsi="Times New Roman" w:eastAsia="宋体" w:cs="Times New Roman"/>
          <w:b w:val="0"/>
          <w:bCs w:val="0"/>
          <w:color w:val="000000" w:themeColor="text1"/>
          <w:highlight w:val="none"/>
          <w14:textFill>
            <w14:solidFill>
              <w14:schemeClr w14:val="tx1"/>
            </w14:solidFill>
          </w14:textFill>
        </w:rPr>
        <w:t>医疗废物</w:t>
      </w:r>
    </w:p>
    <w:p w14:paraId="4E321468">
      <w:pPr>
        <w:spacing w:line="360" w:lineRule="auto"/>
        <w:ind w:firstLine="480" w:firstLineChars="200"/>
        <w:jc w:val="left"/>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治疗畜禽疾病（本项目主要是猪瘟、伪狂犬、口蹄疫、猪繁殖与呼吸综合征等）使用的药剂主要有猪稳康、伪狂静、OA高效灭活菌、蓝抗定注射液等；药具主要为一次性针具、吊瓶等</w:t>
      </w:r>
      <w:r>
        <w:rPr>
          <w:rFonts w:ascii="Times New Roman" w:hAnsi="Times New Roman" w:eastAsia="宋体" w:cs="宋体"/>
          <w:b w:val="0"/>
          <w:bCs w:val="0"/>
          <w:color w:val="000000" w:themeColor="text1"/>
          <w:kern w:val="0"/>
          <w:szCs w:val="24"/>
          <w:highlight w:val="none"/>
          <w14:textFill>
            <w14:solidFill>
              <w14:schemeClr w14:val="tx1"/>
            </w14:solidFill>
          </w14:textFill>
        </w:rPr>
        <w:t>，临时存放于</w:t>
      </w:r>
      <w:r>
        <w:rPr>
          <w:rFonts w:hint="eastAsia" w:cs="宋体"/>
          <w:b w:val="0"/>
          <w:bCs w:val="0"/>
          <w:color w:val="000000" w:themeColor="text1"/>
          <w:kern w:val="0"/>
          <w:szCs w:val="24"/>
          <w:highlight w:val="none"/>
          <w:lang w:eastAsia="zh-CN"/>
          <w14:textFill>
            <w14:solidFill>
              <w14:schemeClr w14:val="tx1"/>
            </w14:solidFill>
          </w14:textFill>
        </w:rPr>
        <w:t>危废暂存间</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医疗废物的产生量与养殖过程中疫情的发生量和治疗量有关，根据卫生防疫要求及疫病防治管理，疫苗药具及防疫用药用量按每只畜禽注射一次，主要产生的一次性针具及废弃药瓶量。</w:t>
      </w:r>
      <w:r>
        <w:rPr>
          <w:rFonts w:ascii="Times New Roman" w:hAnsi="Times New Roman" w:eastAsia="宋体" w:cs="宋体"/>
          <w:b w:val="0"/>
          <w:bCs w:val="0"/>
          <w:color w:val="000000" w:themeColor="text1"/>
          <w:kern w:val="0"/>
          <w:szCs w:val="24"/>
          <w:highlight w:val="none"/>
          <w14:textFill>
            <w14:solidFill>
              <w14:schemeClr w14:val="tx1"/>
            </w14:solidFill>
          </w14:textFill>
        </w:rPr>
        <w:t>根据建设单位提供的数据，</w:t>
      </w:r>
      <w:r>
        <w:rPr>
          <w:rFonts w:hint="default" w:ascii="Times New Roman" w:hAnsi="Times New Roman" w:eastAsia="宋体" w:cs="Times New Roman"/>
          <w:bCs/>
          <w:color w:val="000000" w:themeColor="text1"/>
          <w:kern w:val="2"/>
          <w:szCs w:val="24"/>
          <w:highlight w:val="none"/>
          <w:lang w:val="en-US" w:eastAsia="zh-CN"/>
          <w14:textFill>
            <w14:solidFill>
              <w14:schemeClr w14:val="tx1"/>
            </w14:solidFill>
          </w14:textFill>
        </w:rPr>
        <w:t>该部分医疗废物</w:t>
      </w:r>
      <w:r>
        <w:rPr>
          <w:rFonts w:hint="default" w:ascii="Times New Roman" w:hAnsi="Times New Roman" w:eastAsia="宋体" w:cs="Times New Roman"/>
          <w:bCs/>
          <w:color w:val="000000" w:themeColor="text1"/>
          <w:kern w:val="2"/>
          <w:szCs w:val="24"/>
          <w:highlight w:val="none"/>
          <w:lang w:eastAsia="zh-CN"/>
          <w14:textFill>
            <w14:solidFill>
              <w14:schemeClr w14:val="tx1"/>
            </w14:solidFill>
          </w14:textFill>
        </w:rPr>
        <w:t>产生量</w:t>
      </w:r>
      <w:r>
        <w:rPr>
          <w:rFonts w:hint="eastAsia" w:ascii="Times New Roman" w:hAnsi="Times New Roman" w:eastAsia="宋体" w:cs="Times New Roman"/>
          <w:bCs/>
          <w:color w:val="000000" w:themeColor="text1"/>
          <w:kern w:val="2"/>
          <w:szCs w:val="24"/>
          <w:highlight w:val="none"/>
          <w:lang w:eastAsia="zh-CN"/>
          <w14:textFill>
            <w14:solidFill>
              <w14:schemeClr w14:val="tx1"/>
            </w14:solidFill>
          </w14:textFill>
        </w:rPr>
        <w:t>估算</w:t>
      </w:r>
      <w:r>
        <w:rPr>
          <w:rFonts w:hint="default" w:ascii="Times New Roman" w:hAnsi="Times New Roman" w:eastAsia="宋体" w:cs="Times New Roman"/>
          <w:bCs/>
          <w:color w:val="000000" w:themeColor="text1"/>
          <w:kern w:val="2"/>
          <w:szCs w:val="24"/>
          <w:highlight w:val="none"/>
          <w:lang w:eastAsia="zh-CN"/>
          <w14:textFill>
            <w14:solidFill>
              <w14:schemeClr w14:val="tx1"/>
            </w14:solidFill>
          </w14:textFill>
        </w:rPr>
        <w:t>约</w:t>
      </w:r>
      <w:r>
        <w:rPr>
          <w:rFonts w:hint="eastAsia" w:ascii="Times New Roman" w:hAnsi="Times New Roman" w:eastAsia="宋体" w:cs="Times New Roman"/>
          <w:bCs/>
          <w:color w:val="000000" w:themeColor="text1"/>
          <w:kern w:val="2"/>
          <w:szCs w:val="24"/>
          <w:highlight w:val="none"/>
          <w:lang w:val="en-US" w:eastAsia="zh-CN"/>
          <w14:textFill>
            <w14:solidFill>
              <w14:schemeClr w14:val="tx1"/>
            </w14:solidFill>
          </w14:textFill>
        </w:rPr>
        <w:t>2.0</w:t>
      </w:r>
      <w:r>
        <w:rPr>
          <w:rFonts w:hint="default" w:ascii="Times New Roman" w:hAnsi="Times New Roman" w:eastAsia="宋体" w:cs="Times New Roman"/>
          <w:bCs/>
          <w:color w:val="000000" w:themeColor="text1"/>
          <w:kern w:val="2"/>
          <w:szCs w:val="24"/>
          <w:highlight w:val="none"/>
          <w:lang w:eastAsia="zh-CN"/>
          <w14:textFill>
            <w14:solidFill>
              <w14:schemeClr w14:val="tx1"/>
            </w14:solidFill>
          </w14:textFill>
        </w:rPr>
        <w:t>t/a</w:t>
      </w:r>
      <w:r>
        <w:rPr>
          <w:rFonts w:ascii="Times New Roman" w:hAnsi="Times New Roman" w:eastAsia="宋体" w:cs="宋体"/>
          <w:b w:val="0"/>
          <w:bCs w:val="0"/>
          <w:color w:val="000000" w:themeColor="text1"/>
          <w:kern w:val="0"/>
          <w:szCs w:val="24"/>
          <w:highlight w:val="none"/>
          <w14:textFill>
            <w14:solidFill>
              <w14:schemeClr w14:val="tx1"/>
            </w14:solidFill>
          </w14:textFill>
        </w:rPr>
        <w:t>。</w:t>
      </w:r>
    </w:p>
    <w:p w14:paraId="4731D485">
      <w:pPr>
        <w:bidi w:val="0"/>
        <w:spacing w:line="360" w:lineRule="auto"/>
        <w:ind w:firstLine="480" w:firstLineChars="20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根据《国家危险废物名录》（</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2021</w:t>
      </w:r>
      <w:r>
        <w:rPr>
          <w:rFonts w:hint="default" w:ascii="Times New Roman" w:hAnsi="Times New Roman" w:eastAsia="宋体" w:cs="Times New Roman"/>
          <w:b w:val="0"/>
          <w:bCs w:val="0"/>
          <w:color w:val="000000" w:themeColor="text1"/>
          <w:highlight w:val="none"/>
          <w14:textFill>
            <w14:solidFill>
              <w14:schemeClr w14:val="tx1"/>
            </w14:solidFill>
          </w14:textFill>
        </w:rPr>
        <w:t>年），本项目医疗废物属于HW01医疗废物中的</w:t>
      </w:r>
      <w:r>
        <w:rPr>
          <w:rFonts w:hint="default" w:ascii="Times New Roman" w:hAnsi="Times New Roman" w:eastAsia="宋体" w:cs="Times New Roman"/>
          <w:b w:val="0"/>
          <w:bCs w:val="0"/>
          <w:color w:val="000000" w:themeColor="text1"/>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u w:val="none"/>
          <w:lang w:val="en-US" w:eastAsia="zh-CN"/>
          <w14:textFill>
            <w14:solidFill>
              <w14:schemeClr w14:val="tx1"/>
            </w14:solidFill>
          </w14:textFill>
        </w:rPr>
        <w:t>841</w:t>
      </w:r>
      <w:r>
        <w:rPr>
          <w:rFonts w:hint="default" w:ascii="Times New Roman" w:hAnsi="Times New Roman" w:eastAsia="宋体" w:cs="Times New Roman"/>
          <w:b w:val="0"/>
          <w:bCs w:val="0"/>
          <w:color w:val="000000" w:themeColor="text1"/>
          <w:highlight w:val="none"/>
          <w:u w:val="none"/>
          <w14:textFill>
            <w14:solidFill>
              <w14:schemeClr w14:val="tx1"/>
            </w14:solidFill>
          </w14:textFill>
        </w:rPr>
        <w:t>-001-01为</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感染性</w:t>
      </w:r>
      <w:r>
        <w:rPr>
          <w:rFonts w:hint="default" w:ascii="Times New Roman" w:hAnsi="Times New Roman" w:eastAsia="宋体" w:cs="Times New Roman"/>
          <w:b w:val="0"/>
          <w:bCs w:val="0"/>
          <w:color w:val="000000" w:themeColor="text1"/>
          <w:highlight w:val="none"/>
          <w:u w:val="none"/>
          <w14:textFill>
            <w14:solidFill>
              <w14:schemeClr w14:val="tx1"/>
            </w14:solidFill>
          </w14:textFill>
        </w:rPr>
        <w:t>废物</w:t>
      </w:r>
      <w:r>
        <w:rPr>
          <w:rFonts w:hint="default" w:ascii="Times New Roman" w:hAnsi="Times New Roman" w:eastAsia="宋体" w:cs="Times New Roman"/>
          <w:b w:val="0"/>
          <w:bCs w:val="0"/>
          <w:color w:val="000000" w:themeColor="text1"/>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u w:val="none"/>
          <w14:textFill>
            <w14:solidFill>
              <w14:schemeClr w14:val="tx1"/>
            </w14:solidFill>
          </w14:textFill>
        </w:rPr>
        <w:t>，故本项目产生的医疗废物属于</w:t>
      </w:r>
      <w:r>
        <w:rPr>
          <w:rFonts w:hint="eastAsia" w:ascii="Times New Roman" w:hAnsi="Times New Roman" w:cs="Times New Roman"/>
          <w:b w:val="0"/>
          <w:bCs w:val="0"/>
          <w:color w:val="000000" w:themeColor="text1"/>
          <w:highlight w:val="none"/>
          <w:u w:val="none"/>
          <w:lang w:val="en-US" w:eastAsia="zh-CN"/>
          <w14:textFill>
            <w14:solidFill>
              <w14:schemeClr w14:val="tx1"/>
            </w14:solidFill>
          </w14:textFill>
        </w:rPr>
        <w:t>危险废物</w:t>
      </w:r>
      <w:r>
        <w:rPr>
          <w:rFonts w:hint="default" w:ascii="Times New Roman" w:hAnsi="Times New Roman" w:eastAsia="宋体" w:cs="Times New Roman"/>
          <w:b w:val="0"/>
          <w:bCs w:val="0"/>
          <w:color w:val="000000" w:themeColor="text1"/>
          <w:highlight w:val="none"/>
          <w14:textFill>
            <w14:solidFill>
              <w14:schemeClr w14:val="tx1"/>
            </w14:solidFill>
          </w14:textFill>
        </w:rPr>
        <w:t>。评价要求厂区内建设具备</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三防</w:t>
      </w:r>
      <w:r>
        <w:rPr>
          <w:rFonts w:hint="default" w:ascii="Times New Roman" w:hAnsi="Times New Roman" w:eastAsia="宋体" w:cs="Times New Roman"/>
          <w:b w:val="0"/>
          <w:bCs w:val="0"/>
          <w:color w:val="000000" w:themeColor="text1"/>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highlight w:val="none"/>
          <w14:textFill>
            <w14:solidFill>
              <w14:schemeClr w14:val="tx1"/>
            </w14:solidFill>
          </w14:textFill>
        </w:rPr>
        <w:t xml:space="preserve">措施的暂存场所，并设置危险废物识别标志。医疗废物委托有资质的单位处理。 </w:t>
      </w:r>
    </w:p>
    <w:p w14:paraId="1AEDBD26">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）生活垃圾</w:t>
      </w:r>
    </w:p>
    <w:p w14:paraId="781AB63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w:t>
      </w:r>
      <w:r>
        <w:rPr>
          <w:rFonts w:hint="eastAsia"/>
          <w:color w:val="000000" w:themeColor="text1"/>
          <w:highlight w:val="none"/>
          <w:lang w:eastAsia="zh-CN"/>
          <w14:textFill>
            <w14:solidFill>
              <w14:schemeClr w14:val="tx1"/>
            </w14:solidFill>
          </w14:textFill>
        </w:rPr>
        <w:t>目成</w:t>
      </w:r>
      <w:r>
        <w:rPr>
          <w:color w:val="000000" w:themeColor="text1"/>
          <w:highlight w:val="none"/>
          <w14:textFill>
            <w14:solidFill>
              <w14:schemeClr w14:val="tx1"/>
            </w14:solidFill>
          </w14:textFill>
        </w:rPr>
        <w:t>员</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人，生活垃圾产生量按0.5kg/d计，生活垃圾产生量为</w:t>
      </w:r>
      <w:r>
        <w:rPr>
          <w:rFonts w:hint="eastAsia"/>
          <w:color w:val="000000" w:themeColor="text1"/>
          <w:highlight w:val="none"/>
          <w:lang w:val="en-US" w:eastAsia="zh-CN"/>
          <w14:textFill>
            <w14:solidFill>
              <w14:schemeClr w14:val="tx1"/>
            </w14:solidFill>
          </w14:textFill>
        </w:rPr>
        <w:t>5.475</w:t>
      </w:r>
      <w:r>
        <w:rPr>
          <w:color w:val="000000" w:themeColor="text1"/>
          <w:highlight w:val="none"/>
          <w14:textFill>
            <w14:solidFill>
              <w14:schemeClr w14:val="tx1"/>
            </w14:solidFill>
          </w14:textFill>
        </w:rPr>
        <w:t>t/a，收集后由环卫部门定期清运。</w:t>
      </w:r>
    </w:p>
    <w:p w14:paraId="5497B40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本项目固体废物产生及处置情况见表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w:t>
      </w:r>
    </w:p>
    <w:p w14:paraId="0E1E5EB0">
      <w:pPr>
        <w:spacing w:line="240" w:lineRule="auto"/>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.10-</w:t>
      </w:r>
      <w:r>
        <w:rPr>
          <w:rFonts w:hint="eastAsia"/>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 xml:space="preserve">4 </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eastAsia="zh-CN"/>
          <w14:textFill>
            <w14:solidFill>
              <w14:schemeClr w14:val="tx1"/>
            </w14:solidFill>
          </w14:textFill>
        </w:rPr>
        <w:t>项目</w:t>
      </w:r>
      <w:r>
        <w:rPr>
          <w:b/>
          <w:bCs/>
          <w:color w:val="000000" w:themeColor="text1"/>
          <w:sz w:val="21"/>
          <w:szCs w:val="21"/>
          <w:highlight w:val="none"/>
          <w14:textFill>
            <w14:solidFill>
              <w14:schemeClr w14:val="tx1"/>
            </w14:solidFill>
          </w14:textFill>
        </w:rPr>
        <w:t>固体废物产生及处置情况</w:t>
      </w:r>
    </w:p>
    <w:tbl>
      <w:tblPr>
        <w:tblStyle w:val="3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6"/>
        <w:gridCol w:w="709"/>
        <w:gridCol w:w="641"/>
        <w:gridCol w:w="804"/>
        <w:gridCol w:w="955"/>
        <w:gridCol w:w="873"/>
        <w:gridCol w:w="2100"/>
        <w:gridCol w:w="1512"/>
      </w:tblGrid>
      <w:tr w14:paraId="266E6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26" w:type="dxa"/>
            <w:vAlign w:val="center"/>
          </w:tcPr>
          <w:p w14:paraId="0B86378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固体废物名称</w:t>
            </w:r>
          </w:p>
        </w:tc>
        <w:tc>
          <w:tcPr>
            <w:tcW w:w="709" w:type="dxa"/>
            <w:vAlign w:val="center"/>
          </w:tcPr>
          <w:p w14:paraId="7F20F4C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产生环节</w:t>
            </w:r>
          </w:p>
        </w:tc>
        <w:tc>
          <w:tcPr>
            <w:tcW w:w="641" w:type="dxa"/>
            <w:vAlign w:val="center"/>
          </w:tcPr>
          <w:p w14:paraId="2E31184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主要成分</w:t>
            </w:r>
          </w:p>
        </w:tc>
        <w:tc>
          <w:tcPr>
            <w:tcW w:w="804" w:type="dxa"/>
            <w:vAlign w:val="center"/>
          </w:tcPr>
          <w:p w14:paraId="12B91F6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产生量(t/a)</w:t>
            </w:r>
          </w:p>
        </w:tc>
        <w:tc>
          <w:tcPr>
            <w:tcW w:w="955" w:type="dxa"/>
            <w:vAlign w:val="center"/>
          </w:tcPr>
          <w:p w14:paraId="3D65ADC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利用量(t/a)</w:t>
            </w:r>
          </w:p>
        </w:tc>
        <w:tc>
          <w:tcPr>
            <w:tcW w:w="873" w:type="dxa"/>
            <w:vAlign w:val="center"/>
          </w:tcPr>
          <w:p w14:paraId="54685D9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处置量(t/a)</w:t>
            </w:r>
          </w:p>
        </w:tc>
        <w:tc>
          <w:tcPr>
            <w:tcW w:w="2100" w:type="dxa"/>
            <w:vAlign w:val="center"/>
          </w:tcPr>
          <w:p w14:paraId="71DB660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1512" w:type="dxa"/>
            <w:vAlign w:val="center"/>
          </w:tcPr>
          <w:p w14:paraId="50687C6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处置措施</w:t>
            </w:r>
          </w:p>
        </w:tc>
      </w:tr>
      <w:tr w14:paraId="2268E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26" w:type="dxa"/>
            <w:vAlign w:val="center"/>
          </w:tcPr>
          <w:p w14:paraId="6F35E4D0">
            <w:pPr>
              <w:bidi w:val="0"/>
              <w:spacing w:line="240" w:lineRule="auto"/>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猪粪</w:t>
            </w:r>
          </w:p>
        </w:tc>
        <w:tc>
          <w:tcPr>
            <w:tcW w:w="709" w:type="dxa"/>
            <w:vAlign w:val="center"/>
          </w:tcPr>
          <w:p w14:paraId="4AD9D5D1">
            <w:pPr>
              <w:bidi w:val="0"/>
              <w:spacing w:line="240" w:lineRule="auto"/>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养殖过程</w:t>
            </w:r>
          </w:p>
        </w:tc>
        <w:tc>
          <w:tcPr>
            <w:tcW w:w="641" w:type="dxa"/>
            <w:vAlign w:val="center"/>
          </w:tcPr>
          <w:p w14:paraId="04B8F8BC">
            <w:pPr>
              <w:bidi w:val="0"/>
              <w:spacing w:line="240" w:lineRule="auto"/>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有机物</w:t>
            </w:r>
          </w:p>
        </w:tc>
        <w:tc>
          <w:tcPr>
            <w:tcW w:w="804" w:type="dxa"/>
            <w:vAlign w:val="center"/>
          </w:tcPr>
          <w:p w14:paraId="7B9B2880">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5366.87</w:t>
            </w:r>
          </w:p>
        </w:tc>
        <w:tc>
          <w:tcPr>
            <w:tcW w:w="955" w:type="dxa"/>
            <w:vAlign w:val="center"/>
          </w:tcPr>
          <w:p w14:paraId="3B36E97A">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w:t>
            </w:r>
          </w:p>
        </w:tc>
        <w:tc>
          <w:tcPr>
            <w:tcW w:w="873" w:type="dxa"/>
            <w:vAlign w:val="center"/>
          </w:tcPr>
          <w:p w14:paraId="2404FCBF">
            <w:pPr>
              <w:bidi w:val="0"/>
              <w:spacing w:line="240" w:lineRule="auto"/>
              <w:jc w:val="cente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5366.87</w:t>
            </w:r>
          </w:p>
        </w:tc>
        <w:tc>
          <w:tcPr>
            <w:tcW w:w="2100" w:type="dxa"/>
            <w:vAlign w:val="center"/>
          </w:tcPr>
          <w:p w14:paraId="5826DCEF">
            <w:pPr>
              <w:bidi w:val="0"/>
              <w:spacing w:line="240" w:lineRule="auto"/>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一般固废</w:t>
            </w:r>
          </w:p>
        </w:tc>
        <w:tc>
          <w:tcPr>
            <w:tcW w:w="1512" w:type="dxa"/>
            <w:vMerge w:val="restart"/>
            <w:vAlign w:val="center"/>
          </w:tcPr>
          <w:p w14:paraId="12B12F3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堆肥后外售</w:t>
            </w:r>
          </w:p>
        </w:tc>
      </w:tr>
      <w:tr w14:paraId="2C8AC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26" w:type="dxa"/>
            <w:vAlign w:val="center"/>
          </w:tcPr>
          <w:p w14:paraId="56126F4D">
            <w:pPr>
              <w:bidi w:val="0"/>
              <w:spacing w:line="240" w:lineRule="auto"/>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沼渣</w:t>
            </w:r>
          </w:p>
        </w:tc>
        <w:tc>
          <w:tcPr>
            <w:tcW w:w="709" w:type="dxa"/>
            <w:vAlign w:val="center"/>
          </w:tcPr>
          <w:p w14:paraId="0B67D9DD">
            <w:pPr>
              <w:bidi w:val="0"/>
              <w:spacing w:line="240" w:lineRule="auto"/>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废水处理</w:t>
            </w:r>
          </w:p>
        </w:tc>
        <w:tc>
          <w:tcPr>
            <w:tcW w:w="641" w:type="dxa"/>
            <w:vAlign w:val="center"/>
          </w:tcPr>
          <w:p w14:paraId="00E743E2">
            <w:pPr>
              <w:bidi w:val="0"/>
              <w:spacing w:line="240" w:lineRule="auto"/>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有机物</w:t>
            </w:r>
          </w:p>
        </w:tc>
        <w:tc>
          <w:tcPr>
            <w:tcW w:w="804" w:type="dxa"/>
            <w:vAlign w:val="center"/>
          </w:tcPr>
          <w:p w14:paraId="5B4CC97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3179.43</w:t>
            </w:r>
          </w:p>
        </w:tc>
        <w:tc>
          <w:tcPr>
            <w:tcW w:w="955" w:type="dxa"/>
            <w:vAlign w:val="center"/>
          </w:tcPr>
          <w:p w14:paraId="5AE26F0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default" w:ascii="Times New Roman" w:hAnsi="Times New Roman" w:eastAsia="宋体" w:cs="宋体"/>
                <w:color w:val="000000" w:themeColor="text1"/>
                <w:sz w:val="21"/>
                <w:szCs w:val="21"/>
                <w:highlight w:val="none"/>
                <w14:textFill>
                  <w14:solidFill>
                    <w14:schemeClr w14:val="tx1"/>
                  </w14:solidFill>
                </w14:textFill>
              </w:rPr>
              <w:t>0</w:t>
            </w:r>
          </w:p>
        </w:tc>
        <w:tc>
          <w:tcPr>
            <w:tcW w:w="873" w:type="dxa"/>
            <w:vAlign w:val="center"/>
          </w:tcPr>
          <w:p w14:paraId="0B9E5C01">
            <w:pPr>
              <w:spacing w:line="240" w:lineRule="auto"/>
              <w:jc w:val="center"/>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3179.43</w:t>
            </w:r>
          </w:p>
        </w:tc>
        <w:tc>
          <w:tcPr>
            <w:tcW w:w="2100" w:type="dxa"/>
            <w:vAlign w:val="center"/>
          </w:tcPr>
          <w:p w14:paraId="480E0E38">
            <w:pPr>
              <w:bidi w:val="0"/>
              <w:spacing w:line="240" w:lineRule="auto"/>
              <w:jc w:val="center"/>
              <w:rPr>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一般固废</w:t>
            </w:r>
          </w:p>
        </w:tc>
        <w:tc>
          <w:tcPr>
            <w:tcW w:w="1512" w:type="dxa"/>
            <w:vMerge w:val="continue"/>
            <w:vAlign w:val="center"/>
          </w:tcPr>
          <w:p w14:paraId="4E801670">
            <w:pPr>
              <w:spacing w:line="240" w:lineRule="auto"/>
              <w:jc w:val="center"/>
              <w:rPr>
                <w:color w:val="000000" w:themeColor="text1"/>
                <w:sz w:val="21"/>
                <w:szCs w:val="21"/>
                <w:highlight w:val="none"/>
                <w14:textFill>
                  <w14:solidFill>
                    <w14:schemeClr w14:val="tx1"/>
                  </w14:solidFill>
                </w14:textFill>
              </w:rPr>
            </w:pPr>
          </w:p>
        </w:tc>
      </w:tr>
      <w:tr w14:paraId="1379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trPr>
        <w:tc>
          <w:tcPr>
            <w:tcW w:w="926" w:type="dxa"/>
            <w:vAlign w:val="center"/>
          </w:tcPr>
          <w:p w14:paraId="5A6D7D50">
            <w:pPr>
              <w:bidi w:val="0"/>
              <w:spacing w:line="240" w:lineRule="auto"/>
              <w:jc w:val="cente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病死猪、胎衣</w:t>
            </w:r>
          </w:p>
        </w:tc>
        <w:tc>
          <w:tcPr>
            <w:tcW w:w="709" w:type="dxa"/>
            <w:vAlign w:val="center"/>
          </w:tcPr>
          <w:p w14:paraId="7570BA6E">
            <w:pPr>
              <w:bidi w:val="0"/>
              <w:spacing w:line="240" w:lineRule="auto"/>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养殖过程</w:t>
            </w:r>
          </w:p>
        </w:tc>
        <w:tc>
          <w:tcPr>
            <w:tcW w:w="641" w:type="dxa"/>
            <w:vAlign w:val="center"/>
          </w:tcPr>
          <w:p w14:paraId="1034DAF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有机物</w:t>
            </w:r>
          </w:p>
        </w:tc>
        <w:tc>
          <w:tcPr>
            <w:tcW w:w="804" w:type="dxa"/>
            <w:vAlign w:val="center"/>
          </w:tcPr>
          <w:p w14:paraId="4E285CC3">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200.04</w:t>
            </w:r>
          </w:p>
        </w:tc>
        <w:tc>
          <w:tcPr>
            <w:tcW w:w="955" w:type="dxa"/>
            <w:vAlign w:val="center"/>
          </w:tcPr>
          <w:p w14:paraId="37EE327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873" w:type="dxa"/>
            <w:vAlign w:val="center"/>
          </w:tcPr>
          <w:p w14:paraId="61E04FF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200.04</w:t>
            </w:r>
          </w:p>
        </w:tc>
        <w:tc>
          <w:tcPr>
            <w:tcW w:w="2100" w:type="dxa"/>
            <w:vAlign w:val="center"/>
          </w:tcPr>
          <w:p w14:paraId="5DCB29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一般固废</w:t>
            </w:r>
          </w:p>
        </w:tc>
        <w:tc>
          <w:tcPr>
            <w:tcW w:w="1512" w:type="dxa"/>
            <w:vAlign w:val="center"/>
          </w:tcPr>
          <w:p w14:paraId="2237472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有资质的单位</w:t>
            </w:r>
            <w:r>
              <w:rPr>
                <w:rFonts w:hint="eastAsia"/>
                <w:color w:val="000000" w:themeColor="text1"/>
                <w:sz w:val="21"/>
                <w:szCs w:val="21"/>
                <w:highlight w:val="none"/>
                <w14:textFill>
                  <w14:solidFill>
                    <w14:schemeClr w14:val="tx1"/>
                  </w14:solidFill>
                </w14:textFill>
              </w:rPr>
              <w:t>无害化处置</w:t>
            </w:r>
          </w:p>
        </w:tc>
      </w:tr>
      <w:tr w14:paraId="2E88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26" w:type="dxa"/>
            <w:vAlign w:val="center"/>
          </w:tcPr>
          <w:p w14:paraId="3234F4E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医疗废物</w:t>
            </w:r>
          </w:p>
        </w:tc>
        <w:tc>
          <w:tcPr>
            <w:tcW w:w="709" w:type="dxa"/>
            <w:vAlign w:val="center"/>
          </w:tcPr>
          <w:p w14:paraId="06A10A5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防疫</w:t>
            </w:r>
          </w:p>
        </w:tc>
        <w:tc>
          <w:tcPr>
            <w:tcW w:w="641" w:type="dxa"/>
            <w:vAlign w:val="center"/>
          </w:tcPr>
          <w:p w14:paraId="03DE0E6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药物</w:t>
            </w:r>
          </w:p>
        </w:tc>
        <w:tc>
          <w:tcPr>
            <w:tcW w:w="804" w:type="dxa"/>
            <w:vAlign w:val="center"/>
          </w:tcPr>
          <w:p w14:paraId="68FAB2A7">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955" w:type="dxa"/>
            <w:vAlign w:val="center"/>
          </w:tcPr>
          <w:p w14:paraId="25217F1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873" w:type="dxa"/>
            <w:vAlign w:val="center"/>
          </w:tcPr>
          <w:p w14:paraId="5A0ED47A">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2100" w:type="dxa"/>
            <w:vAlign w:val="center"/>
          </w:tcPr>
          <w:p w14:paraId="76811A5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危险废物</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类别：HW01（841-001-01）</w:t>
            </w:r>
          </w:p>
        </w:tc>
        <w:tc>
          <w:tcPr>
            <w:tcW w:w="1512" w:type="dxa"/>
            <w:vAlign w:val="center"/>
          </w:tcPr>
          <w:p w14:paraId="1F03ABB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委托有资质单位处置</w:t>
            </w:r>
          </w:p>
        </w:tc>
      </w:tr>
      <w:tr w14:paraId="7F26A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926" w:type="dxa"/>
            <w:vAlign w:val="center"/>
          </w:tcPr>
          <w:p w14:paraId="0388437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709" w:type="dxa"/>
            <w:vAlign w:val="center"/>
          </w:tcPr>
          <w:p w14:paraId="3923D79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办公生活</w:t>
            </w:r>
          </w:p>
        </w:tc>
        <w:tc>
          <w:tcPr>
            <w:tcW w:w="641" w:type="dxa"/>
            <w:vAlign w:val="center"/>
          </w:tcPr>
          <w:p w14:paraId="17ED8B0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果皮等</w:t>
            </w:r>
          </w:p>
        </w:tc>
        <w:tc>
          <w:tcPr>
            <w:tcW w:w="804" w:type="dxa"/>
            <w:vAlign w:val="center"/>
          </w:tcPr>
          <w:p w14:paraId="18D0AB51">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5.475</w:t>
            </w:r>
          </w:p>
        </w:tc>
        <w:tc>
          <w:tcPr>
            <w:tcW w:w="955" w:type="dxa"/>
            <w:vAlign w:val="center"/>
          </w:tcPr>
          <w:p w14:paraId="6C50873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0</w:t>
            </w:r>
          </w:p>
        </w:tc>
        <w:tc>
          <w:tcPr>
            <w:tcW w:w="873" w:type="dxa"/>
            <w:vAlign w:val="center"/>
          </w:tcPr>
          <w:p w14:paraId="4DE3A58B">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5.475</w:t>
            </w:r>
          </w:p>
        </w:tc>
        <w:tc>
          <w:tcPr>
            <w:tcW w:w="2100" w:type="dxa"/>
            <w:vAlign w:val="center"/>
          </w:tcPr>
          <w:p w14:paraId="6935DE0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一般固废</w:t>
            </w:r>
          </w:p>
        </w:tc>
        <w:tc>
          <w:tcPr>
            <w:tcW w:w="1512" w:type="dxa"/>
            <w:vAlign w:val="center"/>
          </w:tcPr>
          <w:p w14:paraId="4B8B7E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环卫部门清运</w:t>
            </w:r>
          </w:p>
        </w:tc>
      </w:tr>
    </w:tbl>
    <w:p w14:paraId="375E3421">
      <w:pPr>
        <w:pStyle w:val="3"/>
        <w:rPr>
          <w:color w:val="000000" w:themeColor="text1"/>
          <w:highlight w:val="none"/>
          <w14:textFill>
            <w14:solidFill>
              <w14:schemeClr w14:val="tx1"/>
            </w14:solidFill>
          </w14:textFill>
        </w:rPr>
      </w:pPr>
      <w:bookmarkStart w:id="150" w:name="_Toc20626"/>
      <w:bookmarkStart w:id="151" w:name="_Toc11136"/>
      <w:bookmarkStart w:id="152" w:name="_Toc29630"/>
      <w:bookmarkStart w:id="153" w:name="_Toc8248"/>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.11污染物排放情况汇总</w:t>
      </w:r>
      <w:bookmarkEnd w:id="150"/>
      <w:bookmarkEnd w:id="151"/>
      <w:bookmarkEnd w:id="152"/>
      <w:bookmarkEnd w:id="153"/>
    </w:p>
    <w:p w14:paraId="168DF3F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本项目污染物排放量统计见表</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.11-1。</w:t>
      </w:r>
    </w:p>
    <w:p w14:paraId="61592F81">
      <w:pPr>
        <w:spacing w:line="240" w:lineRule="auto"/>
        <w:jc w:val="center"/>
        <w:rPr>
          <w:b/>
          <w:bCs/>
          <w:color w:val="000000" w:themeColor="text1"/>
          <w:sz w:val="21"/>
          <w:szCs w:val="21"/>
          <w:highlight w:val="none"/>
          <w14:textFill>
            <w14:solidFill>
              <w14:schemeClr w14:val="tx1"/>
            </w14:solidFill>
          </w14:textFill>
        </w:rPr>
      </w:pPr>
      <w:bookmarkStart w:id="154" w:name="_Ref403208090"/>
      <w:bookmarkStart w:id="155" w:name="_Toc25974"/>
      <w:bookmarkStart w:id="156" w:name="_Toc4836"/>
      <w:r>
        <w:rPr>
          <w:b/>
          <w:bCs/>
          <w:color w:val="000000" w:themeColor="text1"/>
          <w:sz w:val="21"/>
          <w:szCs w:val="21"/>
          <w:highlight w:val="none"/>
          <w14:textFill>
            <w14:solidFill>
              <w14:schemeClr w14:val="tx1"/>
            </w14:solidFill>
          </w14:textFill>
        </w:rPr>
        <w:t>表</w:t>
      </w:r>
      <w:bookmarkEnd w:id="154"/>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.11-1 本项目污染物排放情况汇总</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17"/>
        <w:gridCol w:w="503"/>
        <w:gridCol w:w="450"/>
        <w:gridCol w:w="532"/>
        <w:gridCol w:w="1155"/>
        <w:gridCol w:w="973"/>
        <w:gridCol w:w="1127"/>
        <w:gridCol w:w="900"/>
        <w:gridCol w:w="2400"/>
      </w:tblGrid>
      <w:tr w14:paraId="7BE6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tcBorders>
              <w:tl2br w:val="nil"/>
              <w:tr2bl w:val="nil"/>
            </w:tcBorders>
            <w:vAlign w:val="center"/>
          </w:tcPr>
          <w:p w14:paraId="171C2A56">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类</w:t>
            </w:r>
          </w:p>
          <w:p w14:paraId="5EB91B0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别</w:t>
            </w:r>
          </w:p>
        </w:tc>
        <w:tc>
          <w:tcPr>
            <w:tcW w:w="888" w:type="pct"/>
            <w:gridSpan w:val="3"/>
            <w:tcBorders>
              <w:tl2br w:val="nil"/>
              <w:tr2bl w:val="nil"/>
            </w:tcBorders>
            <w:vAlign w:val="center"/>
          </w:tcPr>
          <w:p w14:paraId="0FDCDDF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控制项目</w:t>
            </w:r>
          </w:p>
        </w:tc>
        <w:tc>
          <w:tcPr>
            <w:tcW w:w="691" w:type="pct"/>
            <w:tcBorders>
              <w:tl2br w:val="nil"/>
              <w:tr2bl w:val="nil"/>
            </w:tcBorders>
            <w:vAlign w:val="center"/>
          </w:tcPr>
          <w:p w14:paraId="17A5D07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产生量（t/a）</w:t>
            </w:r>
          </w:p>
        </w:tc>
        <w:tc>
          <w:tcPr>
            <w:tcW w:w="582" w:type="pct"/>
            <w:tcBorders>
              <w:tl2br w:val="nil"/>
              <w:tr2bl w:val="nil"/>
            </w:tcBorders>
            <w:vAlign w:val="center"/>
          </w:tcPr>
          <w:p w14:paraId="6031DD8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产生速率（kg/h）</w:t>
            </w:r>
          </w:p>
        </w:tc>
        <w:tc>
          <w:tcPr>
            <w:tcW w:w="674" w:type="pct"/>
            <w:tcBorders>
              <w:tl2br w:val="nil"/>
              <w:tr2bl w:val="nil"/>
            </w:tcBorders>
            <w:vAlign w:val="center"/>
          </w:tcPr>
          <w:p w14:paraId="56C73BE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排放量（t/a）</w:t>
            </w:r>
          </w:p>
        </w:tc>
        <w:tc>
          <w:tcPr>
            <w:tcW w:w="538" w:type="pct"/>
            <w:tcBorders>
              <w:tl2br w:val="nil"/>
              <w:tr2bl w:val="nil"/>
            </w:tcBorders>
            <w:vAlign w:val="center"/>
          </w:tcPr>
          <w:p w14:paraId="3F0299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排放速率（kg/h）</w:t>
            </w:r>
          </w:p>
        </w:tc>
        <w:tc>
          <w:tcPr>
            <w:tcW w:w="1435" w:type="pct"/>
            <w:tcBorders>
              <w:tl2br w:val="nil"/>
              <w:tr2bl w:val="nil"/>
            </w:tcBorders>
            <w:vAlign w:val="center"/>
          </w:tcPr>
          <w:p w14:paraId="659CC1CF">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bCs w:val="0"/>
                <w:color w:val="000000" w:themeColor="text1"/>
                <w:sz w:val="21"/>
                <w:szCs w:val="21"/>
                <w:highlight w:val="none"/>
                <w14:textFill>
                  <w14:solidFill>
                    <w14:schemeClr w14:val="tx1"/>
                  </w14:solidFill>
                </w14:textFill>
              </w:rPr>
              <w:t>污染防治措施</w:t>
            </w:r>
          </w:p>
        </w:tc>
      </w:tr>
      <w:tr w14:paraId="6DE6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restart"/>
            <w:tcBorders>
              <w:tl2br w:val="nil"/>
              <w:tr2bl w:val="nil"/>
            </w:tcBorders>
            <w:vAlign w:val="center"/>
          </w:tcPr>
          <w:p w14:paraId="0BBFF57D">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废气</w:t>
            </w:r>
          </w:p>
        </w:tc>
        <w:tc>
          <w:tcPr>
            <w:tcW w:w="300" w:type="pct"/>
            <w:vMerge w:val="restart"/>
            <w:tcBorders>
              <w:tl2br w:val="nil"/>
              <w:tr2bl w:val="nil"/>
            </w:tcBorders>
            <w:vAlign w:val="center"/>
          </w:tcPr>
          <w:p w14:paraId="63376153">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圈舍</w:t>
            </w:r>
          </w:p>
        </w:tc>
        <w:tc>
          <w:tcPr>
            <w:tcW w:w="269" w:type="pct"/>
            <w:vMerge w:val="restart"/>
            <w:tcBorders>
              <w:tl2br w:val="nil"/>
              <w:tr2bl w:val="nil"/>
            </w:tcBorders>
            <w:vAlign w:val="center"/>
          </w:tcPr>
          <w:p w14:paraId="26E5B250">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无组织</w:t>
            </w:r>
          </w:p>
        </w:tc>
        <w:tc>
          <w:tcPr>
            <w:tcW w:w="318" w:type="pct"/>
            <w:tcBorders>
              <w:tl2br w:val="nil"/>
              <w:tr2bl w:val="nil"/>
            </w:tcBorders>
            <w:vAlign w:val="center"/>
          </w:tcPr>
          <w:p w14:paraId="53638466">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NH</w:t>
            </w:r>
            <w:r>
              <w:rPr>
                <w:rFonts w:hint="default" w:ascii="Times New Roman" w:hAnsi="Times New Roman" w:cs="Times New Roman" w:eastAsiaTheme="minorEastAsia"/>
                <w:b w:val="0"/>
                <w:bCs/>
                <w:color w:val="000000" w:themeColor="text1"/>
                <w:sz w:val="21"/>
                <w:szCs w:val="21"/>
                <w:highlight w:val="none"/>
                <w:vertAlign w:val="subscript"/>
                <w14:textFill>
                  <w14:solidFill>
                    <w14:schemeClr w14:val="tx1"/>
                  </w14:solidFill>
                </w14:textFill>
              </w:rPr>
              <w:t>3</w:t>
            </w:r>
          </w:p>
        </w:tc>
        <w:tc>
          <w:tcPr>
            <w:tcW w:w="691" w:type="pct"/>
            <w:tcBorders>
              <w:tl2br w:val="nil"/>
              <w:tr2bl w:val="nil"/>
            </w:tcBorders>
            <w:vAlign w:val="center"/>
          </w:tcPr>
          <w:p w14:paraId="63FC5D57">
            <w:pPr>
              <w:spacing w:line="240" w:lineRule="auto"/>
              <w:jc w:val="center"/>
              <w:rPr>
                <w:rFonts w:hint="default" w:ascii="Times New Roman" w:hAnsi="Times New Roman" w:cs="Times New Roman" w:eastAsiaTheme="minorEastAsia"/>
                <w:b w:val="0"/>
                <w:bCs/>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30.13</w:t>
            </w:r>
          </w:p>
        </w:tc>
        <w:tc>
          <w:tcPr>
            <w:tcW w:w="582" w:type="pct"/>
            <w:tcBorders>
              <w:tl2br w:val="nil"/>
              <w:tr2bl w:val="nil"/>
            </w:tcBorders>
            <w:vAlign w:val="center"/>
          </w:tcPr>
          <w:p w14:paraId="05779C6F">
            <w:pPr>
              <w:spacing w:line="240" w:lineRule="auto"/>
              <w:jc w:val="center"/>
              <w:rPr>
                <w:rFonts w:hint="default" w:ascii="Times New Roman" w:hAnsi="Times New Roman" w:cs="Times New Roman" w:eastAsiaTheme="minorEastAsia"/>
                <w:b w:val="0"/>
                <w:bCs/>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3.44</w:t>
            </w:r>
          </w:p>
        </w:tc>
        <w:tc>
          <w:tcPr>
            <w:tcW w:w="674" w:type="pct"/>
            <w:tcBorders>
              <w:tl2br w:val="nil"/>
              <w:tr2bl w:val="nil"/>
            </w:tcBorders>
            <w:vAlign w:val="center"/>
          </w:tcPr>
          <w:p w14:paraId="78D231E6">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3.013</w:t>
            </w:r>
          </w:p>
        </w:tc>
        <w:tc>
          <w:tcPr>
            <w:tcW w:w="538" w:type="pct"/>
            <w:tcBorders>
              <w:tl2br w:val="nil"/>
              <w:tr2bl w:val="nil"/>
            </w:tcBorders>
            <w:vAlign w:val="center"/>
          </w:tcPr>
          <w:p w14:paraId="6DEC7C22">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0.344</w:t>
            </w:r>
          </w:p>
        </w:tc>
        <w:tc>
          <w:tcPr>
            <w:tcW w:w="1435" w:type="pct"/>
            <w:vMerge w:val="restart"/>
            <w:tcBorders>
              <w:tl2br w:val="nil"/>
              <w:tr2bl w:val="nil"/>
            </w:tcBorders>
            <w:vAlign w:val="center"/>
          </w:tcPr>
          <w:p w14:paraId="16194F58">
            <w:pPr>
              <w:spacing w:line="240" w:lineRule="auto"/>
              <w:ind w:firstLine="0" w:firstLineChars="0"/>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加强通风、合理搭配饲料、投放吸附剂和喷洒除臭剂、</w:t>
            </w:r>
            <w:r>
              <w:rPr>
                <w:rFonts w:hint="eastAsia"/>
                <w:b w:val="0"/>
                <w:bCs w:val="0"/>
                <w:color w:val="000000" w:themeColor="text1"/>
                <w:sz w:val="21"/>
                <w:szCs w:val="21"/>
                <w:highlight w:val="none"/>
                <w:lang w:eastAsia="zh-CN"/>
                <w14:textFill>
                  <w14:solidFill>
                    <w14:schemeClr w14:val="tx1"/>
                  </w14:solidFill>
                </w14:textFill>
              </w:rPr>
              <w:t>半漏板</w:t>
            </w:r>
            <w:r>
              <w:rPr>
                <w:rFonts w:hint="eastAsia"/>
                <w:b w:val="0"/>
                <w:bCs w:val="0"/>
                <w:color w:val="000000" w:themeColor="text1"/>
                <w:sz w:val="21"/>
                <w:szCs w:val="21"/>
                <w:highlight w:val="none"/>
                <w14:textFill>
                  <w14:solidFill>
                    <w14:schemeClr w14:val="tx1"/>
                  </w14:solidFill>
                </w14:textFill>
              </w:rPr>
              <w:t>、及时清除粪便，定期冲洗猪舍和杀菌消毒，保持猪舍环境卫生</w:t>
            </w:r>
          </w:p>
        </w:tc>
      </w:tr>
      <w:tr w14:paraId="1AD6B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0E712066">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continue"/>
            <w:tcBorders>
              <w:tl2br w:val="nil"/>
              <w:tr2bl w:val="nil"/>
            </w:tcBorders>
            <w:vAlign w:val="center"/>
          </w:tcPr>
          <w:p w14:paraId="7F34FEB0">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269" w:type="pct"/>
            <w:vMerge w:val="continue"/>
            <w:tcBorders>
              <w:tl2br w:val="nil"/>
              <w:tr2bl w:val="nil"/>
            </w:tcBorders>
            <w:vAlign w:val="center"/>
          </w:tcPr>
          <w:p w14:paraId="5E3D47E8">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18" w:type="pct"/>
            <w:tcBorders>
              <w:tl2br w:val="nil"/>
              <w:tr2bl w:val="nil"/>
            </w:tcBorders>
            <w:vAlign w:val="center"/>
          </w:tcPr>
          <w:p w14:paraId="3D26A8F3">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H</w:t>
            </w:r>
            <w:r>
              <w:rPr>
                <w:rFonts w:hint="default" w:ascii="Times New Roman" w:hAnsi="Times New Roman" w:cs="Times New Roman" w:eastAsiaTheme="minorEastAsia"/>
                <w:b w:val="0"/>
                <w:bCs/>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S</w:t>
            </w:r>
          </w:p>
        </w:tc>
        <w:tc>
          <w:tcPr>
            <w:tcW w:w="691" w:type="pct"/>
            <w:tcBorders>
              <w:tl2br w:val="nil"/>
              <w:tr2bl w:val="nil"/>
            </w:tcBorders>
            <w:vAlign w:val="center"/>
          </w:tcPr>
          <w:p w14:paraId="62A07936">
            <w:pPr>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4.739</w:t>
            </w:r>
          </w:p>
        </w:tc>
        <w:tc>
          <w:tcPr>
            <w:tcW w:w="582" w:type="pct"/>
            <w:tcBorders>
              <w:tl2br w:val="nil"/>
              <w:tr2bl w:val="nil"/>
            </w:tcBorders>
            <w:vAlign w:val="center"/>
          </w:tcPr>
          <w:p w14:paraId="0E349DFF">
            <w:pPr>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0.54</w:t>
            </w:r>
          </w:p>
        </w:tc>
        <w:tc>
          <w:tcPr>
            <w:tcW w:w="674" w:type="pct"/>
            <w:tcBorders>
              <w:tl2br w:val="nil"/>
              <w:tr2bl w:val="nil"/>
            </w:tcBorders>
            <w:vAlign w:val="center"/>
          </w:tcPr>
          <w:p w14:paraId="35B29F48">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0.474</w:t>
            </w:r>
          </w:p>
        </w:tc>
        <w:tc>
          <w:tcPr>
            <w:tcW w:w="538" w:type="pct"/>
            <w:tcBorders>
              <w:tl2br w:val="nil"/>
              <w:tr2bl w:val="nil"/>
            </w:tcBorders>
            <w:vAlign w:val="center"/>
          </w:tcPr>
          <w:p w14:paraId="0DDD1C6D">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0.054</w:t>
            </w:r>
          </w:p>
        </w:tc>
        <w:tc>
          <w:tcPr>
            <w:tcW w:w="1435" w:type="pct"/>
            <w:vMerge w:val="continue"/>
            <w:tcBorders>
              <w:tl2br w:val="nil"/>
              <w:tr2bl w:val="nil"/>
            </w:tcBorders>
            <w:vAlign w:val="center"/>
          </w:tcPr>
          <w:p w14:paraId="1C3D89AA">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r>
      <w:tr w14:paraId="7DD49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7ACECE7C">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restart"/>
            <w:tcBorders>
              <w:tl2br w:val="nil"/>
              <w:tr2bl w:val="nil"/>
            </w:tcBorders>
            <w:vAlign w:val="center"/>
          </w:tcPr>
          <w:p w14:paraId="44DEC011">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pP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堆粪场</w:t>
            </w:r>
          </w:p>
        </w:tc>
        <w:tc>
          <w:tcPr>
            <w:tcW w:w="269" w:type="pct"/>
            <w:vMerge w:val="restart"/>
            <w:tcBorders>
              <w:tl2br w:val="nil"/>
              <w:tr2bl w:val="nil"/>
            </w:tcBorders>
            <w:vAlign w:val="center"/>
          </w:tcPr>
          <w:p w14:paraId="7B824BDD">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无组织</w:t>
            </w:r>
          </w:p>
        </w:tc>
        <w:tc>
          <w:tcPr>
            <w:tcW w:w="318" w:type="pct"/>
            <w:tcBorders>
              <w:tl2br w:val="nil"/>
              <w:tr2bl w:val="nil"/>
            </w:tcBorders>
            <w:vAlign w:val="center"/>
          </w:tcPr>
          <w:p w14:paraId="12FFDE45">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NH</w:t>
            </w:r>
            <w:r>
              <w:rPr>
                <w:rFonts w:hint="default" w:ascii="Times New Roman" w:hAnsi="Times New Roman" w:cs="Times New Roman" w:eastAsiaTheme="minorEastAsia"/>
                <w:b w:val="0"/>
                <w:bCs/>
                <w:color w:val="000000" w:themeColor="text1"/>
                <w:sz w:val="21"/>
                <w:szCs w:val="21"/>
                <w:highlight w:val="none"/>
                <w:vertAlign w:val="subscript"/>
                <w14:textFill>
                  <w14:solidFill>
                    <w14:schemeClr w14:val="tx1"/>
                  </w14:solidFill>
                </w14:textFill>
              </w:rPr>
              <w:t>3</w:t>
            </w:r>
          </w:p>
        </w:tc>
        <w:tc>
          <w:tcPr>
            <w:tcW w:w="691" w:type="pct"/>
            <w:tcBorders>
              <w:tl2br w:val="nil"/>
              <w:tr2bl w:val="nil"/>
            </w:tcBorders>
            <w:vAlign w:val="center"/>
          </w:tcPr>
          <w:p w14:paraId="644E3C1F">
            <w:pPr>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0.438</w:t>
            </w:r>
          </w:p>
        </w:tc>
        <w:tc>
          <w:tcPr>
            <w:tcW w:w="582" w:type="pct"/>
            <w:tcBorders>
              <w:tl2br w:val="nil"/>
              <w:tr2bl w:val="nil"/>
            </w:tcBorders>
            <w:vAlign w:val="center"/>
          </w:tcPr>
          <w:p w14:paraId="3F7E2047">
            <w:pPr>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w:t>
            </w:r>
          </w:p>
        </w:tc>
        <w:tc>
          <w:tcPr>
            <w:tcW w:w="674" w:type="pct"/>
            <w:tcBorders>
              <w:tl2br w:val="nil"/>
              <w:tr2bl w:val="nil"/>
            </w:tcBorders>
            <w:vAlign w:val="center"/>
          </w:tcPr>
          <w:p w14:paraId="2B380FFC">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0.066</w:t>
            </w:r>
          </w:p>
        </w:tc>
        <w:tc>
          <w:tcPr>
            <w:tcW w:w="538" w:type="pct"/>
            <w:tcBorders>
              <w:tl2br w:val="nil"/>
              <w:tr2bl w:val="nil"/>
            </w:tcBorders>
            <w:vAlign w:val="center"/>
          </w:tcPr>
          <w:p w14:paraId="4984B1F4">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0.0075</w:t>
            </w:r>
          </w:p>
        </w:tc>
        <w:tc>
          <w:tcPr>
            <w:tcW w:w="1435" w:type="pct"/>
            <w:vMerge w:val="restart"/>
            <w:tcBorders>
              <w:tl2br w:val="nil"/>
              <w:tr2bl w:val="nil"/>
            </w:tcBorders>
            <w:vAlign w:val="center"/>
          </w:tcPr>
          <w:p w14:paraId="7A6A6360">
            <w:pPr>
              <w:spacing w:line="240" w:lineRule="auto"/>
              <w:ind w:firstLine="0" w:firstLineChars="0"/>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14:textFill>
                  <w14:solidFill>
                    <w14:schemeClr w14:val="tx1"/>
                  </w14:solidFill>
                </w14:textFill>
              </w:rPr>
              <w:t>添加物理吸附剂、喷洒除臭剂等</w:t>
            </w:r>
          </w:p>
        </w:tc>
      </w:tr>
      <w:tr w14:paraId="410A8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33A1F583">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continue"/>
            <w:tcBorders>
              <w:tl2br w:val="nil"/>
              <w:tr2bl w:val="nil"/>
            </w:tcBorders>
            <w:vAlign w:val="center"/>
          </w:tcPr>
          <w:p w14:paraId="54590657">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269" w:type="pct"/>
            <w:vMerge w:val="continue"/>
            <w:tcBorders>
              <w:tl2br w:val="nil"/>
              <w:tr2bl w:val="nil"/>
            </w:tcBorders>
            <w:vAlign w:val="center"/>
          </w:tcPr>
          <w:p w14:paraId="7BA8CD07">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18" w:type="pct"/>
            <w:tcBorders>
              <w:tl2br w:val="nil"/>
              <w:tr2bl w:val="nil"/>
            </w:tcBorders>
            <w:vAlign w:val="center"/>
          </w:tcPr>
          <w:p w14:paraId="669E2BC9">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H</w:t>
            </w:r>
            <w:r>
              <w:rPr>
                <w:rFonts w:hint="default" w:ascii="Times New Roman" w:hAnsi="Times New Roman" w:cs="Times New Roman" w:eastAsiaTheme="minorEastAsia"/>
                <w:b w:val="0"/>
                <w:bCs/>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S</w:t>
            </w:r>
          </w:p>
        </w:tc>
        <w:tc>
          <w:tcPr>
            <w:tcW w:w="691" w:type="pct"/>
            <w:tcBorders>
              <w:tl2br w:val="nil"/>
              <w:tr2bl w:val="nil"/>
            </w:tcBorders>
            <w:vAlign w:val="center"/>
          </w:tcPr>
          <w:p w14:paraId="4CAF7FF4">
            <w:pPr>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0.0</w:t>
            </w:r>
            <w:r>
              <w:rPr>
                <w:rFonts w:hint="eastAsia"/>
                <w:color w:val="000000" w:themeColor="text1"/>
                <w:highlight w:val="none"/>
                <w:lang w:val="en-US" w:eastAsia="zh-CN"/>
                <w14:textFill>
                  <w14:solidFill>
                    <w14:schemeClr w14:val="tx1"/>
                  </w14:solidFill>
                </w14:textFill>
              </w:rPr>
              <w:t>44</w:t>
            </w:r>
          </w:p>
        </w:tc>
        <w:tc>
          <w:tcPr>
            <w:tcW w:w="582" w:type="pct"/>
            <w:tcBorders>
              <w:tl2br w:val="nil"/>
              <w:tr2bl w:val="nil"/>
            </w:tcBorders>
            <w:vAlign w:val="center"/>
          </w:tcPr>
          <w:p w14:paraId="65316085">
            <w:pPr>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w:t>
            </w:r>
          </w:p>
        </w:tc>
        <w:tc>
          <w:tcPr>
            <w:tcW w:w="674" w:type="pct"/>
            <w:tcBorders>
              <w:tl2br w:val="nil"/>
              <w:tr2bl w:val="nil"/>
            </w:tcBorders>
            <w:vAlign w:val="center"/>
          </w:tcPr>
          <w:p w14:paraId="3348CCA6">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w:t>
            </w:r>
          </w:p>
        </w:tc>
        <w:tc>
          <w:tcPr>
            <w:tcW w:w="538" w:type="pct"/>
            <w:tcBorders>
              <w:tl2br w:val="nil"/>
              <w:tr2bl w:val="nil"/>
            </w:tcBorders>
            <w:vAlign w:val="center"/>
          </w:tcPr>
          <w:p w14:paraId="7109F6E1">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0.0008</w:t>
            </w:r>
          </w:p>
        </w:tc>
        <w:tc>
          <w:tcPr>
            <w:tcW w:w="1435" w:type="pct"/>
            <w:vMerge w:val="continue"/>
            <w:tcBorders>
              <w:tl2br w:val="nil"/>
              <w:tr2bl w:val="nil"/>
            </w:tcBorders>
            <w:vAlign w:val="center"/>
          </w:tcPr>
          <w:p w14:paraId="30404081">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r>
      <w:tr w14:paraId="4889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7293DF25">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restart"/>
            <w:tcBorders>
              <w:tl2br w:val="nil"/>
              <w:tr2bl w:val="nil"/>
            </w:tcBorders>
            <w:vAlign w:val="center"/>
          </w:tcPr>
          <w:p w14:paraId="2D92ECBA">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污水处理恶臭</w:t>
            </w:r>
          </w:p>
        </w:tc>
        <w:tc>
          <w:tcPr>
            <w:tcW w:w="269" w:type="pct"/>
            <w:vMerge w:val="restart"/>
            <w:tcBorders>
              <w:tl2br w:val="nil"/>
              <w:tr2bl w:val="nil"/>
            </w:tcBorders>
            <w:vAlign w:val="center"/>
          </w:tcPr>
          <w:p w14:paraId="21E5C997">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无组织</w:t>
            </w:r>
          </w:p>
        </w:tc>
        <w:tc>
          <w:tcPr>
            <w:tcW w:w="318" w:type="pct"/>
            <w:tcBorders>
              <w:tl2br w:val="nil"/>
              <w:tr2bl w:val="nil"/>
            </w:tcBorders>
            <w:vAlign w:val="center"/>
          </w:tcPr>
          <w:p w14:paraId="66E5EEE1">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NH</w:t>
            </w:r>
            <w:r>
              <w:rPr>
                <w:rFonts w:hint="default" w:ascii="Times New Roman" w:hAnsi="Times New Roman" w:cs="Times New Roman" w:eastAsiaTheme="minorEastAsia"/>
                <w:b w:val="0"/>
                <w:bCs/>
                <w:color w:val="000000" w:themeColor="text1"/>
                <w:sz w:val="21"/>
                <w:szCs w:val="21"/>
                <w:highlight w:val="none"/>
                <w:vertAlign w:val="subscript"/>
                <w14:textFill>
                  <w14:solidFill>
                    <w14:schemeClr w14:val="tx1"/>
                  </w14:solidFill>
                </w14:textFill>
              </w:rPr>
              <w:t>3</w:t>
            </w:r>
          </w:p>
        </w:tc>
        <w:tc>
          <w:tcPr>
            <w:tcW w:w="691" w:type="pct"/>
            <w:tcBorders>
              <w:tl2br w:val="nil"/>
              <w:tr2bl w:val="nil"/>
            </w:tcBorders>
            <w:vAlign w:val="center"/>
          </w:tcPr>
          <w:p w14:paraId="3904BE90">
            <w:pPr>
              <w:spacing w:line="240" w:lineRule="auto"/>
              <w:jc w:val="center"/>
              <w:rPr>
                <w:rFonts w:hint="default" w:ascii="Times New Roman" w:hAnsi="Times New Roman" w:cs="Times New Roman" w:eastAsiaTheme="minorEastAsia"/>
                <w:b w:val="0"/>
                <w:bCs/>
                <w:color w:val="000000" w:themeColor="text1"/>
                <w:sz w:val="21"/>
                <w:szCs w:val="21"/>
                <w:highlight w:val="none"/>
                <w:lang w:val="en-US"/>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0.0</w:t>
            </w:r>
            <w:r>
              <w:rPr>
                <w:rFonts w:hint="eastAsia" w:cs="宋体"/>
                <w:b w:val="0"/>
                <w:bCs w:val="0"/>
                <w:color w:val="000000" w:themeColor="text1"/>
                <w:kern w:val="0"/>
                <w:sz w:val="21"/>
                <w:szCs w:val="21"/>
                <w:highlight w:val="none"/>
                <w:lang w:val="en-US" w:eastAsia="zh-CN"/>
                <w14:textFill>
                  <w14:solidFill>
                    <w14:schemeClr w14:val="tx1"/>
                  </w14:solidFill>
                </w14:textFill>
              </w:rPr>
              <w:t>94</w:t>
            </w:r>
          </w:p>
        </w:tc>
        <w:tc>
          <w:tcPr>
            <w:tcW w:w="582" w:type="pct"/>
            <w:tcBorders>
              <w:tl2br w:val="nil"/>
              <w:tr2bl w:val="nil"/>
            </w:tcBorders>
            <w:vAlign w:val="center"/>
          </w:tcPr>
          <w:p w14:paraId="52F1A775">
            <w:pPr>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0.011</w:t>
            </w:r>
          </w:p>
        </w:tc>
        <w:tc>
          <w:tcPr>
            <w:tcW w:w="674" w:type="pct"/>
            <w:tcBorders>
              <w:tl2br w:val="nil"/>
              <w:tr2bl w:val="nil"/>
            </w:tcBorders>
            <w:vAlign w:val="center"/>
          </w:tcPr>
          <w:p w14:paraId="33540805">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0.014</w:t>
            </w:r>
          </w:p>
        </w:tc>
        <w:tc>
          <w:tcPr>
            <w:tcW w:w="538" w:type="pct"/>
            <w:tcBorders>
              <w:tl2br w:val="nil"/>
              <w:tr2bl w:val="nil"/>
            </w:tcBorders>
            <w:vAlign w:val="center"/>
          </w:tcPr>
          <w:p w14:paraId="19A8653F">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0.002</w:t>
            </w:r>
          </w:p>
        </w:tc>
        <w:tc>
          <w:tcPr>
            <w:tcW w:w="1435" w:type="pct"/>
            <w:vMerge w:val="restart"/>
            <w:tcBorders>
              <w:tl2br w:val="nil"/>
              <w:tr2bl w:val="nil"/>
            </w:tcBorders>
            <w:vAlign w:val="center"/>
          </w:tcPr>
          <w:p w14:paraId="78CD42C5">
            <w:pPr>
              <w:spacing w:line="240" w:lineRule="auto"/>
              <w:ind w:firstLine="0" w:firstLineChars="0"/>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加盖密闭、黑膜池外围定期喷洒除臭剂</w:t>
            </w:r>
          </w:p>
        </w:tc>
      </w:tr>
      <w:tr w14:paraId="314C8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5AD2CF56">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continue"/>
            <w:tcBorders>
              <w:tl2br w:val="nil"/>
              <w:tr2bl w:val="nil"/>
            </w:tcBorders>
            <w:vAlign w:val="center"/>
          </w:tcPr>
          <w:p w14:paraId="0AA69C30">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269" w:type="pct"/>
            <w:vMerge w:val="continue"/>
            <w:tcBorders>
              <w:tl2br w:val="nil"/>
              <w:tr2bl w:val="nil"/>
            </w:tcBorders>
            <w:vAlign w:val="center"/>
          </w:tcPr>
          <w:p w14:paraId="155FA6DD">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18" w:type="pct"/>
            <w:tcBorders>
              <w:tl2br w:val="nil"/>
              <w:tr2bl w:val="nil"/>
            </w:tcBorders>
            <w:vAlign w:val="center"/>
          </w:tcPr>
          <w:p w14:paraId="2E996851">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H</w:t>
            </w:r>
            <w:r>
              <w:rPr>
                <w:rFonts w:hint="default" w:ascii="Times New Roman" w:hAnsi="Times New Roman" w:cs="Times New Roman" w:eastAsiaTheme="minorEastAsia"/>
                <w:b w:val="0"/>
                <w:bCs/>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S</w:t>
            </w:r>
          </w:p>
        </w:tc>
        <w:tc>
          <w:tcPr>
            <w:tcW w:w="691" w:type="pct"/>
            <w:tcBorders>
              <w:tl2br w:val="nil"/>
              <w:tr2bl w:val="nil"/>
            </w:tcBorders>
            <w:vAlign w:val="center"/>
          </w:tcPr>
          <w:p w14:paraId="55EC370A">
            <w:pPr>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0.00</w:t>
            </w:r>
            <w:r>
              <w:rPr>
                <w:rFonts w:hint="eastAsia" w:cs="宋体"/>
                <w:b w:val="0"/>
                <w:bCs w:val="0"/>
                <w:color w:val="000000" w:themeColor="text1"/>
                <w:kern w:val="0"/>
                <w:sz w:val="21"/>
                <w:szCs w:val="21"/>
                <w:highlight w:val="none"/>
                <w:lang w:val="en-US" w:eastAsia="zh-CN"/>
                <w14:textFill>
                  <w14:solidFill>
                    <w14:schemeClr w14:val="tx1"/>
                  </w14:solidFill>
                </w14:textFill>
              </w:rPr>
              <w:t>4</w:t>
            </w:r>
          </w:p>
        </w:tc>
        <w:tc>
          <w:tcPr>
            <w:tcW w:w="582" w:type="pct"/>
            <w:tcBorders>
              <w:tl2br w:val="nil"/>
              <w:tr2bl w:val="nil"/>
            </w:tcBorders>
            <w:vAlign w:val="center"/>
          </w:tcPr>
          <w:p w14:paraId="57DBE08C">
            <w:pPr>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0.0005</w:t>
            </w:r>
          </w:p>
        </w:tc>
        <w:tc>
          <w:tcPr>
            <w:tcW w:w="674" w:type="pct"/>
            <w:tcBorders>
              <w:tl2br w:val="nil"/>
              <w:tr2bl w:val="nil"/>
            </w:tcBorders>
            <w:vAlign w:val="center"/>
          </w:tcPr>
          <w:p w14:paraId="30CA103C">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0.0006</w:t>
            </w:r>
          </w:p>
        </w:tc>
        <w:tc>
          <w:tcPr>
            <w:tcW w:w="538" w:type="pct"/>
            <w:tcBorders>
              <w:tl2br w:val="nil"/>
              <w:tr2bl w:val="nil"/>
            </w:tcBorders>
            <w:vAlign w:val="center"/>
          </w:tcPr>
          <w:p w14:paraId="3AF34389">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0.00007</w:t>
            </w:r>
          </w:p>
        </w:tc>
        <w:tc>
          <w:tcPr>
            <w:tcW w:w="1435" w:type="pct"/>
            <w:vMerge w:val="continue"/>
            <w:tcBorders>
              <w:tl2br w:val="nil"/>
              <w:tr2bl w:val="nil"/>
            </w:tcBorders>
            <w:vAlign w:val="center"/>
          </w:tcPr>
          <w:p w14:paraId="7E2F46AF">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r>
      <w:tr w14:paraId="42B1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5" w:hRule="atLeast"/>
          <w:jc w:val="center"/>
        </w:trPr>
        <w:tc>
          <w:tcPr>
            <w:tcW w:w="189" w:type="pct"/>
            <w:vMerge w:val="continue"/>
            <w:tcBorders>
              <w:tl2br w:val="nil"/>
              <w:tr2bl w:val="nil"/>
            </w:tcBorders>
            <w:vAlign w:val="center"/>
          </w:tcPr>
          <w:p w14:paraId="1C1586C1">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restart"/>
            <w:tcBorders>
              <w:tl2br w:val="nil"/>
              <w:tr2bl w:val="nil"/>
            </w:tcBorders>
            <w:vAlign w:val="center"/>
          </w:tcPr>
          <w:p w14:paraId="0E65CFFA">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干湿分离车间恶臭</w:t>
            </w:r>
          </w:p>
        </w:tc>
        <w:tc>
          <w:tcPr>
            <w:tcW w:w="269" w:type="pct"/>
            <w:vMerge w:val="restart"/>
            <w:tcBorders>
              <w:tl2br w:val="nil"/>
              <w:tr2bl w:val="nil"/>
            </w:tcBorders>
            <w:vAlign w:val="center"/>
          </w:tcPr>
          <w:p w14:paraId="5874A9E3">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无</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组织</w:t>
            </w:r>
          </w:p>
        </w:tc>
        <w:tc>
          <w:tcPr>
            <w:tcW w:w="318" w:type="pct"/>
            <w:tcBorders>
              <w:tl2br w:val="nil"/>
              <w:tr2bl w:val="nil"/>
            </w:tcBorders>
            <w:vAlign w:val="center"/>
          </w:tcPr>
          <w:p w14:paraId="1E58315D">
            <w:pPr>
              <w:spacing w:line="240" w:lineRule="auto"/>
              <w:ind w:firstLine="0" w:firstLineChars="0"/>
              <w:jc w:val="center"/>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NH</w:t>
            </w:r>
            <w:r>
              <w:rPr>
                <w:rFonts w:hint="default" w:ascii="Times New Roman" w:hAnsi="Times New Roman" w:cs="Times New Roman" w:eastAsiaTheme="minorEastAsia"/>
                <w:b w:val="0"/>
                <w:bCs/>
                <w:color w:val="000000" w:themeColor="text1"/>
                <w:sz w:val="21"/>
                <w:szCs w:val="21"/>
                <w:highlight w:val="none"/>
                <w:vertAlign w:val="subscript"/>
                <w14:textFill>
                  <w14:solidFill>
                    <w14:schemeClr w14:val="tx1"/>
                  </w14:solidFill>
                </w14:textFill>
              </w:rPr>
              <w:t>3</w:t>
            </w:r>
          </w:p>
        </w:tc>
        <w:tc>
          <w:tcPr>
            <w:tcW w:w="691" w:type="pct"/>
            <w:tcBorders>
              <w:tl2br w:val="nil"/>
              <w:tr2bl w:val="nil"/>
            </w:tcBorders>
            <w:vAlign w:val="center"/>
          </w:tcPr>
          <w:p w14:paraId="1132301F">
            <w:pPr>
              <w:spacing w:line="240" w:lineRule="auto"/>
              <w:jc w:val="center"/>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val="en-US" w:eastAsia="zh-CN"/>
                <w14:textFill>
                  <w14:solidFill>
                    <w14:schemeClr w14:val="tx1"/>
                  </w14:solidFill>
                </w14:textFill>
              </w:rPr>
              <w:t>201</w:t>
            </w:r>
          </w:p>
        </w:tc>
        <w:tc>
          <w:tcPr>
            <w:tcW w:w="582" w:type="pct"/>
            <w:tcBorders>
              <w:tl2br w:val="nil"/>
              <w:tr2bl w:val="nil"/>
            </w:tcBorders>
            <w:vAlign w:val="center"/>
          </w:tcPr>
          <w:p w14:paraId="75C79287">
            <w:pPr>
              <w:spacing w:line="240" w:lineRule="auto"/>
              <w:jc w:val="center"/>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0.023</w:t>
            </w:r>
          </w:p>
        </w:tc>
        <w:tc>
          <w:tcPr>
            <w:tcW w:w="674" w:type="pct"/>
            <w:tcBorders>
              <w:tl2br w:val="nil"/>
              <w:tr2bl w:val="nil"/>
            </w:tcBorders>
            <w:vAlign w:val="center"/>
          </w:tcPr>
          <w:p w14:paraId="0D1D9FA5">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538" w:type="pct"/>
            <w:tcBorders>
              <w:tl2br w:val="nil"/>
              <w:tr2bl w:val="nil"/>
            </w:tcBorders>
            <w:vAlign w:val="center"/>
          </w:tcPr>
          <w:p w14:paraId="2B929CC7">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w:t>
            </w:r>
          </w:p>
        </w:tc>
        <w:tc>
          <w:tcPr>
            <w:tcW w:w="1435" w:type="pct"/>
            <w:vMerge w:val="restart"/>
            <w:tcBorders>
              <w:tl2br w:val="nil"/>
              <w:tr2bl w:val="nil"/>
            </w:tcBorders>
            <w:vAlign w:val="center"/>
          </w:tcPr>
          <w:p w14:paraId="28B260AC">
            <w:pPr>
              <w:spacing w:line="240" w:lineRule="auto"/>
              <w:ind w:firstLine="0" w:firstLineChars="0"/>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密闭、喷洒除臭剂</w:t>
            </w:r>
          </w:p>
        </w:tc>
      </w:tr>
      <w:tr w14:paraId="4705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9" w:type="pct"/>
            <w:vMerge w:val="continue"/>
            <w:tcBorders>
              <w:tl2br w:val="nil"/>
              <w:tr2bl w:val="nil"/>
            </w:tcBorders>
            <w:vAlign w:val="center"/>
          </w:tcPr>
          <w:p w14:paraId="3BAB5EDD">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continue"/>
            <w:tcBorders>
              <w:tl2br w:val="nil"/>
              <w:tr2bl w:val="nil"/>
            </w:tcBorders>
            <w:vAlign w:val="center"/>
          </w:tcPr>
          <w:p w14:paraId="0ABC7F53">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269" w:type="pct"/>
            <w:vMerge w:val="continue"/>
            <w:tcBorders>
              <w:tl2br w:val="nil"/>
              <w:tr2bl w:val="nil"/>
            </w:tcBorders>
            <w:vAlign w:val="center"/>
          </w:tcPr>
          <w:p w14:paraId="4A4F00A8">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18" w:type="pct"/>
            <w:tcBorders>
              <w:tl2br w:val="nil"/>
              <w:tr2bl w:val="nil"/>
            </w:tcBorders>
            <w:vAlign w:val="center"/>
          </w:tcPr>
          <w:p w14:paraId="4A6B8F58">
            <w:pPr>
              <w:spacing w:line="240" w:lineRule="auto"/>
              <w:ind w:firstLine="0" w:firstLineChars="0"/>
              <w:jc w:val="center"/>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H</w:t>
            </w:r>
            <w:r>
              <w:rPr>
                <w:rFonts w:hint="default" w:ascii="Times New Roman" w:hAnsi="Times New Roman" w:cs="Times New Roman" w:eastAsiaTheme="minorEastAsia"/>
                <w:b w:val="0"/>
                <w:bCs/>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S</w:t>
            </w:r>
          </w:p>
        </w:tc>
        <w:tc>
          <w:tcPr>
            <w:tcW w:w="691" w:type="pct"/>
            <w:tcBorders>
              <w:tl2br w:val="nil"/>
              <w:tr2bl w:val="nil"/>
            </w:tcBorders>
            <w:vAlign w:val="center"/>
          </w:tcPr>
          <w:p w14:paraId="14114B1F">
            <w:pPr>
              <w:spacing w:line="240" w:lineRule="auto"/>
              <w:jc w:val="center"/>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0.0</w:t>
            </w:r>
            <w:r>
              <w:rPr>
                <w:rFonts w:hint="eastAsia"/>
                <w:color w:val="000000" w:themeColor="text1"/>
                <w:sz w:val="21"/>
                <w:szCs w:val="21"/>
                <w:highlight w:val="none"/>
                <w:lang w:val="en-US" w:eastAsia="zh-CN"/>
                <w14:textFill>
                  <w14:solidFill>
                    <w14:schemeClr w14:val="tx1"/>
                  </w14:solidFill>
                </w14:textFill>
              </w:rPr>
              <w:t>11</w:t>
            </w:r>
          </w:p>
        </w:tc>
        <w:tc>
          <w:tcPr>
            <w:tcW w:w="582" w:type="pct"/>
            <w:tcBorders>
              <w:tl2br w:val="nil"/>
              <w:tr2bl w:val="nil"/>
            </w:tcBorders>
            <w:vAlign w:val="center"/>
          </w:tcPr>
          <w:p w14:paraId="7BCE2576">
            <w:pPr>
              <w:spacing w:line="240" w:lineRule="auto"/>
              <w:jc w:val="center"/>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0.0013</w:t>
            </w:r>
          </w:p>
        </w:tc>
        <w:tc>
          <w:tcPr>
            <w:tcW w:w="674" w:type="pct"/>
            <w:tcBorders>
              <w:tl2br w:val="nil"/>
              <w:tr2bl w:val="nil"/>
            </w:tcBorders>
            <w:vAlign w:val="center"/>
          </w:tcPr>
          <w:p w14:paraId="4A329A6F">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w:t>
            </w:r>
          </w:p>
        </w:tc>
        <w:tc>
          <w:tcPr>
            <w:tcW w:w="538" w:type="pct"/>
            <w:tcBorders>
              <w:tl2br w:val="nil"/>
              <w:tr2bl w:val="nil"/>
            </w:tcBorders>
            <w:vAlign w:val="center"/>
          </w:tcPr>
          <w:p w14:paraId="1628928A">
            <w:pPr>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0.0003</w:t>
            </w:r>
          </w:p>
        </w:tc>
        <w:tc>
          <w:tcPr>
            <w:tcW w:w="1435" w:type="pct"/>
            <w:vMerge w:val="continue"/>
            <w:tcBorders>
              <w:tl2br w:val="nil"/>
              <w:tr2bl w:val="nil"/>
            </w:tcBorders>
            <w:vAlign w:val="center"/>
          </w:tcPr>
          <w:p w14:paraId="4F0EA0A7">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r>
      <w:tr w14:paraId="01F07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9" w:type="pct"/>
            <w:vMerge w:val="continue"/>
            <w:tcBorders>
              <w:tl2br w:val="nil"/>
              <w:tr2bl w:val="nil"/>
            </w:tcBorders>
            <w:vAlign w:val="center"/>
          </w:tcPr>
          <w:p w14:paraId="5F9BAABF">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tcBorders>
              <w:tl2br w:val="nil"/>
              <w:tr2bl w:val="nil"/>
            </w:tcBorders>
            <w:vAlign w:val="center"/>
          </w:tcPr>
          <w:p w14:paraId="050C1534">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黑膜池沼气</w:t>
            </w:r>
          </w:p>
        </w:tc>
        <w:tc>
          <w:tcPr>
            <w:tcW w:w="269" w:type="pct"/>
            <w:tcBorders>
              <w:tl2br w:val="nil"/>
              <w:tr2bl w:val="nil"/>
            </w:tcBorders>
            <w:vAlign w:val="center"/>
          </w:tcPr>
          <w:p w14:paraId="350A6197">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无</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组织</w:t>
            </w:r>
          </w:p>
        </w:tc>
        <w:tc>
          <w:tcPr>
            <w:tcW w:w="318" w:type="pct"/>
            <w:tcBorders>
              <w:tl2br w:val="nil"/>
              <w:tr2bl w:val="nil"/>
            </w:tcBorders>
            <w:vAlign w:val="center"/>
          </w:tcPr>
          <w:p w14:paraId="2E1FEBCD">
            <w:pPr>
              <w:spacing w:line="240" w:lineRule="auto"/>
              <w:ind w:firstLine="0" w:firstLineChars="0"/>
              <w:jc w:val="cente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沼气</w:t>
            </w:r>
          </w:p>
        </w:tc>
        <w:tc>
          <w:tcPr>
            <w:tcW w:w="691" w:type="pct"/>
            <w:tcBorders>
              <w:tl2br w:val="nil"/>
              <w:tr2bl w:val="nil"/>
            </w:tcBorders>
            <w:vAlign w:val="center"/>
          </w:tcPr>
          <w:p w14:paraId="75A49EC8">
            <w:pPr>
              <w:bidi w:val="0"/>
              <w:spacing w:line="240" w:lineRule="auto"/>
              <w:jc w:val="center"/>
              <w:rPr>
                <w:rFonts w:hint="default" w:ascii="Times New Roman" w:hAnsi="Times New Roman" w:cs="Times New Roman" w:eastAsiaTheme="minorEastAsia"/>
                <w:b w:val="0"/>
                <w:bCs/>
                <w:color w:val="000000" w:themeColor="text1"/>
                <w:sz w:val="21"/>
                <w:szCs w:val="21"/>
                <w:highlight w:val="none"/>
                <w:lang w:val="en-US"/>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582" w:type="pct"/>
            <w:tcBorders>
              <w:tl2br w:val="nil"/>
              <w:tr2bl w:val="nil"/>
            </w:tcBorders>
            <w:vAlign w:val="center"/>
          </w:tcPr>
          <w:p w14:paraId="26419714">
            <w:pPr>
              <w:bidi w:val="0"/>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c>
          <w:tcPr>
            <w:tcW w:w="674" w:type="pct"/>
            <w:tcBorders>
              <w:tl2br w:val="nil"/>
              <w:tr2bl w:val="nil"/>
            </w:tcBorders>
            <w:vAlign w:val="center"/>
          </w:tcPr>
          <w:p w14:paraId="4840170D">
            <w:pPr>
              <w:bidi w:val="0"/>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538" w:type="pct"/>
            <w:tcBorders>
              <w:tl2br w:val="nil"/>
              <w:tr2bl w:val="nil"/>
            </w:tcBorders>
            <w:vAlign w:val="center"/>
          </w:tcPr>
          <w:p w14:paraId="102869FE">
            <w:pPr>
              <w:bidi w:val="0"/>
              <w:spacing w:line="240" w:lineRule="auto"/>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c>
          <w:tcPr>
            <w:tcW w:w="1435" w:type="pct"/>
            <w:tcBorders>
              <w:tl2br w:val="nil"/>
              <w:tr2bl w:val="nil"/>
            </w:tcBorders>
            <w:vAlign w:val="center"/>
          </w:tcPr>
          <w:p w14:paraId="51CC405B">
            <w:pPr>
              <w:spacing w:line="240" w:lineRule="auto"/>
              <w:ind w:firstLine="0" w:firstLineChars="0"/>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r>
      <w:tr w14:paraId="7DB7D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89" w:type="pct"/>
            <w:vMerge w:val="continue"/>
            <w:tcBorders>
              <w:tl2br w:val="nil"/>
              <w:tr2bl w:val="nil"/>
            </w:tcBorders>
            <w:vAlign w:val="center"/>
          </w:tcPr>
          <w:p w14:paraId="76A2FC81">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tcBorders>
              <w:tl2br w:val="nil"/>
              <w:tr2bl w:val="nil"/>
            </w:tcBorders>
            <w:vAlign w:val="center"/>
          </w:tcPr>
          <w:p w14:paraId="02C9F6D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饲料加工车间</w:t>
            </w:r>
          </w:p>
        </w:tc>
        <w:tc>
          <w:tcPr>
            <w:tcW w:w="269" w:type="pct"/>
            <w:tcBorders>
              <w:tl2br w:val="nil"/>
              <w:tr2bl w:val="nil"/>
            </w:tcBorders>
            <w:vAlign w:val="center"/>
          </w:tcPr>
          <w:p w14:paraId="564DB99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w:t>
            </w:r>
          </w:p>
        </w:tc>
        <w:tc>
          <w:tcPr>
            <w:tcW w:w="318" w:type="pct"/>
            <w:tcBorders>
              <w:tl2br w:val="nil"/>
              <w:tr2bl w:val="nil"/>
            </w:tcBorders>
            <w:vAlign w:val="center"/>
          </w:tcPr>
          <w:p w14:paraId="5F517B1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TSP</w:t>
            </w:r>
          </w:p>
        </w:tc>
        <w:tc>
          <w:tcPr>
            <w:tcW w:w="691" w:type="pct"/>
            <w:tcBorders>
              <w:tl2br w:val="nil"/>
              <w:tr2bl w:val="nil"/>
            </w:tcBorders>
            <w:vAlign w:val="center"/>
          </w:tcPr>
          <w:p w14:paraId="1207FED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0.63</w:t>
            </w:r>
          </w:p>
        </w:tc>
        <w:tc>
          <w:tcPr>
            <w:tcW w:w="582" w:type="pct"/>
            <w:tcBorders>
              <w:tl2br w:val="nil"/>
              <w:tr2bl w:val="nil"/>
            </w:tcBorders>
            <w:vAlign w:val="center"/>
          </w:tcPr>
          <w:p w14:paraId="07D40C1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0.072</w:t>
            </w:r>
          </w:p>
        </w:tc>
        <w:tc>
          <w:tcPr>
            <w:tcW w:w="674" w:type="pct"/>
            <w:tcBorders>
              <w:tl2br w:val="nil"/>
              <w:tr2bl w:val="nil"/>
            </w:tcBorders>
            <w:vAlign w:val="center"/>
          </w:tcPr>
          <w:p w14:paraId="2458547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0.126</w:t>
            </w:r>
          </w:p>
        </w:tc>
        <w:tc>
          <w:tcPr>
            <w:tcW w:w="538" w:type="pct"/>
            <w:tcBorders>
              <w:tl2br w:val="nil"/>
              <w:tr2bl w:val="nil"/>
            </w:tcBorders>
            <w:vAlign w:val="center"/>
          </w:tcPr>
          <w:p w14:paraId="19C455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0.014</w:t>
            </w:r>
          </w:p>
        </w:tc>
        <w:tc>
          <w:tcPr>
            <w:tcW w:w="1435" w:type="pct"/>
            <w:tcBorders>
              <w:tl2br w:val="nil"/>
              <w:tr2bl w:val="nil"/>
            </w:tcBorders>
            <w:vAlign w:val="center"/>
          </w:tcPr>
          <w:p w14:paraId="2D08C34A">
            <w:pPr>
              <w:spacing w:line="240" w:lineRule="auto"/>
              <w:ind w:firstLine="0" w:firstLineChars="0"/>
              <w:jc w:val="cente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p>
        </w:tc>
      </w:tr>
      <w:tr w14:paraId="4211F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restart"/>
            <w:tcBorders>
              <w:tl2br w:val="nil"/>
              <w:tr2bl w:val="nil"/>
            </w:tcBorders>
            <w:vAlign w:val="center"/>
          </w:tcPr>
          <w:p w14:paraId="49410875">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废水</w:t>
            </w:r>
          </w:p>
        </w:tc>
        <w:tc>
          <w:tcPr>
            <w:tcW w:w="300" w:type="pct"/>
            <w:vMerge w:val="restart"/>
            <w:tcBorders>
              <w:tl2br w:val="nil"/>
              <w:tr2bl w:val="nil"/>
            </w:tcBorders>
            <w:vAlign w:val="center"/>
          </w:tcPr>
          <w:p w14:paraId="435D85C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混合污水</w:t>
            </w:r>
          </w:p>
        </w:tc>
        <w:tc>
          <w:tcPr>
            <w:tcW w:w="587" w:type="pct"/>
            <w:gridSpan w:val="2"/>
            <w:tcBorders>
              <w:tl2br w:val="nil"/>
              <w:tr2bl w:val="nil"/>
            </w:tcBorders>
            <w:vAlign w:val="center"/>
          </w:tcPr>
          <w:p w14:paraId="0AD82CC6">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废水量</w:t>
            </w:r>
          </w:p>
        </w:tc>
        <w:tc>
          <w:tcPr>
            <w:tcW w:w="691" w:type="pct"/>
            <w:tcBorders>
              <w:tl2br w:val="nil"/>
              <w:tr2bl w:val="nil"/>
            </w:tcBorders>
            <w:shd w:val="clear" w:color="auto" w:fill="auto"/>
            <w:vAlign w:val="center"/>
          </w:tcPr>
          <w:p w14:paraId="274246B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45420.39</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m</w:t>
            </w:r>
            <w:r>
              <w:rPr>
                <w:rFonts w:hint="default" w:ascii="Times New Roman" w:hAnsi="Times New Roman" w:cs="Times New Roman" w:eastAsiaTheme="minorEastAsia"/>
                <w:b w:val="0"/>
                <w:bCs/>
                <w:color w:val="000000" w:themeColor="text1"/>
                <w:sz w:val="21"/>
                <w:szCs w:val="21"/>
                <w:highlight w:val="none"/>
                <w:vertAlign w:val="superscript"/>
                <w14:textFill>
                  <w14:solidFill>
                    <w14:schemeClr w14:val="tx1"/>
                  </w14:solidFill>
                </w14:textFill>
              </w:rPr>
              <w:t>3</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/a</w:t>
            </w:r>
          </w:p>
        </w:tc>
        <w:tc>
          <w:tcPr>
            <w:tcW w:w="582" w:type="pct"/>
            <w:tcBorders>
              <w:tl2br w:val="nil"/>
              <w:tr2bl w:val="nil"/>
            </w:tcBorders>
            <w:shd w:val="clear" w:color="auto" w:fill="auto"/>
            <w:vAlign w:val="center"/>
          </w:tcPr>
          <w:p w14:paraId="7D77718B">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w:t>
            </w:r>
          </w:p>
        </w:tc>
        <w:tc>
          <w:tcPr>
            <w:tcW w:w="674" w:type="pct"/>
            <w:tcBorders>
              <w:tl2br w:val="nil"/>
              <w:tr2bl w:val="nil"/>
            </w:tcBorders>
            <w:vAlign w:val="center"/>
          </w:tcPr>
          <w:p w14:paraId="5C6D51FE">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w:t>
            </w:r>
          </w:p>
        </w:tc>
        <w:tc>
          <w:tcPr>
            <w:tcW w:w="538" w:type="pct"/>
            <w:tcBorders>
              <w:tl2br w:val="nil"/>
              <w:tr2bl w:val="nil"/>
            </w:tcBorders>
            <w:vAlign w:val="center"/>
          </w:tcPr>
          <w:p w14:paraId="690E67EB">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0</w:t>
            </w:r>
          </w:p>
        </w:tc>
        <w:tc>
          <w:tcPr>
            <w:tcW w:w="1435" w:type="pct"/>
            <w:vMerge w:val="restart"/>
            <w:tcBorders>
              <w:tl2br w:val="nil"/>
              <w:tr2bl w:val="nil"/>
            </w:tcBorders>
            <w:vAlign w:val="center"/>
          </w:tcPr>
          <w:p w14:paraId="254A1EC4">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“固液分离＋厌氧发酵”工艺处理后，作为</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液体</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肥料还田</w:t>
            </w: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 xml:space="preserve"> </w:t>
            </w:r>
          </w:p>
        </w:tc>
      </w:tr>
      <w:tr w14:paraId="635E5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2" w:hRule="atLeast"/>
          <w:jc w:val="center"/>
        </w:trPr>
        <w:tc>
          <w:tcPr>
            <w:tcW w:w="189" w:type="pct"/>
            <w:vMerge w:val="continue"/>
            <w:tcBorders>
              <w:tl2br w:val="nil"/>
              <w:tr2bl w:val="nil"/>
            </w:tcBorders>
            <w:vAlign w:val="center"/>
          </w:tcPr>
          <w:p w14:paraId="4BCC74A3">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continue"/>
            <w:tcBorders>
              <w:tl2br w:val="nil"/>
              <w:tr2bl w:val="nil"/>
            </w:tcBorders>
            <w:vAlign w:val="center"/>
          </w:tcPr>
          <w:p w14:paraId="3681479A">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587" w:type="pct"/>
            <w:gridSpan w:val="2"/>
            <w:tcBorders>
              <w:tl2br w:val="nil"/>
              <w:tr2bl w:val="nil"/>
            </w:tcBorders>
            <w:vAlign w:val="center"/>
          </w:tcPr>
          <w:p w14:paraId="038D818B">
            <w:pPr>
              <w:pStyle w:val="40"/>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COD</w:t>
            </w:r>
          </w:p>
        </w:tc>
        <w:tc>
          <w:tcPr>
            <w:tcW w:w="691" w:type="pct"/>
            <w:tcBorders>
              <w:tl2br w:val="nil"/>
              <w:tr2bl w:val="nil"/>
            </w:tcBorders>
            <w:shd w:val="clear" w:color="auto" w:fill="auto"/>
            <w:vAlign w:val="center"/>
          </w:tcPr>
          <w:p w14:paraId="08F44603">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117.43</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t/a</w:t>
            </w:r>
          </w:p>
        </w:tc>
        <w:tc>
          <w:tcPr>
            <w:tcW w:w="582" w:type="pct"/>
            <w:tcBorders>
              <w:tl2br w:val="nil"/>
              <w:tr2bl w:val="nil"/>
            </w:tcBorders>
            <w:shd w:val="clear" w:color="auto" w:fill="auto"/>
            <w:vAlign w:val="center"/>
          </w:tcPr>
          <w:p w14:paraId="4E2D70E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2585</w:t>
            </w: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mg/L</w:t>
            </w:r>
          </w:p>
        </w:tc>
        <w:tc>
          <w:tcPr>
            <w:tcW w:w="674" w:type="pct"/>
            <w:tcBorders>
              <w:tl2br w:val="nil"/>
              <w:tr2bl w:val="nil"/>
            </w:tcBorders>
            <w:shd w:val="clear" w:color="auto" w:fill="auto"/>
            <w:vAlign w:val="center"/>
          </w:tcPr>
          <w:p w14:paraId="431FC66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w:t>
            </w:r>
          </w:p>
        </w:tc>
        <w:tc>
          <w:tcPr>
            <w:tcW w:w="538" w:type="pct"/>
            <w:tcBorders>
              <w:tl2br w:val="nil"/>
              <w:tr2bl w:val="nil"/>
            </w:tcBorders>
            <w:vAlign w:val="center"/>
          </w:tcPr>
          <w:p w14:paraId="6FF57813">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r>
              <w:rPr>
                <w:rFonts w:hint="eastAsia" w:cs="Times New Roman"/>
                <w:b w:val="0"/>
                <w:bCs w:val="0"/>
                <w:color w:val="000000" w:themeColor="text1"/>
                <w:kern w:val="0"/>
                <w:sz w:val="21"/>
                <w:szCs w:val="21"/>
                <w:highlight w:val="none"/>
                <w:lang w:val="en-US" w:eastAsia="zh-CN" w:bidi="ar-SA"/>
                <w14:textFill>
                  <w14:solidFill>
                    <w14:schemeClr w14:val="tx1"/>
                  </w14:solidFill>
                </w14:textFill>
              </w:rPr>
              <w:t>0</w:t>
            </w:r>
          </w:p>
        </w:tc>
        <w:tc>
          <w:tcPr>
            <w:tcW w:w="1435" w:type="pct"/>
            <w:vMerge w:val="continue"/>
            <w:tcBorders>
              <w:tl2br w:val="nil"/>
              <w:tr2bl w:val="nil"/>
            </w:tcBorders>
            <w:vAlign w:val="center"/>
          </w:tcPr>
          <w:p w14:paraId="642BE57F">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val="0"/>
                <w:color w:val="000000" w:themeColor="text1"/>
                <w:kern w:val="0"/>
                <w:sz w:val="21"/>
                <w:szCs w:val="21"/>
                <w:highlight w:val="none"/>
                <w:lang w:val="en-US" w:eastAsia="zh-CN" w:bidi="ar-SA"/>
                <w14:textFill>
                  <w14:solidFill>
                    <w14:schemeClr w14:val="tx1"/>
                  </w14:solidFill>
                </w14:textFill>
              </w:rPr>
            </w:pPr>
          </w:p>
        </w:tc>
      </w:tr>
      <w:tr w14:paraId="0D93D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08D49E26">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continue"/>
            <w:tcBorders>
              <w:tl2br w:val="nil"/>
              <w:tr2bl w:val="nil"/>
            </w:tcBorders>
            <w:vAlign w:val="center"/>
          </w:tcPr>
          <w:p w14:paraId="777859E3">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587" w:type="pct"/>
            <w:gridSpan w:val="2"/>
            <w:tcBorders>
              <w:tl2br w:val="nil"/>
              <w:tr2bl w:val="nil"/>
            </w:tcBorders>
            <w:vAlign w:val="center"/>
          </w:tcPr>
          <w:p w14:paraId="51B31659">
            <w:pPr>
              <w:pStyle w:val="40"/>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BOD</w:t>
            </w:r>
            <w:r>
              <w:rPr>
                <w:rFonts w:hint="default" w:ascii="Times New Roman" w:hAnsi="Times New Roman" w:cs="Times New Roman" w:eastAsiaTheme="minorEastAsia"/>
                <w:b w:val="0"/>
                <w:bCs/>
                <w:color w:val="000000" w:themeColor="text1"/>
                <w:sz w:val="21"/>
                <w:szCs w:val="21"/>
                <w:highlight w:val="none"/>
                <w:vertAlign w:val="subscript"/>
                <w14:textFill>
                  <w14:solidFill>
                    <w14:schemeClr w14:val="tx1"/>
                  </w14:solidFill>
                </w14:textFill>
              </w:rPr>
              <w:t>5</w:t>
            </w:r>
          </w:p>
        </w:tc>
        <w:tc>
          <w:tcPr>
            <w:tcW w:w="691" w:type="pct"/>
            <w:tcBorders>
              <w:tl2br w:val="nil"/>
              <w:tr2bl w:val="nil"/>
            </w:tcBorders>
            <w:shd w:val="clear" w:color="auto" w:fill="auto"/>
            <w:vAlign w:val="center"/>
          </w:tcPr>
          <w:p w14:paraId="0E9F2522">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35.66</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t/a</w:t>
            </w:r>
          </w:p>
        </w:tc>
        <w:tc>
          <w:tcPr>
            <w:tcW w:w="582" w:type="pct"/>
            <w:tcBorders>
              <w:tl2br w:val="nil"/>
              <w:tr2bl w:val="nil"/>
            </w:tcBorders>
            <w:shd w:val="clear" w:color="auto" w:fill="auto"/>
            <w:vAlign w:val="center"/>
          </w:tcPr>
          <w:p w14:paraId="4F761EE7">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785</w:t>
            </w: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mg/L</w:t>
            </w:r>
          </w:p>
        </w:tc>
        <w:tc>
          <w:tcPr>
            <w:tcW w:w="674" w:type="pct"/>
            <w:tcBorders>
              <w:tl2br w:val="nil"/>
              <w:tr2bl w:val="nil"/>
            </w:tcBorders>
            <w:shd w:val="clear" w:color="auto" w:fill="auto"/>
            <w:vAlign w:val="center"/>
          </w:tcPr>
          <w:p w14:paraId="6CBD288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w:t>
            </w:r>
          </w:p>
        </w:tc>
        <w:tc>
          <w:tcPr>
            <w:tcW w:w="538" w:type="pct"/>
            <w:tcBorders>
              <w:tl2br w:val="nil"/>
              <w:tr2bl w:val="nil"/>
            </w:tcBorders>
            <w:vAlign w:val="center"/>
          </w:tcPr>
          <w:p w14:paraId="66ADAF4B">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0</w:t>
            </w:r>
          </w:p>
        </w:tc>
        <w:tc>
          <w:tcPr>
            <w:tcW w:w="1435" w:type="pct"/>
            <w:vMerge w:val="continue"/>
            <w:tcBorders>
              <w:tl2br w:val="nil"/>
              <w:tr2bl w:val="nil"/>
            </w:tcBorders>
            <w:vAlign w:val="center"/>
          </w:tcPr>
          <w:p w14:paraId="45DF5B40">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r>
      <w:tr w14:paraId="1C5A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1636BF90">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continue"/>
            <w:tcBorders>
              <w:tl2br w:val="nil"/>
              <w:tr2bl w:val="nil"/>
            </w:tcBorders>
            <w:vAlign w:val="center"/>
          </w:tcPr>
          <w:p w14:paraId="0C06F8B0">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587" w:type="pct"/>
            <w:gridSpan w:val="2"/>
            <w:tcBorders>
              <w:tl2br w:val="nil"/>
              <w:tr2bl w:val="nil"/>
            </w:tcBorders>
            <w:vAlign w:val="center"/>
          </w:tcPr>
          <w:p w14:paraId="4718F9B2">
            <w:pPr>
              <w:pStyle w:val="40"/>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NH</w:t>
            </w:r>
            <w:r>
              <w:rPr>
                <w:rFonts w:hint="default" w:ascii="Times New Roman" w:hAnsi="Times New Roman" w:cs="Times New Roman" w:eastAsiaTheme="minorEastAsia"/>
                <w:b w:val="0"/>
                <w:bCs/>
                <w:color w:val="000000" w:themeColor="text1"/>
                <w:sz w:val="21"/>
                <w:szCs w:val="21"/>
                <w:highlight w:val="none"/>
                <w:vertAlign w:val="subscript"/>
                <w14:textFill>
                  <w14:solidFill>
                    <w14:schemeClr w14:val="tx1"/>
                  </w14:solidFill>
                </w14:textFill>
              </w:rPr>
              <w:t>3</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-N</w:t>
            </w:r>
          </w:p>
        </w:tc>
        <w:tc>
          <w:tcPr>
            <w:tcW w:w="691" w:type="pct"/>
            <w:tcBorders>
              <w:tl2br w:val="nil"/>
              <w:tr2bl w:val="nil"/>
            </w:tcBorders>
            <w:shd w:val="clear" w:color="auto" w:fill="auto"/>
            <w:vAlign w:val="center"/>
          </w:tcPr>
          <w:p w14:paraId="4638EA6C">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11.61</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t/a</w:t>
            </w:r>
          </w:p>
        </w:tc>
        <w:tc>
          <w:tcPr>
            <w:tcW w:w="582" w:type="pct"/>
            <w:tcBorders>
              <w:tl2br w:val="nil"/>
              <w:tr2bl w:val="nil"/>
            </w:tcBorders>
            <w:shd w:val="clear" w:color="auto" w:fill="auto"/>
            <w:vAlign w:val="center"/>
          </w:tcPr>
          <w:p w14:paraId="0840F45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256</w:t>
            </w: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mg/L</w:t>
            </w:r>
          </w:p>
        </w:tc>
        <w:tc>
          <w:tcPr>
            <w:tcW w:w="674" w:type="pct"/>
            <w:tcBorders>
              <w:tl2br w:val="nil"/>
              <w:tr2bl w:val="nil"/>
            </w:tcBorders>
            <w:shd w:val="clear" w:color="auto" w:fill="auto"/>
            <w:vAlign w:val="center"/>
          </w:tcPr>
          <w:p w14:paraId="0D620782">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w:t>
            </w:r>
          </w:p>
        </w:tc>
        <w:tc>
          <w:tcPr>
            <w:tcW w:w="538" w:type="pct"/>
            <w:tcBorders>
              <w:tl2br w:val="nil"/>
              <w:tr2bl w:val="nil"/>
            </w:tcBorders>
            <w:vAlign w:val="center"/>
          </w:tcPr>
          <w:p w14:paraId="738C3F95">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0</w:t>
            </w:r>
          </w:p>
        </w:tc>
        <w:tc>
          <w:tcPr>
            <w:tcW w:w="1435" w:type="pct"/>
            <w:vMerge w:val="continue"/>
            <w:tcBorders>
              <w:tl2br w:val="nil"/>
              <w:tr2bl w:val="nil"/>
            </w:tcBorders>
            <w:vAlign w:val="center"/>
          </w:tcPr>
          <w:p w14:paraId="067A37ED">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r>
      <w:tr w14:paraId="51326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75775D7D">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continue"/>
            <w:tcBorders>
              <w:tl2br w:val="nil"/>
              <w:tr2bl w:val="nil"/>
            </w:tcBorders>
            <w:vAlign w:val="center"/>
          </w:tcPr>
          <w:p w14:paraId="4019601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587" w:type="pct"/>
            <w:gridSpan w:val="2"/>
            <w:tcBorders>
              <w:tl2br w:val="nil"/>
              <w:tr2bl w:val="nil"/>
            </w:tcBorders>
            <w:vAlign w:val="center"/>
          </w:tcPr>
          <w:p w14:paraId="4183BB2B">
            <w:pPr>
              <w:pStyle w:val="40"/>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SS</w:t>
            </w:r>
          </w:p>
        </w:tc>
        <w:tc>
          <w:tcPr>
            <w:tcW w:w="691" w:type="pct"/>
            <w:tcBorders>
              <w:tl2br w:val="nil"/>
              <w:tr2bl w:val="nil"/>
            </w:tcBorders>
            <w:shd w:val="clear" w:color="auto" w:fill="auto"/>
            <w:vAlign w:val="center"/>
          </w:tcPr>
          <w:p w14:paraId="624329F6">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35.71</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t</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/a</w:t>
            </w:r>
          </w:p>
        </w:tc>
        <w:tc>
          <w:tcPr>
            <w:tcW w:w="582" w:type="pct"/>
            <w:tcBorders>
              <w:tl2br w:val="nil"/>
              <w:tr2bl w:val="nil"/>
            </w:tcBorders>
            <w:shd w:val="clear" w:color="auto" w:fill="auto"/>
            <w:vAlign w:val="center"/>
          </w:tcPr>
          <w:p w14:paraId="53FBCB31">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7</w:t>
            </w: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86</w:t>
            </w: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mg/L</w:t>
            </w:r>
          </w:p>
        </w:tc>
        <w:tc>
          <w:tcPr>
            <w:tcW w:w="674" w:type="pct"/>
            <w:tcBorders>
              <w:tl2br w:val="nil"/>
              <w:tr2bl w:val="nil"/>
            </w:tcBorders>
            <w:shd w:val="clear" w:color="auto" w:fill="auto"/>
            <w:vAlign w:val="center"/>
          </w:tcPr>
          <w:p w14:paraId="772E049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w:t>
            </w:r>
          </w:p>
        </w:tc>
        <w:tc>
          <w:tcPr>
            <w:tcW w:w="538" w:type="pct"/>
            <w:tcBorders>
              <w:tl2br w:val="nil"/>
              <w:tr2bl w:val="nil"/>
            </w:tcBorders>
            <w:vAlign w:val="center"/>
          </w:tcPr>
          <w:p w14:paraId="4B22BF55">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0</w:t>
            </w:r>
          </w:p>
        </w:tc>
        <w:tc>
          <w:tcPr>
            <w:tcW w:w="1435" w:type="pct"/>
            <w:vMerge w:val="continue"/>
            <w:tcBorders>
              <w:tl2br w:val="nil"/>
              <w:tr2bl w:val="nil"/>
            </w:tcBorders>
            <w:vAlign w:val="center"/>
          </w:tcPr>
          <w:p w14:paraId="0185A279">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r>
      <w:tr w14:paraId="263FE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15" w:hRule="atLeast"/>
          <w:jc w:val="center"/>
        </w:trPr>
        <w:tc>
          <w:tcPr>
            <w:tcW w:w="189" w:type="pct"/>
            <w:vMerge w:val="continue"/>
            <w:tcBorders>
              <w:tl2br w:val="nil"/>
              <w:tr2bl w:val="nil"/>
            </w:tcBorders>
            <w:vAlign w:val="center"/>
          </w:tcPr>
          <w:p w14:paraId="3AB9039B">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continue"/>
            <w:tcBorders>
              <w:tl2br w:val="nil"/>
              <w:tr2bl w:val="nil"/>
            </w:tcBorders>
            <w:vAlign w:val="center"/>
          </w:tcPr>
          <w:p w14:paraId="1FFDD4E8">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587" w:type="pct"/>
            <w:gridSpan w:val="2"/>
            <w:tcBorders>
              <w:tl2br w:val="nil"/>
              <w:tr2bl w:val="nil"/>
            </w:tcBorders>
            <w:vAlign w:val="center"/>
          </w:tcPr>
          <w:p w14:paraId="4FA08AB5">
            <w:pPr>
              <w:pStyle w:val="40"/>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T</w:t>
            </w: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P</w:t>
            </w:r>
          </w:p>
        </w:tc>
        <w:tc>
          <w:tcPr>
            <w:tcW w:w="691" w:type="pct"/>
            <w:tcBorders>
              <w:tl2br w:val="nil"/>
              <w:tr2bl w:val="nil"/>
            </w:tcBorders>
            <w:shd w:val="clear" w:color="auto" w:fill="auto"/>
            <w:vAlign w:val="center"/>
          </w:tcPr>
          <w:p w14:paraId="7D1935AD">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1.93</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t/a</w:t>
            </w:r>
          </w:p>
        </w:tc>
        <w:tc>
          <w:tcPr>
            <w:tcW w:w="582" w:type="pct"/>
            <w:tcBorders>
              <w:tl2br w:val="nil"/>
              <w:tr2bl w:val="nil"/>
            </w:tcBorders>
            <w:shd w:val="clear" w:color="auto" w:fill="auto"/>
            <w:vAlign w:val="center"/>
          </w:tcPr>
          <w:p w14:paraId="40A7CBB3">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43.5mg/L</w:t>
            </w:r>
          </w:p>
        </w:tc>
        <w:tc>
          <w:tcPr>
            <w:tcW w:w="674" w:type="pct"/>
            <w:tcBorders>
              <w:tl2br w:val="nil"/>
              <w:tr2bl w:val="nil"/>
            </w:tcBorders>
            <w:shd w:val="clear" w:color="auto" w:fill="auto"/>
            <w:vAlign w:val="center"/>
          </w:tcPr>
          <w:p w14:paraId="64C6B70F">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w:t>
            </w:r>
          </w:p>
        </w:tc>
        <w:tc>
          <w:tcPr>
            <w:tcW w:w="538" w:type="pct"/>
            <w:tcBorders>
              <w:tl2br w:val="nil"/>
              <w:tr2bl w:val="nil"/>
            </w:tcBorders>
            <w:vAlign w:val="center"/>
          </w:tcPr>
          <w:p w14:paraId="796CE412">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0</w:t>
            </w:r>
          </w:p>
        </w:tc>
        <w:tc>
          <w:tcPr>
            <w:tcW w:w="1435" w:type="pct"/>
            <w:vMerge w:val="continue"/>
            <w:tcBorders>
              <w:tl2br w:val="nil"/>
              <w:tr2bl w:val="nil"/>
            </w:tcBorders>
            <w:vAlign w:val="center"/>
          </w:tcPr>
          <w:p w14:paraId="29874DD9">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r>
      <w:tr w14:paraId="420A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57331114">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300" w:type="pct"/>
            <w:vMerge w:val="continue"/>
            <w:tcBorders>
              <w:tl2br w:val="nil"/>
              <w:tr2bl w:val="nil"/>
            </w:tcBorders>
            <w:vAlign w:val="center"/>
          </w:tcPr>
          <w:p w14:paraId="2DCB6921">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587" w:type="pct"/>
            <w:gridSpan w:val="2"/>
            <w:tcBorders>
              <w:tl2br w:val="nil"/>
              <w:tr2bl w:val="nil"/>
            </w:tcBorders>
            <w:vAlign w:val="center"/>
          </w:tcPr>
          <w:p w14:paraId="10003B8E">
            <w:pPr>
              <w:pStyle w:val="40"/>
              <w:keepNext w:val="0"/>
              <w:keepLines w:val="0"/>
              <w:pageBreakBefore w:val="0"/>
              <w:widowControl/>
              <w:kinsoku/>
              <w:wordWrap/>
              <w:overflowPunct/>
              <w:topLinePunct w:val="0"/>
              <w:autoSpaceDE/>
              <w:autoSpaceDN/>
              <w:bidi w:val="0"/>
              <w:adjustRightInd/>
              <w:snapToGrid/>
              <w:spacing w:beforeLines="0" w:afterLines="0" w:line="240" w:lineRule="auto"/>
              <w:ind w:firstLine="0" w:firstLineChars="0"/>
              <w:jc w:val="center"/>
              <w:textAlignment w:val="auto"/>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T</w:t>
            </w: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N</w:t>
            </w:r>
          </w:p>
        </w:tc>
        <w:tc>
          <w:tcPr>
            <w:tcW w:w="691" w:type="pct"/>
            <w:tcBorders>
              <w:tl2br w:val="nil"/>
              <w:tr2bl w:val="nil"/>
            </w:tcBorders>
            <w:shd w:val="clear" w:color="auto" w:fill="auto"/>
            <w:vAlign w:val="center"/>
          </w:tcPr>
          <w:p w14:paraId="1C1174B7">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 xml:space="preserve">16.42 </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t/a</w:t>
            </w:r>
          </w:p>
        </w:tc>
        <w:tc>
          <w:tcPr>
            <w:tcW w:w="582" w:type="pct"/>
            <w:tcBorders>
              <w:tl2br w:val="nil"/>
              <w:tr2bl w:val="nil"/>
            </w:tcBorders>
            <w:shd w:val="clear" w:color="auto" w:fill="auto"/>
            <w:vAlign w:val="center"/>
          </w:tcPr>
          <w:p w14:paraId="7F9826A0">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370mg/L</w:t>
            </w:r>
          </w:p>
        </w:tc>
        <w:tc>
          <w:tcPr>
            <w:tcW w:w="674" w:type="pct"/>
            <w:tcBorders>
              <w:tl2br w:val="nil"/>
              <w:tr2bl w:val="nil"/>
            </w:tcBorders>
            <w:shd w:val="clear" w:color="auto" w:fill="auto"/>
            <w:vAlign w:val="center"/>
          </w:tcPr>
          <w:p w14:paraId="7A345AF6">
            <w:pPr>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w:t>
            </w:r>
          </w:p>
        </w:tc>
        <w:tc>
          <w:tcPr>
            <w:tcW w:w="538" w:type="pct"/>
            <w:tcBorders>
              <w:tl2br w:val="nil"/>
              <w:tr2bl w:val="nil"/>
            </w:tcBorders>
            <w:vAlign w:val="center"/>
          </w:tcPr>
          <w:p w14:paraId="6AB8966B">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0</w:t>
            </w:r>
          </w:p>
        </w:tc>
        <w:tc>
          <w:tcPr>
            <w:tcW w:w="1435" w:type="pct"/>
            <w:vMerge w:val="continue"/>
            <w:tcBorders>
              <w:tl2br w:val="nil"/>
              <w:tr2bl w:val="nil"/>
            </w:tcBorders>
            <w:vAlign w:val="center"/>
          </w:tcPr>
          <w:p w14:paraId="50E1EE98">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r>
      <w:tr w14:paraId="26A5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tcBorders>
              <w:tl2br w:val="nil"/>
              <w:tr2bl w:val="nil"/>
            </w:tcBorders>
            <w:vAlign w:val="center"/>
          </w:tcPr>
          <w:p w14:paraId="5FA78DE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噪声</w:t>
            </w:r>
          </w:p>
        </w:tc>
        <w:tc>
          <w:tcPr>
            <w:tcW w:w="888" w:type="pct"/>
            <w:gridSpan w:val="3"/>
            <w:tcBorders>
              <w:tl2br w:val="nil"/>
              <w:tr2bl w:val="nil"/>
            </w:tcBorders>
            <w:vAlign w:val="center"/>
          </w:tcPr>
          <w:p w14:paraId="4904CFBF">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设备噪声、车辆噪声、猪只叫声</w:t>
            </w:r>
          </w:p>
        </w:tc>
        <w:tc>
          <w:tcPr>
            <w:tcW w:w="1273" w:type="pct"/>
            <w:gridSpan w:val="2"/>
            <w:tcBorders>
              <w:tl2br w:val="nil"/>
              <w:tr2bl w:val="nil"/>
            </w:tcBorders>
            <w:vAlign w:val="center"/>
          </w:tcPr>
          <w:p w14:paraId="65FD99D7">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7</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5</w:t>
            </w: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85dB（A）</w:t>
            </w:r>
          </w:p>
        </w:tc>
        <w:tc>
          <w:tcPr>
            <w:tcW w:w="1212" w:type="pct"/>
            <w:gridSpan w:val="2"/>
            <w:tcBorders>
              <w:tl2br w:val="nil"/>
              <w:tr2bl w:val="nil"/>
            </w:tcBorders>
            <w:vAlign w:val="center"/>
          </w:tcPr>
          <w:p w14:paraId="245709A5">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55</w:t>
            </w: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w:t>
            </w: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65</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dB（A）</w:t>
            </w:r>
          </w:p>
        </w:tc>
        <w:tc>
          <w:tcPr>
            <w:tcW w:w="1435" w:type="pct"/>
            <w:tcBorders>
              <w:tl2br w:val="nil"/>
              <w:tr2bl w:val="nil"/>
            </w:tcBorders>
            <w:vAlign w:val="center"/>
          </w:tcPr>
          <w:p w14:paraId="25734A90">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隔声</w:t>
            </w:r>
            <w:r>
              <w:rPr>
                <w:rFonts w:hint="default" w:ascii="Times New Roman" w:hAnsi="Times New Roman" w:cs="Times New Roman" w:eastAsiaTheme="minorEastAsia"/>
                <w:b w:val="0"/>
                <w:bCs/>
                <w:color w:val="000000" w:themeColor="text1"/>
                <w:sz w:val="21"/>
                <w:szCs w:val="21"/>
                <w:highlight w:val="none"/>
                <w:lang w:eastAsia="zh-CN"/>
                <w14:textFill>
                  <w14:solidFill>
                    <w14:schemeClr w14:val="tx1"/>
                  </w14:solidFill>
                </w14:textFill>
              </w:rPr>
              <w:t>、</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减震</w:t>
            </w: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猪只</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给足饲料、水</w:t>
            </w:r>
          </w:p>
        </w:tc>
      </w:tr>
      <w:tr w14:paraId="50B29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restart"/>
            <w:tcBorders>
              <w:tl2br w:val="nil"/>
              <w:tr2bl w:val="nil"/>
            </w:tcBorders>
            <w:vAlign w:val="center"/>
          </w:tcPr>
          <w:p w14:paraId="6EDEC39F">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固体废弃物</w:t>
            </w:r>
          </w:p>
        </w:tc>
        <w:tc>
          <w:tcPr>
            <w:tcW w:w="888" w:type="pct"/>
            <w:gridSpan w:val="3"/>
            <w:tcBorders>
              <w:tl2br w:val="nil"/>
              <w:tr2bl w:val="nil"/>
            </w:tcBorders>
            <w:vAlign w:val="center"/>
          </w:tcPr>
          <w:p w14:paraId="393BBDC7">
            <w:pPr>
              <w:bidi w:val="0"/>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猪粪</w:t>
            </w:r>
          </w:p>
        </w:tc>
        <w:tc>
          <w:tcPr>
            <w:tcW w:w="1273" w:type="pct"/>
            <w:gridSpan w:val="2"/>
            <w:tcBorders>
              <w:tl2br w:val="nil"/>
              <w:tr2bl w:val="nil"/>
            </w:tcBorders>
            <w:vAlign w:val="center"/>
          </w:tcPr>
          <w:p w14:paraId="1BEBBF40">
            <w:pPr>
              <w:bidi w:val="0"/>
              <w:spacing w:line="240" w:lineRule="auto"/>
              <w:jc w:val="center"/>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t>5366.87t/a</w:t>
            </w:r>
          </w:p>
        </w:tc>
        <w:tc>
          <w:tcPr>
            <w:tcW w:w="1212" w:type="pct"/>
            <w:gridSpan w:val="2"/>
            <w:tcBorders>
              <w:tl2br w:val="nil"/>
              <w:tr2bl w:val="nil"/>
            </w:tcBorders>
            <w:vAlign w:val="center"/>
          </w:tcPr>
          <w:p w14:paraId="042E7F5F">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0</w:t>
            </w:r>
          </w:p>
        </w:tc>
        <w:tc>
          <w:tcPr>
            <w:tcW w:w="1435" w:type="pct"/>
            <w:vMerge w:val="restart"/>
            <w:tcBorders>
              <w:tl2br w:val="nil"/>
              <w:tr2bl w:val="nil"/>
            </w:tcBorders>
            <w:vAlign w:val="center"/>
          </w:tcPr>
          <w:p w14:paraId="184B2935">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cs="Times New Roman" w:eastAsiaTheme="minorEastAsia"/>
                <w:b w:val="0"/>
                <w:bCs/>
                <w:color w:val="000000" w:themeColor="text1"/>
                <w:sz w:val="21"/>
                <w:szCs w:val="21"/>
                <w:highlight w:val="none"/>
                <w:lang w:val="en-US" w:eastAsia="zh-CN"/>
                <w14:textFill>
                  <w14:solidFill>
                    <w14:schemeClr w14:val="tx1"/>
                  </w14:solidFill>
                </w14:textFill>
              </w:rPr>
              <w:t>堆粪场</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发酵后用作</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有机肥还田</w:t>
            </w:r>
          </w:p>
        </w:tc>
      </w:tr>
      <w:tr w14:paraId="0D65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7" w:hRule="atLeast"/>
          <w:jc w:val="center"/>
        </w:trPr>
        <w:tc>
          <w:tcPr>
            <w:tcW w:w="189" w:type="pct"/>
            <w:vMerge w:val="continue"/>
            <w:tcBorders>
              <w:tl2br w:val="nil"/>
              <w:tr2bl w:val="nil"/>
            </w:tcBorders>
            <w:vAlign w:val="center"/>
          </w:tcPr>
          <w:p w14:paraId="23BC8E71">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888" w:type="pct"/>
            <w:gridSpan w:val="3"/>
            <w:tcBorders>
              <w:tl2br w:val="nil"/>
              <w:tr2bl w:val="nil"/>
            </w:tcBorders>
            <w:vAlign w:val="center"/>
          </w:tcPr>
          <w:p w14:paraId="1FE8B20D">
            <w:pPr>
              <w:bidi w:val="0"/>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沼渣</w:t>
            </w:r>
          </w:p>
        </w:tc>
        <w:tc>
          <w:tcPr>
            <w:tcW w:w="1273" w:type="pct"/>
            <w:gridSpan w:val="2"/>
            <w:tcBorders>
              <w:tl2br w:val="nil"/>
              <w:tr2bl w:val="nil"/>
            </w:tcBorders>
            <w:vAlign w:val="center"/>
          </w:tcPr>
          <w:p w14:paraId="01123D52">
            <w:pPr>
              <w:spacing w:line="240" w:lineRule="auto"/>
              <w:jc w:val="center"/>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cs="Times New Roman" w:eastAsiaTheme="minorEastAsia"/>
                <w:b w:val="0"/>
                <w:bCs/>
                <w:snapToGrid w:val="0"/>
                <w:color w:val="000000" w:themeColor="text1"/>
                <w:sz w:val="21"/>
                <w:szCs w:val="21"/>
                <w:highlight w:val="none"/>
                <w:lang w:val="en-US" w:eastAsia="zh-CN" w:bidi="ar-SA"/>
                <w14:textFill>
                  <w14:solidFill>
                    <w14:schemeClr w14:val="tx1"/>
                  </w14:solidFill>
                </w14:textFill>
              </w:rPr>
              <w:t>3179.43</w:t>
            </w:r>
            <w:r>
              <w:rPr>
                <w:rFonts w:hint="eastAsia"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t>t/a</w:t>
            </w:r>
          </w:p>
        </w:tc>
        <w:tc>
          <w:tcPr>
            <w:tcW w:w="1212" w:type="pct"/>
            <w:gridSpan w:val="2"/>
            <w:tcBorders>
              <w:tl2br w:val="nil"/>
              <w:tr2bl w:val="nil"/>
            </w:tcBorders>
            <w:vAlign w:val="center"/>
          </w:tcPr>
          <w:p w14:paraId="04816778">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0</w:t>
            </w:r>
          </w:p>
        </w:tc>
        <w:tc>
          <w:tcPr>
            <w:tcW w:w="1435" w:type="pct"/>
            <w:vMerge w:val="continue"/>
            <w:tcBorders>
              <w:tl2br w:val="nil"/>
              <w:tr2bl w:val="nil"/>
            </w:tcBorders>
            <w:vAlign w:val="center"/>
          </w:tcPr>
          <w:p w14:paraId="3E362C52">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r>
      <w:tr w14:paraId="2D006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22EAD1D3">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888" w:type="pct"/>
            <w:gridSpan w:val="3"/>
            <w:tcBorders>
              <w:tl2br w:val="nil"/>
              <w:tr2bl w:val="nil"/>
            </w:tcBorders>
            <w:vAlign w:val="center"/>
          </w:tcPr>
          <w:p w14:paraId="76279BFD">
            <w:pPr>
              <w:bidi w:val="0"/>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t>病死猪、胎衣</w:t>
            </w:r>
          </w:p>
        </w:tc>
        <w:tc>
          <w:tcPr>
            <w:tcW w:w="1273" w:type="pct"/>
            <w:gridSpan w:val="2"/>
            <w:tcBorders>
              <w:tl2br w:val="nil"/>
              <w:tr2bl w:val="nil"/>
            </w:tcBorders>
            <w:vAlign w:val="center"/>
          </w:tcPr>
          <w:p w14:paraId="5BCCE125">
            <w:pPr>
              <w:spacing w:line="240" w:lineRule="auto"/>
              <w:jc w:val="center"/>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t>200.04t/a</w:t>
            </w:r>
          </w:p>
        </w:tc>
        <w:tc>
          <w:tcPr>
            <w:tcW w:w="1212" w:type="pct"/>
            <w:gridSpan w:val="2"/>
            <w:tcBorders>
              <w:tl2br w:val="nil"/>
              <w:tr2bl w:val="nil"/>
            </w:tcBorders>
            <w:vAlign w:val="center"/>
          </w:tcPr>
          <w:p w14:paraId="79E6804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0</w:t>
            </w:r>
          </w:p>
        </w:tc>
        <w:tc>
          <w:tcPr>
            <w:tcW w:w="1435" w:type="pct"/>
            <w:tcBorders>
              <w:tl2br w:val="nil"/>
              <w:tr2bl w:val="nil"/>
            </w:tcBorders>
            <w:vAlign w:val="center"/>
          </w:tcPr>
          <w:p w14:paraId="3B64EB5B">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委托</w:t>
            </w: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有资质的单位</w:t>
            </w:r>
            <w:r>
              <w:rPr>
                <w:rFonts w:hint="eastAsia"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无害化处置</w:t>
            </w:r>
          </w:p>
        </w:tc>
      </w:tr>
      <w:tr w14:paraId="29B6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5DD8BE3B">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888" w:type="pct"/>
            <w:gridSpan w:val="3"/>
            <w:tcBorders>
              <w:tl2br w:val="nil"/>
              <w:tr2bl w:val="nil"/>
            </w:tcBorders>
            <w:vAlign w:val="center"/>
          </w:tcPr>
          <w:p w14:paraId="73CB1ADB">
            <w:pPr>
              <w:spacing w:line="240" w:lineRule="auto"/>
              <w:jc w:val="cente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医疗废物</w:t>
            </w:r>
          </w:p>
        </w:tc>
        <w:tc>
          <w:tcPr>
            <w:tcW w:w="1273" w:type="pct"/>
            <w:gridSpan w:val="2"/>
            <w:tcBorders>
              <w:tl2br w:val="nil"/>
              <w:tr2bl w:val="nil"/>
            </w:tcBorders>
            <w:vAlign w:val="center"/>
          </w:tcPr>
          <w:p w14:paraId="5D395F9A">
            <w:pPr>
              <w:spacing w:line="240" w:lineRule="auto"/>
              <w:jc w:val="center"/>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t>2.0t/a</w:t>
            </w:r>
          </w:p>
        </w:tc>
        <w:tc>
          <w:tcPr>
            <w:tcW w:w="1212" w:type="pct"/>
            <w:gridSpan w:val="2"/>
            <w:tcBorders>
              <w:tl2br w:val="nil"/>
              <w:tr2bl w:val="nil"/>
            </w:tcBorders>
            <w:vAlign w:val="center"/>
          </w:tcPr>
          <w:p w14:paraId="76ABD353">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t>0</w:t>
            </w:r>
          </w:p>
        </w:tc>
        <w:tc>
          <w:tcPr>
            <w:tcW w:w="1435" w:type="pct"/>
            <w:tcBorders>
              <w:tl2br w:val="nil"/>
              <w:tr2bl w:val="nil"/>
            </w:tcBorders>
            <w:vAlign w:val="center"/>
          </w:tcPr>
          <w:p w14:paraId="4BA4AFF2">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按照《医疗废物集中处置技术规范（试行）》规定，项目应设置</w:t>
            </w:r>
            <w:r>
              <w:rPr>
                <w:rFonts w:hint="eastAsia" w:cs="Times New Roman" w:eastAsiaTheme="minorEastAsia"/>
                <w:b w:val="0"/>
                <w:bCs/>
                <w:color w:val="000000" w:themeColor="text1"/>
                <w:sz w:val="21"/>
                <w:szCs w:val="21"/>
                <w:highlight w:val="none"/>
                <w:lang w:eastAsia="zh-CN"/>
                <w14:textFill>
                  <w14:solidFill>
                    <w14:schemeClr w14:val="tx1"/>
                  </w14:solidFill>
                </w14:textFill>
              </w:rPr>
              <w:t>危废暂存间</w:t>
            </w: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，定期交由有资质单位处置。</w:t>
            </w:r>
          </w:p>
        </w:tc>
      </w:tr>
      <w:tr w14:paraId="2291B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89" w:type="pct"/>
            <w:vMerge w:val="continue"/>
            <w:tcBorders>
              <w:tl2br w:val="nil"/>
              <w:tr2bl w:val="nil"/>
            </w:tcBorders>
            <w:vAlign w:val="center"/>
          </w:tcPr>
          <w:p w14:paraId="7CC0973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p>
        </w:tc>
        <w:tc>
          <w:tcPr>
            <w:tcW w:w="888" w:type="pct"/>
            <w:gridSpan w:val="3"/>
            <w:tcBorders>
              <w:tl2br w:val="nil"/>
              <w:tr2bl w:val="nil"/>
            </w:tcBorders>
            <w:vAlign w:val="center"/>
          </w:tcPr>
          <w:p w14:paraId="61D706A1">
            <w:pPr>
              <w:spacing w:line="240" w:lineRule="auto"/>
              <w:jc w:val="cente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1273" w:type="pct"/>
            <w:gridSpan w:val="2"/>
            <w:tcBorders>
              <w:tl2br w:val="nil"/>
              <w:tr2bl w:val="nil"/>
            </w:tcBorders>
            <w:vAlign w:val="center"/>
          </w:tcPr>
          <w:p w14:paraId="139FA272">
            <w:pPr>
              <w:spacing w:line="240" w:lineRule="auto"/>
              <w:jc w:val="center"/>
              <w:rPr>
                <w:rFonts w:hint="default"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t>5.475t/a</w:t>
            </w:r>
          </w:p>
        </w:tc>
        <w:tc>
          <w:tcPr>
            <w:tcW w:w="1212" w:type="pct"/>
            <w:gridSpan w:val="2"/>
            <w:tcBorders>
              <w:tl2br w:val="nil"/>
              <w:tr2bl w:val="nil"/>
            </w:tcBorders>
            <w:vAlign w:val="center"/>
          </w:tcPr>
          <w:p w14:paraId="69D846F5">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0</w:t>
            </w:r>
          </w:p>
        </w:tc>
        <w:tc>
          <w:tcPr>
            <w:tcW w:w="1435" w:type="pct"/>
            <w:tcBorders>
              <w:tl2br w:val="nil"/>
              <w:tr2bl w:val="nil"/>
            </w:tcBorders>
            <w:vAlign w:val="center"/>
          </w:tcPr>
          <w:p w14:paraId="4602EEA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pPr>
            <w:r>
              <w:rPr>
                <w:rFonts w:hint="default" w:ascii="Times New Roman" w:hAnsi="Times New Roman" w:cs="Times New Roman" w:eastAsiaTheme="minorEastAsia"/>
                <w:b w:val="0"/>
                <w:bCs/>
                <w:color w:val="000000" w:themeColor="text1"/>
                <w:sz w:val="21"/>
                <w:szCs w:val="21"/>
                <w:highlight w:val="none"/>
                <w14:textFill>
                  <w14:solidFill>
                    <w14:schemeClr w14:val="tx1"/>
                  </w14:solidFill>
                </w14:textFill>
              </w:rPr>
              <w:t>集中收集后定期委托环卫部门统一清运</w:t>
            </w:r>
          </w:p>
        </w:tc>
      </w:tr>
    </w:tbl>
    <w:p w14:paraId="7FF8B552">
      <w:pPr>
        <w:pStyle w:val="3"/>
        <w:rPr>
          <w:color w:val="000000" w:themeColor="text1"/>
          <w:highlight w:val="none"/>
          <w14:textFill>
            <w14:solidFill>
              <w14:schemeClr w14:val="tx1"/>
            </w14:solidFill>
          </w14:textFill>
        </w:rPr>
      </w:pPr>
      <w:bookmarkStart w:id="157" w:name="_Toc14349"/>
      <w:bookmarkStart w:id="158" w:name="_Toc4269"/>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.12污染物总量控制分析</w:t>
      </w:r>
      <w:bookmarkEnd w:id="155"/>
      <w:bookmarkEnd w:id="156"/>
      <w:bookmarkEnd w:id="157"/>
      <w:bookmarkEnd w:id="158"/>
    </w:p>
    <w:p w14:paraId="042A0A61">
      <w:pPr>
        <w:ind w:firstLine="480" w:firstLineChars="200"/>
        <w:rPr>
          <w:color w:val="000000" w:themeColor="text1"/>
          <w:highlight w:val="none"/>
          <w14:textFill>
            <w14:solidFill>
              <w14:schemeClr w14:val="tx1"/>
            </w14:solidFill>
          </w14:textFill>
        </w:rPr>
      </w:pPr>
      <w:bookmarkStart w:id="159" w:name="_Toc15699"/>
      <w:bookmarkStart w:id="160" w:name="_Toc7147"/>
      <w:r>
        <w:rPr>
          <w:color w:val="000000" w:themeColor="text1"/>
          <w:highlight w:val="none"/>
          <w14:textFill>
            <w14:solidFill>
              <w14:schemeClr w14:val="tx1"/>
            </w14:solidFill>
          </w14:textFill>
        </w:rPr>
        <w:t>本项目废水经</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处理后，沼液、沼渣用于农田还田，无废水外排；根据《关于进一步做好当前生猪规模养殖环评管理相关工作的通知》（环办环评函[2019]872号），规模以下生猪养殖项目和不设置污水排放口的规模以上生猪养殖项目，不得要求申请排污许可证和取得总量指标；本项目为不设置污水排放口的规模以上生猪养殖项目，因此本项目无需申请总量指标。</w:t>
      </w:r>
    </w:p>
    <w:p w14:paraId="7D43C3CF">
      <w:pPr>
        <w:pStyle w:val="3"/>
        <w:rPr>
          <w:color w:val="000000" w:themeColor="text1"/>
          <w:highlight w:val="none"/>
          <w14:textFill>
            <w14:solidFill>
              <w14:schemeClr w14:val="tx1"/>
            </w14:solidFill>
          </w14:textFill>
        </w:rPr>
      </w:pPr>
      <w:bookmarkStart w:id="161" w:name="_Toc8009"/>
      <w:bookmarkStart w:id="162" w:name="_Toc24351"/>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.13清洁生产分析</w:t>
      </w:r>
      <w:bookmarkEnd w:id="159"/>
      <w:bookmarkEnd w:id="160"/>
      <w:bookmarkEnd w:id="161"/>
      <w:bookmarkEnd w:id="162"/>
    </w:p>
    <w:p w14:paraId="2AF40E6B">
      <w:pPr>
        <w:pStyle w:val="4"/>
        <w:rPr>
          <w:color w:val="000000" w:themeColor="text1"/>
          <w:highlight w:val="none"/>
          <w14:textFill>
            <w14:solidFill>
              <w14:schemeClr w14:val="tx1"/>
            </w14:solidFill>
          </w14:textFill>
        </w:rPr>
      </w:pPr>
      <w:bookmarkStart w:id="163" w:name="_Toc12249"/>
      <w:bookmarkStart w:id="164" w:name="_Toc19348"/>
      <w:bookmarkStart w:id="165" w:name="_Toc18211"/>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1概念与要求</w:t>
      </w:r>
      <w:bookmarkEnd w:id="163"/>
    </w:p>
    <w:p w14:paraId="1DF42983">
      <w:pPr>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清洁生产是将污染预防的战略持续应用于生产过程、产品和服务中，以减少人类的风险。因此，将清洁生产纳入环境影响评价制度后，使得环评制度更加完善，在预防和控制污染方面也发挥了更大的作用。</w:t>
      </w:r>
    </w:p>
    <w:p w14:paraId="639D5E8A">
      <w:pPr>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清洁生产追求的目标是产品设计、开发、生产以及服务过程充分提高效率、减少污染物的产生，从而达到环境效益和经济效益统一的环保目标。那些技术工艺落后、设备陈旧、高污染、高耗能的项目因不符合清洁生产的要求而被否定。</w:t>
      </w:r>
    </w:p>
    <w:p w14:paraId="45DFEB21">
      <w:pPr>
        <w:pageBreakBefore w:val="0"/>
        <w:kinsoku/>
        <w:wordWrap/>
        <w:overflowPunct/>
        <w:topLinePunct w:val="0"/>
        <w:autoSpaceDE/>
        <w:autoSpaceDN/>
        <w:bidi w:val="0"/>
        <w:adjustRightInd/>
        <w:snapToGrid w:val="0"/>
        <w:spacing w:line="360" w:lineRule="auto"/>
        <w:ind w:firstLine="480" w:firstLineChars="200"/>
        <w:jc w:val="both"/>
        <w:textAlignment w:val="auto"/>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将清洁生产的思想引入环评工作，以此强化工程分析，可大大提高环评质量。对于建设项目而言，可以减轻建设项目的末端处理负担，提高建设项目的环境可靠性，提高建设项目的市场竞争力以及降低建设项目的环境责任风险。</w:t>
      </w:r>
    </w:p>
    <w:p w14:paraId="5AF5206E">
      <w:pPr>
        <w:pStyle w:val="4"/>
        <w:rPr>
          <w:color w:val="000000" w:themeColor="text1"/>
          <w:highlight w:val="none"/>
          <w14:textFill>
            <w14:solidFill>
              <w14:schemeClr w14:val="tx1"/>
            </w14:solidFill>
          </w14:textFill>
        </w:rPr>
      </w:pPr>
      <w:bookmarkStart w:id="166" w:name="_Toc17929"/>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2清洁生产分析</w:t>
      </w:r>
      <w:bookmarkEnd w:id="166"/>
    </w:p>
    <w:p w14:paraId="48F62AB6">
      <w:pPr>
        <w:bidi w:val="0"/>
        <w:ind w:firstLine="480" w:firstLineChars="200"/>
        <w:rPr>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本项目属</w:t>
      </w:r>
      <w:r>
        <w:rPr>
          <w:rFonts w:hint="eastAsia"/>
          <w:color w:val="000000" w:themeColor="text1"/>
          <w:highlight w:val="none"/>
          <w:lang w:val="en-US" w:eastAsia="zh-CN"/>
          <w14:textFill>
            <w14:solidFill>
              <w14:schemeClr w14:val="tx1"/>
            </w14:solidFill>
          </w14:textFill>
        </w:rPr>
        <w:t>畜禽</w:t>
      </w:r>
      <w:r>
        <w:rPr>
          <w:rFonts w:hint="default"/>
          <w:color w:val="000000" w:themeColor="text1"/>
          <w:highlight w:val="none"/>
          <w:lang w:val="en-US" w:eastAsia="zh-CN"/>
          <w14:textFill>
            <w14:solidFill>
              <w14:schemeClr w14:val="tx1"/>
            </w14:solidFill>
          </w14:textFill>
        </w:rPr>
        <w:t>养殖项目，目前国家尚未发布相关的清洁生产标准，只结合本行业及项目特点，从原辅材料及产品的清洁性、生产工艺与设备先进性、资源能源利用指标、污染物产生指标、废物回收利用指标、环境管理要求等方面定性分析本项目的清洁生产水平，并提出清洁生产要求或建议。</w:t>
      </w:r>
    </w:p>
    <w:p w14:paraId="21C079D2">
      <w:pPr>
        <w:bidi w:val="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（1）原辅材料和能源</w:t>
      </w:r>
    </w:p>
    <w:p w14:paraId="78CCFC3F">
      <w:pPr>
        <w:bidi w:val="0"/>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周围自然条件良好，拥有良好的原料资源优势，在饲料中不添加兴奋剂、镇静剂、激素类、砷制剂等添加剂；选用的种猪品种优良，适合本地气候、环境，可保证仔猪质量及商品猪质量，本项目能源使用主要为电能，属于清洁能源。本项目使用饲料中重金属含量符合《饲料卫生标准》（</w:t>
      </w:r>
      <w:r>
        <w:rPr>
          <w:rFonts w:hint="eastAsia"/>
          <w:color w:val="000000" w:themeColor="text1"/>
          <w:highlight w:val="none"/>
          <w14:textFill>
            <w14:solidFill>
              <w14:schemeClr w14:val="tx1"/>
            </w14:solidFill>
          </w14:textFill>
        </w:rPr>
        <w:t>GB 13078-2017</w:t>
      </w:r>
      <w:r>
        <w:rPr>
          <w:color w:val="000000" w:themeColor="text1"/>
          <w:highlight w:val="none"/>
          <w14:textFill>
            <w14:solidFill>
              <w14:schemeClr w14:val="tx1"/>
            </w14:solidFill>
          </w14:textFill>
        </w:rPr>
        <w:t>）标准要求，不得检出抗生素、生长激素、</w:t>
      </w:r>
      <w:r>
        <w:rPr>
          <w:rFonts w:hint="eastAsia"/>
          <w:color w:val="000000" w:themeColor="text1"/>
          <w:highlight w:val="none"/>
          <w14:textFill>
            <w14:solidFill>
              <w14:schemeClr w14:val="tx1"/>
            </w14:solidFill>
          </w14:textFill>
        </w:rPr>
        <w:t>黄曲霉毒素</w:t>
      </w:r>
      <w:r>
        <w:rPr>
          <w:color w:val="000000" w:themeColor="text1"/>
          <w:highlight w:val="none"/>
          <w14:textFill>
            <w14:solidFill>
              <w14:schemeClr w14:val="tx1"/>
            </w14:solidFill>
          </w14:textFill>
        </w:rPr>
        <w:t>等</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因此，本项目可以保证原料的清洁性，保障猪只的质量。</w:t>
      </w:r>
    </w:p>
    <w:p w14:paraId="54B740B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（2）生产工艺与设备先进性</w:t>
      </w:r>
    </w:p>
    <w:p w14:paraId="0491AEF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①生产工艺先进性</w:t>
      </w:r>
    </w:p>
    <w:p w14:paraId="49766C4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目前，大中型养殖场传统的工艺主要为水冲粪、水泡粪和干清粪三种类型。</w:t>
      </w:r>
    </w:p>
    <w:p w14:paraId="7DB59CA9">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各种工艺比较见表3.13-1。三种工艺水耗和水质情况见表3.13-2。</w:t>
      </w:r>
    </w:p>
    <w:p w14:paraId="59A4969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 xml:space="preserve">.13-1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各种清粪工艺比较</w:t>
      </w:r>
    </w:p>
    <w:tbl>
      <w:tblPr>
        <w:tblStyle w:val="33"/>
        <w:tblW w:w="495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389"/>
        <w:gridCol w:w="2486"/>
        <w:gridCol w:w="2907"/>
      </w:tblGrid>
      <w:tr w14:paraId="71C32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tcBorders>
              <w:top w:val="single" w:color="auto" w:sz="4" w:space="0"/>
              <w:left w:val="single" w:color="auto" w:sz="4" w:space="0"/>
              <w:bottom w:val="single" w:color="auto" w:sz="4" w:space="0"/>
              <w:right w:val="single" w:color="auto" w:sz="4" w:space="0"/>
            </w:tcBorders>
            <w:vAlign w:val="center"/>
          </w:tcPr>
          <w:p w14:paraId="053B6A77">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w:t>
            </w:r>
          </w:p>
        </w:tc>
        <w:tc>
          <w:tcPr>
            <w:tcW w:w="1415" w:type="pct"/>
            <w:tcBorders>
              <w:top w:val="single" w:color="auto" w:sz="4" w:space="0"/>
              <w:left w:val="single" w:color="auto" w:sz="4" w:space="0"/>
              <w:bottom w:val="single" w:color="auto" w:sz="4" w:space="0"/>
              <w:right w:val="single" w:color="auto" w:sz="4" w:space="0"/>
            </w:tcBorders>
            <w:vAlign w:val="center"/>
          </w:tcPr>
          <w:p w14:paraId="72625816">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水冲粪</w:t>
            </w:r>
          </w:p>
        </w:tc>
        <w:tc>
          <w:tcPr>
            <w:tcW w:w="1473" w:type="pct"/>
            <w:tcBorders>
              <w:top w:val="single" w:color="auto" w:sz="4" w:space="0"/>
              <w:left w:val="single" w:color="auto" w:sz="4" w:space="0"/>
              <w:bottom w:val="single" w:color="auto" w:sz="4" w:space="0"/>
              <w:right w:val="single" w:color="auto" w:sz="4" w:space="0"/>
            </w:tcBorders>
            <w:vAlign w:val="center"/>
          </w:tcPr>
          <w:p w14:paraId="168B02DB">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水泡粪</w:t>
            </w:r>
          </w:p>
        </w:tc>
        <w:tc>
          <w:tcPr>
            <w:tcW w:w="1722" w:type="pct"/>
            <w:tcBorders>
              <w:top w:val="single" w:color="auto" w:sz="4" w:space="0"/>
              <w:left w:val="single" w:color="auto" w:sz="4" w:space="0"/>
              <w:bottom w:val="single" w:color="auto" w:sz="4" w:space="0"/>
              <w:right w:val="single" w:color="auto" w:sz="4" w:space="0"/>
            </w:tcBorders>
            <w:vAlign w:val="center"/>
          </w:tcPr>
          <w:p w14:paraId="28253750">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干清粪</w:t>
            </w:r>
          </w:p>
        </w:tc>
      </w:tr>
      <w:tr w14:paraId="6FF73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tcBorders>
              <w:top w:val="single" w:color="auto" w:sz="4" w:space="0"/>
              <w:left w:val="single" w:color="auto" w:sz="4" w:space="0"/>
              <w:bottom w:val="single" w:color="auto" w:sz="4" w:space="0"/>
              <w:right w:val="single" w:color="auto" w:sz="4" w:space="0"/>
            </w:tcBorders>
            <w:vAlign w:val="center"/>
          </w:tcPr>
          <w:p w14:paraId="3513AB4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清粪</w:t>
            </w:r>
          </w:p>
          <w:p w14:paraId="5803E08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方法</w:t>
            </w:r>
          </w:p>
        </w:tc>
        <w:tc>
          <w:tcPr>
            <w:tcW w:w="1415" w:type="pct"/>
            <w:tcBorders>
              <w:top w:val="single" w:color="auto" w:sz="4" w:space="0"/>
              <w:left w:val="single" w:color="auto" w:sz="4" w:space="0"/>
              <w:bottom w:val="single" w:color="auto" w:sz="4" w:space="0"/>
              <w:right w:val="single" w:color="auto" w:sz="4" w:space="0"/>
            </w:tcBorders>
            <w:vAlign w:val="center"/>
          </w:tcPr>
          <w:p w14:paraId="07EBAE7E">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粪尿污水混合进入缝隙地板下的粪沟，每天数次从沟端的水喷头放水冲洗。粪水顺粪沟流入粪便主干沟，进入地下贮粪池或用泵抽吸到地面贮粪池</w:t>
            </w:r>
          </w:p>
        </w:tc>
        <w:tc>
          <w:tcPr>
            <w:tcW w:w="1473" w:type="pct"/>
            <w:tcBorders>
              <w:top w:val="single" w:color="auto" w:sz="4" w:space="0"/>
              <w:left w:val="single" w:color="auto" w:sz="4" w:space="0"/>
              <w:bottom w:val="single" w:color="auto" w:sz="4" w:space="0"/>
              <w:right w:val="single" w:color="auto" w:sz="4" w:space="0"/>
            </w:tcBorders>
            <w:vAlign w:val="center"/>
          </w:tcPr>
          <w:p w14:paraId="584AD296">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在畜禽舍内的排粪沟中注入一定量的水，将粪、尿、冲洗和饲养管理用水一并排放至漏缝地板下的粪沟中，贮存一定时间（一般为1～2个月）、待粪沟填满后，打开出口闸门，沟中的粪水顺粪沟流入粪便主干沟后排出的清粪工艺</w:t>
            </w:r>
          </w:p>
        </w:tc>
        <w:tc>
          <w:tcPr>
            <w:tcW w:w="1722" w:type="pct"/>
            <w:tcBorders>
              <w:top w:val="single" w:color="auto" w:sz="4" w:space="0"/>
              <w:left w:val="single" w:color="auto" w:sz="4" w:space="0"/>
              <w:bottom w:val="single" w:color="auto" w:sz="4" w:space="0"/>
              <w:right w:val="single" w:color="auto" w:sz="4" w:space="0"/>
            </w:tcBorders>
            <w:vAlign w:val="center"/>
          </w:tcPr>
          <w:p w14:paraId="17D66700">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将猪舍设计为漏缝地板，栏舍底下建有1m高的</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堆粪池</w:t>
            </w:r>
            <w:r>
              <w:rPr>
                <w:rFonts w:hint="eastAsia" w:ascii="Times New Roman" w:hAnsi="Times New Roman" w:eastAsia="宋体" w:cs="宋体"/>
                <w:color w:val="000000" w:themeColor="text1"/>
                <w:sz w:val="21"/>
                <w:szCs w:val="21"/>
                <w:highlight w:val="none"/>
                <w14:textFill>
                  <w14:solidFill>
                    <w14:schemeClr w14:val="tx1"/>
                  </w14:solidFill>
                </w14:textFill>
              </w:rPr>
              <w:t>，圈舍地面采用“漏缝”干清粪工艺</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color w:val="000000" w:themeColor="text1"/>
                <w:sz w:val="21"/>
                <w:szCs w:val="21"/>
                <w:highlight w:val="none"/>
                <w14:textFill>
                  <w14:solidFill>
                    <w14:schemeClr w14:val="tx1"/>
                  </w14:solidFill>
                </w14:textFill>
              </w:rPr>
              <w:t>猪生活在漏缝地板上，产生的粪尿从漏缝地板掉落到猪舍下部的</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堆粪池</w:t>
            </w:r>
            <w:r>
              <w:rPr>
                <w:rFonts w:hint="eastAsia" w:ascii="Times New Roman" w:hAnsi="Times New Roman" w:eastAsia="宋体" w:cs="宋体"/>
                <w:color w:val="000000" w:themeColor="text1"/>
                <w:sz w:val="21"/>
                <w:szCs w:val="21"/>
                <w:highlight w:val="none"/>
                <w14:textFill>
                  <w14:solidFill>
                    <w14:schemeClr w14:val="tx1"/>
                  </w14:solidFill>
                </w14:textFill>
              </w:rPr>
              <w:t>，集粪池中储存的粪尿达到一定高度后上层尿液通过虹吸管道输送至黑膜池处理，</w:t>
            </w:r>
            <w:r>
              <w:rPr>
                <w:rFonts w:hint="eastAsia" w:ascii="Times New Roman" w:hAnsi="Times New Roman" w:eastAsia="宋体" w:cs="宋体"/>
                <w:color w:val="000000" w:themeColor="text1"/>
                <w:sz w:val="21"/>
                <w:szCs w:val="21"/>
                <w:highlight w:val="none"/>
                <w:lang w:eastAsia="zh-CN"/>
                <w14:textFill>
                  <w14:solidFill>
                    <w14:schemeClr w14:val="tx1"/>
                  </w14:solidFill>
                </w14:textFill>
              </w:rPr>
              <w:t>堆粪池</w:t>
            </w:r>
            <w:r>
              <w:rPr>
                <w:rFonts w:hint="eastAsia" w:ascii="Times New Roman" w:hAnsi="Times New Roman" w:eastAsia="宋体" w:cs="宋体"/>
                <w:color w:val="000000" w:themeColor="text1"/>
                <w:sz w:val="21"/>
                <w:szCs w:val="21"/>
                <w:highlight w:val="none"/>
                <w14:textFill>
                  <w14:solidFill>
                    <w14:schemeClr w14:val="tx1"/>
                  </w14:solidFill>
                </w14:textFill>
              </w:rPr>
              <w:t>中粪尿全部排出，经固液分离机进行分离，分离后的尿液进入黑膜池进行发酵处理，干粪进入堆粪场。</w:t>
            </w:r>
          </w:p>
        </w:tc>
      </w:tr>
      <w:tr w14:paraId="2F0B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tcBorders>
              <w:top w:val="single" w:color="auto" w:sz="4" w:space="0"/>
              <w:left w:val="single" w:color="auto" w:sz="4" w:space="0"/>
              <w:bottom w:val="single" w:color="auto" w:sz="4" w:space="0"/>
              <w:right w:val="single" w:color="auto" w:sz="4" w:space="0"/>
            </w:tcBorders>
            <w:vAlign w:val="center"/>
          </w:tcPr>
          <w:p w14:paraId="213B03F5">
            <w:pPr>
              <w:widowControl/>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目的</w:t>
            </w:r>
          </w:p>
        </w:tc>
        <w:tc>
          <w:tcPr>
            <w:tcW w:w="1415" w:type="pct"/>
            <w:tcBorders>
              <w:top w:val="single" w:color="auto" w:sz="4" w:space="0"/>
              <w:left w:val="single" w:color="auto" w:sz="4" w:space="0"/>
              <w:bottom w:val="single" w:color="auto" w:sz="4" w:space="0"/>
              <w:right w:val="single" w:color="auto" w:sz="4" w:space="0"/>
            </w:tcBorders>
            <w:vAlign w:val="center"/>
          </w:tcPr>
          <w:p w14:paraId="59C67AF5">
            <w:pPr>
              <w:widowControl/>
              <w:spacing w:line="240" w:lineRule="auto"/>
              <w:ind w:firstLine="0" w:firstLineChars="0"/>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及时、有效地清除畜舍内的粪 便、尿液，保持畜舍环境卫生， 减少粪污清理过程中的劳动力投入，提高养殖场自动化管理水平</w:t>
            </w:r>
          </w:p>
        </w:tc>
        <w:tc>
          <w:tcPr>
            <w:tcW w:w="1473" w:type="pct"/>
            <w:tcBorders>
              <w:top w:val="single" w:color="auto" w:sz="4" w:space="0"/>
              <w:left w:val="single" w:color="auto" w:sz="4" w:space="0"/>
              <w:bottom w:val="single" w:color="auto" w:sz="4" w:space="0"/>
              <w:right w:val="single" w:color="auto" w:sz="4" w:space="0"/>
            </w:tcBorders>
            <w:vAlign w:val="center"/>
          </w:tcPr>
          <w:p w14:paraId="27646D66">
            <w:pPr>
              <w:widowControl/>
              <w:spacing w:line="240" w:lineRule="auto"/>
              <w:ind w:firstLine="0" w:firstLineChars="0"/>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定时、有效地清除畜舍内的粪便、尿液，减少粪污清理过程中的劳动力投入，减少冲洗用水，提高养殖场自动化管理水平。水泡粪清粪工艺是在水冲粪工艺的基础上改造而来的</w:t>
            </w:r>
          </w:p>
        </w:tc>
        <w:tc>
          <w:tcPr>
            <w:tcW w:w="1722" w:type="pct"/>
            <w:tcBorders>
              <w:top w:val="single" w:color="auto" w:sz="4" w:space="0"/>
              <w:left w:val="single" w:color="auto" w:sz="4" w:space="0"/>
              <w:bottom w:val="single" w:color="auto" w:sz="4" w:space="0"/>
              <w:right w:val="single" w:color="auto" w:sz="4" w:space="0"/>
            </w:tcBorders>
            <w:vAlign w:val="center"/>
          </w:tcPr>
          <w:p w14:paraId="652306C6">
            <w:pPr>
              <w:widowControl/>
              <w:spacing w:line="240" w:lineRule="auto"/>
              <w:ind w:firstLine="0" w:firstLineChars="0"/>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及时、有效地清除畜舍内的粪便，保持畜舍环境卫生，充分利用劳动力资源丰富的优势，减少粪污清理过程中的用水、用电，保持固体粪便的营养物，提高有机肥肥效，降低后续粪尿处理的成本</w:t>
            </w:r>
          </w:p>
        </w:tc>
      </w:tr>
      <w:tr w14:paraId="5A015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tcBorders>
              <w:top w:val="single" w:color="auto" w:sz="4" w:space="0"/>
              <w:left w:val="single" w:color="auto" w:sz="4" w:space="0"/>
              <w:bottom w:val="single" w:color="auto" w:sz="4" w:space="0"/>
              <w:right w:val="single" w:color="auto" w:sz="4" w:space="0"/>
            </w:tcBorders>
            <w:vAlign w:val="center"/>
          </w:tcPr>
          <w:p w14:paraId="1CAAABD4">
            <w:pPr>
              <w:widowControl/>
              <w:spacing w:line="240" w:lineRule="auto"/>
              <w:ind w:firstLine="0" w:firstLineChars="0"/>
              <w:jc w:val="center"/>
              <w:rPr>
                <w:rFonts w:hint="eastAsia"/>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优点</w:t>
            </w:r>
          </w:p>
        </w:tc>
        <w:tc>
          <w:tcPr>
            <w:tcW w:w="1415" w:type="pct"/>
            <w:tcBorders>
              <w:top w:val="single" w:color="auto" w:sz="4" w:space="0"/>
              <w:left w:val="single" w:color="auto" w:sz="4" w:space="0"/>
              <w:bottom w:val="single" w:color="auto" w:sz="4" w:space="0"/>
              <w:right w:val="single" w:color="auto" w:sz="4" w:space="0"/>
            </w:tcBorders>
            <w:vAlign w:val="center"/>
          </w:tcPr>
          <w:p w14:paraId="6E6956FE">
            <w:pPr>
              <w:widowControl/>
              <w:spacing w:line="240" w:lineRule="auto"/>
              <w:ind w:firstLine="0" w:firstLineChars="0"/>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水冲粪方式可保持畜舍内的环境清洁，有利于动物健康</w:t>
            </w:r>
          </w:p>
        </w:tc>
        <w:tc>
          <w:tcPr>
            <w:tcW w:w="1473" w:type="pct"/>
            <w:tcBorders>
              <w:top w:val="single" w:color="auto" w:sz="4" w:space="0"/>
              <w:left w:val="single" w:color="auto" w:sz="4" w:space="0"/>
              <w:bottom w:val="single" w:color="auto" w:sz="4" w:space="0"/>
              <w:right w:val="single" w:color="auto" w:sz="4" w:space="0"/>
            </w:tcBorders>
            <w:vAlign w:val="center"/>
          </w:tcPr>
          <w:p w14:paraId="7C3C277F">
            <w:pPr>
              <w:widowControl/>
              <w:spacing w:line="240" w:lineRule="auto"/>
              <w:ind w:firstLine="0" w:firstLineChars="0"/>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比水冲粪工艺节省用水，相对需要的人工少</w:t>
            </w:r>
          </w:p>
        </w:tc>
        <w:tc>
          <w:tcPr>
            <w:tcW w:w="1722" w:type="pct"/>
            <w:tcBorders>
              <w:top w:val="single" w:color="auto" w:sz="4" w:space="0"/>
              <w:left w:val="single" w:color="auto" w:sz="4" w:space="0"/>
              <w:bottom w:val="single" w:color="auto" w:sz="4" w:space="0"/>
              <w:right w:val="single" w:color="auto" w:sz="4" w:space="0"/>
            </w:tcBorders>
            <w:vAlign w:val="center"/>
          </w:tcPr>
          <w:p w14:paraId="7BD5C6E4">
            <w:pPr>
              <w:widowControl/>
              <w:spacing w:line="240" w:lineRule="auto"/>
              <w:ind w:firstLine="0" w:firstLineChars="0"/>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养殖圈舍不注入清水，也不将清水用于圈舍粪尿日常清理，大大减少了粪污产生量。养殖舍内粪尿产生即依靠重力经漏缝地板离开猪舍进入猪舍下部</w:t>
            </w:r>
            <w:r>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t>堆粪池</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，粪污在</w:t>
            </w:r>
            <w:r>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t>堆粪池</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内可做到充分的厌氧杀菌、适度降低有机物浓度，避免在施用农田过程中出现二次发酵的现象</w:t>
            </w:r>
          </w:p>
        </w:tc>
      </w:tr>
      <w:tr w14:paraId="2E79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8" w:type="pct"/>
            <w:tcBorders>
              <w:top w:val="single" w:color="auto" w:sz="4" w:space="0"/>
              <w:left w:val="single" w:color="auto" w:sz="4" w:space="0"/>
              <w:bottom w:val="single" w:color="auto" w:sz="4" w:space="0"/>
              <w:right w:val="single" w:color="auto" w:sz="4" w:space="0"/>
            </w:tcBorders>
            <w:vAlign w:val="center"/>
          </w:tcPr>
          <w:p w14:paraId="43E64D7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缺点</w:t>
            </w:r>
          </w:p>
        </w:tc>
        <w:tc>
          <w:tcPr>
            <w:tcW w:w="1415" w:type="pct"/>
            <w:tcBorders>
              <w:top w:val="single" w:color="auto" w:sz="4" w:space="0"/>
              <w:left w:val="single" w:color="auto" w:sz="4" w:space="0"/>
              <w:bottom w:val="single" w:color="auto" w:sz="4" w:space="0"/>
              <w:right w:val="single" w:color="auto" w:sz="4" w:space="0"/>
            </w:tcBorders>
            <w:vAlign w:val="center"/>
          </w:tcPr>
          <w:p w14:paraId="2AC0FFA4">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耗水量大，污染物浓度高，固液分离后，大部分可溶性有机质及微量元素等留在污水中，污水中的污染物浓度仍然很高，而分离出的固体物养分含量低，肥料价值低。该工艺技术上不复杂，不受气候变化影响，但污水处理部分基建投资及动力消耗很高</w:t>
            </w:r>
          </w:p>
        </w:tc>
        <w:tc>
          <w:tcPr>
            <w:tcW w:w="1473" w:type="pct"/>
            <w:tcBorders>
              <w:top w:val="single" w:color="auto" w:sz="4" w:space="0"/>
              <w:left w:val="single" w:color="auto" w:sz="4" w:space="0"/>
              <w:bottom w:val="single" w:color="auto" w:sz="4" w:space="0"/>
              <w:right w:val="single" w:color="auto" w:sz="4" w:space="0"/>
            </w:tcBorders>
            <w:vAlign w:val="center"/>
          </w:tcPr>
          <w:p w14:paraId="26BA73C5">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畜舍氨气污染浓</w:t>
            </w: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度</w:t>
            </w:r>
            <w:r>
              <w:rPr>
                <w:rFonts w:ascii="Times New Roman" w:hAnsi="Times New Roman" w:cs="Times New Roman"/>
                <w:b w:val="0"/>
                <w:bCs w:val="0"/>
                <w:color w:val="000000" w:themeColor="text1"/>
                <w:kern w:val="0"/>
                <w:sz w:val="21"/>
                <w:szCs w:val="21"/>
                <w:highlight w:val="none"/>
                <w14:textFill>
                  <w14:solidFill>
                    <w14:schemeClr w14:val="tx1"/>
                  </w14:solidFill>
                </w14:textFill>
              </w:rPr>
              <w:t>重及污水处理后期难度大</w:t>
            </w:r>
          </w:p>
        </w:tc>
        <w:tc>
          <w:tcPr>
            <w:tcW w:w="1722" w:type="pct"/>
            <w:tcBorders>
              <w:top w:val="single" w:color="auto" w:sz="4" w:space="0"/>
              <w:left w:val="single" w:color="auto" w:sz="4" w:space="0"/>
              <w:bottom w:val="single" w:color="auto" w:sz="4" w:space="0"/>
              <w:right w:val="single" w:color="auto" w:sz="4" w:space="0"/>
            </w:tcBorders>
            <w:vAlign w:val="center"/>
          </w:tcPr>
          <w:p w14:paraId="35261B04">
            <w:pPr>
              <w:widowControl/>
              <w:spacing w:line="240" w:lineRule="auto"/>
              <w:ind w:firstLine="420" w:firstLineChars="200"/>
              <w:jc w:val="both"/>
              <w:rPr>
                <w:color w:val="000000" w:themeColor="text1"/>
                <w:sz w:val="21"/>
                <w:szCs w:val="21"/>
                <w:highlight w:val="none"/>
                <w14:textFill>
                  <w14:solidFill>
                    <w14:schemeClr w14:val="tx1"/>
                  </w14:solidFill>
                </w14:textFill>
              </w:rPr>
            </w:pPr>
            <w:r>
              <w:rPr>
                <w:rFonts w:ascii="Times New Roman" w:hAnsi="Times New Roman" w:cs="Times New Roman"/>
                <w:b w:val="0"/>
                <w:bCs w:val="0"/>
                <w:color w:val="000000" w:themeColor="text1"/>
                <w:kern w:val="0"/>
                <w:sz w:val="21"/>
                <w:szCs w:val="21"/>
                <w:highlight w:val="none"/>
                <w14:textFill>
                  <w14:solidFill>
                    <w14:schemeClr w14:val="tx1"/>
                  </w14:solidFill>
                </w14:textFill>
              </w:rPr>
              <w:t>畜舍氨气污染浓</w:t>
            </w:r>
            <w:r>
              <w:rPr>
                <w:rFonts w:hint="eastAsia"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度较</w:t>
            </w:r>
            <w:r>
              <w:rPr>
                <w:rFonts w:ascii="Times New Roman" w:hAnsi="Times New Roman" w:cs="Times New Roman"/>
                <w:b w:val="0"/>
                <w:bCs w:val="0"/>
                <w:color w:val="000000" w:themeColor="text1"/>
                <w:kern w:val="0"/>
                <w:sz w:val="21"/>
                <w:szCs w:val="21"/>
                <w:highlight w:val="none"/>
                <w14:textFill>
                  <w14:solidFill>
                    <w14:schemeClr w14:val="tx1"/>
                  </w14:solidFill>
                </w14:textFill>
              </w:rPr>
              <w:t>重</w:t>
            </w:r>
          </w:p>
        </w:tc>
      </w:tr>
    </w:tbl>
    <w:p w14:paraId="0CD6CC7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 xml:space="preserve">.13-2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清粪工艺水量消耗和水质情况一览表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1976"/>
        <w:gridCol w:w="1853"/>
        <w:gridCol w:w="1845"/>
        <w:gridCol w:w="1860"/>
      </w:tblGrid>
      <w:tr w14:paraId="1326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1739" w:type="pct"/>
            <w:gridSpan w:val="2"/>
            <w:tcBorders>
              <w:top w:val="single" w:color="auto" w:sz="4" w:space="0"/>
              <w:left w:val="single" w:color="auto" w:sz="4" w:space="0"/>
              <w:bottom w:val="single" w:color="auto" w:sz="4" w:space="0"/>
              <w:right w:val="single" w:color="auto" w:sz="4" w:space="0"/>
            </w:tcBorders>
            <w:vAlign w:val="center"/>
          </w:tcPr>
          <w:p w14:paraId="079FC5E6">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w:t>
            </w:r>
          </w:p>
        </w:tc>
        <w:tc>
          <w:tcPr>
            <w:tcW w:w="1087" w:type="pct"/>
            <w:tcBorders>
              <w:top w:val="single" w:color="auto" w:sz="4" w:space="0"/>
              <w:left w:val="single" w:color="auto" w:sz="4" w:space="0"/>
              <w:bottom w:val="single" w:color="auto" w:sz="4" w:space="0"/>
              <w:right w:val="single" w:color="auto" w:sz="4" w:space="0"/>
            </w:tcBorders>
            <w:vAlign w:val="center"/>
          </w:tcPr>
          <w:p w14:paraId="09595F6B">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水冲粪</w:t>
            </w:r>
          </w:p>
        </w:tc>
        <w:tc>
          <w:tcPr>
            <w:tcW w:w="1082" w:type="pct"/>
            <w:tcBorders>
              <w:top w:val="single" w:color="auto" w:sz="4" w:space="0"/>
              <w:left w:val="single" w:color="auto" w:sz="4" w:space="0"/>
              <w:bottom w:val="single" w:color="auto" w:sz="4" w:space="0"/>
              <w:right w:val="single" w:color="auto" w:sz="4" w:space="0"/>
            </w:tcBorders>
            <w:vAlign w:val="center"/>
          </w:tcPr>
          <w:p w14:paraId="3E138CDB">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水泡粪</w:t>
            </w:r>
          </w:p>
        </w:tc>
        <w:tc>
          <w:tcPr>
            <w:tcW w:w="1091" w:type="pct"/>
            <w:tcBorders>
              <w:top w:val="single" w:color="auto" w:sz="4" w:space="0"/>
              <w:left w:val="single" w:color="auto" w:sz="4" w:space="0"/>
              <w:bottom w:val="single" w:color="auto" w:sz="4" w:space="0"/>
              <w:right w:val="single" w:color="auto" w:sz="4" w:space="0"/>
            </w:tcBorders>
            <w:vAlign w:val="center"/>
          </w:tcPr>
          <w:p w14:paraId="6EC7502E">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干清粪</w:t>
            </w:r>
          </w:p>
        </w:tc>
      </w:tr>
      <w:tr w14:paraId="73FC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0" w:type="pct"/>
            <w:tcBorders>
              <w:top w:val="single" w:color="auto" w:sz="4" w:space="0"/>
              <w:left w:val="single" w:color="auto" w:sz="4" w:space="0"/>
              <w:bottom w:val="single" w:color="auto" w:sz="4" w:space="0"/>
              <w:right w:val="single" w:color="auto" w:sz="4" w:space="0"/>
            </w:tcBorders>
            <w:vAlign w:val="center"/>
          </w:tcPr>
          <w:p w14:paraId="2862466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水量</w:t>
            </w:r>
          </w:p>
        </w:tc>
        <w:tc>
          <w:tcPr>
            <w:tcW w:w="1159" w:type="pct"/>
            <w:tcBorders>
              <w:top w:val="single" w:color="auto" w:sz="4" w:space="0"/>
              <w:left w:val="single" w:color="auto" w:sz="4" w:space="0"/>
              <w:bottom w:val="single" w:color="auto" w:sz="4" w:space="0"/>
              <w:right w:val="single" w:color="auto" w:sz="4" w:space="0"/>
            </w:tcBorders>
            <w:vAlign w:val="center"/>
          </w:tcPr>
          <w:p w14:paraId="0239887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w:t>
            </w:r>
            <w:r>
              <w:rPr>
                <w:rFonts w:hint="eastAsia"/>
                <w:color w:val="000000" w:themeColor="text1"/>
                <w:sz w:val="21"/>
                <w:szCs w:val="21"/>
                <w:highlight w:val="none"/>
                <w:vertAlign w:val="superscript"/>
                <w14:textFill>
                  <w14:solidFill>
                    <w14:schemeClr w14:val="tx1"/>
                  </w14:solidFill>
                </w14:textFill>
              </w:rPr>
              <w:t>4</w:t>
            </w:r>
            <w:r>
              <w:rPr>
                <w:rFonts w:hint="eastAsia"/>
                <w:color w:val="000000" w:themeColor="text1"/>
                <w:sz w:val="21"/>
                <w:szCs w:val="21"/>
                <w:highlight w:val="none"/>
                <w14:textFill>
                  <w14:solidFill>
                    <w14:schemeClr w14:val="tx1"/>
                  </w14:solidFill>
                </w14:textFill>
              </w:rPr>
              <w:t>头猪场(m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/d)</w:t>
            </w:r>
          </w:p>
        </w:tc>
        <w:tc>
          <w:tcPr>
            <w:tcW w:w="1087" w:type="pct"/>
            <w:tcBorders>
              <w:top w:val="single" w:color="auto" w:sz="4" w:space="0"/>
              <w:left w:val="single" w:color="auto" w:sz="4" w:space="0"/>
              <w:bottom w:val="single" w:color="auto" w:sz="4" w:space="0"/>
              <w:right w:val="single" w:color="auto" w:sz="4" w:space="0"/>
            </w:tcBorders>
            <w:vAlign w:val="center"/>
          </w:tcPr>
          <w:p w14:paraId="1FECC58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210-240</w:t>
            </w:r>
          </w:p>
        </w:tc>
        <w:tc>
          <w:tcPr>
            <w:tcW w:w="1082" w:type="pct"/>
            <w:tcBorders>
              <w:top w:val="single" w:color="auto" w:sz="4" w:space="0"/>
              <w:left w:val="single" w:color="auto" w:sz="4" w:space="0"/>
              <w:bottom w:val="single" w:color="auto" w:sz="4" w:space="0"/>
              <w:right w:val="single" w:color="auto" w:sz="4" w:space="0"/>
            </w:tcBorders>
            <w:vAlign w:val="center"/>
          </w:tcPr>
          <w:p w14:paraId="1DA0566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120-150</w:t>
            </w:r>
          </w:p>
        </w:tc>
        <w:tc>
          <w:tcPr>
            <w:tcW w:w="1091" w:type="pct"/>
            <w:tcBorders>
              <w:top w:val="single" w:color="auto" w:sz="4" w:space="0"/>
              <w:left w:val="single" w:color="auto" w:sz="4" w:space="0"/>
              <w:bottom w:val="single" w:color="auto" w:sz="4" w:space="0"/>
              <w:right w:val="single" w:color="auto" w:sz="4" w:space="0"/>
            </w:tcBorders>
            <w:vAlign w:val="center"/>
          </w:tcPr>
          <w:p w14:paraId="44641BC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60-90</w:t>
            </w:r>
          </w:p>
        </w:tc>
      </w:tr>
      <w:tr w14:paraId="7737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580" w:type="pct"/>
            <w:vMerge w:val="restart"/>
            <w:tcBorders>
              <w:top w:val="single" w:color="auto" w:sz="4" w:space="0"/>
              <w:left w:val="single" w:color="auto" w:sz="4" w:space="0"/>
              <w:bottom w:val="single" w:color="auto" w:sz="4" w:space="0"/>
              <w:right w:val="single" w:color="auto" w:sz="4" w:space="0"/>
            </w:tcBorders>
            <w:vAlign w:val="center"/>
          </w:tcPr>
          <w:p w14:paraId="3C0D6AF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水质指标</w:t>
            </w:r>
          </w:p>
          <w:p w14:paraId="253EE20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（mg/L）</w:t>
            </w:r>
          </w:p>
        </w:tc>
        <w:tc>
          <w:tcPr>
            <w:tcW w:w="1159" w:type="pct"/>
            <w:tcBorders>
              <w:top w:val="single" w:color="auto" w:sz="4" w:space="0"/>
              <w:left w:val="single" w:color="auto" w:sz="4" w:space="0"/>
              <w:bottom w:val="single" w:color="auto" w:sz="4" w:space="0"/>
              <w:right w:val="single" w:color="auto" w:sz="4" w:space="0"/>
            </w:tcBorders>
            <w:vAlign w:val="center"/>
          </w:tcPr>
          <w:p w14:paraId="02341A0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BOD5</w:t>
            </w:r>
          </w:p>
        </w:tc>
        <w:tc>
          <w:tcPr>
            <w:tcW w:w="1087" w:type="pct"/>
            <w:tcBorders>
              <w:top w:val="single" w:color="auto" w:sz="4" w:space="0"/>
              <w:left w:val="single" w:color="auto" w:sz="4" w:space="0"/>
              <w:bottom w:val="single" w:color="auto" w:sz="4" w:space="0"/>
              <w:right w:val="single" w:color="auto" w:sz="4" w:space="0"/>
            </w:tcBorders>
            <w:vAlign w:val="center"/>
          </w:tcPr>
          <w:p w14:paraId="39E9E06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5000-6000</w:t>
            </w:r>
          </w:p>
        </w:tc>
        <w:tc>
          <w:tcPr>
            <w:tcW w:w="1082" w:type="pct"/>
            <w:tcBorders>
              <w:top w:val="single" w:color="auto" w:sz="4" w:space="0"/>
              <w:left w:val="single" w:color="auto" w:sz="4" w:space="0"/>
              <w:bottom w:val="single" w:color="auto" w:sz="4" w:space="0"/>
              <w:right w:val="single" w:color="auto" w:sz="4" w:space="0"/>
            </w:tcBorders>
            <w:vAlign w:val="center"/>
          </w:tcPr>
          <w:p w14:paraId="304E32E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8000-10000</w:t>
            </w:r>
          </w:p>
        </w:tc>
        <w:tc>
          <w:tcPr>
            <w:tcW w:w="1091" w:type="pct"/>
            <w:tcBorders>
              <w:top w:val="single" w:color="auto" w:sz="4" w:space="0"/>
              <w:left w:val="single" w:color="auto" w:sz="4" w:space="0"/>
              <w:bottom w:val="single" w:color="auto" w:sz="4" w:space="0"/>
              <w:right w:val="single" w:color="auto" w:sz="4" w:space="0"/>
            </w:tcBorders>
            <w:vAlign w:val="center"/>
          </w:tcPr>
          <w:p w14:paraId="5D6F675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302-1000</w:t>
            </w:r>
          </w:p>
        </w:tc>
      </w:tr>
      <w:tr w14:paraId="5707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45E0E7EC">
            <w:pPr>
              <w:spacing w:line="240" w:lineRule="auto"/>
              <w:jc w:val="center"/>
              <w:rPr>
                <w:color w:val="000000" w:themeColor="text1"/>
                <w:sz w:val="21"/>
                <w:szCs w:val="21"/>
                <w:highlight w:val="none"/>
                <w14:textFill>
                  <w14:solidFill>
                    <w14:schemeClr w14:val="tx1"/>
                  </w14:solidFill>
                </w14:textFill>
              </w:rPr>
            </w:pPr>
          </w:p>
        </w:tc>
        <w:tc>
          <w:tcPr>
            <w:tcW w:w="1159" w:type="pct"/>
            <w:tcBorders>
              <w:top w:val="single" w:color="auto" w:sz="4" w:space="0"/>
              <w:left w:val="single" w:color="auto" w:sz="4" w:space="0"/>
              <w:bottom w:val="single" w:color="auto" w:sz="4" w:space="0"/>
              <w:right w:val="single" w:color="auto" w:sz="4" w:space="0"/>
            </w:tcBorders>
            <w:vAlign w:val="center"/>
          </w:tcPr>
          <w:p w14:paraId="77E2573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CODCr</w:t>
            </w:r>
          </w:p>
        </w:tc>
        <w:tc>
          <w:tcPr>
            <w:tcW w:w="1087" w:type="pct"/>
            <w:tcBorders>
              <w:top w:val="single" w:color="auto" w:sz="4" w:space="0"/>
              <w:left w:val="single" w:color="auto" w:sz="4" w:space="0"/>
              <w:bottom w:val="single" w:color="auto" w:sz="4" w:space="0"/>
              <w:right w:val="single" w:color="auto" w:sz="4" w:space="0"/>
            </w:tcBorders>
            <w:vAlign w:val="center"/>
          </w:tcPr>
          <w:p w14:paraId="779E9D6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11000-13000</w:t>
            </w:r>
          </w:p>
        </w:tc>
        <w:tc>
          <w:tcPr>
            <w:tcW w:w="1082" w:type="pct"/>
            <w:tcBorders>
              <w:top w:val="single" w:color="auto" w:sz="4" w:space="0"/>
              <w:left w:val="single" w:color="auto" w:sz="4" w:space="0"/>
              <w:bottom w:val="single" w:color="auto" w:sz="4" w:space="0"/>
              <w:right w:val="single" w:color="auto" w:sz="4" w:space="0"/>
            </w:tcBorders>
            <w:vAlign w:val="center"/>
          </w:tcPr>
          <w:p w14:paraId="06D8130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8000-24000</w:t>
            </w:r>
          </w:p>
        </w:tc>
        <w:tc>
          <w:tcPr>
            <w:tcW w:w="1091" w:type="pct"/>
            <w:tcBorders>
              <w:top w:val="single" w:color="auto" w:sz="4" w:space="0"/>
              <w:left w:val="single" w:color="auto" w:sz="4" w:space="0"/>
              <w:bottom w:val="single" w:color="auto" w:sz="4" w:space="0"/>
              <w:right w:val="single" w:color="auto" w:sz="4" w:space="0"/>
            </w:tcBorders>
            <w:vAlign w:val="center"/>
          </w:tcPr>
          <w:p w14:paraId="5EC14FB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989-1255</w:t>
            </w:r>
          </w:p>
        </w:tc>
      </w:tr>
      <w:tr w14:paraId="33B0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01AAF412">
            <w:pPr>
              <w:spacing w:line="240" w:lineRule="auto"/>
              <w:jc w:val="center"/>
              <w:rPr>
                <w:color w:val="000000" w:themeColor="text1"/>
                <w:sz w:val="21"/>
                <w:szCs w:val="21"/>
                <w:highlight w:val="none"/>
                <w14:textFill>
                  <w14:solidFill>
                    <w14:schemeClr w14:val="tx1"/>
                  </w14:solidFill>
                </w14:textFill>
              </w:rPr>
            </w:pPr>
          </w:p>
        </w:tc>
        <w:tc>
          <w:tcPr>
            <w:tcW w:w="1159" w:type="pct"/>
            <w:tcBorders>
              <w:top w:val="single" w:color="auto" w:sz="4" w:space="0"/>
              <w:left w:val="single" w:color="auto" w:sz="4" w:space="0"/>
              <w:bottom w:val="single" w:color="auto" w:sz="4" w:space="0"/>
              <w:right w:val="single" w:color="auto" w:sz="4" w:space="0"/>
            </w:tcBorders>
            <w:vAlign w:val="center"/>
          </w:tcPr>
          <w:p w14:paraId="65D1724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SS</w:t>
            </w:r>
          </w:p>
        </w:tc>
        <w:tc>
          <w:tcPr>
            <w:tcW w:w="1087" w:type="pct"/>
            <w:tcBorders>
              <w:top w:val="single" w:color="auto" w:sz="4" w:space="0"/>
              <w:left w:val="single" w:color="auto" w:sz="4" w:space="0"/>
              <w:bottom w:val="single" w:color="auto" w:sz="4" w:space="0"/>
              <w:right w:val="single" w:color="auto" w:sz="4" w:space="0"/>
            </w:tcBorders>
            <w:vAlign w:val="center"/>
          </w:tcPr>
          <w:p w14:paraId="1CF3B5F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17000-20000</w:t>
            </w:r>
          </w:p>
        </w:tc>
        <w:tc>
          <w:tcPr>
            <w:tcW w:w="1082" w:type="pct"/>
            <w:tcBorders>
              <w:top w:val="single" w:color="auto" w:sz="4" w:space="0"/>
              <w:left w:val="single" w:color="auto" w:sz="4" w:space="0"/>
              <w:bottom w:val="single" w:color="auto" w:sz="4" w:space="0"/>
              <w:right w:val="single" w:color="auto" w:sz="4" w:space="0"/>
            </w:tcBorders>
            <w:vAlign w:val="center"/>
          </w:tcPr>
          <w:p w14:paraId="77ABEEF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28000-35000</w:t>
            </w:r>
          </w:p>
        </w:tc>
        <w:tc>
          <w:tcPr>
            <w:tcW w:w="1091" w:type="pct"/>
            <w:tcBorders>
              <w:top w:val="single" w:color="auto" w:sz="4" w:space="0"/>
              <w:left w:val="single" w:color="auto" w:sz="4" w:space="0"/>
              <w:bottom w:val="single" w:color="auto" w:sz="4" w:space="0"/>
              <w:right w:val="single" w:color="auto" w:sz="4" w:space="0"/>
            </w:tcBorders>
            <w:vAlign w:val="center"/>
          </w:tcPr>
          <w:p w14:paraId="7A9655C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340-1320</w:t>
            </w:r>
          </w:p>
        </w:tc>
      </w:tr>
    </w:tbl>
    <w:p w14:paraId="6ED16B6F">
      <w:pPr>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bookmarkStart w:id="167" w:name="_Toc7120"/>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综上，本项目采用的</w:t>
      </w:r>
      <w:r>
        <w:rPr>
          <w:rFonts w:hint="eastAsia"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干清粪</w:t>
      </w: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工艺近年来在我国大中型集中式养殖场有着广泛的应用，其特点是可以定时、有效地清除畜舍内的粪便、尿液，减少粪污清理过程中的劳动力投入，减少猪舍恶臭的产生量，减少冲洗用水，提高养殖场自动化管理水平。从总体来说，该工艺具有一定的优越性。</w:t>
      </w:r>
    </w:p>
    <w:p w14:paraId="70F91D5A">
      <w:pPr>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②设备先进性</w:t>
      </w:r>
    </w:p>
    <w:p w14:paraId="7F97013F">
      <w:pPr>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整个生产过程中，最大限度使用物料的机械输送设备，</w:t>
      </w:r>
      <w:r>
        <w:rPr>
          <w:rFonts w:hint="eastAsia" w:cs="Times New Roman"/>
          <w:color w:val="000000" w:themeColor="text1"/>
          <w:szCs w:val="20"/>
          <w:highlight w:val="none"/>
          <w:shd w:val="clear" w:color="auto" w:fill="auto"/>
          <w:lang w:val="en-US" w:eastAsia="zh-CN"/>
          <w14:textFill>
            <w14:solidFill>
              <w14:schemeClr w14:val="tx1"/>
            </w14:solidFill>
          </w14:textFill>
        </w:rPr>
        <w:t>减小劳动强度</w:t>
      </w: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、提高生产效率，减少人为操作失误造成的安全事故及能源浪费。</w:t>
      </w:r>
    </w:p>
    <w:p w14:paraId="2B1FAF76">
      <w:pPr>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选用节能电机</w:t>
      </w:r>
      <w:r>
        <w:rPr>
          <w:rFonts w:hint="eastAsia" w:ascii="Times New Roman" w:hAnsi="Times New Roman" w:cs="Times New Roman"/>
          <w:color w:val="000000" w:themeColor="text1"/>
          <w:szCs w:val="20"/>
          <w:highlight w:val="none"/>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对水泵等机电产品、食槽等生产设备的选型上，力求先进合理，选用效率高、能耗低的新型产品，同时，在满足生产工艺要求的条件下，尽量选用功率小的节能型电气设备，电机采用变频节电型等。</w:t>
      </w:r>
    </w:p>
    <w:p w14:paraId="4151F7A5">
      <w:pPr>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本项目采用的技术设备较为先进，符合清洁生产要求。</w:t>
      </w:r>
    </w:p>
    <w:p w14:paraId="20EB5C73">
      <w:pPr>
        <w:pageBreakBefore w:val="0"/>
        <w:kinsoku/>
        <w:wordWrap/>
        <w:overflowPunct/>
        <w:topLinePunct w:val="0"/>
        <w:autoSpaceDE/>
        <w:autoSpaceDN/>
        <w:bidi w:val="0"/>
        <w:adjustRightInd/>
        <w:snapToGrid w:val="0"/>
        <w:spacing w:line="360" w:lineRule="auto"/>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（3）资源能源利用指标</w:t>
      </w:r>
    </w:p>
    <w:p w14:paraId="12DDC034">
      <w:pPr>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本项目采用</w:t>
      </w:r>
      <w:r>
        <w:rPr>
          <w:rFonts w:hint="eastAsia"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干</w:t>
      </w: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清粪工艺，用水、电、物料消耗均小于其他传统工艺。</w:t>
      </w:r>
    </w:p>
    <w:p w14:paraId="15D55420">
      <w:pPr>
        <w:pageBreakBefore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本项目严格采购符合国家标准的药物、饲料，最大限度减少使用抗生素药物、饲料，确保猪粪中抗生素含量低于相关标准要求。</w:t>
      </w:r>
    </w:p>
    <w:p w14:paraId="4692A3AB">
      <w:pPr>
        <w:pageBreakBefore w:val="0"/>
        <w:kinsoku/>
        <w:wordWrap/>
        <w:overflowPunct/>
        <w:topLinePunct w:val="0"/>
        <w:autoSpaceDE/>
        <w:autoSpaceDN/>
        <w:bidi w:val="0"/>
        <w:adjustRightInd/>
        <w:snapToGrid w:val="0"/>
        <w:spacing w:line="360" w:lineRule="auto"/>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（4）污染物产生指标</w:t>
      </w:r>
    </w:p>
    <w:p w14:paraId="0898014B">
      <w:pPr>
        <w:bidi w:val="0"/>
        <w:ind w:firstLine="480" w:firstLineChars="20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本项目养殖废水和生活污水全部</w:t>
      </w:r>
      <w:r>
        <w:rPr>
          <w:rFonts w:hint="eastAsia"/>
          <w:color w:val="000000" w:themeColor="text1"/>
          <w:highlight w:val="none"/>
          <w:lang w:val="en-US" w:eastAsia="zh-CN"/>
          <w14:textFill>
            <w14:solidFill>
              <w14:schemeClr w14:val="tx1"/>
            </w14:solidFill>
          </w14:textFill>
        </w:rPr>
        <w:t>进入</w:t>
      </w:r>
      <w:r>
        <w:rPr>
          <w:rFonts w:hint="default"/>
          <w:color w:val="000000" w:themeColor="text1"/>
          <w:highlight w:val="none"/>
          <w:lang w:val="en-US" w:eastAsia="zh-CN"/>
          <w14:textFill>
            <w14:solidFill>
              <w14:schemeClr w14:val="tx1"/>
            </w14:solidFill>
          </w14:textFill>
        </w:rPr>
        <w:t>粪污处理系统处理达标后</w:t>
      </w:r>
      <w:r>
        <w:rPr>
          <w:rFonts w:hint="eastAsia"/>
          <w:color w:val="000000" w:themeColor="text1"/>
          <w:highlight w:val="none"/>
          <w:lang w:val="en-US" w:eastAsia="zh-CN"/>
          <w14:textFill>
            <w14:solidFill>
              <w14:schemeClr w14:val="tx1"/>
            </w14:solidFill>
          </w14:textFill>
        </w:rPr>
        <w:t>周边有农田</w:t>
      </w:r>
      <w:r>
        <w:rPr>
          <w:rFonts w:hint="default"/>
          <w:color w:val="000000" w:themeColor="text1"/>
          <w:highlight w:val="none"/>
          <w:lang w:val="en-US" w:eastAsia="zh-CN"/>
          <w14:textFill>
            <w14:solidFill>
              <w14:schemeClr w14:val="tx1"/>
            </w14:solidFill>
          </w14:textFill>
        </w:rPr>
        <w:t>灌溉。</w:t>
      </w:r>
    </w:p>
    <w:p w14:paraId="455294DB">
      <w:pPr>
        <w:bidi w:val="0"/>
        <w:ind w:firstLine="480" w:firstLineChars="20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项目运行过程中产生的废气主要为猪舍、</w:t>
      </w:r>
      <w:r>
        <w:rPr>
          <w:rFonts w:hint="eastAsia"/>
          <w:color w:val="000000" w:themeColor="text1"/>
          <w:highlight w:val="none"/>
          <w:lang w:val="en-US" w:eastAsia="zh-CN"/>
          <w14:textFill>
            <w14:solidFill>
              <w14:schemeClr w14:val="tx1"/>
            </w14:solidFill>
          </w14:textFill>
        </w:rPr>
        <w:t>黑膜池、堆粪场</w:t>
      </w:r>
      <w:r>
        <w:rPr>
          <w:rFonts w:hint="default"/>
          <w:color w:val="000000" w:themeColor="text1"/>
          <w:highlight w:val="none"/>
          <w:lang w:val="en-US" w:eastAsia="zh-CN"/>
          <w14:textFill>
            <w14:solidFill>
              <w14:schemeClr w14:val="tx1"/>
            </w14:solidFill>
          </w14:textFill>
        </w:rPr>
        <w:t>在运行过程中产生恶臭气体，经采取相应控制措施后均可达标排放。</w:t>
      </w:r>
    </w:p>
    <w:p w14:paraId="1B492F48">
      <w:pPr>
        <w:bidi w:val="0"/>
        <w:ind w:firstLine="480" w:firstLineChars="20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项目产生的固体废物主要包括</w:t>
      </w:r>
      <w:r>
        <w:rPr>
          <w:rFonts w:hint="eastAsia"/>
          <w:color w:val="000000" w:themeColor="text1"/>
          <w:highlight w:val="none"/>
          <w:lang w:val="en-US" w:eastAsia="zh-CN"/>
          <w14:textFill>
            <w14:solidFill>
              <w14:schemeClr w14:val="tx1"/>
            </w14:solidFill>
          </w14:textFill>
        </w:rPr>
        <w:t>猪</w:t>
      </w:r>
      <w:r>
        <w:rPr>
          <w:rFonts w:hint="default"/>
          <w:color w:val="000000" w:themeColor="text1"/>
          <w:highlight w:val="none"/>
          <w:lang w:val="en-US" w:eastAsia="zh-CN"/>
          <w14:textFill>
            <w14:solidFill>
              <w14:schemeClr w14:val="tx1"/>
            </w14:solidFill>
          </w14:textFill>
        </w:rPr>
        <w:t>粪、</w:t>
      </w:r>
      <w:r>
        <w:rPr>
          <w:rFonts w:hint="eastAsia"/>
          <w:color w:val="000000" w:themeColor="text1"/>
          <w:highlight w:val="none"/>
          <w:lang w:val="en-US" w:eastAsia="zh-CN"/>
          <w14:textFill>
            <w14:solidFill>
              <w14:schemeClr w14:val="tx1"/>
            </w14:solidFill>
          </w14:textFill>
        </w:rPr>
        <w:t>病死猪、胎衣</w:t>
      </w:r>
      <w:r>
        <w:rPr>
          <w:rFonts w:hint="default"/>
          <w:color w:val="000000" w:themeColor="text1"/>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沼渣、治疗医废</w:t>
      </w:r>
      <w:r>
        <w:rPr>
          <w:rFonts w:hint="default"/>
          <w:color w:val="000000" w:themeColor="text1"/>
          <w:highlight w:val="none"/>
          <w:lang w:val="en-US" w:eastAsia="zh-CN"/>
          <w14:textFill>
            <w14:solidFill>
              <w14:schemeClr w14:val="tx1"/>
            </w14:solidFill>
          </w14:textFill>
        </w:rPr>
        <w:t>和生活垃圾。其中</w:t>
      </w:r>
      <w:r>
        <w:rPr>
          <w:rFonts w:hint="eastAsia"/>
          <w:color w:val="000000" w:themeColor="text1"/>
          <w:highlight w:val="none"/>
          <w:lang w:val="en-US" w:eastAsia="zh-CN"/>
          <w14:textFill>
            <w14:solidFill>
              <w14:schemeClr w14:val="tx1"/>
            </w14:solidFill>
          </w14:textFill>
        </w:rPr>
        <w:t>猪</w:t>
      </w:r>
      <w:r>
        <w:rPr>
          <w:rFonts w:hint="default"/>
          <w:color w:val="000000" w:themeColor="text1"/>
          <w:highlight w:val="none"/>
          <w:lang w:val="en-US" w:eastAsia="zh-CN"/>
          <w14:textFill>
            <w14:solidFill>
              <w14:schemeClr w14:val="tx1"/>
            </w14:solidFill>
          </w14:textFill>
        </w:rPr>
        <w:t>粪</w:t>
      </w:r>
      <w:r>
        <w:rPr>
          <w:rFonts w:hint="eastAsia"/>
          <w:color w:val="000000" w:themeColor="text1"/>
          <w:highlight w:val="none"/>
          <w:lang w:val="en-US" w:eastAsia="zh-CN"/>
          <w14:textFill>
            <w14:solidFill>
              <w14:schemeClr w14:val="tx1"/>
            </w14:solidFill>
          </w14:textFill>
        </w:rPr>
        <w:t>、沼渣</w:t>
      </w:r>
      <w:r>
        <w:rPr>
          <w:rFonts w:hint="default"/>
          <w:color w:val="000000" w:themeColor="text1"/>
          <w:highlight w:val="none"/>
          <w:lang w:val="en-US" w:eastAsia="zh-CN"/>
          <w14:textFill>
            <w14:solidFill>
              <w14:schemeClr w14:val="tx1"/>
            </w14:solidFill>
          </w14:textFill>
        </w:rPr>
        <w:t>堆肥发酵生产有机肥基料外售；</w:t>
      </w:r>
      <w:r>
        <w:rPr>
          <w:rFonts w:hint="eastAsia"/>
          <w:color w:val="000000" w:themeColor="text1"/>
          <w:highlight w:val="none"/>
          <w:lang w:val="en-US" w:eastAsia="zh-CN"/>
          <w14:textFill>
            <w14:solidFill>
              <w14:schemeClr w14:val="tx1"/>
            </w14:solidFill>
          </w14:textFill>
        </w:rPr>
        <w:t>病死猪、胎衣尸体委托有资质单位进行处置</w:t>
      </w:r>
      <w:r>
        <w:rPr>
          <w:rFonts w:hint="default"/>
          <w:color w:val="000000" w:themeColor="text1"/>
          <w:highlight w:val="none"/>
          <w:lang w:val="en-US" w:eastAsia="zh-CN"/>
          <w14:textFill>
            <w14:solidFill>
              <w14:schemeClr w14:val="tx1"/>
            </w14:solidFill>
          </w14:textFill>
        </w:rPr>
        <w:t>；生活垃圾由环卫部门统一收集送垃圾</w:t>
      </w:r>
      <w:r>
        <w:rPr>
          <w:rFonts w:hint="eastAsia"/>
          <w:color w:val="000000" w:themeColor="text1"/>
          <w:highlight w:val="none"/>
          <w:lang w:val="en-US" w:eastAsia="zh-CN"/>
          <w14:textFill>
            <w14:solidFill>
              <w14:schemeClr w14:val="tx1"/>
            </w14:solidFill>
          </w14:textFill>
        </w:rPr>
        <w:t>填埋场</w:t>
      </w:r>
      <w:r>
        <w:rPr>
          <w:rFonts w:hint="default"/>
          <w:color w:val="000000" w:themeColor="text1"/>
          <w:highlight w:val="none"/>
          <w:lang w:val="en-US" w:eastAsia="zh-CN"/>
          <w14:textFill>
            <w14:solidFill>
              <w14:schemeClr w14:val="tx1"/>
            </w14:solidFill>
          </w14:textFill>
        </w:rPr>
        <w:t>处置</w:t>
      </w:r>
      <w:r>
        <w:rPr>
          <w:rFonts w:hint="eastAsia"/>
          <w:color w:val="000000" w:themeColor="text1"/>
          <w:highlight w:val="none"/>
          <w:lang w:val="en-US" w:eastAsia="zh-CN"/>
          <w14:textFill>
            <w14:solidFill>
              <w14:schemeClr w14:val="tx1"/>
            </w14:solidFill>
          </w14:textFill>
        </w:rPr>
        <w:t>；治疗医废集中收集，暂存于危废暂存间，</w:t>
      </w:r>
      <w:r>
        <w:rPr>
          <w:rFonts w:hint="default"/>
          <w:color w:val="000000" w:themeColor="text1"/>
          <w:highlight w:val="none"/>
          <w14:textFill>
            <w14:solidFill>
              <w14:schemeClr w14:val="tx1"/>
            </w14:solidFill>
          </w14:textFill>
        </w:rPr>
        <w:t>定期交由有资质单位处置</w:t>
      </w:r>
      <w:r>
        <w:rPr>
          <w:rFonts w:hint="default"/>
          <w:color w:val="000000" w:themeColor="text1"/>
          <w:highlight w:val="none"/>
          <w:lang w:val="en-US" w:eastAsia="zh-CN"/>
          <w14:textFill>
            <w14:solidFill>
              <w14:schemeClr w14:val="tx1"/>
            </w14:solidFill>
          </w14:textFill>
        </w:rPr>
        <w:t>。</w:t>
      </w:r>
    </w:p>
    <w:p w14:paraId="36691988">
      <w:pPr>
        <w:pageBreakBefore w:val="0"/>
        <w:kinsoku/>
        <w:wordWrap/>
        <w:overflowPunct/>
        <w:topLinePunct w:val="0"/>
        <w:autoSpaceDE/>
        <w:autoSpaceDN/>
        <w:bidi w:val="0"/>
        <w:adjustRightInd/>
        <w:snapToGrid w:val="0"/>
        <w:spacing w:line="360" w:lineRule="auto"/>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（5）废物回收利用指标</w:t>
      </w:r>
    </w:p>
    <w:p w14:paraId="3408D5A8">
      <w:pPr>
        <w:pageBreakBefore w:val="0"/>
        <w:kinsoku/>
        <w:wordWrap/>
        <w:overflowPunct/>
        <w:topLinePunct w:val="0"/>
        <w:autoSpaceDE/>
        <w:autoSpaceDN/>
        <w:bidi w:val="0"/>
        <w:adjustRightInd/>
        <w:snapToGrid w:val="0"/>
        <w:spacing w:line="360" w:lineRule="auto"/>
        <w:ind w:firstLine="480" w:firstLineChars="200"/>
        <w:jc w:val="both"/>
        <w:textAlignment w:val="auto"/>
        <w:rPr>
          <w:rFonts w:ascii="Times New Roman" w:hAnsi="Times New Roman" w:cs="Times New Roman"/>
          <w:color w:val="000000" w:themeColor="text1"/>
          <w:highlight w:val="none"/>
          <w14:textFill>
            <w14:solidFill>
              <w14:schemeClr w14:val="tx1"/>
            </w14:solidFill>
          </w14:textFill>
        </w:rPr>
      </w:pPr>
      <w:r>
        <w:rPr>
          <w:rFonts w:ascii="Times New Roman" w:hAnsi="Times New Roman" w:cs="Times New Roman"/>
          <w:color w:val="000000" w:themeColor="text1"/>
          <w:highlight w:val="none"/>
          <w14:textFill>
            <w14:solidFill>
              <w14:schemeClr w14:val="tx1"/>
            </w14:solidFill>
          </w14:textFill>
        </w:rPr>
        <w:t>项目废水最终全部经</w:t>
      </w:r>
      <w:r>
        <w:rPr>
          <w:rFonts w:hint="eastAsia" w:ascii="Times New Roman" w:hAnsi="Times New Roman" w:cs="Times New Roman"/>
          <w:color w:val="000000" w:themeColor="text1"/>
          <w:highlight w:val="none"/>
          <w:lang w:val="en-US" w:eastAsia="zh-CN"/>
          <w14:textFill>
            <w14:solidFill>
              <w14:schemeClr w14:val="tx1"/>
            </w14:solidFill>
          </w14:textFill>
        </w:rPr>
        <w:t>黑膜池</w:t>
      </w:r>
      <w:r>
        <w:rPr>
          <w:rFonts w:ascii="Times New Roman" w:hAnsi="Times New Roman" w:cs="Times New Roman"/>
          <w:color w:val="000000" w:themeColor="text1"/>
          <w:highlight w:val="none"/>
          <w14:textFill>
            <w14:solidFill>
              <w14:schemeClr w14:val="tx1"/>
            </w14:solidFill>
          </w14:textFill>
        </w:rPr>
        <w:t>处理后回用于</w:t>
      </w:r>
      <w:r>
        <w:rPr>
          <w:rFonts w:hint="eastAsia" w:ascii="Times New Roman" w:hAnsi="Times New Roman" w:cs="Times New Roman"/>
          <w:color w:val="000000" w:themeColor="text1"/>
          <w:highlight w:val="none"/>
          <w14:textFill>
            <w14:solidFill>
              <w14:schemeClr w14:val="tx1"/>
            </w14:solidFill>
          </w14:textFill>
        </w:rPr>
        <w:t>项目周边农田</w:t>
      </w:r>
      <w:r>
        <w:rPr>
          <w:rFonts w:ascii="Times New Roman" w:hAnsi="Times New Roman" w:cs="Times New Roman"/>
          <w:color w:val="000000" w:themeColor="text1"/>
          <w:highlight w:val="none"/>
          <w14:textFill>
            <w14:solidFill>
              <w14:schemeClr w14:val="tx1"/>
            </w14:solidFill>
          </w14:textFill>
        </w:rPr>
        <w:t>灌溉。</w:t>
      </w:r>
      <w:r>
        <w:rPr>
          <w:rFonts w:hint="eastAsia"/>
          <w:color w:val="000000" w:themeColor="text1"/>
          <w:highlight w:val="none"/>
          <w:lang w:val="en-US" w:eastAsia="zh-CN"/>
          <w14:textFill>
            <w14:solidFill>
              <w14:schemeClr w14:val="tx1"/>
            </w14:solidFill>
          </w14:textFill>
        </w:rPr>
        <w:t>猪</w:t>
      </w:r>
      <w:r>
        <w:rPr>
          <w:rFonts w:hint="default"/>
          <w:color w:val="000000" w:themeColor="text1"/>
          <w:highlight w:val="none"/>
          <w:lang w:val="en-US" w:eastAsia="zh-CN"/>
          <w14:textFill>
            <w14:solidFill>
              <w14:schemeClr w14:val="tx1"/>
            </w14:solidFill>
          </w14:textFill>
        </w:rPr>
        <w:t>粪</w:t>
      </w:r>
      <w:r>
        <w:rPr>
          <w:rFonts w:hint="eastAsia"/>
          <w:color w:val="000000" w:themeColor="text1"/>
          <w:highlight w:val="none"/>
          <w:lang w:val="en-US" w:eastAsia="zh-CN"/>
          <w14:textFill>
            <w14:solidFill>
              <w14:schemeClr w14:val="tx1"/>
            </w14:solidFill>
          </w14:textFill>
        </w:rPr>
        <w:t>、沼渣</w:t>
      </w:r>
      <w:r>
        <w:rPr>
          <w:rFonts w:hint="eastAsia" w:ascii="Times New Roman" w:hAnsi="Times New Roman" w:cs="Times New Roman"/>
          <w:color w:val="000000" w:themeColor="text1"/>
          <w:highlight w:val="none"/>
          <w:lang w:val="en-US" w:eastAsia="zh-CN"/>
          <w14:textFill>
            <w14:solidFill>
              <w14:schemeClr w14:val="tx1"/>
            </w14:solidFill>
          </w14:textFill>
        </w:rPr>
        <w:t>采用好氧堆肥</w:t>
      </w:r>
      <w:r>
        <w:rPr>
          <w:rFonts w:ascii="Times New Roman" w:hAnsi="Times New Roman" w:cs="Times New Roman"/>
          <w:color w:val="000000" w:themeColor="text1"/>
          <w:highlight w:val="none"/>
          <w14:textFill>
            <w14:solidFill>
              <w14:schemeClr w14:val="tx1"/>
            </w14:solidFill>
          </w14:textFill>
        </w:rPr>
        <w:t>进行发酵堆肥最终成为有机肥料。</w:t>
      </w:r>
    </w:p>
    <w:p w14:paraId="54F1DD79">
      <w:pPr>
        <w:pageBreakBefore w:val="0"/>
        <w:kinsoku/>
        <w:wordWrap/>
        <w:overflowPunct/>
        <w:topLinePunct w:val="0"/>
        <w:autoSpaceDE/>
        <w:autoSpaceDN/>
        <w:bidi w:val="0"/>
        <w:adjustRightInd/>
        <w:snapToGrid w:val="0"/>
        <w:spacing w:line="360" w:lineRule="auto"/>
        <w:jc w:val="both"/>
        <w:textAlignment w:val="auto"/>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（6）环境管理要求</w:t>
      </w:r>
    </w:p>
    <w:p w14:paraId="41FC46AF">
      <w:pPr>
        <w:pageBreakBefore w:val="0"/>
        <w:kinsoku/>
        <w:wordWrap/>
        <w:overflowPunct/>
        <w:topLinePunct w:val="0"/>
        <w:autoSpaceDE/>
        <w:autoSpaceDN/>
        <w:bidi w:val="0"/>
        <w:adjustRightInd/>
        <w:snapToGrid w:val="0"/>
        <w:spacing w:line="360" w:lineRule="auto"/>
        <w:ind w:firstLine="480" w:firstLineChars="200"/>
        <w:jc w:val="both"/>
        <w:textAlignment w:val="auto"/>
        <w:rPr>
          <w:rFonts w:hint="eastAsia"/>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szCs w:val="20"/>
          <w:highlight w:val="none"/>
          <w:shd w:val="clear" w:color="auto" w:fill="auto"/>
          <w:lang w:val="en-US" w:eastAsia="zh-CN"/>
          <w14:textFill>
            <w14:solidFill>
              <w14:schemeClr w14:val="tx1"/>
            </w14:solidFill>
          </w14:textFill>
        </w:rPr>
        <w:t>环境管理是企业管理中的重要环节之一。在企业中，建立健全环保机构，加强环保管理工作，并把环保工作纳入生产管理，对于减少企业内污染物排放，促进资源的合理利用与回收，提高经济效益和环境效益有着重要意义。</w:t>
      </w:r>
    </w:p>
    <w:p w14:paraId="763E8908">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3清洁生产建议</w:t>
      </w:r>
      <w:bookmarkEnd w:id="167"/>
    </w:p>
    <w:p w14:paraId="5344B051">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清洁生产是一个相对概念，相对原工艺使用能源或产品使用过程中只要能减少污染，节约能源的都称为清洁生产。因此，推行清洁生产是一个不间断的过程。</w:t>
      </w:r>
    </w:p>
    <w:p w14:paraId="3B278C32">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为减轻项目环境污染，本评价建议企业环境管理机构在工程的建设施工和生产运营中，进一步制定相应的预防污染计划，根据工程情况有组织、有计划的安排与协调，有序地推行清洁生产。</w:t>
      </w:r>
    </w:p>
    <w:p w14:paraId="279F8519">
      <w:pPr>
        <w:pStyle w:val="4"/>
        <w:rPr>
          <w:color w:val="000000" w:themeColor="text1"/>
          <w:highlight w:val="none"/>
          <w14:textFill>
            <w14:solidFill>
              <w14:schemeClr w14:val="tx1"/>
            </w14:solidFill>
          </w14:textFill>
        </w:rPr>
      </w:pPr>
      <w:bookmarkStart w:id="168" w:name="_Toc32037"/>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13</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4小结</w:t>
      </w:r>
      <w:bookmarkEnd w:id="168"/>
    </w:p>
    <w:p w14:paraId="4ED3FEE3">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通过对本项目各项清洁生产指标分析，本项目从工艺水平、技术路线来讲，清洁生产水平较高，从清洁生产角度，该项目建设是可行的。</w:t>
      </w:r>
    </w:p>
    <w:p w14:paraId="3ADCCF57">
      <w:pPr>
        <w:pStyle w:val="3"/>
        <w:rPr>
          <w:color w:val="000000" w:themeColor="text1"/>
          <w:highlight w:val="none"/>
          <w14:textFill>
            <w14:solidFill>
              <w14:schemeClr w14:val="tx1"/>
            </w14:solidFill>
          </w14:textFill>
        </w:rPr>
      </w:pPr>
      <w:bookmarkStart w:id="169" w:name="_Toc13312"/>
      <w:bookmarkStart w:id="170" w:name="_Toc28184"/>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.14与排污许可证制度的衔接</w:t>
      </w:r>
      <w:bookmarkEnd w:id="164"/>
      <w:bookmarkEnd w:id="165"/>
      <w:bookmarkEnd w:id="169"/>
      <w:bookmarkEnd w:id="170"/>
    </w:p>
    <w:p w14:paraId="6AFC762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本项目为无废水排污口的规模化养殖项目，根据《固定污染源排污许可分类管理名录（2019年版）》，本项目应进行排污许可登记管理。</w:t>
      </w:r>
    </w:p>
    <w:p w14:paraId="7717A83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本项目运行前须按照《排污许可证申请与核发技术规范 畜禽养殖行业》(HJ1029-2019)及《固定污染源排污许可分类管理名录（2019年版）》等文件要求在全国排污许可证管理信息平台填报排污登记表，登记基本信息。</w:t>
      </w:r>
    </w:p>
    <w:p w14:paraId="6C244B19">
      <w:pPr>
        <w:pStyle w:val="3"/>
        <w:rPr>
          <w:rFonts w:hint="eastAsia" w:ascii="Times New Roman" w:hAnsi="Times New Roman" w:eastAsia="宋体" w:cs="宋体"/>
          <w:color w:val="000000" w:themeColor="text1"/>
          <w:highlight w:val="none"/>
          <w:lang w:eastAsia="zh-CN"/>
          <w14:textFill>
            <w14:solidFill>
              <w14:schemeClr w14:val="tx1"/>
            </w14:solidFill>
          </w14:textFill>
        </w:rPr>
      </w:pPr>
      <w:bookmarkStart w:id="171" w:name="_Toc876"/>
      <w:bookmarkStart w:id="172" w:name="_Toc3608"/>
      <w:bookmarkStart w:id="173" w:name="_Toc26013"/>
      <w:bookmarkStart w:id="174" w:name="_Toc30275"/>
      <w:bookmarkStart w:id="175" w:name="_Toc4854"/>
      <w:r>
        <w:rPr>
          <w:rFonts w:hint="eastAsia" w:ascii="Times New Roman" w:hAnsi="Times New Roman" w:eastAsia="宋体" w:cs="宋体"/>
          <w:color w:val="000000" w:themeColor="text1"/>
          <w:highlight w:val="none"/>
          <w:lang w:val="en-US" w:eastAsia="zh-CN"/>
          <w14:textFill>
            <w14:solidFill>
              <w14:schemeClr w14:val="tx1"/>
            </w14:solidFill>
          </w14:textFill>
        </w:rPr>
        <w:t>3.15</w:t>
      </w:r>
      <w:r>
        <w:rPr>
          <w:rFonts w:hint="eastAsia" w:ascii="Times New Roman" w:hAnsi="Times New Roman" w:eastAsia="宋体" w:cs="宋体"/>
          <w:color w:val="000000" w:themeColor="text1"/>
          <w:highlight w:val="none"/>
          <w:lang w:eastAsia="zh-CN"/>
          <w14:textFill>
            <w14:solidFill>
              <w14:schemeClr w14:val="tx1"/>
            </w14:solidFill>
          </w14:textFill>
        </w:rPr>
        <w:t>现有工程存在的主要环境问题及措施</w:t>
      </w:r>
      <w:bookmarkEnd w:id="171"/>
      <w:bookmarkEnd w:id="172"/>
    </w:p>
    <w:p w14:paraId="019AE919">
      <w:pPr>
        <w:ind w:firstLine="480" w:firstLineChars="20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（1）现有工程存在的主要环境问题</w:t>
      </w:r>
    </w:p>
    <w:p w14:paraId="0026A97A">
      <w:pPr>
        <w:ind w:firstLine="480" w:firstLineChars="200"/>
        <w:rPr>
          <w:rFonts w:hint="eastAsia" w:ascii="Times New Roman" w:hAnsi="Times New Roman" w:eastAsia="宋体" w:cs="宋体"/>
          <w:color w:val="000000" w:themeColor="text1"/>
          <w:highlight w:val="none"/>
          <w:lang w:eastAsia="zh-CN"/>
          <w14:textFill>
            <w14:solidFill>
              <w14:schemeClr w14:val="tx1"/>
            </w14:solidFill>
          </w14:textFill>
        </w:rPr>
      </w:pPr>
      <w:r>
        <w:rPr>
          <w:rFonts w:hint="default" w:ascii="Times New Roman" w:hAnsi="Times New Roman" w:eastAsia="宋体" w:cs="宋体"/>
          <w:color w:val="000000" w:themeColor="text1"/>
          <w:highlight w:val="none"/>
          <w:lang w:eastAsia="zh-CN"/>
          <w14:textFill>
            <w14:solidFill>
              <w14:schemeClr w14:val="tx1"/>
            </w14:solidFill>
          </w14:textFill>
        </w:rPr>
        <w:t>①</w:t>
      </w:r>
      <w:r>
        <w:rPr>
          <w:rFonts w:ascii="Times New Roman" w:hAnsi="Times New Roman" w:eastAsia="宋体" w:cs="宋体"/>
          <w:color w:val="000000" w:themeColor="text1"/>
          <w:highlight w:val="none"/>
          <w14:textFill>
            <w14:solidFill>
              <w14:schemeClr w14:val="tx1"/>
            </w14:solidFill>
          </w14:textFill>
        </w:rPr>
        <w:t>厂区道路</w:t>
      </w:r>
      <w:r>
        <w:rPr>
          <w:rFonts w:hint="eastAsia" w:ascii="Times New Roman" w:hAnsi="Times New Roman" w:eastAsia="宋体" w:cs="宋体"/>
          <w:color w:val="000000" w:themeColor="text1"/>
          <w:highlight w:val="none"/>
          <w:lang w:val="en-US" w:eastAsia="zh-CN"/>
          <w14:textFill>
            <w14:solidFill>
              <w14:schemeClr w14:val="tx1"/>
            </w14:solidFill>
          </w14:textFill>
        </w:rPr>
        <w:t>未</w:t>
      </w:r>
      <w:r>
        <w:rPr>
          <w:rFonts w:ascii="Times New Roman" w:hAnsi="Times New Roman" w:eastAsia="宋体" w:cs="宋体"/>
          <w:color w:val="000000" w:themeColor="text1"/>
          <w:highlight w:val="none"/>
          <w14:textFill>
            <w14:solidFill>
              <w14:schemeClr w14:val="tx1"/>
            </w14:solidFill>
          </w14:textFill>
        </w:rPr>
        <w:t>硬化</w:t>
      </w:r>
      <w:r>
        <w:rPr>
          <w:rFonts w:hint="eastAsia" w:ascii="Times New Roman" w:hAnsi="Times New Roman" w:eastAsia="宋体" w:cs="宋体"/>
          <w:color w:val="000000" w:themeColor="text1"/>
          <w:highlight w:val="none"/>
          <w:lang w:eastAsia="zh-CN"/>
          <w14:textFill>
            <w14:solidFill>
              <w14:schemeClr w14:val="tx1"/>
            </w14:solidFill>
          </w14:textFill>
        </w:rPr>
        <w:t>。</w:t>
      </w:r>
    </w:p>
    <w:p w14:paraId="38835BA7">
      <w:pPr>
        <w:ind w:firstLine="480" w:firstLineChars="20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eastAsia="zh-CN"/>
          <w14:textFill>
            <w14:solidFill>
              <w14:schemeClr w14:val="tx1"/>
            </w14:solidFill>
          </w14:textFill>
        </w:rPr>
        <w:t>②</w:t>
      </w:r>
      <w:r>
        <w:rPr>
          <w:rFonts w:hint="eastAsia" w:ascii="Times New Roman" w:hAnsi="Times New Roman" w:eastAsia="宋体" w:cs="宋体"/>
          <w:color w:val="000000" w:themeColor="text1"/>
          <w:highlight w:val="none"/>
          <w:lang w:val="en-US" w:eastAsia="zh-CN"/>
          <w14:textFill>
            <w14:solidFill>
              <w14:schemeClr w14:val="tx1"/>
            </w14:solidFill>
          </w14:textFill>
        </w:rPr>
        <w:t>黑膜池不在围墙范围内。</w:t>
      </w:r>
    </w:p>
    <w:p w14:paraId="7B46887F">
      <w:pPr>
        <w:ind w:firstLine="480" w:firstLineChars="20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③</w:t>
      </w:r>
      <w:r>
        <w:rPr>
          <w:rFonts w:hint="eastAsia" w:ascii="Times New Roman" w:hAnsi="Times New Roman" w:eastAsia="宋体" w:cs="宋体"/>
          <w:color w:val="000000" w:themeColor="text1"/>
          <w:highlight w:val="none"/>
          <w:lang w:val="en-US" w:eastAsia="zh-CN"/>
          <w14:textFill>
            <w14:solidFill>
              <w14:schemeClr w14:val="tx1"/>
            </w14:solidFill>
          </w14:textFill>
        </w:rPr>
        <w:t>无固液分离机及堆粪场</w:t>
      </w:r>
    </w:p>
    <w:p w14:paraId="20A31B93">
      <w:pPr>
        <w:ind w:firstLine="480" w:firstLineChars="200"/>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④</w:t>
      </w:r>
      <w:r>
        <w:rPr>
          <w:rFonts w:hint="eastAsia" w:ascii="Times New Roman" w:hAnsi="Times New Roman" w:eastAsia="宋体" w:cs="宋体"/>
          <w:color w:val="000000" w:themeColor="text1"/>
          <w:highlight w:val="none"/>
          <w:lang w:val="en-US" w:eastAsia="zh-CN"/>
          <w14:textFill>
            <w14:solidFill>
              <w14:schemeClr w14:val="tx1"/>
            </w14:solidFill>
          </w14:textFill>
        </w:rPr>
        <w:t>无危废暂存间</w:t>
      </w:r>
    </w:p>
    <w:p w14:paraId="5DFC366D">
      <w:pPr>
        <w:numPr>
          <w:ilvl w:val="0"/>
          <w:numId w:val="0"/>
        </w:numPr>
        <w:bidi w:val="0"/>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（2）整改措施</w:t>
      </w:r>
    </w:p>
    <w:p w14:paraId="368BB4D6">
      <w:pPr>
        <w:ind w:firstLine="480" w:firstLineChars="200"/>
        <w:rPr>
          <w:rFonts w:hint="eastAsia" w:ascii="Times New Roman" w:hAnsi="Times New Roman" w:eastAsia="宋体" w:cs="宋体"/>
          <w:color w:val="000000" w:themeColor="text1"/>
          <w:highlight w:val="none"/>
          <w:lang w:eastAsia="zh-CN"/>
          <w14:textFill>
            <w14:solidFill>
              <w14:schemeClr w14:val="tx1"/>
            </w14:solidFill>
          </w14:textFill>
        </w:rPr>
      </w:pPr>
      <w:r>
        <w:rPr>
          <w:rFonts w:hint="default" w:ascii="Times New Roman" w:hAnsi="Times New Roman" w:eastAsia="宋体" w:cs="宋体"/>
          <w:color w:val="000000" w:themeColor="text1"/>
          <w:highlight w:val="none"/>
          <w:lang w:eastAsia="zh-CN"/>
          <w14:textFill>
            <w14:solidFill>
              <w14:schemeClr w14:val="tx1"/>
            </w14:solidFill>
          </w14:textFill>
        </w:rPr>
        <w:t>①</w:t>
      </w:r>
      <w:r>
        <w:rPr>
          <w:rFonts w:hint="eastAsia" w:ascii="Times New Roman" w:hAnsi="Times New Roman" w:eastAsia="宋体" w:cs="宋体"/>
          <w:color w:val="000000" w:themeColor="text1"/>
          <w:highlight w:val="none"/>
          <w:lang w:val="en-US" w:eastAsia="zh-CN"/>
          <w14:textFill>
            <w14:solidFill>
              <w14:schemeClr w14:val="tx1"/>
            </w14:solidFill>
          </w14:textFill>
        </w:rPr>
        <w:t>对</w:t>
      </w:r>
      <w:r>
        <w:rPr>
          <w:rFonts w:ascii="Times New Roman" w:hAnsi="Times New Roman" w:eastAsia="宋体" w:cs="宋体"/>
          <w:color w:val="000000" w:themeColor="text1"/>
          <w:highlight w:val="none"/>
          <w14:textFill>
            <w14:solidFill>
              <w14:schemeClr w14:val="tx1"/>
            </w14:solidFill>
          </w14:textFill>
        </w:rPr>
        <w:t>厂区道路</w:t>
      </w:r>
      <w:r>
        <w:rPr>
          <w:rFonts w:hint="eastAsia" w:ascii="Times New Roman" w:hAnsi="Times New Roman" w:eastAsia="宋体" w:cs="宋体"/>
          <w:color w:val="000000" w:themeColor="text1"/>
          <w:highlight w:val="none"/>
          <w:lang w:val="en-US" w:eastAsia="zh-CN"/>
          <w14:textFill>
            <w14:solidFill>
              <w14:schemeClr w14:val="tx1"/>
            </w14:solidFill>
          </w14:textFill>
        </w:rPr>
        <w:t>进行</w:t>
      </w:r>
      <w:r>
        <w:rPr>
          <w:rFonts w:ascii="Times New Roman" w:hAnsi="Times New Roman" w:eastAsia="宋体" w:cs="宋体"/>
          <w:color w:val="000000" w:themeColor="text1"/>
          <w:highlight w:val="none"/>
          <w14:textFill>
            <w14:solidFill>
              <w14:schemeClr w14:val="tx1"/>
            </w14:solidFill>
          </w14:textFill>
        </w:rPr>
        <w:t>硬化</w:t>
      </w:r>
      <w:r>
        <w:rPr>
          <w:rFonts w:hint="eastAsia" w:ascii="Times New Roman" w:hAnsi="Times New Roman" w:eastAsia="宋体" w:cs="宋体"/>
          <w:color w:val="000000" w:themeColor="text1"/>
          <w:highlight w:val="none"/>
          <w:lang w:eastAsia="zh-CN"/>
          <w14:textFill>
            <w14:solidFill>
              <w14:schemeClr w14:val="tx1"/>
            </w14:solidFill>
          </w14:textFill>
        </w:rPr>
        <w:t>。</w:t>
      </w:r>
    </w:p>
    <w:p w14:paraId="6759BD2C">
      <w:pPr>
        <w:ind w:firstLine="480" w:firstLineChars="20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eastAsia="zh-CN"/>
          <w14:textFill>
            <w14:solidFill>
              <w14:schemeClr w14:val="tx1"/>
            </w14:solidFill>
          </w14:textFill>
        </w:rPr>
        <w:t>②</w:t>
      </w:r>
      <w:r>
        <w:rPr>
          <w:rFonts w:hint="eastAsia" w:ascii="Times New Roman" w:hAnsi="Times New Roman" w:eastAsia="宋体" w:cs="宋体"/>
          <w:color w:val="000000" w:themeColor="text1"/>
          <w:highlight w:val="none"/>
          <w:lang w:val="en-US" w:eastAsia="zh-CN"/>
          <w14:textFill>
            <w14:solidFill>
              <w14:schemeClr w14:val="tx1"/>
            </w14:solidFill>
          </w14:textFill>
        </w:rPr>
        <w:t>黑膜池周边圈起围墙围墙范围内。</w:t>
      </w:r>
    </w:p>
    <w:p w14:paraId="414AAC57">
      <w:pPr>
        <w:ind w:firstLine="480" w:firstLineChars="200"/>
        <w:rPr>
          <w:rFonts w:hint="default" w:ascii="Times New Roman" w:hAnsi="Times New Roman" w:eastAsia="宋体" w:cs="宋体"/>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③</w:t>
      </w:r>
      <w:r>
        <w:rPr>
          <w:rFonts w:hint="eastAsia" w:ascii="Times New Roman" w:hAnsi="Times New Roman" w:eastAsia="宋体" w:cs="宋体"/>
          <w:color w:val="000000" w:themeColor="text1"/>
          <w:highlight w:val="none"/>
          <w:lang w:val="en-US" w:eastAsia="zh-CN"/>
          <w14:textFill>
            <w14:solidFill>
              <w14:schemeClr w14:val="tx1"/>
            </w14:solidFill>
          </w14:textFill>
        </w:rPr>
        <w:t>增加固液分离机及堆粪场</w:t>
      </w:r>
    </w:p>
    <w:p w14:paraId="4F67D401">
      <w:pPr>
        <w:ind w:firstLine="480" w:firstLineChars="200"/>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宋体"/>
          <w:color w:val="000000" w:themeColor="text1"/>
          <w:highlight w:val="none"/>
          <w:lang w:val="en-US" w:eastAsia="zh-CN"/>
          <w14:textFill>
            <w14:solidFill>
              <w14:schemeClr w14:val="tx1"/>
            </w14:solidFill>
          </w14:textFill>
        </w:rPr>
        <w:t>④</w:t>
      </w:r>
      <w:r>
        <w:rPr>
          <w:rFonts w:hint="eastAsia" w:ascii="Times New Roman" w:hAnsi="Times New Roman" w:eastAsia="宋体" w:cs="宋体"/>
          <w:color w:val="000000" w:themeColor="text1"/>
          <w:highlight w:val="none"/>
          <w:lang w:val="en-US" w:eastAsia="zh-CN"/>
          <w14:textFill>
            <w14:solidFill>
              <w14:schemeClr w14:val="tx1"/>
            </w14:solidFill>
          </w14:textFill>
        </w:rPr>
        <w:t>修建危废暂存间</w:t>
      </w:r>
    </w:p>
    <w:p w14:paraId="1595249D">
      <w:pPr>
        <w:pStyle w:val="3"/>
        <w:rPr>
          <w:color w:val="000000" w:themeColor="text1"/>
          <w:highlight w:val="none"/>
          <w14:textFill>
            <w14:solidFill>
              <w14:schemeClr w14:val="tx1"/>
            </w14:solidFill>
          </w14:textFill>
        </w:rPr>
      </w:pPr>
      <w:bookmarkStart w:id="176" w:name="_Toc16097"/>
      <w:bookmarkStart w:id="177" w:name="_Toc30537"/>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工程分析小结</w:t>
      </w:r>
      <w:bookmarkEnd w:id="173"/>
      <w:bookmarkEnd w:id="174"/>
      <w:bookmarkEnd w:id="175"/>
      <w:bookmarkEnd w:id="176"/>
      <w:bookmarkEnd w:id="177"/>
    </w:p>
    <w:p w14:paraId="3D18E7F5">
      <w:pPr>
        <w:ind w:firstLine="480" w:firstLineChars="20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（1）本项目属于</w:t>
      </w:r>
      <w:r>
        <w:rPr>
          <w:rFonts w:hint="eastAsia"/>
          <w:color w:val="000000" w:themeColor="text1"/>
          <w:highlight w:val="none"/>
          <w:lang w:val="en-US" w:eastAsia="zh-CN"/>
          <w14:textFill>
            <w14:solidFill>
              <w14:schemeClr w14:val="tx1"/>
            </w14:solidFill>
          </w14:textFill>
        </w:rPr>
        <w:t>补做环评</w:t>
      </w:r>
      <w:r>
        <w:rPr>
          <w:color w:val="000000" w:themeColor="text1"/>
          <w:highlight w:val="none"/>
          <w14:textFill>
            <w14:solidFill>
              <w14:schemeClr w14:val="tx1"/>
            </w14:solidFill>
          </w14:textFill>
        </w:rPr>
        <w:t>，选址位于新疆生产建设兵团</w:t>
      </w:r>
      <w:r>
        <w:rPr>
          <w:rFonts w:hint="eastAsia"/>
          <w:color w:val="000000" w:themeColor="text1"/>
          <w:highlight w:val="none"/>
          <w:lang w:eastAsia="zh-CN"/>
          <w14:textFill>
            <w14:solidFill>
              <w14:schemeClr w14:val="tx1"/>
            </w14:solidFill>
          </w14:textFill>
        </w:rPr>
        <w:t>胡杨河市125团16连</w:t>
      </w:r>
      <w:r>
        <w:rPr>
          <w:color w:val="000000" w:themeColor="text1"/>
          <w:highlight w:val="none"/>
          <w14:textFill>
            <w14:solidFill>
              <w14:schemeClr w14:val="tx1"/>
            </w14:solidFill>
          </w14:textFill>
        </w:rPr>
        <w:t>，项目区中心坐标：</w:t>
      </w:r>
      <w:r>
        <w:rPr>
          <w:rFonts w:hint="eastAsia"/>
          <w:color w:val="000000" w:themeColor="text1"/>
          <w:highlight w:val="none"/>
          <w:lang w:eastAsia="zh-CN"/>
          <w14:textFill>
            <w14:solidFill>
              <w14:schemeClr w14:val="tx1"/>
            </w14:solidFill>
          </w14:textFill>
        </w:rPr>
        <w:t>E：84°32′1.246″,N：44°50′21.945″</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项目区西南侧60m为废弃厂房，西南侧0.8km为125团16连，西南侧2.3km为125团18连，东侧2.6km处为车排子水库，东侧、西侧、南侧和北侧均为农田，交通十分便利。</w:t>
      </w:r>
    </w:p>
    <w:p w14:paraId="2A1CCED3">
      <w:pPr>
        <w:ind w:firstLine="480" w:firstLineChars="200"/>
        <w:rPr>
          <w:rFonts w:hint="eastAsia" w:eastAsia="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（2）202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月-202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月</w:t>
      </w:r>
      <w:r>
        <w:rPr>
          <w:rFonts w:hint="eastAsia" w:eastAsia="宋体" w:cs="宋体"/>
          <w:color w:val="000000" w:themeColor="text1"/>
          <w:highlight w:val="none"/>
          <w:lang w:val="en-US" w:eastAsia="zh-CN"/>
          <w14:textFill>
            <w14:solidFill>
              <w14:schemeClr w14:val="tx1"/>
            </w14:solidFill>
          </w14:textFill>
        </w:rPr>
        <w:t>已建成圈舍24栋，</w:t>
      </w:r>
      <w:r>
        <w:rPr>
          <w:rFonts w:hint="eastAsia" w:eastAsia="宋体" w:cs="宋体"/>
          <w:color w:val="000000" w:themeColor="text1"/>
          <w:highlight w:val="none"/>
          <w14:textFill>
            <w14:solidFill>
              <w14:schemeClr w14:val="tx1"/>
            </w14:solidFill>
          </w14:textFill>
        </w:rPr>
        <w:t>兽医室和医疗库房，办公室，卫兵室、消毒间，员工宿舍，饲料库房，场地道路</w:t>
      </w:r>
      <w:r>
        <w:rPr>
          <w:rFonts w:hint="eastAsia" w:cs="宋体"/>
          <w:color w:val="000000" w:themeColor="text1"/>
          <w:highlight w:val="none"/>
          <w:lang w:eastAsia="zh-CN"/>
          <w14:textFill>
            <w14:solidFill>
              <w14:schemeClr w14:val="tx1"/>
            </w14:solidFill>
          </w14:textFill>
        </w:rPr>
        <w:t>，</w:t>
      </w:r>
      <w:r>
        <w:rPr>
          <w:rFonts w:hint="eastAsia" w:eastAsia="宋体" w:cs="宋体"/>
          <w:color w:val="000000" w:themeColor="text1"/>
          <w:highlight w:val="none"/>
          <w14:textFill>
            <w14:solidFill>
              <w14:schemeClr w14:val="tx1"/>
            </w14:solidFill>
          </w14:textFill>
        </w:rPr>
        <w:t>绿化，水塔一座及相关配套设施和设备。</w:t>
      </w:r>
    </w:p>
    <w:p w14:paraId="265F5C27">
      <w:pPr>
        <w:pStyle w:val="14"/>
        <w:ind w:firstLine="480" w:firstLineChars="200"/>
        <w:rPr>
          <w:color w:val="000000" w:themeColor="text1"/>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为了更好的养殖种猪、仔猪及提高经济效益，</w:t>
      </w:r>
      <w:r>
        <w:rPr>
          <w:rFonts w:hint="eastAsia"/>
          <w:color w:val="000000" w:themeColor="text1"/>
          <w:highlight w:val="none"/>
          <w:lang w:eastAsia="zh-CN"/>
          <w14:textFill>
            <w14:solidFill>
              <w14:schemeClr w14:val="tx1"/>
            </w14:solidFill>
          </w14:textFill>
        </w:rPr>
        <w:t>胡杨河市宏信种猪养殖基地项目</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预计</w:t>
      </w:r>
      <w:r>
        <w:rPr>
          <w:rFonts w:hint="eastAsia" w:eastAsia="宋体" w:cs="宋体"/>
          <w:color w:val="000000" w:themeColor="text1"/>
          <w:sz w:val="24"/>
          <w:szCs w:val="24"/>
          <w:highlight w:val="none"/>
          <w:lang w:val="en-US" w:eastAsia="zh-CN" w:bidi="ar-SA"/>
          <w14:textFill>
            <w14:solidFill>
              <w14:schemeClr w14:val="tx1"/>
            </w14:solidFill>
          </w14:textFill>
        </w:rPr>
        <w:t>再</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新建</w:t>
      </w:r>
      <w:r>
        <w:rPr>
          <w:rFonts w:hint="eastAsia" w:cs="宋体"/>
          <w:color w:val="000000" w:themeColor="text1"/>
          <w:sz w:val="24"/>
          <w:szCs w:val="24"/>
          <w:highlight w:val="none"/>
          <w:lang w:val="en-US" w:eastAsia="zh-CN" w:bidi="ar-SA"/>
          <w14:textFill>
            <w14:solidFill>
              <w14:schemeClr w14:val="tx1"/>
            </w14:solidFill>
          </w14:textFill>
        </w:rPr>
        <w:t>6</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栋圈舍，</w:t>
      </w:r>
      <w:r>
        <w:rPr>
          <w:rFonts w:hint="eastAsia" w:cs="宋体"/>
          <w:color w:val="000000" w:themeColor="text1"/>
          <w:sz w:val="24"/>
          <w:szCs w:val="24"/>
          <w:highlight w:val="none"/>
          <w:lang w:val="en-US" w:eastAsia="zh-CN" w:bidi="ar-SA"/>
          <w14:textFill>
            <w14:solidFill>
              <w14:schemeClr w14:val="tx1"/>
            </w14:solidFill>
          </w14:textFill>
        </w:rPr>
        <w:t>并</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增加干湿分离车间和堆粪场</w:t>
      </w:r>
      <w:r>
        <w:rPr>
          <w:rFonts w:hint="eastAsia" w:eastAsia="宋体" w:cs="宋体"/>
          <w:color w:val="000000" w:themeColor="text1"/>
          <w:sz w:val="24"/>
          <w:szCs w:val="24"/>
          <w:highlight w:val="none"/>
          <w:lang w:val="en-US" w:eastAsia="zh-CN" w:bidi="ar-SA"/>
          <w14:textFill>
            <w14:solidFill>
              <w14:schemeClr w14:val="tx1"/>
            </w14:solidFill>
          </w14:textFill>
        </w:rPr>
        <w:t>。</w:t>
      </w:r>
    </w:p>
    <w:p w14:paraId="4CB4B02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（3）本项目为生猪养殖项目，根据《产业结构调整指导目录（</w:t>
      </w:r>
      <w:r>
        <w:rPr>
          <w:rFonts w:hint="eastAsia"/>
          <w:color w:val="000000" w:themeColor="text1"/>
          <w:highlight w:val="none"/>
          <w:lang w:val="en-US" w:eastAsia="zh-CN"/>
          <w14:textFill>
            <w14:solidFill>
              <w14:schemeClr w14:val="tx1"/>
            </w14:solidFill>
          </w14:textFill>
        </w:rPr>
        <w:t>2024</w:t>
      </w:r>
      <w:r>
        <w:rPr>
          <w:color w:val="000000" w:themeColor="text1"/>
          <w:highlight w:val="none"/>
          <w14:textFill>
            <w14:solidFill>
              <w14:schemeClr w14:val="tx1"/>
            </w14:solidFill>
          </w14:textFill>
        </w:rPr>
        <w:t>年本）》，本项目属于</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第一类 鼓励类一、</w:t>
      </w:r>
      <w:r>
        <w:rPr>
          <w:rFonts w:hint="eastAsia"/>
          <w:color w:val="000000" w:themeColor="text1"/>
          <w:highlight w:val="none"/>
          <w:lang w:val="en-US" w:eastAsia="zh-CN"/>
          <w14:textFill>
            <w14:solidFill>
              <w14:schemeClr w14:val="tx1"/>
            </w14:solidFill>
          </w14:textFill>
        </w:rPr>
        <w:t>农林牧渔业</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现代畜牧业及水产生态健康养殖”</w:t>
      </w:r>
      <w:r>
        <w:rPr>
          <w:color w:val="000000" w:themeColor="text1"/>
          <w:highlight w:val="none"/>
          <w14:textFill>
            <w14:solidFill>
              <w14:schemeClr w14:val="tx1"/>
            </w14:solidFill>
          </w14:textFill>
        </w:rPr>
        <w:t>类别。因此，本项目建设符合国家产业政策。</w:t>
      </w:r>
    </w:p>
    <w:p w14:paraId="21C3A88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lang w:eastAsia="zh-CN"/>
          <w14:textFill>
            <w14:solidFill>
              <w14:schemeClr w14:val="tx1"/>
            </w14:solidFill>
          </w14:textFill>
        </w:rPr>
        <w:t>项目</w:t>
      </w:r>
      <w:r>
        <w:rPr>
          <w:rFonts w:hint="eastAsia"/>
          <w:color w:val="000000" w:themeColor="text1"/>
          <w:highlight w:val="none"/>
          <w14:textFill>
            <w14:solidFill>
              <w14:schemeClr w14:val="tx1"/>
            </w14:solidFill>
          </w14:textFill>
        </w:rPr>
        <w:t>运营过程中产生的废气包括猪舍、堆粪场产生恶臭气体</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饲料加工车间产生颗粒物</w:t>
      </w:r>
      <w:r>
        <w:rPr>
          <w:rFonts w:hint="eastAsia"/>
          <w:color w:val="000000" w:themeColor="text1"/>
          <w:highlight w:val="none"/>
          <w14:textFill>
            <w14:solidFill>
              <w14:schemeClr w14:val="tx1"/>
            </w14:solidFill>
          </w14:textFill>
        </w:rPr>
        <w:t>。其中猪舍区域采取定期喷洒植物型除臭剂等措施降低恶臭气体的影响。落实污染防治措施后，能够满足达标排放的要求。</w:t>
      </w:r>
    </w:p>
    <w:p w14:paraId="52E61CC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（5）本项目厂区采取雨污分流，雨水排入厂区外的雨水管网。本项目运营过程产生的废水包括猪尿、猪舍冲洗废水、生活污水，均由</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处理，产生的沼液在</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暂存后作为肥料还田。由于本项目无废水排放，对地表水环境影响较小。</w:t>
      </w:r>
    </w:p>
    <w:p w14:paraId="3247AA6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（6）在严格落实</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集粪池</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等防渗措施的基础上，本项目运营对地下水环境影响较小。</w:t>
      </w:r>
    </w:p>
    <w:p w14:paraId="6675D16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（7）本项目</w:t>
      </w:r>
      <w:r>
        <w:rPr>
          <w:rFonts w:hint="eastAsia"/>
          <w:color w:val="000000" w:themeColor="text1"/>
          <w:highlight w:val="none"/>
          <w:lang w:val="en-US" w:eastAsia="zh-CN"/>
          <w14:textFill>
            <w14:solidFill>
              <w14:schemeClr w14:val="tx1"/>
            </w14:solidFill>
          </w14:textFill>
        </w:rPr>
        <w:t>猪</w:t>
      </w:r>
      <w:r>
        <w:rPr>
          <w:color w:val="000000" w:themeColor="text1"/>
          <w:highlight w:val="none"/>
          <w14:textFill>
            <w14:solidFill>
              <w14:schemeClr w14:val="tx1"/>
            </w14:solidFill>
          </w14:textFill>
        </w:rPr>
        <w:t>粪和沼渣在</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堆肥处理后外售；医疗废物委托有资质的单位处置；</w:t>
      </w:r>
      <w:r>
        <w:rPr>
          <w:rFonts w:hint="eastAsia"/>
          <w:color w:val="000000" w:themeColor="text1"/>
          <w:highlight w:val="none"/>
          <w:lang w:eastAsia="zh-CN"/>
          <w14:textFill>
            <w14:solidFill>
              <w14:schemeClr w14:val="tx1"/>
            </w14:solidFill>
          </w14:textFill>
        </w:rPr>
        <w:t>病死猪、胎衣</w:t>
      </w:r>
      <w:r>
        <w:rPr>
          <w:rFonts w:hint="eastAsia"/>
          <w:color w:val="000000" w:themeColor="text1"/>
          <w:highlight w:val="none"/>
          <w14:textFill>
            <w14:solidFill>
              <w14:schemeClr w14:val="tx1"/>
            </w14:solidFill>
          </w14:textFill>
        </w:rPr>
        <w:t>及时清运至有资质单位无害化处理；</w:t>
      </w:r>
      <w:r>
        <w:rPr>
          <w:color w:val="000000" w:themeColor="text1"/>
          <w:highlight w:val="none"/>
          <w14:textFill>
            <w14:solidFill>
              <w14:schemeClr w14:val="tx1"/>
            </w14:solidFill>
          </w14:textFill>
        </w:rPr>
        <w:t>生活垃圾委托当地环卫部门清运。落实环保措施后，本项目产生的固体废物均得到妥善处置。</w:t>
      </w:r>
    </w:p>
    <w:p w14:paraId="36A1178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（8）本项目噪声主要</w:t>
      </w:r>
      <w:r>
        <w:rPr>
          <w:rFonts w:hint="eastAsia"/>
          <w:color w:val="000000" w:themeColor="text1"/>
          <w:highlight w:val="none"/>
          <w14:textFill>
            <w14:solidFill>
              <w14:schemeClr w14:val="tx1"/>
            </w14:solidFill>
          </w14:textFill>
        </w:rPr>
        <w:t>来自</w:t>
      </w:r>
      <w:r>
        <w:rPr>
          <w:color w:val="000000" w:themeColor="text1"/>
          <w:highlight w:val="none"/>
          <w14:textFill>
            <w14:solidFill>
              <w14:schemeClr w14:val="tx1"/>
            </w14:solidFill>
          </w14:textFill>
        </w:rPr>
        <w:t>泵类、风机，主要噪声源强均在</w:t>
      </w:r>
      <w:r>
        <w:rPr>
          <w:rFonts w:hint="eastAsia"/>
          <w:color w:val="000000" w:themeColor="text1"/>
          <w:highlight w:val="none"/>
          <w14:textFill>
            <w14:solidFill>
              <w14:schemeClr w14:val="tx1"/>
            </w14:solidFill>
          </w14:textFill>
        </w:rPr>
        <w:t>75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85</w:t>
      </w:r>
      <w:r>
        <w:rPr>
          <w:color w:val="000000" w:themeColor="text1"/>
          <w:highlight w:val="none"/>
          <w14:textFill>
            <w14:solidFill>
              <w14:schemeClr w14:val="tx1"/>
            </w14:solidFill>
          </w14:textFill>
        </w:rPr>
        <w:t>dB（A）之间。通过选用低噪声设备，主要噪声设备布置于室内等有效的降噪措施，经预测，各厂界昼、夜间噪声贡献值均能满足《工业企业厂界环境噪声排放标准》（GB12348-2008）2类标准的要求。</w:t>
      </w:r>
    </w:p>
    <w:p w14:paraId="6942B12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（9）本项目满足《畜禽养殖业污染防治技术规范》（HJ/T81-2001）等规范要求。</w:t>
      </w:r>
    </w:p>
    <w:p w14:paraId="527F4DF6">
      <w:pPr>
        <w:rPr>
          <w:color w:val="000000" w:themeColor="text1"/>
          <w:highlight w:val="none"/>
          <w14:textFill>
            <w14:solidFill>
              <w14:schemeClr w14:val="tx1"/>
            </w14:solidFill>
          </w14:textFill>
        </w:rPr>
        <w:sectPr>
          <w:headerReference r:id="rId11" w:type="default"/>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A541DB6">
      <w:pPr>
        <w:pStyle w:val="2"/>
        <w:rPr>
          <w:color w:val="000000" w:themeColor="text1"/>
          <w:highlight w:val="none"/>
          <w14:textFill>
            <w14:solidFill>
              <w14:schemeClr w14:val="tx1"/>
            </w14:solidFill>
          </w14:textFill>
        </w:rPr>
      </w:pPr>
      <w:bookmarkStart w:id="178" w:name="_Toc22531"/>
      <w:bookmarkStart w:id="179" w:name="_Toc17505"/>
      <w:r>
        <w:rPr>
          <w:rFonts w:hint="eastAsia"/>
          <w:color w:val="000000" w:themeColor="text1"/>
          <w:highlight w:val="none"/>
          <w14:textFill>
            <w14:solidFill>
              <w14:schemeClr w14:val="tx1"/>
            </w14:solidFill>
          </w14:textFill>
        </w:rPr>
        <w:t>第4章环境现状调查与评价</w:t>
      </w:r>
      <w:bookmarkEnd w:id="178"/>
      <w:bookmarkEnd w:id="179"/>
    </w:p>
    <w:p w14:paraId="1C33E775">
      <w:pPr>
        <w:pStyle w:val="3"/>
        <w:rPr>
          <w:color w:val="000000" w:themeColor="text1"/>
          <w:highlight w:val="none"/>
          <w14:textFill>
            <w14:solidFill>
              <w14:schemeClr w14:val="tx1"/>
            </w14:solidFill>
          </w14:textFill>
        </w:rPr>
      </w:pPr>
      <w:bookmarkStart w:id="180" w:name="_Toc10950"/>
      <w:bookmarkStart w:id="181" w:name="_Toc2020"/>
      <w:bookmarkStart w:id="182" w:name="_Toc4108"/>
      <w:bookmarkStart w:id="183" w:name="_Toc1345"/>
      <w:r>
        <w:rPr>
          <w:rFonts w:hint="eastAsia"/>
          <w:color w:val="000000" w:themeColor="text1"/>
          <w:highlight w:val="none"/>
          <w:lang w:eastAsia="zh-CN"/>
          <w14:textFill>
            <w14:solidFill>
              <w14:schemeClr w14:val="tx1"/>
            </w14:solidFill>
          </w14:textFill>
        </w:rPr>
        <w:t>4</w:t>
      </w:r>
      <w:r>
        <w:rPr>
          <w:color w:val="000000" w:themeColor="text1"/>
          <w:highlight w:val="none"/>
          <w14:textFill>
            <w14:solidFill>
              <w14:schemeClr w14:val="tx1"/>
            </w14:solidFill>
          </w14:textFill>
        </w:rPr>
        <w:t>.1自然环境概况</w:t>
      </w:r>
      <w:bookmarkEnd w:id="180"/>
      <w:bookmarkEnd w:id="181"/>
      <w:bookmarkEnd w:id="182"/>
      <w:bookmarkEnd w:id="183"/>
    </w:p>
    <w:p w14:paraId="7524972D">
      <w:pPr>
        <w:pStyle w:val="4"/>
        <w:rPr>
          <w:color w:val="000000" w:themeColor="text1"/>
          <w:highlight w:val="none"/>
          <w14:textFill>
            <w14:solidFill>
              <w14:schemeClr w14:val="tx1"/>
            </w14:solidFill>
          </w14:textFill>
        </w:rPr>
      </w:pPr>
      <w:bookmarkStart w:id="184" w:name="_Toc14196"/>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.1.1地理位置</w:t>
      </w:r>
      <w:bookmarkEnd w:id="184"/>
    </w:p>
    <w:p w14:paraId="47978D75">
      <w:pPr>
        <w:ind w:firstLine="480" w:firstLineChars="20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新疆生产建设兵团第七师位于准噶尔盆地西南部的奎屯河流域，南接天山，北接库尔班通古特沙漠。</w:t>
      </w:r>
      <w:r>
        <w:rPr>
          <w:rFonts w:hint="eastAsia" w:ascii="Times New Roman" w:hAnsi="Times New Roman"/>
          <w:color w:val="000000" w:themeColor="text1"/>
          <w:kern w:val="0"/>
          <w:sz w:val="24"/>
          <w:szCs w:val="24"/>
          <w:highlight w:val="none"/>
          <w14:textFill>
            <w14:solidFill>
              <w14:schemeClr w14:val="tx1"/>
            </w14:solidFill>
          </w14:textFill>
        </w:rPr>
        <w:t>七师辖有奎屯天北新区及10个团场，垦区主要分布在奎屯市、乌苏市、克拉玛依市和和布克赛尔蒙古自治县境内，七师处于天山北坡经济区“金三角”和独-克石油化工带，是自治区支持优先发展的重要经济区，是自治区“一主两翼”城市发展战略的重要一翼；师部所在地奎屯市既是北疆地区重要的商贸中心，又是“312”“217”国道和北疆铁路的交汇点，中国西部连接东欧和中亚市场的交通枢纽</w:t>
      </w:r>
      <w:r>
        <w:rPr>
          <w:rFonts w:hint="eastAsia" w:ascii="Times New Roman" w:hAnsi="Times New Roman"/>
          <w:color w:val="000000" w:themeColor="text1"/>
          <w:kern w:val="0"/>
          <w:sz w:val="24"/>
          <w:szCs w:val="24"/>
          <w:highlight w:val="no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全师南北界距离为303km，东西界距离为180km，面积为5906.9km</w:t>
      </w:r>
      <w:r>
        <w:rPr>
          <w:rFonts w:hint="eastAsia"/>
          <w:color w:val="000000" w:themeColor="text1"/>
          <w:highlight w:val="none"/>
          <w:vertAlign w:val="superscript"/>
          <w:lang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，地理坐标在北纬 44°20′～47°04′，东经83°51′～85°51′之间。师部驻地奎屯市为全师政治、经济、文化中心。亚欧大 陆桥的北疆铁路、乌奎高速公路、312国道乌伊公路横越境内，217 国道独阿公 路纵贯全境，纵横路交于奎屯，是连接东欧和中亚的交通枢纽。</w:t>
      </w:r>
    </w:p>
    <w:p w14:paraId="4D867A30">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项目位于新疆生产建设兵团</w:t>
      </w:r>
      <w:r>
        <w:rPr>
          <w:rFonts w:hint="eastAsia"/>
          <w:color w:val="000000" w:themeColor="text1"/>
          <w:highlight w:val="none"/>
          <w:lang w:eastAsia="zh-CN"/>
          <w14:textFill>
            <w14:solidFill>
              <w14:schemeClr w14:val="tx1"/>
            </w14:solidFill>
          </w14:textFill>
        </w:rPr>
        <w:t>胡杨河市125团16连</w:t>
      </w:r>
      <w:r>
        <w:rPr>
          <w:color w:val="000000" w:themeColor="text1"/>
          <w:highlight w:val="none"/>
          <w14:textFill>
            <w14:solidFill>
              <w14:schemeClr w14:val="tx1"/>
            </w14:solidFill>
          </w14:textFill>
        </w:rPr>
        <w:t>，项目区中心坐标：</w:t>
      </w:r>
      <w:r>
        <w:rPr>
          <w:rFonts w:hint="eastAsia"/>
          <w:color w:val="000000" w:themeColor="text1"/>
          <w:highlight w:val="none"/>
          <w:lang w:eastAsia="zh-CN"/>
          <w14:textFill>
            <w14:solidFill>
              <w14:schemeClr w14:val="tx1"/>
            </w14:solidFill>
          </w14:textFill>
        </w:rPr>
        <w:t>E：84°32′1.246″,N：44°50′21.945″</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项目区西南侧60m为废弃厂房，西南侧0.8km为125团16连，西南侧2.3km为125团18连，东侧2.6km处为车排子水库，东侧、西侧、南侧和北侧均为农田，交通十分便利。</w:t>
      </w:r>
    </w:p>
    <w:p w14:paraId="7E8F85C1">
      <w:pPr>
        <w:pStyle w:val="4"/>
        <w:rPr>
          <w:color w:val="000000" w:themeColor="text1"/>
          <w:highlight w:val="none"/>
          <w14:textFill>
            <w14:solidFill>
              <w14:schemeClr w14:val="tx1"/>
            </w14:solidFill>
          </w14:textFill>
        </w:rPr>
      </w:pPr>
      <w:bookmarkStart w:id="185" w:name="_Toc14854"/>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.1.2地形、地貌</w:t>
      </w:r>
      <w:bookmarkEnd w:id="185"/>
    </w:p>
    <w:p w14:paraId="744E6D1D">
      <w:pPr>
        <w:ind w:firstLine="480" w:firstLineChars="200"/>
        <w:rPr>
          <w:rFonts w:hint="eastAsia"/>
          <w:color w:val="000000" w:themeColor="text1"/>
          <w:highlight w:val="none"/>
          <w:lang w:eastAsia="zh-CN"/>
          <w14:textFill>
            <w14:solidFill>
              <w14:schemeClr w14:val="tx1"/>
            </w14:solidFill>
          </w14:textFill>
        </w:rPr>
      </w:pPr>
      <w:bookmarkStart w:id="186" w:name="_Toc16368"/>
      <w:r>
        <w:rPr>
          <w:rFonts w:hint="eastAsia"/>
          <w:color w:val="000000" w:themeColor="text1"/>
          <w:highlight w:val="none"/>
          <w:lang w:eastAsia="zh-CN"/>
          <w14:textFill>
            <w14:solidFill>
              <w14:schemeClr w14:val="tx1"/>
            </w14:solidFill>
          </w14:textFill>
        </w:rPr>
        <w:t>兵团第七师纵跨准噶尔和天山两个褶皱系，经历了长期复杂的构造变动。在 历史发展过程中，地层发育较齐全，从古生代到新生代各时期都有较广泛出露。 沉积岩、变质岩、火山岩及结晶岩等各类岩石皆有分布。第七师共包括奎屯垦区、 车排子垦区、高泉垦区和乌尔禾垦区四个垦区，绝大部分在天山北麓的奎屯河、 四棵树河、古尔图河的冲积平原上，仅137团分布在白杨河附近的乌尔禾谷地。</w:t>
      </w:r>
    </w:p>
    <w:p w14:paraId="35BDF892">
      <w:pPr>
        <w:keepNext w:val="0"/>
        <w:keepLines w:val="0"/>
        <w:widowControl/>
        <w:suppressLineNumbers w:val="0"/>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本养殖场地貌简单，均为平地，地形平缓，地势南高北低，东高西低，南北 </w:t>
      </w:r>
    </w:p>
    <w:p w14:paraId="2D7302E4">
      <w:pPr>
        <w:keepNext w:val="0"/>
        <w:keepLines w:val="0"/>
        <w:widowControl/>
        <w:suppressLineNumbers w:val="0"/>
        <w:jc w:val="left"/>
        <w:rPr>
          <w:rFonts w:hint="eastAsia"/>
          <w:color w:val="000000" w:themeColor="text1"/>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向坡降</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3‰</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左右，东西向坡降约</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1.5‰</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左右，平均</w:t>
      </w:r>
      <w:r>
        <w:rPr>
          <w:rFonts w:hint="eastAsia" w:ascii="宋体" w:hAnsi="宋体" w:cs="宋体"/>
          <w:color w:val="000000" w:themeColor="text1"/>
          <w:kern w:val="0"/>
          <w:sz w:val="24"/>
          <w:szCs w:val="24"/>
          <w:highlight w:val="none"/>
          <w:lang w:val="en-US" w:eastAsia="zh-CN" w:bidi="ar"/>
          <w14:textFill>
            <w14:solidFill>
              <w14:schemeClr w14:val="tx1"/>
            </w14:solidFill>
          </w14:textFill>
        </w:rPr>
        <w:t>海拔</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300-350m</w:t>
      </w:r>
      <w:r>
        <w:rPr>
          <w:rFonts w:hint="eastAsia" w:ascii="宋体" w:hAnsi="宋体" w:eastAsia="宋体" w:cs="宋体"/>
          <w:color w:val="000000" w:themeColor="text1"/>
          <w:kern w:val="0"/>
          <w:sz w:val="24"/>
          <w:szCs w:val="24"/>
          <w:highlight w:val="none"/>
          <w:lang w:val="en-US" w:eastAsia="zh-CN" w:bidi="ar"/>
          <w14:textFill>
            <w14:solidFill>
              <w14:schemeClr w14:val="tx1"/>
            </w14:solidFill>
          </w14:textFill>
        </w:rPr>
        <w:t xml:space="preserve">，地表岩性为粉质粘土。 </w:t>
      </w:r>
    </w:p>
    <w:bookmarkEnd w:id="186"/>
    <w:p w14:paraId="061ECCA1">
      <w:pPr>
        <w:pStyle w:val="4"/>
        <w:rPr>
          <w:color w:val="000000" w:themeColor="text1"/>
          <w:highlight w:val="none"/>
          <w14:textFill>
            <w14:solidFill>
              <w14:schemeClr w14:val="tx1"/>
            </w14:solidFill>
          </w14:textFill>
        </w:rPr>
      </w:pPr>
      <w:bookmarkStart w:id="187" w:name="_Toc12038"/>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水文</w:t>
      </w:r>
      <w:bookmarkEnd w:id="187"/>
    </w:p>
    <w:p w14:paraId="062C3335">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（1）地表水</w:t>
      </w:r>
    </w:p>
    <w:p w14:paraId="26B96C3E">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14:textFill>
            <w14:solidFill>
              <w14:schemeClr w14:val="tx1"/>
            </w14:solidFill>
          </w14:textFill>
        </w:rPr>
        <w:t>地表水资源主要来自奎屯河、四棵树河、古尔图河等三条河流。河流发源于天山，属高山融雪及降水补给类型的内陆河流，其特点是河流水量随气温的高低而涨落，冬季水小，夏季水大。多年三河平均来水量12.56亿m</w:t>
      </w:r>
      <w:r>
        <w:rPr>
          <w:rFonts w:hint="eastAsia" w:ascii="Times New Roman" w:hAnsi="Times New Roman"/>
          <w:color w:val="000000" w:themeColor="text1"/>
          <w:kern w:val="0"/>
          <w:sz w:val="24"/>
          <w:szCs w:val="24"/>
          <w:highlight w:val="none"/>
          <w:vertAlign w:val="superscript"/>
          <w14:textFill>
            <w14:solidFill>
              <w14:schemeClr w14:val="tx1"/>
            </w14:solidFill>
          </w14:textFill>
        </w:rPr>
        <w:t>3</w:t>
      </w:r>
      <w:r>
        <w:rPr>
          <w:rFonts w:hint="eastAsia" w:ascii="Times New Roman" w:hAnsi="Times New Roman"/>
          <w:color w:val="000000" w:themeColor="text1"/>
          <w:kern w:val="0"/>
          <w:sz w:val="24"/>
          <w:szCs w:val="24"/>
          <w:highlight w:val="none"/>
          <w14:textFill>
            <w14:solidFill>
              <w14:schemeClr w14:val="tx1"/>
            </w14:solidFill>
          </w14:textFill>
        </w:rPr>
        <w:t>，最高年份来水量15.08亿m</w:t>
      </w:r>
      <w:r>
        <w:rPr>
          <w:rFonts w:hint="eastAsia" w:ascii="Times New Roman" w:hAnsi="Times New Roman"/>
          <w:color w:val="000000" w:themeColor="text1"/>
          <w:kern w:val="0"/>
          <w:sz w:val="24"/>
          <w:szCs w:val="24"/>
          <w:highlight w:val="none"/>
          <w:vertAlign w:val="superscript"/>
          <w14:textFill>
            <w14:solidFill>
              <w14:schemeClr w14:val="tx1"/>
            </w14:solidFill>
          </w14:textFill>
        </w:rPr>
        <w:t>3</w:t>
      </w:r>
      <w:r>
        <w:rPr>
          <w:rFonts w:hint="eastAsia" w:ascii="Times New Roman" w:hAnsi="Times New Roman"/>
          <w:color w:val="000000" w:themeColor="text1"/>
          <w:kern w:val="0"/>
          <w:sz w:val="24"/>
          <w:szCs w:val="24"/>
          <w:highlight w:val="none"/>
          <w14:textFill>
            <w14:solidFill>
              <w14:schemeClr w14:val="tx1"/>
            </w14:solidFill>
          </w14:textFill>
        </w:rPr>
        <w:t>，最小年份来水量10.2亿m</w:t>
      </w:r>
      <w:r>
        <w:rPr>
          <w:rFonts w:hint="eastAsia" w:ascii="Times New Roman" w:hAnsi="Times New Roman"/>
          <w:color w:val="000000" w:themeColor="text1"/>
          <w:kern w:val="0"/>
          <w:sz w:val="24"/>
          <w:szCs w:val="24"/>
          <w:highlight w:val="none"/>
          <w:vertAlign w:val="superscript"/>
          <w14:textFill>
            <w14:solidFill>
              <w14:schemeClr w14:val="tx1"/>
            </w14:solidFill>
          </w14:textFill>
        </w:rPr>
        <w:t>3</w:t>
      </w:r>
      <w:r>
        <w:rPr>
          <w:rFonts w:hint="eastAsia" w:ascii="Times New Roman" w:hAnsi="Times New Roman"/>
          <w:color w:val="000000" w:themeColor="text1"/>
          <w:kern w:val="0"/>
          <w:sz w:val="24"/>
          <w:szCs w:val="24"/>
          <w:highlight w:val="none"/>
          <w14:textFill>
            <w14:solidFill>
              <w14:schemeClr w14:val="tx1"/>
            </w14:solidFill>
          </w14:textFill>
        </w:rPr>
        <w:t>。春水约占年总水量的20%，夏水占50%，秋水占20%，冬水占10%。流域内水量依据历史协议按比例分配，供七师、乌苏市、奎屯市和独山子区工农业用水。</w:t>
      </w:r>
    </w:p>
    <w:p w14:paraId="20110742">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14:textFill>
            <w14:solidFill>
              <w14:schemeClr w14:val="tx1"/>
            </w14:solidFill>
          </w14:textFill>
        </w:rPr>
        <w:t>本项目评价区域内无地表水体，距项目区最近河流为奎屯河，位于项目区西南约</w:t>
      </w:r>
      <w:r>
        <w:rPr>
          <w:rFonts w:hint="eastAsia" w:ascii="Times New Roman" w:hAnsi="Times New Roman"/>
          <w:color w:val="000000" w:themeColor="text1"/>
          <w:kern w:val="0"/>
          <w:sz w:val="24"/>
          <w:szCs w:val="24"/>
          <w:highlight w:val="none"/>
          <w:lang w:val="en-US" w:eastAsia="zh-CN"/>
          <w14:textFill>
            <w14:solidFill>
              <w14:schemeClr w14:val="tx1"/>
            </w14:solidFill>
          </w14:textFill>
        </w:rPr>
        <w:t>3.2</w:t>
      </w:r>
      <w:r>
        <w:rPr>
          <w:rFonts w:hint="eastAsia" w:ascii="Times New Roman" w:hAnsi="Times New Roman"/>
          <w:color w:val="000000" w:themeColor="text1"/>
          <w:kern w:val="0"/>
          <w:sz w:val="24"/>
          <w:szCs w:val="24"/>
          <w:highlight w:val="none"/>
          <w14:textFill>
            <w14:solidFill>
              <w14:schemeClr w14:val="tx1"/>
            </w14:solidFill>
          </w14:textFill>
        </w:rPr>
        <w:t>km。</w:t>
      </w:r>
    </w:p>
    <w:p w14:paraId="5AC68B8B">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14:textFill>
            <w14:solidFill>
              <w14:schemeClr w14:val="tx1"/>
            </w14:solidFill>
          </w14:textFill>
        </w:rPr>
        <w:t>奎屯河发源于依连哈比尔尕山北坡海拔2800～3600m的山区，以冰川、积雪融水、降水及沿程地下水补给为主。由南向北经131团山区牧场，乌苏县巴音沟牧场，36145部队，在独山子矿区出山后流入准噶尔盆地区，在乌伊公路奎屯河大桥处沿131团西缘向北流，经乌苏良种场、九间楼和皇宫乡、头台乡，沿130团西北流入奎屯水库，再沿125团东缘向北，经乌苏车排子乡向西北，沿123团和127团西南缘及126团南缘向西流经乌苏县石桥乡甘家湖林场，甘家湖牧场，在五道泉处进入精河县东北经散德克库木大沙漠流入艾比湖。全长359.6km，其中流经七师垦区河长84.0km（不包括天山区草牧场的河道），是七师辖区内最长的河流。</w:t>
      </w:r>
    </w:p>
    <w:p w14:paraId="60377446">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themeColor="text1"/>
          <w:kern w:val="0"/>
          <w:sz w:val="24"/>
          <w:szCs w:val="24"/>
          <w:highlight w:val="none"/>
          <w14:textFill>
            <w14:solidFill>
              <w14:schemeClr w14:val="tx1"/>
            </w14:solidFill>
          </w14:textFill>
        </w:rPr>
      </w:pPr>
      <w:r>
        <w:rPr>
          <w:rFonts w:ascii="Times New Roman" w:hAnsi="Times New Roman"/>
          <w:color w:val="000000" w:themeColor="text1"/>
          <w:kern w:val="0"/>
          <w:sz w:val="24"/>
          <w:szCs w:val="24"/>
          <w:highlight w:val="none"/>
          <w14:textFill>
            <w14:solidFill>
              <w14:schemeClr w14:val="tx1"/>
            </w14:solidFill>
          </w14:textFill>
        </w:rPr>
        <w:t>（2）地下水</w:t>
      </w:r>
    </w:p>
    <w:p w14:paraId="6637209E">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14:textFill>
            <w14:solidFill>
              <w14:schemeClr w14:val="tx1"/>
            </w14:solidFill>
          </w14:textFill>
        </w:rPr>
        <w:t>七师沿天山北麓冲积扇扇缘地带有众多泉水溢出，泉水年来水量为1.82亿m</w:t>
      </w:r>
      <w:r>
        <w:rPr>
          <w:rFonts w:hint="eastAsia" w:ascii="Times New Roman" w:hAnsi="Times New Roman"/>
          <w:color w:val="000000" w:themeColor="text1"/>
          <w:kern w:val="0"/>
          <w:sz w:val="24"/>
          <w:szCs w:val="24"/>
          <w:highlight w:val="none"/>
          <w:vertAlign w:val="superscript"/>
          <w14:textFill>
            <w14:solidFill>
              <w14:schemeClr w14:val="tx1"/>
            </w14:solidFill>
          </w14:textFill>
        </w:rPr>
        <w:t>3</w:t>
      </w:r>
      <w:r>
        <w:rPr>
          <w:rFonts w:hint="eastAsia" w:ascii="Times New Roman" w:hAnsi="Times New Roman"/>
          <w:color w:val="000000" w:themeColor="text1"/>
          <w:kern w:val="0"/>
          <w:sz w:val="24"/>
          <w:szCs w:val="24"/>
          <w:highlight w:val="none"/>
          <w14:textFill>
            <w14:solidFill>
              <w14:schemeClr w14:val="tx1"/>
            </w14:solidFill>
          </w14:textFill>
        </w:rPr>
        <w:t>，七师拥有泉水资源量1.16亿m</w:t>
      </w:r>
      <w:r>
        <w:rPr>
          <w:rFonts w:hint="eastAsia" w:ascii="Times New Roman" w:hAnsi="Times New Roman"/>
          <w:color w:val="000000" w:themeColor="text1"/>
          <w:kern w:val="0"/>
          <w:sz w:val="24"/>
          <w:szCs w:val="24"/>
          <w:highlight w:val="none"/>
          <w:vertAlign w:val="superscript"/>
          <w14:textFill>
            <w14:solidFill>
              <w14:schemeClr w14:val="tx1"/>
            </w14:solidFill>
          </w14:textFill>
        </w:rPr>
        <w:t>3</w:t>
      </w:r>
      <w:r>
        <w:rPr>
          <w:rFonts w:hint="eastAsia" w:ascii="Times New Roman" w:hAnsi="Times New Roman"/>
          <w:color w:val="000000" w:themeColor="text1"/>
          <w:kern w:val="0"/>
          <w:sz w:val="24"/>
          <w:szCs w:val="24"/>
          <w:highlight w:val="none"/>
          <w14:textFill>
            <w14:solidFill>
              <w14:schemeClr w14:val="tx1"/>
            </w14:solidFill>
          </w14:textFill>
        </w:rPr>
        <w:t>。</w:t>
      </w:r>
    </w:p>
    <w:p w14:paraId="273E30F6">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14:textFill>
            <w14:solidFill>
              <w14:schemeClr w14:val="tx1"/>
            </w14:solidFill>
          </w14:textFill>
        </w:rPr>
        <w:t>七师地下水总储量3.4亿m</w:t>
      </w:r>
      <w:r>
        <w:rPr>
          <w:rFonts w:hint="eastAsia" w:ascii="Times New Roman" w:hAnsi="Times New Roman"/>
          <w:color w:val="000000" w:themeColor="text1"/>
          <w:kern w:val="0"/>
          <w:sz w:val="24"/>
          <w:szCs w:val="24"/>
          <w:highlight w:val="none"/>
          <w:vertAlign w:val="superscript"/>
          <w14:textFill>
            <w14:solidFill>
              <w14:schemeClr w14:val="tx1"/>
            </w14:solidFill>
          </w14:textFill>
        </w:rPr>
        <w:t>3</w:t>
      </w:r>
      <w:r>
        <w:rPr>
          <w:rFonts w:hint="eastAsia" w:ascii="Times New Roman" w:hAnsi="Times New Roman"/>
          <w:color w:val="000000" w:themeColor="text1"/>
          <w:kern w:val="0"/>
          <w:sz w:val="24"/>
          <w:szCs w:val="24"/>
          <w:highlight w:val="none"/>
          <w14:textFill>
            <w14:solidFill>
              <w14:schemeClr w14:val="tx1"/>
            </w14:solidFill>
          </w14:textFill>
        </w:rPr>
        <w:t>，可采量为2.4亿m</w:t>
      </w:r>
      <w:r>
        <w:rPr>
          <w:rFonts w:hint="eastAsia" w:ascii="Times New Roman" w:hAnsi="Times New Roman"/>
          <w:color w:val="000000" w:themeColor="text1"/>
          <w:kern w:val="0"/>
          <w:sz w:val="24"/>
          <w:szCs w:val="24"/>
          <w:highlight w:val="none"/>
          <w:vertAlign w:val="superscript"/>
          <w14:textFill>
            <w14:solidFill>
              <w14:schemeClr w14:val="tx1"/>
            </w14:solidFill>
          </w14:textFill>
        </w:rPr>
        <w:t>3</w:t>
      </w:r>
      <w:r>
        <w:rPr>
          <w:rFonts w:hint="eastAsia" w:ascii="Times New Roman" w:hAnsi="Times New Roman"/>
          <w:color w:val="000000" w:themeColor="text1"/>
          <w:kern w:val="0"/>
          <w:sz w:val="24"/>
          <w:szCs w:val="24"/>
          <w:highlight w:val="none"/>
          <w14:textFill>
            <w14:solidFill>
              <w14:schemeClr w14:val="tx1"/>
            </w14:solidFill>
          </w14:textFill>
        </w:rPr>
        <w:t>。地下水资源量分布由南向北逐渐减少。车排子地区和129团、128团地下水含氟、砷，含量超过人畜饮用标准，且地下水开采价值不高。适合于集中开采的有三大水源地，即奎屯水源地、达子庙水源地和高泉水源地。</w:t>
      </w:r>
    </w:p>
    <w:p w14:paraId="64990A42">
      <w:pPr>
        <w:keepNext w:val="0"/>
        <w:keepLines w:val="0"/>
        <w:pageBreakBefore w:val="0"/>
        <w:widowControl/>
        <w:kinsoku/>
        <w:wordWrap w:val="0"/>
        <w:overflowPunct/>
        <w:topLinePunct w:val="0"/>
        <w:autoSpaceDE/>
        <w:autoSpaceDN/>
        <w:bidi w:val="0"/>
        <w:adjustRightInd w:val="0"/>
        <w:snapToGrid w:val="0"/>
        <w:spacing w:line="360" w:lineRule="auto"/>
        <w:ind w:firstLine="480" w:firstLineChars="200"/>
        <w:textAlignment w:val="auto"/>
        <w:rPr>
          <w:rFonts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14:textFill>
            <w14:solidFill>
              <w14:schemeClr w14:val="tx1"/>
            </w14:solidFill>
          </w14:textFill>
        </w:rPr>
        <w:t>三大水源地下水动态储量计1.93亿m</w:t>
      </w:r>
      <w:r>
        <w:rPr>
          <w:rFonts w:hint="eastAsia" w:ascii="Times New Roman" w:hAnsi="Times New Roman"/>
          <w:color w:val="000000" w:themeColor="text1"/>
          <w:kern w:val="0"/>
          <w:sz w:val="24"/>
          <w:szCs w:val="24"/>
          <w:highlight w:val="none"/>
          <w:vertAlign w:val="superscript"/>
          <w14:textFill>
            <w14:solidFill>
              <w14:schemeClr w14:val="tx1"/>
            </w14:solidFill>
          </w14:textFill>
        </w:rPr>
        <w:t>3</w:t>
      </w:r>
      <w:r>
        <w:rPr>
          <w:rFonts w:hint="eastAsia" w:ascii="Times New Roman" w:hAnsi="Times New Roman"/>
          <w:color w:val="000000" w:themeColor="text1"/>
          <w:kern w:val="0"/>
          <w:sz w:val="24"/>
          <w:szCs w:val="24"/>
          <w:highlight w:val="none"/>
          <w14:textFill>
            <w14:solidFill>
              <w14:schemeClr w14:val="tx1"/>
            </w14:solidFill>
          </w14:textFill>
        </w:rPr>
        <w:t>，可开采量1.4亿m</w:t>
      </w:r>
      <w:r>
        <w:rPr>
          <w:rFonts w:hint="eastAsia" w:ascii="Times New Roman" w:hAnsi="Times New Roman"/>
          <w:color w:val="000000" w:themeColor="text1"/>
          <w:kern w:val="0"/>
          <w:sz w:val="24"/>
          <w:szCs w:val="24"/>
          <w:highlight w:val="none"/>
          <w:vertAlign w:val="superscript"/>
          <w14:textFill>
            <w14:solidFill>
              <w14:schemeClr w14:val="tx1"/>
            </w14:solidFill>
          </w14:textFill>
        </w:rPr>
        <w:t>3</w:t>
      </w:r>
      <w:r>
        <w:rPr>
          <w:rFonts w:hint="eastAsia" w:ascii="Times New Roman" w:hAnsi="Times New Roman"/>
          <w:color w:val="000000" w:themeColor="text1"/>
          <w:kern w:val="0"/>
          <w:sz w:val="24"/>
          <w:szCs w:val="24"/>
          <w:highlight w:val="none"/>
          <w14:textFill>
            <w14:solidFill>
              <w14:schemeClr w14:val="tx1"/>
            </w14:solidFill>
          </w14:textFill>
        </w:rPr>
        <w:t>。另外柳沟、双河、黄沟地区分布有小片集中可采的地下水1.007亿m</w:t>
      </w:r>
      <w:r>
        <w:rPr>
          <w:rFonts w:hint="eastAsia" w:ascii="Times New Roman" w:hAnsi="Times New Roman"/>
          <w:color w:val="000000" w:themeColor="text1"/>
          <w:kern w:val="0"/>
          <w:sz w:val="24"/>
          <w:szCs w:val="24"/>
          <w:highlight w:val="none"/>
          <w:vertAlign w:val="superscript"/>
          <w14:textFill>
            <w14:solidFill>
              <w14:schemeClr w14:val="tx1"/>
            </w14:solidFill>
          </w14:textFill>
        </w:rPr>
        <w:t>3</w:t>
      </w:r>
      <w:r>
        <w:rPr>
          <w:rFonts w:hint="eastAsia" w:ascii="Times New Roman" w:hAnsi="Times New Roman"/>
          <w:color w:val="000000" w:themeColor="text1"/>
          <w:kern w:val="0"/>
          <w:sz w:val="24"/>
          <w:szCs w:val="24"/>
          <w:highlight w:val="none"/>
          <w14:textFill>
            <w14:solidFill>
              <w14:schemeClr w14:val="tx1"/>
            </w14:solidFill>
          </w14:textFill>
        </w:rPr>
        <w:t>。</w:t>
      </w:r>
    </w:p>
    <w:p w14:paraId="62A2E52F">
      <w:pPr>
        <w:keepNext w:val="0"/>
        <w:keepLines w:val="0"/>
        <w:pageBreakBefore w:val="0"/>
        <w:widowControl/>
        <w:kinsoku/>
        <w:wordWrap w:val="0"/>
        <w:overflowPunct/>
        <w:topLinePunct w:val="0"/>
        <w:autoSpaceDE/>
        <w:autoSpaceDN/>
        <w:bidi w:val="0"/>
        <w:spacing w:line="360" w:lineRule="auto"/>
        <w:ind w:firstLine="480" w:firstLineChars="200"/>
        <w:textAlignment w:val="auto"/>
        <w:rPr>
          <w:rFonts w:hint="eastAsia" w:ascii="Times New Roman" w:hAnsi="Times New Roman" w:eastAsia="宋体" w:cs="宋体"/>
          <w:color w:val="000000" w:themeColor="text1"/>
          <w:highlight w:val="none"/>
          <w:lang w:eastAsia="zh-CN"/>
          <w14:textFill>
            <w14:solidFill>
              <w14:schemeClr w14:val="tx1"/>
            </w14:solidFill>
          </w14:textFill>
        </w:rPr>
      </w:pPr>
      <w:r>
        <w:rPr>
          <w:rFonts w:hint="eastAsia" w:ascii="Times New Roman" w:hAnsi="Times New Roman" w:eastAsia="宋体" w:cs="宋体"/>
          <w:color w:val="000000" w:themeColor="text1"/>
          <w:highlight w:val="none"/>
          <w:lang w:eastAsia="zh-CN"/>
          <w14:textFill>
            <w14:solidFill>
              <w14:schemeClr w14:val="tx1"/>
            </w14:solidFill>
          </w14:textFill>
        </w:rPr>
        <w:t>根据查阅项目地勘钻探揭露和物探资料，项目区域含水层岩性相对较粗，厚 度很大，富水性较好，总的来说含水层都在200米厚度内，大部分地区是以细颗 粒为主的第四纪松散层中的空隙水。</w:t>
      </w:r>
    </w:p>
    <w:p w14:paraId="0BF02C26">
      <w:pPr>
        <w:keepNext w:val="0"/>
        <w:keepLines w:val="0"/>
        <w:pageBreakBefore w:val="0"/>
        <w:widowControl/>
        <w:kinsoku/>
        <w:wordWrap w:val="0"/>
        <w:overflowPunct/>
        <w:topLinePunct w:val="0"/>
        <w:autoSpaceDE/>
        <w:autoSpaceDN/>
        <w:bidi w:val="0"/>
        <w:spacing w:line="360" w:lineRule="auto"/>
        <w:ind w:firstLine="480" w:firstLineChars="200"/>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在本项目区域灌区范围的勘探深度内，地下水类型为双层结构的潜水和承压 (自流)水，灌区潜水的埋深1～3米占78.3％，其他大于3米埋深只在沿奎屯河及较 高地形局部出现。南部隆起地带大于5米，潜水含水层岩性主要以亚砂土及粉细 沙土为主，厚度变化一般为30～50米，单位涌水量小于0.6升/秒·米，透水系数为 1～3米/昼夜。全灌区在潜含水层之下为承压水， 在200米勘探深度主要为2～3层 -自流含水层组，承压含水层组顶板埋深40～100米。自流含水层顶板埋深一般在 80米以下。含水层岩性南部较北部粗， 南部卡因迪克一带为粉细沙、中细沙， 含 卵砾石，厚度大小50米，富水性较好，单位涌水量大于0.8升/秒·米，透水系数4～6米/昼夜，卡因迪克东槽子地单位涌水量大于1.0  升/秒·米，透水系数8～11米/昼夜，中部、北部含水层岩性为粉细砂、细沙，厚度为20～40米，蓄水性较差，单位涌水量小于0.6升/秒·米，透水系数2～3米/昼夜。东部含水层岩性为粉细砂、 中细沙，厚度为40～60米，蓄水性中等，单位涌水量0.6～1.0升/秒·米，透水系数 3～6米/昼夜。根据灌区现有自流井的流量统计，井深为120～200米，自流量一 般为2～15升/秒，水头高出地面2～20米。</w:t>
      </w:r>
    </w:p>
    <w:p w14:paraId="0C08B492">
      <w:pPr>
        <w:pStyle w:val="4"/>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 xml:space="preserve"> 工程地质</w:t>
      </w:r>
    </w:p>
    <w:p w14:paraId="45AEF902">
      <w:pPr>
        <w:adjustRightInd w:val="0"/>
        <w:snapToGrid w:val="0"/>
        <w:spacing w:line="360" w:lineRule="auto"/>
        <w:ind w:firstLine="480" w:firstLineChars="200"/>
        <w:rPr>
          <w:rFonts w:hint="eastAsia"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14:textFill>
            <w14:solidFill>
              <w14:schemeClr w14:val="tx1"/>
            </w14:solidFill>
          </w14:textFill>
        </w:rPr>
        <w:t>项目区所属区域为奎屯河流域，其自古生代以来的漫长历史时期经受了多次构造运动，形成了天山E—W向、北山“多”字形和NW向构造体系。在三大构造体系的控制下，发育形成了今日的地貌景观。中生代时期，盆地南、西、北三面断续上升为山地，其间相对下降为盆地，同时在天山山前形成明显的拗陷带，并接受来自山地的巨厚的陆相堆积。第三纪时期，在喜马拉雅运动的影响下，山地与盆地间断块式的升降运动增强，使中生代地层产生断裂和褶皱，山前坳陷也随着北迁西移，到新近纪时形成了以乌苏—奎屯为中心的沉积区，再次接受新的堆积；此期，在四棵树河以东主要表现为坳褶，在四棵树河以西主要表现为断块陷落。</w:t>
      </w:r>
    </w:p>
    <w:p w14:paraId="5956BB4F">
      <w:pPr>
        <w:adjustRightInd w:val="0"/>
        <w:snapToGrid w:val="0"/>
        <w:spacing w:line="360" w:lineRule="auto"/>
        <w:ind w:firstLine="480" w:firstLineChars="200"/>
        <w:rPr>
          <w:rFonts w:ascii="Times New Roman" w:hAnsi="Times New Roman"/>
          <w:color w:val="000000" w:themeColor="text1"/>
          <w:kern w:val="0"/>
          <w:sz w:val="24"/>
          <w:szCs w:val="24"/>
          <w:highlight w:val="none"/>
          <w14:textFill>
            <w14:solidFill>
              <w14:schemeClr w14:val="tx1"/>
            </w14:solidFill>
          </w14:textFill>
        </w:rPr>
      </w:pPr>
      <w:r>
        <w:rPr>
          <w:rFonts w:hint="eastAsia" w:ascii="Times New Roman" w:hAnsi="Times New Roman"/>
          <w:color w:val="000000" w:themeColor="text1"/>
          <w:kern w:val="0"/>
          <w:sz w:val="24"/>
          <w:szCs w:val="24"/>
          <w:highlight w:val="none"/>
          <w14:textFill>
            <w14:solidFill>
              <w14:schemeClr w14:val="tx1"/>
            </w14:solidFill>
          </w14:textFill>
        </w:rPr>
        <w:t>第四纪以来，新构造运动仍很强烈，地壳的变动以垂直升降运动为主，其跳跃性和幅度的不均一性甚为明显。在山前带，上升运动使河流下蚀作用增强，形成深谷，下切深度达15～20m，河谷两侧形成时代不同、高度不同的阶地，至冲洪积细土平原区（312国道以北）阶地基本消失。由此可以看出：从前山带到冲洪积平原中上部，新构造上升运动普遍存在，其上升幅度距山区越远幅度越小，平原区相对下降。</w:t>
      </w:r>
    </w:p>
    <w:p w14:paraId="7D70E59F">
      <w:pPr>
        <w:keepNext/>
        <w:keepLines/>
        <w:numPr>
          <w:ilvl w:val="3"/>
          <w:numId w:val="0"/>
        </w:numPr>
        <w:adjustRightInd w:val="0"/>
        <w:snapToGrid w:val="0"/>
        <w:spacing w:line="360" w:lineRule="auto"/>
        <w:outlineLvl w:val="3"/>
        <w:rPr>
          <w:rFonts w:ascii="Times New Roman" w:hAnsi="Times New Roman"/>
          <w:color w:val="000000" w:themeColor="text1"/>
          <w:sz w:val="24"/>
          <w:szCs w:val="24"/>
          <w:highlight w:val="none"/>
          <w:lang w:bidi="en-US"/>
          <w14:textFill>
            <w14:solidFill>
              <w14:schemeClr w14:val="tx1"/>
            </w14:solidFill>
          </w14:textFill>
        </w:rPr>
      </w:pPr>
      <w:r>
        <w:rPr>
          <w:rFonts w:ascii="Times New Roman" w:hAnsi="Times New Roman"/>
          <w:color w:val="000000" w:themeColor="text1"/>
          <w:sz w:val="24"/>
          <w:szCs w:val="24"/>
          <w:highlight w:val="none"/>
          <w:lang w:bidi="en-US"/>
          <w14:textFill>
            <w14:solidFill>
              <w14:schemeClr w14:val="tx1"/>
            </w14:solidFill>
          </w14:textFill>
        </w:rPr>
        <w:t>4.1.4.1地层岩性</w:t>
      </w:r>
    </w:p>
    <w:p w14:paraId="7D6E12CF">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奎屯河流域南、北山地的主体由古生界构成，前山带中生界和新生界发育，平原区广泛被第四系覆盖。工区内出露的地层全部为第四纪沉积物，从老到新分述如下：</w:t>
      </w:r>
    </w:p>
    <w:p w14:paraId="4D4AB494">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（1）古生界</w:t>
      </w:r>
    </w:p>
    <w:p w14:paraId="2B1EE43F">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石炭系（C2-3）：中上统巴音沟组和沙大王组，广泛分布于奎屯河上游山区，中统C2居多，灰色、灰黑色、灰褐色、灰绿色细砂岩、砾岩和凝灰质岩类，属浅海相沉积层，夹有少量熔岩夹层和透镜体。岩体受断裂破坏严重，碎块状，产状多变，但走向多近东西向。基性、超基性岩脉多分布，产化石，二者不整合，总厚度2948m。与上下地层均不整合。</w:t>
      </w:r>
    </w:p>
    <w:p w14:paraId="0B7C06C4">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（2）中生界</w:t>
      </w:r>
    </w:p>
    <w:p w14:paraId="7D50A10E">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1）三叠系（T）</w:t>
      </w:r>
    </w:p>
    <w:p w14:paraId="59AD4F37">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中、下统（T1-2）仓房沟群和上统（T3）小泉沟群，在奎屯河以西山前断裂下盘带状出露，与石炭系断层接触。以陆相湖盆堆积为主，红褐、紫褐、灰黄色等，碎块状夹致密而软的泥岩，砂岩互层夹砾岩，夹透镜煤层。层理清晰，颜色杂乱，总厚度148～510m。产状北倾43°。</w:t>
      </w:r>
    </w:p>
    <w:p w14:paraId="062BFF92">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2）侏罗系（J）</w:t>
      </w:r>
    </w:p>
    <w:p w14:paraId="1C3D9A65">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大面积分布于四颗树煤矿和巴音沟煤矿周围，灰、灰绿、暗红色砂岩、砂页岩、砾岩、泥岩、夹多层煤，倾向北20~52°。</w:t>
      </w:r>
    </w:p>
    <w:p w14:paraId="423F2096">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3）白垩系（K）</w:t>
      </w:r>
    </w:p>
    <w:p w14:paraId="40C2D7FD">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仅有下统吐谷鲁群（K1t）出露于托斯台到四颗树河之间，呈条带状延伸，与下伏侏罗系不整合。灰、棕、紫红、灰绿色页岩、砾石、泥岩、砂岩互层。在托斯台向斜的两翼和背斜的轴部可见。厚度50～720m。</w:t>
      </w:r>
    </w:p>
    <w:p w14:paraId="4681792D">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（3）新生界</w:t>
      </w:r>
    </w:p>
    <w:p w14:paraId="44912FF9">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1）古近系</w:t>
      </w:r>
    </w:p>
    <w:p w14:paraId="086A2132">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古～始新统（E1+2）：带状、环状出露于托斯台至四颗树煤矿，以红色为主的砂岩、砂砾岩、夹石膏透镜体。不整合于下伏白垩系下系统。厚度16～450m。</w:t>
      </w:r>
    </w:p>
    <w:p w14:paraId="518EEE96">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渐新统玛纳斯组（E3m）：仅分布于四颗树煤矿和巴音沟煤矿。近东西向延伸，主要岩性灰绿色、深灰色、黄绿色页岩、砂岩、泥质石灰岩、介壳灰岩，总厚度180～855m。</w:t>
      </w:r>
    </w:p>
    <w:p w14:paraId="182BD3BE">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2）新近系</w:t>
      </w:r>
    </w:p>
    <w:p w14:paraId="50BBF1F5">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中新统前山组（N1q）：出露于托斯台和独山子背斜核部（北侧），为棕色、红褐色、砂质页岩、砂岩、泥质岩组成，成岩度低，破碎，质软，总厚度475～1315m。</w:t>
      </w:r>
    </w:p>
    <w:p w14:paraId="2C7AD9FA">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上新统独山子组（N2d）：出露于托斯台北部独山子中部和乌兰布拉克的广大地区。下部为棕褐色、红棕色砂质页岩、泥岩、砂岩。上部为灰色砾岩，厚度1985～3660m。</w:t>
      </w:r>
    </w:p>
    <w:p w14:paraId="5FE73F50">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3）第四系</w:t>
      </w:r>
    </w:p>
    <w:p w14:paraId="59CE5D56">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fldChar w:fldCharType="begin"/>
      </w:r>
      <w:r>
        <w:rPr>
          <w:rFonts w:ascii="Times New Roman" w:hAnsi="Times New Roman" w:cs="Arial"/>
          <w:color w:val="000000" w:themeColor="text1"/>
          <w:sz w:val="24"/>
          <w:szCs w:val="24"/>
          <w:highlight w:val="none"/>
          <w14:textFill>
            <w14:solidFill>
              <w14:schemeClr w14:val="tx1"/>
            </w14:solidFill>
          </w14:textFill>
        </w:rPr>
        <w:instrText xml:space="preserve"> = 1 \* GB3 \* MERGEFORMAT </w:instrText>
      </w:r>
      <w:r>
        <w:rPr>
          <w:rFonts w:ascii="Times New Roman" w:hAnsi="Times New Roman" w:cs="Arial"/>
          <w:color w:val="000000" w:themeColor="text1"/>
          <w:sz w:val="24"/>
          <w:szCs w:val="24"/>
          <w:highlight w:val="none"/>
          <w14:textFill>
            <w14:solidFill>
              <w14:schemeClr w14:val="tx1"/>
            </w14:solidFill>
          </w14:textFill>
        </w:rPr>
        <w:fldChar w:fldCharType="separate"/>
      </w:r>
      <w:r>
        <w:rPr>
          <w:rFonts w:hint="eastAsia" w:ascii="Times New Roman" w:hAnsi="Times New Roman" w:cs="宋体"/>
          <w:color w:val="000000" w:themeColor="text1"/>
          <w:sz w:val="24"/>
          <w:szCs w:val="24"/>
          <w:highlight w:val="none"/>
          <w14:textFill>
            <w14:solidFill>
              <w14:schemeClr w14:val="tx1"/>
            </w14:solidFill>
          </w14:textFill>
        </w:rPr>
        <w:t>①</w:t>
      </w:r>
      <w:r>
        <w:rPr>
          <w:rFonts w:ascii="Times New Roman" w:hAnsi="Times New Roman" w:cs="Arial"/>
          <w:color w:val="000000" w:themeColor="text1"/>
          <w:sz w:val="24"/>
          <w:szCs w:val="24"/>
          <w:highlight w:val="none"/>
          <w14:textFill>
            <w14:solidFill>
              <w14:schemeClr w14:val="tx1"/>
            </w14:solidFill>
          </w14:textFill>
        </w:rPr>
        <w:fldChar w:fldCharType="end"/>
      </w:r>
      <w:r>
        <w:rPr>
          <w:rFonts w:ascii="Times New Roman" w:hAnsi="Times New Roman" w:cs="Arial"/>
          <w:color w:val="000000" w:themeColor="text1"/>
          <w:sz w:val="24"/>
          <w:szCs w:val="24"/>
          <w:highlight w:val="none"/>
          <w14:textFill>
            <w14:solidFill>
              <w14:schemeClr w14:val="tx1"/>
            </w14:solidFill>
          </w14:textFill>
        </w:rPr>
        <w:t>下更新统西域组（Q1X）及中更新统乌苏群（Q2W）</w:t>
      </w:r>
    </w:p>
    <w:p w14:paraId="62B3E018">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下更新统西域组（Q1X）主要分布于中低山区与哈拉安德—安集海背斜山间盆地和山前冲洪积倾斜平原的底部，走向近东西，倾角小于30°，与下伏独山子组为连续沉积，总厚度近900m。中更新统乌苏群（Q2W）为一套冰水沉积物，分布于山间盆地核部，主要为灰色砂砾石，含漂砾，粒径3～8cm，最大达60cm，向北部方向颗粒变细，与下伏西域组、独山子组呈侵蚀不整合接触。据区域地质及物探资料，窝瓦特山间盆地中部乌苏群厚度近500m；山前平原之顶端乌苏群厚度可达700m左右，向北厚度变薄。</w:t>
      </w:r>
    </w:p>
    <w:p w14:paraId="6B8A52BE">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fldChar w:fldCharType="begin"/>
      </w:r>
      <w:r>
        <w:rPr>
          <w:rFonts w:ascii="Times New Roman" w:hAnsi="Times New Roman" w:cs="Arial"/>
          <w:color w:val="000000" w:themeColor="text1"/>
          <w:sz w:val="24"/>
          <w:szCs w:val="24"/>
          <w:highlight w:val="none"/>
          <w14:textFill>
            <w14:solidFill>
              <w14:schemeClr w14:val="tx1"/>
            </w14:solidFill>
          </w14:textFill>
        </w:rPr>
        <w:instrText xml:space="preserve"> = 2 \* GB3 \* MERGEFORMAT </w:instrText>
      </w:r>
      <w:r>
        <w:rPr>
          <w:rFonts w:ascii="Times New Roman" w:hAnsi="Times New Roman" w:cs="Arial"/>
          <w:color w:val="000000" w:themeColor="text1"/>
          <w:sz w:val="24"/>
          <w:szCs w:val="24"/>
          <w:highlight w:val="none"/>
          <w14:textFill>
            <w14:solidFill>
              <w14:schemeClr w14:val="tx1"/>
            </w14:solidFill>
          </w14:textFill>
        </w:rPr>
        <w:fldChar w:fldCharType="separate"/>
      </w:r>
      <w:r>
        <w:rPr>
          <w:rFonts w:hint="eastAsia" w:ascii="Times New Roman" w:hAnsi="Times New Roman" w:cs="宋体"/>
          <w:color w:val="000000" w:themeColor="text1"/>
          <w:sz w:val="24"/>
          <w:szCs w:val="24"/>
          <w:highlight w:val="none"/>
          <w14:textFill>
            <w14:solidFill>
              <w14:schemeClr w14:val="tx1"/>
            </w14:solidFill>
          </w14:textFill>
        </w:rPr>
        <w:t>②</w:t>
      </w:r>
      <w:r>
        <w:rPr>
          <w:rFonts w:ascii="Times New Roman" w:hAnsi="Times New Roman" w:cs="Arial"/>
          <w:color w:val="000000" w:themeColor="text1"/>
          <w:sz w:val="24"/>
          <w:szCs w:val="24"/>
          <w:highlight w:val="none"/>
          <w14:textFill>
            <w14:solidFill>
              <w14:schemeClr w14:val="tx1"/>
            </w14:solidFill>
          </w14:textFill>
        </w:rPr>
        <w:fldChar w:fldCharType="end"/>
      </w:r>
      <w:r>
        <w:rPr>
          <w:rFonts w:ascii="Times New Roman" w:hAnsi="Times New Roman" w:cs="Arial"/>
          <w:color w:val="000000" w:themeColor="text1"/>
          <w:sz w:val="24"/>
          <w:szCs w:val="24"/>
          <w:highlight w:val="none"/>
          <w14:textFill>
            <w14:solidFill>
              <w14:schemeClr w14:val="tx1"/>
            </w14:solidFill>
          </w14:textFill>
        </w:rPr>
        <w:t>上更新统冲洪积（Q3al+pl）及下部湖积物（Q3al+l）</w:t>
      </w:r>
    </w:p>
    <w:p w14:paraId="48FFBBDE">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Q3al+pl分布于奎屯市东西苇湖—开干旗以北的大片地区，在东西苇湖及开干旗一带分布于Q4al+h以下。本层厚度一般30～50m，表层3～5m处岩性均为淡黄、灰黄色粉土、粉细砂及薄层粉质粘土，结构松散，颗粒均匀，下部为粉土夹薄层砂砾石组成。砾石成分以灰岩、变质岩为主，粒径一般3～5cm，最大10cm。砂砾石磨圆度较好，厚度一般在3～5m。根据钻孔资料，50m以上有四层砂砾石，总厚度25～30m。</w:t>
      </w:r>
    </w:p>
    <w:p w14:paraId="1DAC49FF">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在其下部为Q3al+l的湖积地层，为中更新世末冰川后退后，洪积物汇流成湖泊及三角洲的产物。在东苇湖北跃进村可见100m厚的粉质粘土层，为青灰、灰黑及灰褐色，由于湖积的过度沉积，又含有10余层砂砾石层，砂砾石厚度一般0.3～0.5m（其北部可达 3～5m），以砂层居多。本层揭露总厚度可达100～130m。</w:t>
      </w:r>
    </w:p>
    <w:p w14:paraId="29B4901C">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fldChar w:fldCharType="begin"/>
      </w:r>
      <w:r>
        <w:rPr>
          <w:rFonts w:ascii="Times New Roman" w:hAnsi="Times New Roman" w:cs="Arial"/>
          <w:color w:val="000000" w:themeColor="text1"/>
          <w:sz w:val="24"/>
          <w:szCs w:val="24"/>
          <w:highlight w:val="none"/>
          <w14:textFill>
            <w14:solidFill>
              <w14:schemeClr w14:val="tx1"/>
            </w14:solidFill>
          </w14:textFill>
        </w:rPr>
        <w:instrText xml:space="preserve"> = 3 \* GB3 \* MERGEFORMAT </w:instrText>
      </w:r>
      <w:r>
        <w:rPr>
          <w:rFonts w:ascii="Times New Roman" w:hAnsi="Times New Roman" w:cs="Arial"/>
          <w:color w:val="000000" w:themeColor="text1"/>
          <w:sz w:val="24"/>
          <w:szCs w:val="24"/>
          <w:highlight w:val="none"/>
          <w14:textFill>
            <w14:solidFill>
              <w14:schemeClr w14:val="tx1"/>
            </w14:solidFill>
          </w14:textFill>
        </w:rPr>
        <w:fldChar w:fldCharType="separate"/>
      </w:r>
      <w:r>
        <w:rPr>
          <w:rFonts w:hint="eastAsia" w:ascii="Times New Roman" w:hAnsi="Times New Roman" w:cs="宋体"/>
          <w:color w:val="000000" w:themeColor="text1"/>
          <w:sz w:val="24"/>
          <w:szCs w:val="24"/>
          <w:highlight w:val="none"/>
          <w14:textFill>
            <w14:solidFill>
              <w14:schemeClr w14:val="tx1"/>
            </w14:solidFill>
          </w14:textFill>
        </w:rPr>
        <w:t>③</w:t>
      </w:r>
      <w:r>
        <w:rPr>
          <w:rFonts w:ascii="Times New Roman" w:hAnsi="Times New Roman" w:cs="Arial"/>
          <w:color w:val="000000" w:themeColor="text1"/>
          <w:sz w:val="24"/>
          <w:szCs w:val="24"/>
          <w:highlight w:val="none"/>
          <w14:textFill>
            <w14:solidFill>
              <w14:schemeClr w14:val="tx1"/>
            </w14:solidFill>
          </w14:textFill>
        </w:rPr>
        <w:fldChar w:fldCharType="end"/>
      </w:r>
      <w:r>
        <w:rPr>
          <w:rFonts w:ascii="Times New Roman" w:hAnsi="Times New Roman" w:cs="Arial"/>
          <w:color w:val="000000" w:themeColor="text1"/>
          <w:sz w:val="24"/>
          <w:szCs w:val="24"/>
          <w:highlight w:val="none"/>
          <w14:textFill>
            <w14:solidFill>
              <w14:schemeClr w14:val="tx1"/>
            </w14:solidFill>
          </w14:textFill>
        </w:rPr>
        <w:t>上更新统和全新统冲洪积堆积（Q3+4al+pl）</w:t>
      </w:r>
    </w:p>
    <w:p w14:paraId="0042147D">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上更新统和全新统砂砾石层，分布广泛，几乎覆盖了整个山前倾斜平原，并延伸于北部冲积沼泽平原下部。西部为奎屯河冲洪积扇，东部为巴音沟河冲洪积扇，因分布地段不同，岩性及厚度变化也不一致。在312国道及以南地带，地表全部为磨圆度较好的粗大卵砾石，表层无细粒的砂土、亚砂土覆盖。312国道附近一般砾石直径1～2cm的约占25%、2～5cm的约占50%，最大可见40～50cm。卵砾石主要由青灰色至灰褐色的硬砂岩、板岩、灰岩、片岩、花岗片麻岩及一些杂色火成岩组成，其间夹少量的碎石及砂土，粒径由南至北逐渐变小，而含砾量逐渐增加。向北至火车站一带，据钻孔揭露，除表层有1m厚的土层外，100余米未揭穿砂砾石层，而且砾石粒径一般较大，10～20cm占约50%左右。向北至奎屯市内，表层有8－10m的厚粉土覆盖，其下部为砂砾石层，厚度为70m。粒径显著变小，一般2～4cm为多，约占40%以上，4～6cm约占30%～40%，最大粒径不超过10cm，在30m以内含有大量的中粗砂夹层，磨圆度不好，大部呈棱角状和半浑圆状，在130m以下发现有淤泥，灰色并有臭味。</w:t>
      </w:r>
    </w:p>
    <w:p w14:paraId="651F5817">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奎屯东苇湖东2km为二扇交接地带，水流在扇形边缘减弱，堆积物质颗粒较细，形成厚达40余米的粘性土层及砂层透镜体；往东接近巴音沟河冲洪积扇表层粘性土层由厚变薄至10余米，表层组成物质一般为淡黄色、褐红色粉质粘土及粘土层，夹有厚度几厘米到几十厘米砂层或砂层透镜体，岩性结构致密，颗粒细而均匀，潮湿可塑，干后坚硬，内含石膏颗粒及盐的斑点。其下部卵砾石层厚度显著变薄，一般在35～40m左右，其间夹有数层薄层粘性土，砾石直径一般6～10cm，约占总数的50%，2～4cm约占30%～35%，大于10cm的约占10%左右，卵砾石最大粒径约15cm。</w:t>
      </w:r>
    </w:p>
    <w:p w14:paraId="7224D908">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fldChar w:fldCharType="begin"/>
      </w:r>
      <w:r>
        <w:rPr>
          <w:rFonts w:ascii="Times New Roman" w:hAnsi="Times New Roman" w:cs="Arial"/>
          <w:color w:val="000000" w:themeColor="text1"/>
          <w:sz w:val="24"/>
          <w:szCs w:val="24"/>
          <w:highlight w:val="none"/>
          <w14:textFill>
            <w14:solidFill>
              <w14:schemeClr w14:val="tx1"/>
            </w14:solidFill>
          </w14:textFill>
        </w:rPr>
        <w:instrText xml:space="preserve"> = 4 \* GB3 \* MERGEFORMAT </w:instrText>
      </w:r>
      <w:r>
        <w:rPr>
          <w:rFonts w:ascii="Times New Roman" w:hAnsi="Times New Roman" w:cs="Arial"/>
          <w:color w:val="000000" w:themeColor="text1"/>
          <w:sz w:val="24"/>
          <w:szCs w:val="24"/>
          <w:highlight w:val="none"/>
          <w14:textFill>
            <w14:solidFill>
              <w14:schemeClr w14:val="tx1"/>
            </w14:solidFill>
          </w14:textFill>
        </w:rPr>
        <w:fldChar w:fldCharType="separate"/>
      </w:r>
      <w:r>
        <w:rPr>
          <w:rFonts w:hint="eastAsia" w:ascii="Times New Roman" w:hAnsi="Times New Roman" w:cs="宋体"/>
          <w:color w:val="000000" w:themeColor="text1"/>
          <w:sz w:val="24"/>
          <w:szCs w:val="24"/>
          <w:highlight w:val="none"/>
          <w14:textFill>
            <w14:solidFill>
              <w14:schemeClr w14:val="tx1"/>
            </w14:solidFill>
          </w14:textFill>
        </w:rPr>
        <w:t>④</w:t>
      </w:r>
      <w:r>
        <w:rPr>
          <w:rFonts w:ascii="Times New Roman" w:hAnsi="Times New Roman" w:cs="Arial"/>
          <w:color w:val="000000" w:themeColor="text1"/>
          <w:sz w:val="24"/>
          <w:szCs w:val="24"/>
          <w:highlight w:val="none"/>
          <w14:textFill>
            <w14:solidFill>
              <w14:schemeClr w14:val="tx1"/>
            </w14:solidFill>
          </w14:textFill>
        </w:rPr>
        <w:fldChar w:fldCharType="end"/>
      </w:r>
      <w:r>
        <w:rPr>
          <w:rFonts w:ascii="Times New Roman" w:hAnsi="Times New Roman" w:cs="Arial"/>
          <w:color w:val="000000" w:themeColor="text1"/>
          <w:sz w:val="24"/>
          <w:szCs w:val="24"/>
          <w:highlight w:val="none"/>
          <w14:textFill>
            <w14:solidFill>
              <w14:schemeClr w14:val="tx1"/>
            </w14:solidFill>
          </w14:textFill>
        </w:rPr>
        <w:t>全新统冲积沼泽沉积（Q</w:t>
      </w:r>
      <w:r>
        <w:rPr>
          <w:rFonts w:ascii="Times New Roman" w:hAnsi="Times New Roman" w:cs="Arial"/>
          <w:color w:val="000000" w:themeColor="text1"/>
          <w:sz w:val="24"/>
          <w:szCs w:val="24"/>
          <w:highlight w:val="none"/>
          <w:vertAlign w:val="subscript"/>
          <w14:textFill>
            <w14:solidFill>
              <w14:schemeClr w14:val="tx1"/>
            </w14:solidFill>
          </w14:textFill>
        </w:rPr>
        <w:t>4al+h ）</w:t>
      </w:r>
    </w:p>
    <w:p w14:paraId="57BB9797">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分布于奎屯以北东西苇湖周围、东部开干旗牧场及北部三角庄子等地。奎屯至开干旗一带呈东西条带分布，一般沉积厚度30－50cm，最厚不超过2m。在东苇湖以北的61号浅孔中，发现0.9m以下有厚达5cm泥炭层，主要沉积物为灰色、灰黑色粉质粘土、粉土，含大量腐殖质和腐泥。在开干旗钻孔中，50cm附近也发现有尚未腐烂的植物根系，50cm以下，变为灰绿色至紫红色粘土层，局部有氧化铁锈斑，结构致密，颗粒细而均匀，有滑腻感。三角庄子137号浅孔中，在30cm以上为黑色腐殖质层，30～70cm为青灰色质地均匀的淤泥层，并夹白色盐的结晶，与其下部地层有明显界线。所有沼泽表面，土壤都受到不同程度的盐渍化作用，从而形成盐土和不同程度的盐渍土。土层中含所含的盐分，主要为芒硝（硫酸钠）、石盐（氯化钠）及石膏等。土层中1m以上平均易溶盐含量大都超过3%，1米以下一般为1%～2%，局部土层已碱化。</w:t>
      </w:r>
    </w:p>
    <w:p w14:paraId="7CC5B6C8">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fldChar w:fldCharType="begin"/>
      </w:r>
      <w:r>
        <w:rPr>
          <w:rFonts w:ascii="Times New Roman" w:hAnsi="Times New Roman" w:cs="Arial"/>
          <w:color w:val="000000" w:themeColor="text1"/>
          <w:sz w:val="24"/>
          <w:szCs w:val="24"/>
          <w:highlight w:val="none"/>
          <w14:textFill>
            <w14:solidFill>
              <w14:schemeClr w14:val="tx1"/>
            </w14:solidFill>
          </w14:textFill>
        </w:rPr>
        <w:instrText xml:space="preserve"> = 5 \* GB3 \* MERGEFORMAT </w:instrText>
      </w:r>
      <w:r>
        <w:rPr>
          <w:rFonts w:ascii="Times New Roman" w:hAnsi="Times New Roman" w:cs="Arial"/>
          <w:color w:val="000000" w:themeColor="text1"/>
          <w:sz w:val="24"/>
          <w:szCs w:val="24"/>
          <w:highlight w:val="none"/>
          <w14:textFill>
            <w14:solidFill>
              <w14:schemeClr w14:val="tx1"/>
            </w14:solidFill>
          </w14:textFill>
        </w:rPr>
        <w:fldChar w:fldCharType="separate"/>
      </w:r>
      <w:r>
        <w:rPr>
          <w:rFonts w:hint="eastAsia" w:ascii="Times New Roman" w:hAnsi="Times New Roman" w:cs="宋体"/>
          <w:color w:val="000000" w:themeColor="text1"/>
          <w:sz w:val="24"/>
          <w:szCs w:val="24"/>
          <w:highlight w:val="none"/>
          <w14:textFill>
            <w14:solidFill>
              <w14:schemeClr w14:val="tx1"/>
            </w14:solidFill>
          </w14:textFill>
        </w:rPr>
        <w:t>⑤</w:t>
      </w:r>
      <w:r>
        <w:rPr>
          <w:rFonts w:ascii="Times New Roman" w:hAnsi="Times New Roman" w:cs="Arial"/>
          <w:color w:val="000000" w:themeColor="text1"/>
          <w:sz w:val="24"/>
          <w:szCs w:val="24"/>
          <w:highlight w:val="none"/>
          <w14:textFill>
            <w14:solidFill>
              <w14:schemeClr w14:val="tx1"/>
            </w14:solidFill>
          </w14:textFill>
        </w:rPr>
        <w:fldChar w:fldCharType="end"/>
      </w:r>
      <w:r>
        <w:rPr>
          <w:rFonts w:ascii="Times New Roman" w:hAnsi="Times New Roman" w:cs="Arial"/>
          <w:color w:val="000000" w:themeColor="text1"/>
          <w:sz w:val="24"/>
          <w:szCs w:val="24"/>
          <w:highlight w:val="none"/>
          <w14:textFill>
            <w14:solidFill>
              <w14:schemeClr w14:val="tx1"/>
            </w14:solidFill>
          </w14:textFill>
        </w:rPr>
        <w:t>全新统冲洪积物（Q</w:t>
      </w:r>
      <w:r>
        <w:rPr>
          <w:rFonts w:ascii="Times New Roman" w:hAnsi="Times New Roman" w:cs="Arial"/>
          <w:color w:val="000000" w:themeColor="text1"/>
          <w:sz w:val="24"/>
          <w:szCs w:val="24"/>
          <w:highlight w:val="none"/>
          <w:vertAlign w:val="subscript"/>
          <w14:textFill>
            <w14:solidFill>
              <w14:schemeClr w14:val="tx1"/>
            </w14:solidFill>
          </w14:textFill>
        </w:rPr>
        <w:t>4al+pl）</w:t>
      </w:r>
    </w:p>
    <w:p w14:paraId="198D43B0">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广泛分布在冲洪积细土平原区。130团、129团主要以此地层为主。主要地层为粘土、粉质粘土、粉土、砂土互层分布。地层分布特点决定了平原区潜水、承压水分布特征。最大沉积厚度超过500m。</w:t>
      </w:r>
    </w:p>
    <w:p w14:paraId="592D00CF">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fldChar w:fldCharType="begin"/>
      </w:r>
      <w:r>
        <w:rPr>
          <w:rFonts w:ascii="Times New Roman" w:hAnsi="Times New Roman" w:cs="Arial"/>
          <w:color w:val="000000" w:themeColor="text1"/>
          <w:sz w:val="24"/>
          <w:szCs w:val="24"/>
          <w:highlight w:val="none"/>
          <w14:textFill>
            <w14:solidFill>
              <w14:schemeClr w14:val="tx1"/>
            </w14:solidFill>
          </w14:textFill>
        </w:rPr>
        <w:instrText xml:space="preserve"> = 6 \* GB3 \* MERGEFORMAT </w:instrText>
      </w:r>
      <w:r>
        <w:rPr>
          <w:rFonts w:ascii="Times New Roman" w:hAnsi="Times New Roman" w:cs="Arial"/>
          <w:color w:val="000000" w:themeColor="text1"/>
          <w:sz w:val="24"/>
          <w:szCs w:val="24"/>
          <w:highlight w:val="none"/>
          <w14:textFill>
            <w14:solidFill>
              <w14:schemeClr w14:val="tx1"/>
            </w14:solidFill>
          </w14:textFill>
        </w:rPr>
        <w:fldChar w:fldCharType="separate"/>
      </w:r>
      <w:r>
        <w:rPr>
          <w:rFonts w:hint="eastAsia" w:ascii="Times New Roman" w:hAnsi="Times New Roman" w:cs="宋体"/>
          <w:color w:val="000000" w:themeColor="text1"/>
          <w:sz w:val="24"/>
          <w:szCs w:val="24"/>
          <w:highlight w:val="none"/>
          <w14:textFill>
            <w14:solidFill>
              <w14:schemeClr w14:val="tx1"/>
            </w14:solidFill>
          </w14:textFill>
        </w:rPr>
        <w:t>⑥</w:t>
      </w:r>
      <w:r>
        <w:rPr>
          <w:rFonts w:ascii="Times New Roman" w:hAnsi="Times New Roman" w:cs="Arial"/>
          <w:color w:val="000000" w:themeColor="text1"/>
          <w:sz w:val="24"/>
          <w:szCs w:val="24"/>
          <w:highlight w:val="none"/>
          <w14:textFill>
            <w14:solidFill>
              <w14:schemeClr w14:val="tx1"/>
            </w14:solidFill>
          </w14:textFill>
        </w:rPr>
        <w:fldChar w:fldCharType="end"/>
      </w:r>
      <w:r>
        <w:rPr>
          <w:rFonts w:ascii="Times New Roman" w:hAnsi="Times New Roman" w:cs="Arial"/>
          <w:color w:val="000000" w:themeColor="text1"/>
          <w:sz w:val="24"/>
          <w:szCs w:val="24"/>
          <w:highlight w:val="none"/>
          <w14:textFill>
            <w14:solidFill>
              <w14:schemeClr w14:val="tx1"/>
            </w14:solidFill>
          </w14:textFill>
        </w:rPr>
        <w:t>全新统风积物（Q4eol）</w:t>
      </w:r>
    </w:p>
    <w:p w14:paraId="759A34E5">
      <w:pPr>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主要分布在129团东部，隶属古尔班通古特沙漠，地貌上表现为低矮沙丘。岩性为风积粉细砂。</w:t>
      </w:r>
    </w:p>
    <w:p w14:paraId="1C2BB0EB">
      <w:pPr>
        <w:keepNext/>
        <w:keepLines/>
        <w:numPr>
          <w:ilvl w:val="3"/>
          <w:numId w:val="0"/>
        </w:numPr>
        <w:adjustRightInd w:val="0"/>
        <w:snapToGrid w:val="0"/>
        <w:spacing w:line="360" w:lineRule="auto"/>
        <w:outlineLvl w:val="3"/>
        <w:rPr>
          <w:rFonts w:ascii="Times New Roman" w:hAnsi="Times New Roman"/>
          <w:color w:val="000000" w:themeColor="text1"/>
          <w:sz w:val="24"/>
          <w:szCs w:val="24"/>
          <w:highlight w:val="none"/>
          <w:lang w:bidi="en-US"/>
          <w14:textFill>
            <w14:solidFill>
              <w14:schemeClr w14:val="tx1"/>
            </w14:solidFill>
          </w14:textFill>
        </w:rPr>
      </w:pPr>
      <w:r>
        <w:rPr>
          <w:rFonts w:ascii="Times New Roman" w:hAnsi="Times New Roman"/>
          <w:color w:val="000000" w:themeColor="text1"/>
          <w:sz w:val="24"/>
          <w:szCs w:val="24"/>
          <w:highlight w:val="none"/>
          <w:lang w:bidi="en-US"/>
          <w14:textFill>
            <w14:solidFill>
              <w14:schemeClr w14:val="tx1"/>
            </w14:solidFill>
          </w14:textFill>
        </w:rPr>
        <w:t>4.1.4.2地质构造</w:t>
      </w:r>
    </w:p>
    <w:p w14:paraId="3F7E21F8">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项目区在大地构造上位于哈萨克斯坦～准噶尔板块南部边缘，区域新构造 运动强烈，区域内发育多条活动断裂。近本区构造主要有：独山子～安集海断裂（F4）、霍尔果斯断裂（F6）、清水河子断裂（F10），属北天山推覆构造前部滑脱楔上第二排与第三排新生代断裂－褶皱带，全新世以来有过多次显著活动。</w:t>
      </w:r>
    </w:p>
    <w:p w14:paraId="5F0EB168">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独山子-安集海断裂（F4）：该断裂位于独山子-安集海背斜山前地带，走向近东西向，长55km，由断层面南倾40°~60°的主逆断裂及北倾反冲逆断裂组成，断裂在平面上由西向东分为三段：独山子段、哈拉安德段、安集海段。</w:t>
      </w:r>
    </w:p>
    <w:p w14:paraId="5609A1A3">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霍尔果斯断裂（F6）：断裂分布于霍尔果斯背斜核部和北翼，总体走向近EW向，长70km，为断面南倾的逆断裂，断裂与中段的玛纳斯断裂呈左阶排列。该断裂由三条近平行断裂组成。距离工区最近的为F2断裂。F2断裂位于霍 尔果斯背斜北翼，全长19km，断裂主体倾向南，局部为逆走滑，在大部分地段引起北侧地层倒转，倾向165°~195°，倾角60°左右，破碎带宽10～30m。在金沟河口一带，断裂错断了</w:t>
      </w:r>
      <w:r>
        <w:rPr>
          <w:rFonts w:hint="eastAsia" w:ascii="Times New Roman" w:hAnsi="Times New Roman" w:cs="宋体"/>
          <w:color w:val="000000" w:themeColor="text1"/>
          <w:sz w:val="24"/>
          <w:szCs w:val="24"/>
          <w:highlight w:val="none"/>
          <w14:textFill>
            <w14:solidFill>
              <w14:schemeClr w14:val="tx1"/>
            </w14:solidFill>
          </w14:textFill>
        </w:rPr>
        <w:t>Ⅰ</w:t>
      </w:r>
      <w:r>
        <w:rPr>
          <w:rFonts w:ascii="Times New Roman" w:hAnsi="Times New Roman" w:cs="Arial"/>
          <w:color w:val="000000" w:themeColor="text1"/>
          <w:sz w:val="24"/>
          <w:szCs w:val="24"/>
          <w:highlight w:val="none"/>
          <w14:textFill>
            <w14:solidFill>
              <w14:schemeClr w14:val="tx1"/>
            </w14:solidFill>
          </w14:textFill>
        </w:rPr>
        <w:t>~</w:t>
      </w:r>
      <w:r>
        <w:rPr>
          <w:rFonts w:hint="eastAsia" w:ascii="Times New Roman" w:hAnsi="Times New Roman" w:cs="宋体"/>
          <w:color w:val="000000" w:themeColor="text1"/>
          <w:sz w:val="24"/>
          <w:szCs w:val="24"/>
          <w:highlight w:val="none"/>
          <w14:textFill>
            <w14:solidFill>
              <w14:schemeClr w14:val="tx1"/>
            </w14:solidFill>
          </w14:textFill>
        </w:rPr>
        <w:t>Ⅲ</w:t>
      </w:r>
      <w:r>
        <w:rPr>
          <w:rFonts w:ascii="Times New Roman" w:hAnsi="Times New Roman" w:cs="Arial"/>
          <w:color w:val="000000" w:themeColor="text1"/>
          <w:sz w:val="24"/>
          <w:szCs w:val="24"/>
          <w:highlight w:val="none"/>
          <w14:textFill>
            <w14:solidFill>
              <w14:schemeClr w14:val="tx1"/>
            </w14:solidFill>
          </w14:textFill>
        </w:rPr>
        <w:t>级阶地，形成断层陡坎，阶地越高陡坎越高，说明断裂有过多次活动，全新世以来仍有活动。</w:t>
      </w:r>
    </w:p>
    <w:p w14:paraId="07287BFA">
      <w:pPr>
        <w:adjustRightInd w:val="0"/>
        <w:snapToGrid w:val="0"/>
        <w:spacing w:line="360" w:lineRule="auto"/>
        <w:ind w:firstLine="480" w:firstLineChars="200"/>
        <w:rPr>
          <w:rFonts w:ascii="Times New Roman" w:hAnsi="Times New Roman" w:cs="Arial"/>
          <w:color w:val="000000" w:themeColor="text1"/>
          <w:sz w:val="24"/>
          <w:szCs w:val="24"/>
          <w:highlight w:val="none"/>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清水河子断裂（F10）：该断裂西起四棵树沙里克台南，经清水河、塔西河至头屯河中上游，总长280km，是乌鲁木齐山前坳陷与天山古生代造山带的分界断裂，控制断裂两侧地质构造和沉积构造。该断裂总体走向280°，断面南倾，倾角45°~75°，破碎带宽度20～100m，多为古生界逆冲于中生界之上，具长期多次活动的特点。</w:t>
      </w:r>
    </w:p>
    <w:p w14:paraId="7B6A468C">
      <w:pPr>
        <w:adjustRightInd w:val="0"/>
        <w:snapToGrid w:val="0"/>
        <w:spacing w:line="360" w:lineRule="auto"/>
        <w:ind w:firstLine="480" w:firstLineChars="200"/>
        <w:rPr>
          <w:rFonts w:hint="eastAsia"/>
          <w:color w:val="000000" w:themeColor="text1"/>
          <w:highlight w:val="none"/>
          <w:lang w:eastAsia="zh-CN"/>
          <w14:textFill>
            <w14:solidFill>
              <w14:schemeClr w14:val="tx1"/>
            </w14:solidFill>
          </w14:textFill>
        </w:rPr>
      </w:pPr>
      <w:r>
        <w:rPr>
          <w:rFonts w:ascii="Times New Roman" w:hAnsi="Times New Roman" w:cs="Arial"/>
          <w:color w:val="000000" w:themeColor="text1"/>
          <w:sz w:val="24"/>
          <w:szCs w:val="24"/>
          <w:highlight w:val="none"/>
          <w14:textFill>
            <w14:solidFill>
              <w14:schemeClr w14:val="tx1"/>
            </w14:solidFill>
          </w14:textFill>
        </w:rPr>
        <w:t>据国家地震局的有关文件，本项目评价区地震动峰值加速度为0.10g，反应谱特征周期值0.65s，对应地震烈度为</w:t>
      </w:r>
      <w:r>
        <w:rPr>
          <w:rFonts w:hint="eastAsia" w:ascii="Times New Roman" w:hAnsi="Times New Roman" w:cs="宋体"/>
          <w:color w:val="000000" w:themeColor="text1"/>
          <w:sz w:val="24"/>
          <w:szCs w:val="24"/>
          <w:highlight w:val="none"/>
          <w14:textFill>
            <w14:solidFill>
              <w14:schemeClr w14:val="tx1"/>
            </w14:solidFill>
          </w14:textFill>
        </w:rPr>
        <w:t>Ⅶ</w:t>
      </w:r>
      <w:r>
        <w:rPr>
          <w:rFonts w:ascii="Times New Roman" w:hAnsi="Times New Roman" w:cs="Arial"/>
          <w:color w:val="000000" w:themeColor="text1"/>
          <w:sz w:val="24"/>
          <w:szCs w:val="24"/>
          <w:highlight w:val="none"/>
          <w14:textFill>
            <w14:solidFill>
              <w14:schemeClr w14:val="tx1"/>
            </w14:solidFill>
          </w14:textFill>
        </w:rPr>
        <w:t>度。</w:t>
      </w:r>
    </w:p>
    <w:p w14:paraId="403CF056">
      <w:pPr>
        <w:pStyle w:val="4"/>
        <w:rPr>
          <w:color w:val="000000" w:themeColor="text1"/>
          <w:highlight w:val="none"/>
          <w14:textFill>
            <w14:solidFill>
              <w14:schemeClr w14:val="tx1"/>
            </w14:solidFill>
          </w14:textFill>
        </w:rPr>
      </w:pPr>
      <w:bookmarkStart w:id="188" w:name="_Toc8758"/>
      <w:r>
        <w:rPr>
          <w:rFonts w:hint="eastAsia"/>
          <w:color w:val="000000" w:themeColor="text1"/>
          <w:highlight w:val="none"/>
          <w14:textFill>
            <w14:solidFill>
              <w14:schemeClr w14:val="tx1"/>
            </w14:solidFill>
          </w14:textFill>
        </w:rPr>
        <w:t>4.1.5气候气象</w:t>
      </w:r>
      <w:bookmarkEnd w:id="188"/>
    </w:p>
    <w:p w14:paraId="509C7E9E">
      <w:pPr>
        <w:ind w:firstLine="468" w:firstLineChars="2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项目地地处欧亚大陆腹地，远离海洋，属典型的大陆性北温带干旱气候</w:t>
      </w:r>
      <w:r>
        <w:rPr>
          <w:rFonts w:ascii="宋体" w:hAnsi="宋体" w:eastAsia="宋体" w:cs="宋体"/>
          <w:color w:val="000000" w:themeColor="text1"/>
          <w:spacing w:val="-4"/>
          <w:sz w:val="24"/>
          <w:szCs w:val="24"/>
          <w:highlight w:val="none"/>
          <w14:textFill>
            <w14:solidFill>
              <w14:schemeClr w14:val="tx1"/>
            </w14:solidFill>
          </w14:textFill>
        </w:rPr>
        <w:t>。冬</w:t>
      </w:r>
      <w:r>
        <w:rPr>
          <w:rFonts w:ascii="宋体" w:hAnsi="宋体" w:eastAsia="宋体" w:cs="宋体"/>
          <w:color w:val="000000" w:themeColor="text1"/>
          <w:spacing w:val="-3"/>
          <w:sz w:val="24"/>
          <w:szCs w:val="24"/>
          <w:highlight w:val="none"/>
          <w14:textFill>
            <w14:solidFill>
              <w14:schemeClr w14:val="tx1"/>
            </w14:solidFill>
          </w14:textFill>
        </w:rPr>
        <w:t>季严寒，夏季酷热，多晴少雨，蒸发量大。日照时间长，是国内日照时间最长的</w:t>
      </w:r>
      <w:r>
        <w:rPr>
          <w:rFonts w:ascii="宋体" w:hAnsi="宋体" w:eastAsia="宋体" w:cs="宋体"/>
          <w:color w:val="000000" w:themeColor="text1"/>
          <w:spacing w:val="-10"/>
          <w:sz w:val="24"/>
          <w:szCs w:val="24"/>
          <w:highlight w:val="none"/>
          <w14:textFill>
            <w14:solidFill>
              <w14:schemeClr w14:val="tx1"/>
            </w14:solidFill>
          </w14:textFill>
        </w:rPr>
        <w:t xml:space="preserve">地区之一，年日照数 </w:t>
      </w:r>
      <w:r>
        <w:rPr>
          <w:rFonts w:ascii="Times New Roman" w:hAnsi="Times New Roman" w:eastAsia="Times New Roman" w:cs="Times New Roman"/>
          <w:color w:val="000000" w:themeColor="text1"/>
          <w:spacing w:val="-10"/>
          <w:sz w:val="24"/>
          <w:szCs w:val="24"/>
          <w:highlight w:val="none"/>
          <w14:textFill>
            <w14:solidFill>
              <w14:schemeClr w14:val="tx1"/>
            </w14:solidFill>
          </w14:textFill>
        </w:rPr>
        <w:t xml:space="preserve">2820  </w:t>
      </w:r>
      <w:r>
        <w:rPr>
          <w:rFonts w:ascii="宋体" w:hAnsi="宋体" w:eastAsia="宋体" w:cs="宋体"/>
          <w:color w:val="000000" w:themeColor="text1"/>
          <w:spacing w:val="-10"/>
          <w:sz w:val="24"/>
          <w:szCs w:val="24"/>
          <w:highlight w:val="none"/>
          <w14:textFill>
            <w14:solidFill>
              <w14:schemeClr w14:val="tx1"/>
            </w14:solidFill>
          </w14:textFill>
        </w:rPr>
        <w:t>小时。春季升温快，秋季降温迅速，年平均气温</w:t>
      </w:r>
      <w:r>
        <w:rPr>
          <w:rFonts w:ascii="Times New Roman" w:hAnsi="Times New Roman" w:eastAsia="Times New Roman" w:cs="Times New Roman"/>
          <w:color w:val="000000" w:themeColor="text1"/>
          <w:spacing w:val="-10"/>
          <w:sz w:val="24"/>
          <w:szCs w:val="24"/>
          <w:highlight w:val="none"/>
          <w14:textFill>
            <w14:solidFill>
              <w14:schemeClr w14:val="tx1"/>
            </w14:solidFill>
          </w14:textFill>
        </w:rPr>
        <w:t>6.7</w:t>
      </w:r>
      <w:r>
        <w:rPr>
          <w:rFonts w:ascii="宋体" w:hAnsi="宋体" w:eastAsia="宋体" w:cs="宋体"/>
          <w:color w:val="000000" w:themeColor="text1"/>
          <w:spacing w:val="-10"/>
          <w:sz w:val="24"/>
          <w:szCs w:val="24"/>
          <w:highlight w:val="none"/>
          <w14:textFill>
            <w14:solidFill>
              <w14:schemeClr w14:val="tx1"/>
            </w14:solidFill>
          </w14:textFill>
        </w:rPr>
        <w:t>℃。</w:t>
      </w:r>
      <w:r>
        <w:rPr>
          <w:rFonts w:ascii="宋体" w:hAnsi="宋体" w:eastAsia="宋体" w:cs="宋体"/>
          <w:color w:val="000000" w:themeColor="text1"/>
          <w:spacing w:val="-4"/>
          <w:sz w:val="24"/>
          <w:szCs w:val="24"/>
          <w:highlight w:val="none"/>
          <w14:textFill>
            <w14:solidFill>
              <w14:schemeClr w14:val="tx1"/>
            </w14:solidFill>
          </w14:textFill>
        </w:rPr>
        <w:t xml:space="preserve">年最高气温 </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42.1</w:t>
      </w:r>
      <w:r>
        <w:rPr>
          <w:rFonts w:ascii="宋体" w:hAnsi="宋体" w:eastAsia="宋体" w:cs="宋体"/>
          <w:color w:val="000000" w:themeColor="text1"/>
          <w:spacing w:val="-4"/>
          <w:sz w:val="24"/>
          <w:szCs w:val="24"/>
          <w:highlight w:val="none"/>
          <w14:textFill>
            <w14:solidFill>
              <w14:schemeClr w14:val="tx1"/>
            </w14:solidFill>
          </w14:textFill>
        </w:rPr>
        <w:t>℃,</w:t>
      </w:r>
      <w:r>
        <w:rPr>
          <w:rFonts w:ascii="宋体" w:hAnsi="宋体" w:eastAsia="宋体" w:cs="宋体"/>
          <w:color w:val="000000" w:themeColor="text1"/>
          <w:spacing w:val="49"/>
          <w:sz w:val="24"/>
          <w:szCs w:val="24"/>
          <w:highlight w:val="none"/>
          <w14:textFill>
            <w14:solidFill>
              <w14:schemeClr w14:val="tx1"/>
            </w14:solidFill>
          </w14:textFill>
        </w:rPr>
        <w:t xml:space="preserve"> </w:t>
      </w:r>
      <w:r>
        <w:rPr>
          <w:rFonts w:ascii="宋体" w:hAnsi="宋体" w:eastAsia="宋体" w:cs="宋体"/>
          <w:color w:val="000000" w:themeColor="text1"/>
          <w:spacing w:val="-4"/>
          <w:sz w:val="24"/>
          <w:szCs w:val="24"/>
          <w:highlight w:val="none"/>
          <w14:textFill>
            <w14:solidFill>
              <w14:schemeClr w14:val="tx1"/>
            </w14:solidFill>
          </w14:textFill>
        </w:rPr>
        <w:t>最低气温</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–42.3</w:t>
      </w:r>
      <w:r>
        <w:rPr>
          <w:rFonts w:ascii="宋体" w:hAnsi="宋体" w:eastAsia="宋体" w:cs="宋体"/>
          <w:color w:val="000000" w:themeColor="text1"/>
          <w:spacing w:val="-4"/>
          <w:sz w:val="24"/>
          <w:szCs w:val="24"/>
          <w:highlight w:val="none"/>
          <w14:textFill>
            <w14:solidFill>
              <w14:schemeClr w14:val="tx1"/>
            </w14:solidFill>
          </w14:textFill>
        </w:rPr>
        <w:t>℃</w:t>
      </w:r>
      <w:r>
        <w:rPr>
          <w:rFonts w:hint="eastAsia" w:ascii="宋体" w:hAnsi="宋体" w:cs="宋体"/>
          <w:color w:val="000000" w:themeColor="text1"/>
          <w:spacing w:val="-4"/>
          <w:sz w:val="24"/>
          <w:szCs w:val="24"/>
          <w:highlight w:val="none"/>
          <w:lang w:eastAsia="zh-CN"/>
          <w14:textFill>
            <w14:solidFill>
              <w14:schemeClr w14:val="tx1"/>
            </w14:solidFill>
          </w14:textFill>
        </w:rPr>
        <w:t>，</w:t>
      </w:r>
      <w:r>
        <w:rPr>
          <w:rFonts w:ascii="宋体" w:hAnsi="宋体" w:eastAsia="宋体" w:cs="宋体"/>
          <w:color w:val="000000" w:themeColor="text1"/>
          <w:spacing w:val="-5"/>
          <w:sz w:val="24"/>
          <w:szCs w:val="24"/>
          <w:highlight w:val="none"/>
          <w14:textFill>
            <w14:solidFill>
              <w14:schemeClr w14:val="tx1"/>
            </w14:solidFill>
          </w14:textFill>
        </w:rPr>
        <w:t>年积温</w:t>
      </w:r>
      <w:r>
        <w:rPr>
          <w:rFonts w:ascii="Times New Roman" w:hAnsi="Times New Roman" w:eastAsia="Times New Roman" w:cs="Times New Roman"/>
          <w:color w:val="000000" w:themeColor="text1"/>
          <w:spacing w:val="-5"/>
          <w:sz w:val="24"/>
          <w:szCs w:val="24"/>
          <w:highlight w:val="none"/>
          <w14:textFill>
            <w14:solidFill>
              <w14:schemeClr w14:val="tx1"/>
            </w14:solidFill>
          </w14:textFill>
        </w:rPr>
        <w:t>3622</w:t>
      </w:r>
      <w:r>
        <w:rPr>
          <w:rFonts w:ascii="宋体" w:hAnsi="宋体" w:eastAsia="宋体" w:cs="宋体"/>
          <w:color w:val="000000" w:themeColor="text1"/>
          <w:spacing w:val="-5"/>
          <w:sz w:val="24"/>
          <w:szCs w:val="24"/>
          <w:highlight w:val="none"/>
          <w14:textFill>
            <w14:solidFill>
              <w14:schemeClr w14:val="tx1"/>
            </w14:solidFill>
          </w14:textFill>
        </w:rPr>
        <w:t>℃。最冷月（一月）平均气</w:t>
      </w:r>
      <w:r>
        <w:rPr>
          <w:rFonts w:ascii="宋体" w:hAnsi="宋体" w:eastAsia="宋体" w:cs="宋体"/>
          <w:color w:val="000000" w:themeColor="text1"/>
          <w:spacing w:val="1"/>
          <w:sz w:val="24"/>
          <w:szCs w:val="24"/>
          <w:highlight w:val="none"/>
          <w14:textFill>
            <w14:solidFill>
              <w14:schemeClr w14:val="tx1"/>
            </w14:solidFill>
          </w14:textFill>
        </w:rPr>
        <w:t>温</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–18.8</w:t>
      </w:r>
      <w:r>
        <w:rPr>
          <w:rFonts w:ascii="宋体" w:hAnsi="宋体" w:eastAsia="宋体" w:cs="宋体"/>
          <w:color w:val="000000" w:themeColor="text1"/>
          <w:spacing w:val="1"/>
          <w:sz w:val="24"/>
          <w:szCs w:val="24"/>
          <w:highlight w:val="none"/>
          <w14:textFill>
            <w14:solidFill>
              <w14:schemeClr w14:val="tx1"/>
            </w14:solidFill>
          </w14:textFill>
        </w:rPr>
        <w:t>℃</w:t>
      </w:r>
      <w:r>
        <w:rPr>
          <w:rFonts w:hint="eastAsia" w:ascii="宋体" w:hAnsi="宋体" w:cs="宋体"/>
          <w:color w:val="000000" w:themeColor="text1"/>
          <w:spacing w:val="1"/>
          <w:sz w:val="24"/>
          <w:szCs w:val="24"/>
          <w:highlight w:val="none"/>
          <w:lang w:eastAsia="zh-CN"/>
          <w14:textFill>
            <w14:solidFill>
              <w14:schemeClr w14:val="tx1"/>
            </w14:solidFill>
          </w14:textFill>
        </w:rPr>
        <w:t>，</w:t>
      </w:r>
      <w:r>
        <w:rPr>
          <w:rFonts w:ascii="宋体" w:hAnsi="宋体" w:eastAsia="宋体" w:cs="宋体"/>
          <w:color w:val="000000" w:themeColor="text1"/>
          <w:spacing w:val="1"/>
          <w:sz w:val="24"/>
          <w:szCs w:val="24"/>
          <w:highlight w:val="none"/>
          <w14:textFill>
            <w14:solidFill>
              <w14:schemeClr w14:val="tx1"/>
            </w14:solidFill>
          </w14:textFill>
        </w:rPr>
        <w:t>最热月（七月）平均气温</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26.7</w:t>
      </w:r>
      <w:r>
        <w:rPr>
          <w:rFonts w:ascii="宋体" w:hAnsi="宋体" w:eastAsia="宋体" w:cs="宋体"/>
          <w:color w:val="000000" w:themeColor="text1"/>
          <w:spacing w:val="1"/>
          <w:sz w:val="24"/>
          <w:szCs w:val="24"/>
          <w:highlight w:val="none"/>
          <w14:textFill>
            <w14:solidFill>
              <w14:schemeClr w14:val="tx1"/>
            </w14:solidFill>
          </w14:textFill>
        </w:rPr>
        <w:t>℃。无霜期长，平均在</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164</w:t>
      </w:r>
      <w:r>
        <w:rPr>
          <w:rFonts w:ascii="宋体" w:hAnsi="宋体" w:eastAsia="宋体" w:cs="宋体"/>
          <w:color w:val="000000" w:themeColor="text1"/>
          <w:spacing w:val="1"/>
          <w:sz w:val="24"/>
          <w:szCs w:val="24"/>
          <w:highlight w:val="none"/>
          <w14:textFill>
            <w14:solidFill>
              <w14:schemeClr w14:val="tx1"/>
            </w14:solidFill>
          </w14:textFill>
        </w:rPr>
        <w:t>天左右</w:t>
      </w:r>
      <w:r>
        <w:rPr>
          <w:rFonts w:hint="eastAsia" w:ascii="宋体" w:hAnsi="宋体" w:eastAsia="宋体" w:cs="宋体"/>
          <w:color w:val="000000" w:themeColor="text1"/>
          <w:spacing w:val="1"/>
          <w:sz w:val="24"/>
          <w:szCs w:val="24"/>
          <w:highlight w:val="none"/>
          <w:lang w:eastAsia="zh-CN"/>
          <w14:textFill>
            <w14:solidFill>
              <w14:schemeClr w14:val="tx1"/>
            </w14:solidFill>
          </w14:textFill>
        </w:rPr>
        <w:t>。</w:t>
      </w:r>
      <w:r>
        <w:rPr>
          <w:rFonts w:ascii="宋体" w:hAnsi="宋体" w:eastAsia="宋体" w:cs="宋体"/>
          <w:color w:val="000000" w:themeColor="text1"/>
          <w:spacing w:val="-3"/>
          <w:sz w:val="24"/>
          <w:szCs w:val="24"/>
          <w:highlight w:val="none"/>
          <w14:textFill>
            <w14:solidFill>
              <w14:schemeClr w14:val="tx1"/>
            </w14:solidFill>
          </w14:textFill>
        </w:rPr>
        <w:t>年平均降水量</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165.9</w:t>
      </w:r>
      <w:r>
        <w:rPr>
          <w:rFonts w:ascii="宋体" w:hAnsi="宋体" w:eastAsia="宋体" w:cs="宋体"/>
          <w:color w:val="000000" w:themeColor="text1"/>
          <w:spacing w:val="-3"/>
          <w:sz w:val="24"/>
          <w:szCs w:val="24"/>
          <w:highlight w:val="none"/>
          <w14:textFill>
            <w14:solidFill>
              <w14:schemeClr w14:val="tx1"/>
            </w14:solidFill>
          </w14:textFill>
        </w:rPr>
        <w:t>毫米，年平均蒸发量</w:t>
      </w:r>
      <w:r>
        <w:rPr>
          <w:rFonts w:ascii="Times New Roman" w:hAnsi="Times New Roman" w:eastAsia="Times New Roman" w:cs="Times New Roman"/>
          <w:color w:val="000000" w:themeColor="text1"/>
          <w:spacing w:val="-3"/>
          <w:sz w:val="24"/>
          <w:szCs w:val="24"/>
          <w:highlight w:val="none"/>
          <w14:textFill>
            <w14:solidFill>
              <w14:schemeClr w14:val="tx1"/>
            </w14:solidFill>
          </w14:textFill>
        </w:rPr>
        <w:t>1</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775.9</w:t>
      </w:r>
      <w:r>
        <w:rPr>
          <w:rFonts w:ascii="宋体" w:hAnsi="宋体" w:eastAsia="宋体" w:cs="宋体"/>
          <w:color w:val="000000" w:themeColor="text1"/>
          <w:spacing w:val="-4"/>
          <w:sz w:val="24"/>
          <w:szCs w:val="24"/>
          <w:highlight w:val="none"/>
          <w14:textFill>
            <w14:solidFill>
              <w14:schemeClr w14:val="tx1"/>
            </w14:solidFill>
          </w14:textFill>
        </w:rPr>
        <w:t>毫米，年蒸发量为降水量的</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9</w:t>
      </w:r>
      <w:r>
        <w:rPr>
          <w:rFonts w:ascii="宋体" w:hAnsi="宋体" w:eastAsia="宋体" w:cs="宋体"/>
          <w:color w:val="000000" w:themeColor="text1"/>
          <w:sz w:val="24"/>
          <w:szCs w:val="24"/>
          <w:highlight w:val="none"/>
          <w14:textFill>
            <w14:solidFill>
              <w14:schemeClr w14:val="tx1"/>
            </w14:solidFill>
          </w14:textFill>
        </w:rPr>
        <w:t>倍。年均冻土深度</w:t>
      </w:r>
      <w:r>
        <w:rPr>
          <w:rFonts w:ascii="Times New Roman" w:hAnsi="Times New Roman" w:eastAsia="Times New Roman" w:cs="Times New Roman"/>
          <w:color w:val="000000" w:themeColor="text1"/>
          <w:sz w:val="24"/>
          <w:szCs w:val="24"/>
          <w:highlight w:val="none"/>
          <w14:textFill>
            <w14:solidFill>
              <w14:schemeClr w14:val="tx1"/>
            </w14:solidFill>
          </w14:textFill>
        </w:rPr>
        <w:t>0.97</w:t>
      </w:r>
      <w:r>
        <w:rPr>
          <w:rFonts w:ascii="宋体" w:hAnsi="宋体" w:eastAsia="宋体" w:cs="宋体"/>
          <w:color w:val="000000" w:themeColor="text1"/>
          <w:sz w:val="24"/>
          <w:szCs w:val="24"/>
          <w:highlight w:val="none"/>
          <w14:textFill>
            <w14:solidFill>
              <w14:schemeClr w14:val="tx1"/>
            </w14:solidFill>
          </w14:textFill>
        </w:rPr>
        <w:t>米，最大冻深</w:t>
      </w:r>
      <w:r>
        <w:rPr>
          <w:rFonts w:ascii="Times New Roman" w:hAnsi="Times New Roman" w:eastAsia="Times New Roman" w:cs="Times New Roman"/>
          <w:color w:val="000000" w:themeColor="text1"/>
          <w:sz w:val="24"/>
          <w:szCs w:val="24"/>
          <w:highlight w:val="none"/>
          <w14:textFill>
            <w14:solidFill>
              <w14:schemeClr w14:val="tx1"/>
            </w14:solidFill>
          </w14:textFill>
        </w:rPr>
        <w:t>1.23</w:t>
      </w:r>
      <w:r>
        <w:rPr>
          <w:rFonts w:ascii="宋体" w:hAnsi="宋体" w:eastAsia="宋体" w:cs="宋体"/>
          <w:color w:val="000000" w:themeColor="text1"/>
          <w:sz w:val="24"/>
          <w:szCs w:val="24"/>
          <w:highlight w:val="none"/>
          <w14:textFill>
            <w14:solidFill>
              <w14:schemeClr w14:val="tx1"/>
            </w14:solidFill>
          </w14:textFill>
        </w:rPr>
        <w:t>米。由于日照充足</w:t>
      </w:r>
      <w:r>
        <w:rPr>
          <w:rFonts w:ascii="宋体" w:hAnsi="宋体" w:eastAsia="宋体" w:cs="宋体"/>
          <w:color w:val="000000" w:themeColor="text1"/>
          <w:spacing w:val="-1"/>
          <w:sz w:val="24"/>
          <w:szCs w:val="24"/>
          <w:highlight w:val="none"/>
          <w14:textFill>
            <w14:solidFill>
              <w14:schemeClr w14:val="tx1"/>
            </w14:solidFill>
          </w14:textFill>
        </w:rPr>
        <w:t>，热量适中，昼</w:t>
      </w:r>
      <w:r>
        <w:rPr>
          <w:rFonts w:ascii="宋体" w:hAnsi="宋体" w:eastAsia="宋体" w:cs="宋体"/>
          <w:color w:val="000000" w:themeColor="text1"/>
          <w:spacing w:val="-6"/>
          <w:sz w:val="24"/>
          <w:szCs w:val="24"/>
          <w:highlight w:val="none"/>
          <w14:textFill>
            <w14:solidFill>
              <w14:schemeClr w14:val="tx1"/>
            </w14:solidFill>
          </w14:textFill>
        </w:rPr>
        <w:t>夜温差较悬殊，气候条件适宜种棉花、玉米、小麦等喜温作物生长。全年以西</w:t>
      </w:r>
      <w:r>
        <w:rPr>
          <w:rFonts w:ascii="宋体" w:hAnsi="宋体" w:eastAsia="宋体" w:cs="宋体"/>
          <w:color w:val="000000" w:themeColor="text1"/>
          <w:spacing w:val="-1"/>
          <w:sz w:val="24"/>
          <w:szCs w:val="24"/>
          <w:highlight w:val="none"/>
          <w14:textFill>
            <w14:solidFill>
              <w14:schemeClr w14:val="tx1"/>
            </w14:solidFill>
          </w14:textFill>
        </w:rPr>
        <w:t>风风向频率最大。</w:t>
      </w:r>
    </w:p>
    <w:p w14:paraId="5DC89A40">
      <w:pPr>
        <w:spacing w:before="31" w:line="220" w:lineRule="auto"/>
        <w:ind w:left="615"/>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5"/>
          <w:sz w:val="24"/>
          <w:szCs w:val="24"/>
          <w:highlight w:val="none"/>
          <w14:textFill>
            <w14:solidFill>
              <w14:schemeClr w14:val="tx1"/>
            </w14:solidFill>
          </w14:textFill>
        </w:rPr>
        <w:t>项目区域历史气象资料统计如下：</w:t>
      </w:r>
    </w:p>
    <w:p w14:paraId="5C1DA5E2">
      <w:pPr>
        <w:spacing w:before="182" w:line="212" w:lineRule="auto"/>
        <w:ind w:left="3472"/>
        <w:rPr>
          <w:rFonts w:ascii="黑体" w:hAnsi="黑体" w:eastAsia="黑体" w:cs="黑体"/>
          <w:color w:val="000000" w:themeColor="text1"/>
          <w:sz w:val="24"/>
          <w:szCs w:val="24"/>
          <w:highlight w:val="none"/>
          <w14:textFill>
            <w14:solidFill>
              <w14:schemeClr w14:val="tx1"/>
            </w14:solidFill>
          </w14:textFill>
        </w:rPr>
      </w:pPr>
      <w:r>
        <w:rPr>
          <w:rFonts w:ascii="黑体" w:hAnsi="黑体" w:eastAsia="黑体" w:cs="黑体"/>
          <w:color w:val="000000" w:themeColor="text1"/>
          <w:spacing w:val="-4"/>
          <w:sz w:val="24"/>
          <w:szCs w:val="24"/>
          <w:highlight w:val="none"/>
          <w14:textFill>
            <w14:solidFill>
              <w14:schemeClr w14:val="tx1"/>
            </w14:solidFill>
          </w14:textFill>
        </w:rPr>
        <w:t>表</w:t>
      </w:r>
      <w:r>
        <w:rPr>
          <w:rFonts w:ascii="黑体" w:hAnsi="黑体" w:eastAsia="黑体" w:cs="黑体"/>
          <w:color w:val="000000" w:themeColor="text1"/>
          <w:spacing w:val="-54"/>
          <w:sz w:val="24"/>
          <w:szCs w:val="24"/>
          <w:highlight w:val="none"/>
          <w14:textFill>
            <w14:solidFill>
              <w14:schemeClr w14:val="tx1"/>
            </w14:solidFill>
          </w14:textFill>
        </w:rPr>
        <w:t xml:space="preserve"> </w:t>
      </w:r>
      <w:r>
        <w:rPr>
          <w:rFonts w:ascii="Times New Roman" w:hAnsi="Times New Roman" w:eastAsia="Times New Roman" w:cs="Times New Roman"/>
          <w:color w:val="000000" w:themeColor="text1"/>
          <w:spacing w:val="-4"/>
          <w:sz w:val="24"/>
          <w:szCs w:val="24"/>
          <w:highlight w:val="none"/>
          <w14:textFill>
            <w14:solidFill>
              <w14:schemeClr w14:val="tx1"/>
            </w14:solidFill>
          </w14:textFill>
        </w:rPr>
        <w:t>4-1</w:t>
      </w:r>
      <w:r>
        <w:rPr>
          <w:rFonts w:ascii="Times New Roman" w:hAnsi="Times New Roman" w:eastAsia="Times New Roman" w:cs="Times New Roman"/>
          <w:color w:val="000000" w:themeColor="text1"/>
          <w:spacing w:val="1"/>
          <w:sz w:val="24"/>
          <w:szCs w:val="24"/>
          <w:highlight w:val="none"/>
          <w14:textFill>
            <w14:solidFill>
              <w14:schemeClr w14:val="tx1"/>
            </w14:solidFill>
          </w14:textFill>
        </w:rPr>
        <w:t xml:space="preserve">        </w:t>
      </w:r>
      <w:r>
        <w:rPr>
          <w:rFonts w:ascii="黑体" w:hAnsi="黑体" w:eastAsia="黑体" w:cs="黑体"/>
          <w:color w:val="000000" w:themeColor="text1"/>
          <w:spacing w:val="-4"/>
          <w:sz w:val="24"/>
          <w:szCs w:val="24"/>
          <w:highlight w:val="none"/>
          <w14:textFill>
            <w14:solidFill>
              <w14:schemeClr w14:val="tx1"/>
            </w14:solidFill>
          </w14:textFill>
        </w:rPr>
        <w:t>气象资料</w:t>
      </w:r>
    </w:p>
    <w:tbl>
      <w:tblPr>
        <w:tblStyle w:val="58"/>
        <w:tblW w:w="85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7"/>
        <w:gridCol w:w="4265"/>
      </w:tblGrid>
      <w:tr w14:paraId="2A4B74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atLeast"/>
          <w:jc w:val="center"/>
        </w:trPr>
        <w:tc>
          <w:tcPr>
            <w:tcW w:w="4267" w:type="dxa"/>
            <w:tcBorders>
              <w:top w:val="single" w:color="000000" w:sz="10" w:space="0"/>
              <w:left w:val="single" w:color="000000" w:sz="10" w:space="0"/>
            </w:tcBorders>
            <w:vAlign w:val="center"/>
          </w:tcPr>
          <w:p w14:paraId="02DA797F">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年极端最高气温</w:t>
            </w:r>
          </w:p>
        </w:tc>
        <w:tc>
          <w:tcPr>
            <w:tcW w:w="4265" w:type="dxa"/>
            <w:tcBorders>
              <w:top w:val="single" w:color="000000" w:sz="10" w:space="0"/>
              <w:right w:val="single" w:color="000000" w:sz="10" w:space="0"/>
            </w:tcBorders>
            <w:vAlign w:val="center"/>
          </w:tcPr>
          <w:p w14:paraId="300A2A1E">
            <w:pPr>
              <w:pStyle w:val="59"/>
              <w:keepNext w:val="0"/>
              <w:keepLines w:val="0"/>
              <w:pageBreakBefore w:val="0"/>
              <w:widowControl/>
              <w:kinsoku/>
              <w:wordWrap w:val="0"/>
              <w:overflowPunct/>
              <w:topLinePunct w:val="0"/>
              <w:autoSpaceDE/>
              <w:autoSpaceDN/>
              <w:bidi w:val="0"/>
              <w:adjustRightInd/>
              <w:snapToGrid/>
              <w:spacing w:line="237" w:lineRule="auto"/>
              <w:ind w:left="0"/>
              <w:jc w:val="center"/>
              <w:textAlignment w:val="auto"/>
              <w:rPr>
                <w:color w:val="000000" w:themeColor="text1"/>
                <w:highlight w:val="none"/>
                <w14:textFill>
                  <w14:solidFill>
                    <w14:schemeClr w14:val="tx1"/>
                  </w14:solidFill>
                </w14:textFill>
              </w:rPr>
            </w:pPr>
            <w:r>
              <w:rPr>
                <w:rFonts w:ascii="Times New Roman" w:hAnsi="Times New Roman" w:eastAsia="Times New Roman" w:cs="Times New Roman"/>
                <w:color w:val="000000" w:themeColor="text1"/>
                <w:spacing w:val="-1"/>
                <w:highlight w:val="none"/>
                <w14:textFill>
                  <w14:solidFill>
                    <w14:schemeClr w14:val="tx1"/>
                  </w14:solidFill>
                </w14:textFill>
              </w:rPr>
              <w:t>42.1</w:t>
            </w:r>
            <w:r>
              <w:rPr>
                <w:color w:val="000000" w:themeColor="text1"/>
                <w:spacing w:val="-1"/>
                <w:highlight w:val="none"/>
                <w14:textFill>
                  <w14:solidFill>
                    <w14:schemeClr w14:val="tx1"/>
                  </w14:solidFill>
                </w14:textFill>
              </w:rPr>
              <w:t>℃</w:t>
            </w:r>
          </w:p>
        </w:tc>
      </w:tr>
      <w:tr w14:paraId="3E64DD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4267" w:type="dxa"/>
            <w:tcBorders>
              <w:left w:val="single" w:color="000000" w:sz="10" w:space="0"/>
            </w:tcBorders>
            <w:vAlign w:val="center"/>
          </w:tcPr>
          <w:p w14:paraId="34FEFCA7">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年极端最低气温</w:t>
            </w:r>
          </w:p>
        </w:tc>
        <w:tc>
          <w:tcPr>
            <w:tcW w:w="4265" w:type="dxa"/>
            <w:tcBorders>
              <w:right w:val="single" w:color="000000" w:sz="10" w:space="0"/>
            </w:tcBorders>
            <w:vAlign w:val="center"/>
          </w:tcPr>
          <w:p w14:paraId="7945381D">
            <w:pPr>
              <w:pStyle w:val="59"/>
              <w:keepNext w:val="0"/>
              <w:keepLines w:val="0"/>
              <w:pageBreakBefore w:val="0"/>
              <w:widowControl/>
              <w:kinsoku/>
              <w:wordWrap w:val="0"/>
              <w:overflowPunct/>
              <w:topLinePunct w:val="0"/>
              <w:autoSpaceDE/>
              <w:autoSpaceDN/>
              <w:bidi w:val="0"/>
              <w:adjustRightInd/>
              <w:snapToGrid/>
              <w:spacing w:line="237" w:lineRule="auto"/>
              <w:ind w:left="0"/>
              <w:jc w:val="center"/>
              <w:textAlignment w:val="auto"/>
              <w:rPr>
                <w:color w:val="000000" w:themeColor="text1"/>
                <w:highlight w:val="none"/>
                <w14:textFill>
                  <w14:solidFill>
                    <w14:schemeClr w14:val="tx1"/>
                  </w14:solidFill>
                </w14:textFill>
              </w:rPr>
            </w:pPr>
            <w:r>
              <w:rPr>
                <w:rFonts w:ascii="Times New Roman" w:hAnsi="Times New Roman" w:eastAsia="Times New Roman" w:cs="Times New Roman"/>
                <w:color w:val="000000" w:themeColor="text1"/>
                <w:spacing w:val="-2"/>
                <w:highlight w:val="none"/>
                <w14:textFill>
                  <w14:solidFill>
                    <w14:schemeClr w14:val="tx1"/>
                  </w14:solidFill>
                </w14:textFill>
              </w:rPr>
              <w:t>-42.3</w:t>
            </w:r>
            <w:r>
              <w:rPr>
                <w:color w:val="000000" w:themeColor="text1"/>
                <w:spacing w:val="-2"/>
                <w:highlight w:val="none"/>
                <w14:textFill>
                  <w14:solidFill>
                    <w14:schemeClr w14:val="tx1"/>
                  </w14:solidFill>
                </w14:textFill>
              </w:rPr>
              <w:t>℃</w:t>
            </w:r>
          </w:p>
        </w:tc>
      </w:tr>
      <w:tr w14:paraId="4AF25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4267" w:type="dxa"/>
            <w:tcBorders>
              <w:left w:val="single" w:color="000000" w:sz="10" w:space="0"/>
            </w:tcBorders>
            <w:vAlign w:val="center"/>
          </w:tcPr>
          <w:p w14:paraId="34734807">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年平均气温</w:t>
            </w:r>
          </w:p>
        </w:tc>
        <w:tc>
          <w:tcPr>
            <w:tcW w:w="4265" w:type="dxa"/>
            <w:tcBorders>
              <w:right w:val="single" w:color="000000" w:sz="10" w:space="0"/>
            </w:tcBorders>
            <w:vAlign w:val="center"/>
          </w:tcPr>
          <w:p w14:paraId="1111C61D">
            <w:pPr>
              <w:pStyle w:val="59"/>
              <w:keepNext w:val="0"/>
              <w:keepLines w:val="0"/>
              <w:pageBreakBefore w:val="0"/>
              <w:widowControl/>
              <w:kinsoku/>
              <w:wordWrap w:val="0"/>
              <w:overflowPunct/>
              <w:topLinePunct w:val="0"/>
              <w:autoSpaceDE/>
              <w:autoSpaceDN/>
              <w:bidi w:val="0"/>
              <w:adjustRightInd/>
              <w:snapToGrid/>
              <w:spacing w:line="237" w:lineRule="auto"/>
              <w:ind w:left="0"/>
              <w:jc w:val="center"/>
              <w:textAlignment w:val="auto"/>
              <w:rPr>
                <w:color w:val="000000" w:themeColor="text1"/>
                <w:highlight w:val="none"/>
                <w14:textFill>
                  <w14:solidFill>
                    <w14:schemeClr w14:val="tx1"/>
                  </w14:solidFill>
                </w14:textFill>
              </w:rPr>
            </w:pPr>
            <w:r>
              <w:rPr>
                <w:rFonts w:ascii="Times New Roman" w:hAnsi="Times New Roman" w:eastAsia="Times New Roman" w:cs="Times New Roman"/>
                <w:color w:val="000000" w:themeColor="text1"/>
                <w:spacing w:val="-2"/>
                <w:highlight w:val="none"/>
                <w14:textFill>
                  <w14:solidFill>
                    <w14:schemeClr w14:val="tx1"/>
                  </w14:solidFill>
                </w14:textFill>
              </w:rPr>
              <w:t>6.7</w:t>
            </w:r>
            <w:r>
              <w:rPr>
                <w:color w:val="000000" w:themeColor="text1"/>
                <w:spacing w:val="-2"/>
                <w:highlight w:val="none"/>
                <w14:textFill>
                  <w14:solidFill>
                    <w14:schemeClr w14:val="tx1"/>
                  </w14:solidFill>
                </w14:textFill>
              </w:rPr>
              <w:t>℃</w:t>
            </w:r>
          </w:p>
        </w:tc>
      </w:tr>
      <w:tr w14:paraId="1923B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267" w:type="dxa"/>
            <w:tcBorders>
              <w:left w:val="single" w:color="000000" w:sz="10" w:space="0"/>
            </w:tcBorders>
            <w:vAlign w:val="center"/>
          </w:tcPr>
          <w:p w14:paraId="3473CF86">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年积温</w:t>
            </w:r>
          </w:p>
        </w:tc>
        <w:tc>
          <w:tcPr>
            <w:tcW w:w="4265" w:type="dxa"/>
            <w:tcBorders>
              <w:right w:val="single" w:color="000000" w:sz="10" w:space="0"/>
            </w:tcBorders>
            <w:vAlign w:val="center"/>
          </w:tcPr>
          <w:p w14:paraId="6366839D">
            <w:pPr>
              <w:pStyle w:val="59"/>
              <w:keepNext w:val="0"/>
              <w:keepLines w:val="0"/>
              <w:pageBreakBefore w:val="0"/>
              <w:widowControl/>
              <w:kinsoku/>
              <w:wordWrap w:val="0"/>
              <w:overflowPunct/>
              <w:topLinePunct w:val="0"/>
              <w:autoSpaceDE/>
              <w:autoSpaceDN/>
              <w:bidi w:val="0"/>
              <w:adjustRightInd/>
              <w:snapToGrid/>
              <w:spacing w:line="237" w:lineRule="auto"/>
              <w:ind w:left="0"/>
              <w:jc w:val="center"/>
              <w:textAlignment w:val="auto"/>
              <w:rPr>
                <w:color w:val="000000" w:themeColor="text1"/>
                <w:highlight w:val="none"/>
                <w14:textFill>
                  <w14:solidFill>
                    <w14:schemeClr w14:val="tx1"/>
                  </w14:solidFill>
                </w14:textFill>
              </w:rPr>
            </w:pPr>
            <w:r>
              <w:rPr>
                <w:rFonts w:ascii="Times New Roman" w:hAnsi="Times New Roman" w:eastAsia="Times New Roman" w:cs="Times New Roman"/>
                <w:color w:val="000000" w:themeColor="text1"/>
                <w:spacing w:val="-2"/>
                <w:highlight w:val="none"/>
                <w14:textFill>
                  <w14:solidFill>
                    <w14:schemeClr w14:val="tx1"/>
                  </w14:solidFill>
                </w14:textFill>
              </w:rPr>
              <w:t>3622</w:t>
            </w:r>
            <w:r>
              <w:rPr>
                <w:color w:val="000000" w:themeColor="text1"/>
                <w:spacing w:val="-2"/>
                <w:highlight w:val="none"/>
                <w14:textFill>
                  <w14:solidFill>
                    <w14:schemeClr w14:val="tx1"/>
                  </w14:solidFill>
                </w14:textFill>
              </w:rPr>
              <w:t>℃</w:t>
            </w:r>
          </w:p>
        </w:tc>
      </w:tr>
      <w:tr w14:paraId="06146F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267" w:type="dxa"/>
            <w:tcBorders>
              <w:left w:val="single" w:color="000000" w:sz="10" w:space="0"/>
            </w:tcBorders>
            <w:vAlign w:val="center"/>
          </w:tcPr>
          <w:p w14:paraId="5D257C43">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冬季积雪平均深度</w:t>
            </w:r>
          </w:p>
        </w:tc>
        <w:tc>
          <w:tcPr>
            <w:tcW w:w="4265" w:type="dxa"/>
            <w:tcBorders>
              <w:right w:val="single" w:color="000000" w:sz="10" w:space="0"/>
            </w:tcBorders>
            <w:vAlign w:val="center"/>
          </w:tcPr>
          <w:p w14:paraId="3041CECA">
            <w:pPr>
              <w:keepNext w:val="0"/>
              <w:keepLines w:val="0"/>
              <w:pageBreakBefore w:val="0"/>
              <w:widowControl/>
              <w:kinsoku/>
              <w:wordWrap w:val="0"/>
              <w:overflowPunct/>
              <w:topLinePunct w:val="0"/>
              <w:autoSpaceDE/>
              <w:autoSpaceDN/>
              <w:bidi w:val="0"/>
              <w:adjustRightInd/>
              <w:snapToGrid/>
              <w:spacing w:line="187" w:lineRule="auto"/>
              <w:ind w:left="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1"/>
                <w:sz w:val="21"/>
                <w:szCs w:val="21"/>
                <w:highlight w:val="none"/>
                <w14:textFill>
                  <w14:solidFill>
                    <w14:schemeClr w14:val="tx1"/>
                  </w14:solidFill>
                </w14:textFill>
              </w:rPr>
              <w:t>200mm</w:t>
            </w:r>
          </w:p>
        </w:tc>
      </w:tr>
      <w:tr w14:paraId="2D4FC5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4267" w:type="dxa"/>
            <w:tcBorders>
              <w:left w:val="single" w:color="000000" w:sz="10" w:space="0"/>
            </w:tcBorders>
            <w:vAlign w:val="center"/>
          </w:tcPr>
          <w:p w14:paraId="1AA8F810">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年最大降水量：</w:t>
            </w:r>
          </w:p>
        </w:tc>
        <w:tc>
          <w:tcPr>
            <w:tcW w:w="4265" w:type="dxa"/>
            <w:tcBorders>
              <w:right w:val="single" w:color="000000" w:sz="10" w:space="0"/>
            </w:tcBorders>
            <w:vAlign w:val="center"/>
          </w:tcPr>
          <w:p w14:paraId="4179E358">
            <w:pPr>
              <w:keepNext w:val="0"/>
              <w:keepLines w:val="0"/>
              <w:pageBreakBefore w:val="0"/>
              <w:widowControl/>
              <w:kinsoku/>
              <w:wordWrap w:val="0"/>
              <w:overflowPunct/>
              <w:topLinePunct w:val="0"/>
              <w:autoSpaceDE/>
              <w:autoSpaceDN/>
              <w:bidi w:val="0"/>
              <w:adjustRightInd/>
              <w:snapToGrid/>
              <w:spacing w:line="187" w:lineRule="auto"/>
              <w:ind w:left="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1"/>
                <w:sz w:val="21"/>
                <w:szCs w:val="21"/>
                <w:highlight w:val="none"/>
                <w14:textFill>
                  <w14:solidFill>
                    <w14:schemeClr w14:val="tx1"/>
                  </w14:solidFill>
                </w14:textFill>
              </w:rPr>
              <w:t>251mm</w:t>
            </w:r>
          </w:p>
        </w:tc>
      </w:tr>
      <w:tr w14:paraId="76D01F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 w:hRule="atLeast"/>
          <w:jc w:val="center"/>
        </w:trPr>
        <w:tc>
          <w:tcPr>
            <w:tcW w:w="4267" w:type="dxa"/>
            <w:tcBorders>
              <w:left w:val="single" w:color="000000" w:sz="10" w:space="0"/>
            </w:tcBorders>
            <w:vAlign w:val="center"/>
          </w:tcPr>
          <w:p w14:paraId="45815CC2">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年最小降水量</w:t>
            </w:r>
          </w:p>
        </w:tc>
        <w:tc>
          <w:tcPr>
            <w:tcW w:w="4265" w:type="dxa"/>
            <w:tcBorders>
              <w:right w:val="single" w:color="000000" w:sz="10" w:space="0"/>
            </w:tcBorders>
            <w:vAlign w:val="center"/>
          </w:tcPr>
          <w:p w14:paraId="2D8BF5B2">
            <w:pPr>
              <w:keepNext w:val="0"/>
              <w:keepLines w:val="0"/>
              <w:pageBreakBefore w:val="0"/>
              <w:widowControl/>
              <w:kinsoku/>
              <w:wordWrap w:val="0"/>
              <w:overflowPunct/>
              <w:topLinePunct w:val="0"/>
              <w:autoSpaceDE/>
              <w:autoSpaceDN/>
              <w:bidi w:val="0"/>
              <w:adjustRightInd/>
              <w:snapToGrid/>
              <w:spacing w:line="187" w:lineRule="auto"/>
              <w:ind w:left="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1"/>
                <w:sz w:val="21"/>
                <w:szCs w:val="21"/>
                <w:highlight w:val="none"/>
                <w14:textFill>
                  <w14:solidFill>
                    <w14:schemeClr w14:val="tx1"/>
                  </w14:solidFill>
                </w14:textFill>
              </w:rPr>
              <w:t>92.6mm</w:t>
            </w:r>
          </w:p>
        </w:tc>
      </w:tr>
      <w:tr w14:paraId="24E419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267" w:type="dxa"/>
            <w:tcBorders>
              <w:left w:val="single" w:color="000000" w:sz="10" w:space="0"/>
            </w:tcBorders>
            <w:vAlign w:val="center"/>
          </w:tcPr>
          <w:p w14:paraId="61C28013">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年平均降水量</w:t>
            </w:r>
          </w:p>
        </w:tc>
        <w:tc>
          <w:tcPr>
            <w:tcW w:w="4265" w:type="dxa"/>
            <w:tcBorders>
              <w:right w:val="single" w:color="000000" w:sz="10" w:space="0"/>
            </w:tcBorders>
            <w:vAlign w:val="center"/>
          </w:tcPr>
          <w:p w14:paraId="4AF38FA6">
            <w:pPr>
              <w:keepNext w:val="0"/>
              <w:keepLines w:val="0"/>
              <w:pageBreakBefore w:val="0"/>
              <w:widowControl/>
              <w:kinsoku/>
              <w:wordWrap w:val="0"/>
              <w:overflowPunct/>
              <w:topLinePunct w:val="0"/>
              <w:autoSpaceDE/>
              <w:autoSpaceDN/>
              <w:bidi w:val="0"/>
              <w:adjustRightInd/>
              <w:snapToGrid/>
              <w:spacing w:line="187" w:lineRule="auto"/>
              <w:ind w:left="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165.9mm</w:t>
            </w:r>
          </w:p>
        </w:tc>
      </w:tr>
      <w:tr w14:paraId="1E2B9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267" w:type="dxa"/>
            <w:tcBorders>
              <w:left w:val="single" w:color="000000" w:sz="10" w:space="0"/>
            </w:tcBorders>
            <w:vAlign w:val="center"/>
          </w:tcPr>
          <w:p w14:paraId="0141C43F">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1"/>
                <w:highlight w:val="none"/>
                <w14:textFill>
                  <w14:solidFill>
                    <w14:schemeClr w14:val="tx1"/>
                  </w14:solidFill>
                </w14:textFill>
              </w:rPr>
              <w:t>年平均蒸发量</w:t>
            </w:r>
          </w:p>
        </w:tc>
        <w:tc>
          <w:tcPr>
            <w:tcW w:w="4265" w:type="dxa"/>
            <w:tcBorders>
              <w:right w:val="single" w:color="000000" w:sz="10" w:space="0"/>
            </w:tcBorders>
            <w:vAlign w:val="center"/>
          </w:tcPr>
          <w:p w14:paraId="56A75CC9">
            <w:pPr>
              <w:keepNext w:val="0"/>
              <w:keepLines w:val="0"/>
              <w:pageBreakBefore w:val="0"/>
              <w:widowControl/>
              <w:kinsoku/>
              <w:wordWrap w:val="0"/>
              <w:overflowPunct/>
              <w:topLinePunct w:val="0"/>
              <w:autoSpaceDE/>
              <w:autoSpaceDN/>
              <w:bidi w:val="0"/>
              <w:adjustRightInd/>
              <w:snapToGrid/>
              <w:spacing w:line="187" w:lineRule="auto"/>
              <w:ind w:left="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3"/>
                <w:sz w:val="21"/>
                <w:szCs w:val="21"/>
                <w:highlight w:val="none"/>
                <w14:textFill>
                  <w14:solidFill>
                    <w14:schemeClr w14:val="tx1"/>
                  </w14:solidFill>
                </w14:textFill>
              </w:rPr>
              <w:t>1775.9mm</w:t>
            </w:r>
          </w:p>
        </w:tc>
      </w:tr>
      <w:tr w14:paraId="526D28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267" w:type="dxa"/>
            <w:tcBorders>
              <w:left w:val="single" w:color="000000" w:sz="10" w:space="0"/>
            </w:tcBorders>
            <w:vAlign w:val="center"/>
          </w:tcPr>
          <w:p w14:paraId="089609E3">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年日照数</w:t>
            </w:r>
          </w:p>
        </w:tc>
        <w:tc>
          <w:tcPr>
            <w:tcW w:w="4265" w:type="dxa"/>
            <w:tcBorders>
              <w:right w:val="single" w:color="000000" w:sz="10" w:space="0"/>
            </w:tcBorders>
            <w:vAlign w:val="center"/>
          </w:tcPr>
          <w:p w14:paraId="3945ADEE">
            <w:pPr>
              <w:keepNext w:val="0"/>
              <w:keepLines w:val="0"/>
              <w:pageBreakBefore w:val="0"/>
              <w:widowControl/>
              <w:kinsoku/>
              <w:wordWrap w:val="0"/>
              <w:overflowPunct/>
              <w:topLinePunct w:val="0"/>
              <w:autoSpaceDE/>
              <w:autoSpaceDN/>
              <w:bidi w:val="0"/>
              <w:adjustRightInd/>
              <w:snapToGrid/>
              <w:spacing w:line="191" w:lineRule="auto"/>
              <w:ind w:left="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1"/>
                <w:sz w:val="21"/>
                <w:szCs w:val="21"/>
                <w:highlight w:val="none"/>
                <w14:textFill>
                  <w14:solidFill>
                    <w14:schemeClr w14:val="tx1"/>
                  </w14:solidFill>
                </w14:textFill>
              </w:rPr>
              <w:t>2820h</w:t>
            </w:r>
          </w:p>
        </w:tc>
      </w:tr>
      <w:tr w14:paraId="4F1830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267" w:type="dxa"/>
            <w:tcBorders>
              <w:left w:val="single" w:color="000000" w:sz="10" w:space="0"/>
            </w:tcBorders>
            <w:vAlign w:val="center"/>
          </w:tcPr>
          <w:p w14:paraId="46CB4289">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7"/>
                <w:highlight w:val="none"/>
                <w14:textFill>
                  <w14:solidFill>
                    <w14:schemeClr w14:val="tx1"/>
                  </w14:solidFill>
                </w14:textFill>
              </w:rPr>
              <w:t>最大风速：</w:t>
            </w:r>
          </w:p>
        </w:tc>
        <w:tc>
          <w:tcPr>
            <w:tcW w:w="4265" w:type="dxa"/>
            <w:tcBorders>
              <w:right w:val="single" w:color="000000" w:sz="10" w:space="0"/>
            </w:tcBorders>
            <w:vAlign w:val="center"/>
          </w:tcPr>
          <w:p w14:paraId="085B42CD">
            <w:pPr>
              <w:keepNext w:val="0"/>
              <w:keepLines w:val="0"/>
              <w:pageBreakBefore w:val="0"/>
              <w:widowControl/>
              <w:kinsoku/>
              <w:wordWrap w:val="0"/>
              <w:overflowPunct/>
              <w:topLinePunct w:val="0"/>
              <w:autoSpaceDE/>
              <w:autoSpaceDN/>
              <w:bidi w:val="0"/>
              <w:adjustRightInd/>
              <w:snapToGrid/>
              <w:spacing w:line="190" w:lineRule="auto"/>
              <w:ind w:left="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1"/>
                <w:sz w:val="21"/>
                <w:szCs w:val="21"/>
                <w:highlight w:val="none"/>
                <w14:textFill>
                  <w14:solidFill>
                    <w14:schemeClr w14:val="tx1"/>
                  </w14:solidFill>
                </w14:textFill>
              </w:rPr>
              <w:t>4-13m/s</w:t>
            </w:r>
          </w:p>
        </w:tc>
      </w:tr>
      <w:tr w14:paraId="25EFC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4267" w:type="dxa"/>
            <w:tcBorders>
              <w:left w:val="single" w:color="000000" w:sz="10" w:space="0"/>
            </w:tcBorders>
            <w:vAlign w:val="center"/>
          </w:tcPr>
          <w:p w14:paraId="1A5827E2">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rFonts w:ascii="宋体" w:hAnsi="宋体" w:eastAsia="宋体" w:cs="宋体"/>
                <w:color w:val="000000" w:themeColor="text1"/>
                <w:spacing w:val="-7"/>
                <w:highlight w:val="none"/>
                <w14:textFill>
                  <w14:solidFill>
                    <w14:schemeClr w14:val="tx1"/>
                  </w14:solidFill>
                </w14:textFill>
              </w:rPr>
            </w:pPr>
            <w:r>
              <w:rPr>
                <w:rFonts w:ascii="宋体" w:hAnsi="宋体" w:eastAsia="宋体" w:cs="宋体"/>
                <w:color w:val="000000" w:themeColor="text1"/>
                <w:spacing w:val="-7"/>
                <w:highlight w:val="none"/>
                <w14:textFill>
                  <w14:solidFill>
                    <w14:schemeClr w14:val="tx1"/>
                  </w14:solidFill>
                </w14:textFill>
              </w:rPr>
              <w:t>年主导风向：</w:t>
            </w:r>
          </w:p>
        </w:tc>
        <w:tc>
          <w:tcPr>
            <w:tcW w:w="4265" w:type="dxa"/>
            <w:tcBorders>
              <w:right w:val="single" w:color="000000" w:sz="10" w:space="0"/>
            </w:tcBorders>
            <w:vAlign w:val="center"/>
          </w:tcPr>
          <w:p w14:paraId="14648E17">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rFonts w:ascii="宋体" w:hAnsi="宋体" w:eastAsia="宋体" w:cs="宋体"/>
                <w:color w:val="000000" w:themeColor="text1"/>
                <w:spacing w:val="-7"/>
                <w:highlight w:val="none"/>
                <w14:textFill>
                  <w14:solidFill>
                    <w14:schemeClr w14:val="tx1"/>
                  </w14:solidFill>
                </w14:textFill>
              </w:rPr>
            </w:pPr>
            <w:r>
              <w:rPr>
                <w:rFonts w:ascii="宋体" w:hAnsi="宋体" w:eastAsia="宋体" w:cs="宋体"/>
                <w:color w:val="000000" w:themeColor="text1"/>
                <w:spacing w:val="-7"/>
                <w:highlight w:val="none"/>
                <w14:textFill>
                  <w14:solidFill>
                    <w14:schemeClr w14:val="tx1"/>
                  </w14:solidFill>
                </w14:textFill>
              </w:rPr>
              <w:t>西风</w:t>
            </w:r>
          </w:p>
        </w:tc>
      </w:tr>
      <w:tr w14:paraId="76933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5" w:hRule="atLeast"/>
          <w:jc w:val="center"/>
        </w:trPr>
        <w:tc>
          <w:tcPr>
            <w:tcW w:w="4267" w:type="dxa"/>
            <w:tcBorders>
              <w:left w:val="single" w:color="000000" w:sz="10" w:space="0"/>
            </w:tcBorders>
            <w:vAlign w:val="center"/>
          </w:tcPr>
          <w:p w14:paraId="54EC570F">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2"/>
                <w:highlight w:val="none"/>
                <w14:textFill>
                  <w14:solidFill>
                    <w14:schemeClr w14:val="tx1"/>
                  </w14:solidFill>
                </w14:textFill>
              </w:rPr>
              <w:t>无霜期：</w:t>
            </w:r>
          </w:p>
        </w:tc>
        <w:tc>
          <w:tcPr>
            <w:tcW w:w="4265" w:type="dxa"/>
            <w:tcBorders>
              <w:right w:val="single" w:color="000000" w:sz="10" w:space="0"/>
            </w:tcBorders>
            <w:vAlign w:val="center"/>
          </w:tcPr>
          <w:p w14:paraId="217A0744">
            <w:pPr>
              <w:keepNext w:val="0"/>
              <w:keepLines w:val="0"/>
              <w:pageBreakBefore w:val="0"/>
              <w:widowControl/>
              <w:kinsoku/>
              <w:wordWrap w:val="0"/>
              <w:overflowPunct/>
              <w:topLinePunct w:val="0"/>
              <w:autoSpaceDE/>
              <w:autoSpaceDN/>
              <w:bidi w:val="0"/>
              <w:adjustRightInd/>
              <w:snapToGrid/>
              <w:spacing w:line="191" w:lineRule="auto"/>
              <w:ind w:left="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5"/>
                <w:sz w:val="21"/>
                <w:szCs w:val="21"/>
                <w:highlight w:val="none"/>
                <w14:textFill>
                  <w14:solidFill>
                    <w14:schemeClr w14:val="tx1"/>
                  </w14:solidFill>
                </w14:textFill>
              </w:rPr>
              <w:t>164d</w:t>
            </w:r>
          </w:p>
        </w:tc>
      </w:tr>
      <w:tr w14:paraId="4BA120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6" w:hRule="atLeast"/>
          <w:jc w:val="center"/>
        </w:trPr>
        <w:tc>
          <w:tcPr>
            <w:tcW w:w="4267" w:type="dxa"/>
            <w:tcBorders>
              <w:left w:val="single" w:color="000000" w:sz="10" w:space="0"/>
              <w:bottom w:val="single" w:color="000000" w:sz="10" w:space="0"/>
            </w:tcBorders>
            <w:vAlign w:val="center"/>
          </w:tcPr>
          <w:p w14:paraId="1E4AE13B">
            <w:pPr>
              <w:pStyle w:val="59"/>
              <w:keepNext w:val="0"/>
              <w:keepLines w:val="0"/>
              <w:pageBreakBefore w:val="0"/>
              <w:widowControl/>
              <w:kinsoku/>
              <w:wordWrap w:val="0"/>
              <w:overflowPunct/>
              <w:topLinePunct w:val="0"/>
              <w:autoSpaceDE/>
              <w:autoSpaceDN/>
              <w:bidi w:val="0"/>
              <w:adjustRightInd/>
              <w:snapToGrid/>
              <w:spacing w:line="221" w:lineRule="auto"/>
              <w:ind w:left="0"/>
              <w:jc w:val="center"/>
              <w:textAlignment w:val="auto"/>
              <w:rPr>
                <w:color w:val="000000" w:themeColor="text1"/>
                <w:highlight w:val="none"/>
                <w14:textFill>
                  <w14:solidFill>
                    <w14:schemeClr w14:val="tx1"/>
                  </w14:solidFill>
                </w14:textFill>
              </w:rPr>
            </w:pPr>
            <w:r>
              <w:rPr>
                <w:color w:val="000000" w:themeColor="text1"/>
                <w:spacing w:val="-5"/>
                <w:highlight w:val="none"/>
                <w14:textFill>
                  <w14:solidFill>
                    <w14:schemeClr w14:val="tx1"/>
                  </w14:solidFill>
                </w14:textFill>
              </w:rPr>
              <w:t>最大冻土厚度：</w:t>
            </w:r>
          </w:p>
        </w:tc>
        <w:tc>
          <w:tcPr>
            <w:tcW w:w="4265" w:type="dxa"/>
            <w:tcBorders>
              <w:bottom w:val="single" w:color="000000" w:sz="10" w:space="0"/>
              <w:right w:val="single" w:color="000000" w:sz="10" w:space="0"/>
            </w:tcBorders>
            <w:vAlign w:val="center"/>
          </w:tcPr>
          <w:p w14:paraId="04DE8A67">
            <w:pPr>
              <w:keepNext w:val="0"/>
              <w:keepLines w:val="0"/>
              <w:pageBreakBefore w:val="0"/>
              <w:widowControl/>
              <w:kinsoku/>
              <w:wordWrap w:val="0"/>
              <w:overflowPunct/>
              <w:topLinePunct w:val="0"/>
              <w:autoSpaceDE/>
              <w:autoSpaceDN/>
              <w:bidi w:val="0"/>
              <w:adjustRightInd/>
              <w:snapToGrid/>
              <w:spacing w:line="187" w:lineRule="auto"/>
              <w:ind w:left="0"/>
              <w:jc w:val="center"/>
              <w:textAlignment w:val="auto"/>
              <w:rPr>
                <w:rFonts w:ascii="Times New Roman" w:hAnsi="Times New Roman" w:eastAsia="Times New Roman" w:cs="Times New Roman"/>
                <w:color w:val="000000" w:themeColor="text1"/>
                <w:sz w:val="21"/>
                <w:szCs w:val="21"/>
                <w:highlight w:val="none"/>
                <w14:textFill>
                  <w14:solidFill>
                    <w14:schemeClr w14:val="tx1"/>
                  </w14:solidFill>
                </w14:textFill>
              </w:rPr>
            </w:pPr>
            <w:r>
              <w:rPr>
                <w:rFonts w:ascii="Times New Roman" w:hAnsi="Times New Roman" w:eastAsia="Times New Roman" w:cs="Times New Roman"/>
                <w:color w:val="000000" w:themeColor="text1"/>
                <w:spacing w:val="-4"/>
                <w:sz w:val="21"/>
                <w:szCs w:val="21"/>
                <w:highlight w:val="none"/>
                <w14:textFill>
                  <w14:solidFill>
                    <w14:schemeClr w14:val="tx1"/>
                  </w14:solidFill>
                </w14:textFill>
              </w:rPr>
              <w:t>123cm</w:t>
            </w:r>
          </w:p>
        </w:tc>
      </w:tr>
    </w:tbl>
    <w:p w14:paraId="3F2261E4">
      <w:pPr>
        <w:pStyle w:val="4"/>
        <w:bidi w:val="0"/>
        <w:rPr>
          <w:rFonts w:hint="default" w:eastAsia="宋体"/>
          <w:color w:val="000000" w:themeColor="text1"/>
          <w:highlight w:val="none"/>
          <w:lang w:val="en-US" w:eastAsia="zh-CN"/>
          <w14:textFill>
            <w14:solidFill>
              <w14:schemeClr w14:val="tx1"/>
            </w14:solidFill>
          </w14:textFill>
        </w:rPr>
      </w:pPr>
      <w:bookmarkStart w:id="189" w:name="_Toc32377"/>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6</w:t>
      </w:r>
      <w:bookmarkEnd w:id="189"/>
      <w:r>
        <w:rPr>
          <w:rStyle w:val="39"/>
          <w:rFonts w:hint="eastAsia"/>
          <w:b/>
          <w:color w:val="000000" w:themeColor="text1"/>
          <w:highlight w:val="none"/>
          <w:lang w:val="en-US" w:eastAsia="zh-CN"/>
          <w14:textFill>
            <w14:solidFill>
              <w14:schemeClr w14:val="tx1"/>
            </w14:solidFill>
          </w14:textFill>
        </w:rPr>
        <w:t>动植物</w:t>
      </w:r>
    </w:p>
    <w:p w14:paraId="5FB61CDC">
      <w:pPr>
        <w:ind w:firstLine="480"/>
        <w:jc w:val="both"/>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根据我国北方天然草场等级划分标准，奎屯河流域山地草场植物种类繁多，禾本科、豆科、莎草科牧草所占比重大，营养价值高，适口性好，利用程度高，且中山以上夏季湿润凉爽，水草丰盛，蚊蝇少，其等级均在一、二等五级之内，为牲畜的优良夏季放牧场。草原带以下地形开阔平缓，降水少，春季冰雪消融快，牧草萌发早，牧草种类主要是针茅、羊茅及杂类草，其等级为三等五级，为主要的春秋放牧场。</w:t>
      </w:r>
    </w:p>
    <w:p w14:paraId="18440666">
      <w:pPr>
        <w:ind w:firstLine="480"/>
        <w:jc w:val="both"/>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全流域地貌分山区和平原区，山区分高中山区和低山丘陵区；平原区山前冲洪积平原、冲积平原、风积平原、冲湖积细土平原。</w:t>
      </w:r>
    </w:p>
    <w:p w14:paraId="7B7FCA78">
      <w:pPr>
        <w:ind w:firstLine="480"/>
        <w:jc w:val="both"/>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高中山区分布在海拔1000～3800m及3800m以上，3800m以上高山永久冰雪覆盖，无人类活动，是流域的重要水源地。3200～2400m为高寒草甸草原，是优良的夏牧场。低山丘陵区海拔1000～500m，分布山地寒温带草原带，是冬夏秋牧场。低山丘陵区主要植被为小半灌木、灌木和蒿类。其种类有小蓬、驼绒藜、珠芽蓼、木地肤、喀什蒿、博乐蒿等，伴生有角果藜及早春短命植物，草层高10-40cm，覆盖度35%左右。</w:t>
      </w:r>
    </w:p>
    <w:p w14:paraId="078C7255">
      <w:pPr>
        <w:ind w:firstLine="480"/>
        <w:jc w:val="both"/>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平原区分布在海拔540～200m，依次为干旱荒漠草原、绿洲农业区、固定半固定沙丘并伴有耐旱植被等。自然植被平原区分布在海拔540～200m，依次为干旱荒漠草原、绿洲农业区、固定半固定沙丘并伴有耐旱植被等。自然植被有芦苇、藨草、香蒲、泽泻、芨芨草、拂子茅、三叶草、甘草、苦豆子、骆驼刺等草甸植被；草甸外围盐土上生长有花花柴、猪毛菜、碱蓬、盐节木、盐穗木、盐爪爪、柽柳、黑枸杞等盐生植被，草层高27-50cm，覆盖度30-40％，为牧业的辅助性放牧地。</w:t>
      </w:r>
    </w:p>
    <w:p w14:paraId="491718B2">
      <w:pPr>
        <w:ind w:firstLine="480"/>
        <w:jc w:val="both"/>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在固定、半固定沙丘及细土平原主要植被有琵琶柴、猪毛菜、茵陈蒿、骆驼刺、花花柴、碱蓬、盐节木、盐穗木、盐爪爪、柽柳、梭梭等，在下游两岸水分条件较好的一、二级阶地上，分布有胡杨、沙枣片林、林下生长有梭梭、柽柳、驼绒藜、甘草、苦豆子、芦苇和芨芨草等，草层高20-30cm，高者可达100cm以上，覆盖度20％，为春秋牧场。</w:t>
      </w:r>
    </w:p>
    <w:p w14:paraId="61723E79">
      <w:pPr>
        <w:ind w:firstLine="480"/>
        <w:jc w:val="both"/>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ascii="Times New Roman" w:hAnsi="Times New Roman" w:cs="Times New Roman"/>
          <w:color w:val="000000" w:themeColor="text1"/>
          <w:highlight w:val="none"/>
          <w:lang w:val="en-US"/>
          <w14:textFill>
            <w14:solidFill>
              <w14:schemeClr w14:val="tx1"/>
            </w14:solidFill>
          </w14:textFill>
        </w:rPr>
        <w:t>根据收集资料和现场踏勘，</w:t>
      </w:r>
      <w:r>
        <w:rPr>
          <w:rFonts w:hint="eastAsia" w:ascii="Times New Roman" w:hAnsi="Times New Roman" w:cs="Times New Roman"/>
          <w:color w:val="000000" w:themeColor="text1"/>
          <w:highlight w:val="none"/>
          <w:lang w:val="en-US" w:eastAsia="zh-CN"/>
          <w14:textFill>
            <w14:solidFill>
              <w14:schemeClr w14:val="tx1"/>
            </w14:solidFill>
          </w14:textFill>
        </w:rPr>
        <w:t>项目区为</w:t>
      </w:r>
      <w:r>
        <w:rPr>
          <w:rFonts w:hint="eastAsia" w:cs="Times New Roman"/>
          <w:color w:val="000000" w:themeColor="text1"/>
          <w:highlight w:val="none"/>
          <w:lang w:val="en-US" w:eastAsia="zh-CN"/>
          <w14:textFill>
            <w14:solidFill>
              <w14:schemeClr w14:val="tx1"/>
            </w14:solidFill>
          </w14:textFill>
        </w:rPr>
        <w:t>125</w:t>
      </w:r>
      <w:r>
        <w:rPr>
          <w:rFonts w:hint="eastAsia" w:ascii="Times New Roman" w:hAnsi="Times New Roman" w:cs="Times New Roman"/>
          <w:color w:val="000000" w:themeColor="text1"/>
          <w:highlight w:val="none"/>
          <w:lang w:val="en-US" w:eastAsia="zh-CN"/>
          <w14:textFill>
            <w14:solidFill>
              <w14:schemeClr w14:val="tx1"/>
            </w14:solidFill>
          </w14:textFill>
        </w:rPr>
        <w:t>团</w:t>
      </w:r>
      <w:r>
        <w:rPr>
          <w:rFonts w:hint="eastAsia" w:cs="Times New Roman"/>
          <w:color w:val="000000" w:themeColor="text1"/>
          <w:highlight w:val="none"/>
          <w:lang w:val="en-US" w:eastAsia="zh-CN"/>
          <w14:textFill>
            <w14:solidFill>
              <w14:schemeClr w14:val="tx1"/>
            </w14:solidFill>
          </w14:textFill>
        </w:rPr>
        <w:t>16</w:t>
      </w:r>
      <w:r>
        <w:rPr>
          <w:rFonts w:hint="eastAsia" w:ascii="Times New Roman" w:hAnsi="Times New Roman" w:cs="Times New Roman"/>
          <w:color w:val="000000" w:themeColor="text1"/>
          <w:highlight w:val="none"/>
          <w:lang w:val="en-US" w:eastAsia="zh-CN"/>
          <w14:textFill>
            <w14:solidFill>
              <w14:schemeClr w14:val="tx1"/>
            </w14:solidFill>
          </w14:textFill>
        </w:rPr>
        <w:t>连的农用设施用地，项目区经建设方场内多年运营，自然植被已少见。项目区周四呈现的植被主要是农田作物，项目</w:t>
      </w:r>
      <w:r>
        <w:rPr>
          <w:rFonts w:hint="default" w:ascii="Times New Roman" w:hAnsi="Times New Roman" w:cs="Times New Roman"/>
          <w:color w:val="000000" w:themeColor="text1"/>
          <w:highlight w:val="none"/>
          <w:lang w:val="en-US"/>
          <w14:textFill>
            <w14:solidFill>
              <w14:schemeClr w14:val="tx1"/>
            </w14:solidFill>
          </w14:textFill>
        </w:rPr>
        <w:t>评价区域内的农作物种类主要有冬(春)小麦、玉米、早熟棉花、哈密瓜田</w:t>
      </w:r>
      <w:r>
        <w:rPr>
          <w:rFonts w:hint="eastAsia" w:ascii="Times New Roman" w:hAnsi="Times New Roman"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highlight w:val="none"/>
          <w:lang w:val="en-US"/>
          <w14:textFill>
            <w14:solidFill>
              <w14:schemeClr w14:val="tx1"/>
            </w14:solidFill>
          </w14:textFill>
        </w:rPr>
        <w:t>苹果、葡萄园</w:t>
      </w:r>
      <w:r>
        <w:rPr>
          <w:rFonts w:hint="eastAsia" w:ascii="Times New Roman" w:hAnsi="Times New Roman" w:cs="Times New Roman"/>
          <w:color w:val="000000" w:themeColor="text1"/>
          <w:highlight w:val="none"/>
          <w:lang w:val="en-US" w:eastAsia="zh-CN"/>
          <w14:textFill>
            <w14:solidFill>
              <w14:schemeClr w14:val="tx1"/>
            </w14:solidFill>
          </w14:textFill>
        </w:rPr>
        <w:t>等</w:t>
      </w:r>
      <w:r>
        <w:rPr>
          <w:rFonts w:hint="default" w:ascii="Times New Roman" w:hAnsi="Times New Roman" w:cs="Times New Roman"/>
          <w:color w:val="000000" w:themeColor="text1"/>
          <w:highlight w:val="none"/>
          <w:lang w:val="en-US"/>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项目区附近由于长期人为活动干扰，已没有大型的动物出没，野生动物有鸟类和啮齿类动物，动物组成简单，数量不多。项目区附近无国家和自治区保护的动物。</w:t>
      </w:r>
    </w:p>
    <w:p w14:paraId="47901006">
      <w:pPr>
        <w:pStyle w:val="4"/>
        <w:rPr>
          <w:color w:val="000000" w:themeColor="text1"/>
          <w:highlight w:val="none"/>
          <w14:textFill>
            <w14:solidFill>
              <w14:schemeClr w14:val="tx1"/>
            </w14:solidFill>
          </w14:textFill>
        </w:rPr>
      </w:pPr>
      <w:bookmarkStart w:id="190" w:name="_Toc8869"/>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土壤</w:t>
      </w:r>
      <w:bookmarkEnd w:id="190"/>
    </w:p>
    <w:p w14:paraId="3F9A7468">
      <w:pPr>
        <w:ind w:firstLine="480"/>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奎屯河流域整个地形受天山山脉影响，地势由东南向西北倾斜，依次分为高山、中低山、丘陵、平原和风积沙漠五个地形带。</w:t>
      </w:r>
    </w:p>
    <w:p w14:paraId="4553ECB6">
      <w:pPr>
        <w:ind w:firstLine="480"/>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流域内土壤、植被分布随着地形、地貌、气候的变化，亦呈现出明显的垂直地带性特点。土壤分布类型自高而低依次分布为基岩－高山草甸土－亚高山草甸土－山地黑钙土－山地栗钙土－灰色森林土－棕钙土－灰漠土。</w:t>
      </w:r>
    </w:p>
    <w:p w14:paraId="1F238AB8">
      <w:pPr>
        <w:ind w:firstLine="480"/>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平原区受区域水文地质条件及人为因素的影响土壤呈现区域土壤特征，分布有沼泽土、草甸土、盐化草甸土、灌耕土、潮土、盐土、固定和半固定风沙土、流动风沙土。</w:t>
      </w:r>
    </w:p>
    <w:p w14:paraId="3BBE3BC2">
      <w:pPr>
        <w:ind w:firstLine="482"/>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b/>
          <w:bCs/>
          <w:color w:val="000000" w:themeColor="text1"/>
          <w:highlight w:val="none"/>
          <w:lang w:val="en-US"/>
          <w14:textFill>
            <w14:solidFill>
              <w14:schemeClr w14:val="tx1"/>
            </w14:solidFill>
          </w14:textFill>
        </w:rPr>
        <w:t>基岩：</w:t>
      </w:r>
      <w:r>
        <w:rPr>
          <w:rFonts w:hint="default" w:ascii="Times New Roman" w:hAnsi="Times New Roman" w:cs="Times New Roman"/>
          <w:color w:val="000000" w:themeColor="text1"/>
          <w:highlight w:val="none"/>
          <w:lang w:val="en-US"/>
          <w14:textFill>
            <w14:solidFill>
              <w14:schemeClr w14:val="tx1"/>
            </w14:solidFill>
          </w14:textFill>
        </w:rPr>
        <w:t>流域内海拔3800m以上是冰雪带，为终年积雪覆盖的冰川雪原，这里现代冰川和积雪作用强烈，山体岩石受冰川作用影响，土壤发育迟缓，少有植被生长，地表裸露。</w:t>
      </w:r>
    </w:p>
    <w:p w14:paraId="17E95EC5">
      <w:pPr>
        <w:ind w:firstLine="482"/>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b/>
          <w:bCs/>
          <w:color w:val="000000" w:themeColor="text1"/>
          <w:highlight w:val="none"/>
          <w:lang w:val="en-US"/>
          <w14:textFill>
            <w14:solidFill>
              <w14:schemeClr w14:val="tx1"/>
            </w14:solidFill>
          </w14:textFill>
        </w:rPr>
        <w:t>高山草甸土和亚高山草甸土：</w:t>
      </w:r>
      <w:r>
        <w:rPr>
          <w:rFonts w:hint="default" w:ascii="Times New Roman" w:hAnsi="Times New Roman" w:cs="Times New Roman"/>
          <w:color w:val="000000" w:themeColor="text1"/>
          <w:highlight w:val="none"/>
          <w:lang w:val="en-US"/>
          <w14:textFill>
            <w14:solidFill>
              <w14:schemeClr w14:val="tx1"/>
            </w14:solidFill>
          </w14:textFill>
        </w:rPr>
        <w:t>海拔2700—3800m山地以冰缘作用为主，山体陡峭，山坡大部分岩石裸露，山体坡度大，土层薄，发育的土壤类型主要有高山草甸土和亚高山草甸土。受海拔高程和气候影响，该地带垫状植被生长良好，主要由蒿草、苔草、珠芽蓼和其它杂草、禾草类组成，植被低矮，覆盖度较大。</w:t>
      </w:r>
    </w:p>
    <w:p w14:paraId="79C12BAB">
      <w:pPr>
        <w:ind w:firstLine="480"/>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color w:val="000000" w:themeColor="text1"/>
          <w:highlight w:val="none"/>
          <w:lang w:val="en-US"/>
          <w14:textFill>
            <w14:solidFill>
              <w14:schemeClr w14:val="tx1"/>
            </w14:solidFill>
          </w14:textFill>
        </w:rPr>
        <w:t>另外，在裸露岩石等石质化强的地段，生长有伏地柏灌丛。</w:t>
      </w:r>
    </w:p>
    <w:p w14:paraId="36B67BDD">
      <w:pPr>
        <w:ind w:firstLine="482"/>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b/>
          <w:bCs/>
          <w:color w:val="000000" w:themeColor="text1"/>
          <w:highlight w:val="none"/>
          <w:lang w:val="en-US"/>
          <w14:textFill>
            <w14:solidFill>
              <w14:schemeClr w14:val="tx1"/>
            </w14:solidFill>
          </w14:textFill>
        </w:rPr>
        <w:t>山地栗钙土、山地黑钙土和灰色森林土：</w:t>
      </w:r>
      <w:r>
        <w:rPr>
          <w:rFonts w:hint="default" w:ascii="Times New Roman" w:hAnsi="Times New Roman" w:cs="Times New Roman"/>
          <w:color w:val="000000" w:themeColor="text1"/>
          <w:highlight w:val="none"/>
          <w:lang w:val="en-US"/>
          <w14:textFill>
            <w14:solidFill>
              <w14:schemeClr w14:val="tx1"/>
            </w14:solidFill>
          </w14:textFill>
        </w:rPr>
        <w:t>海拔1000—2700m为侵蚀剥蚀地貌，受山体地形及水汽作用，该区域降水丰富，自上而下，植被景观由高山草甸带逐渐过渡到森林草原带，森林主要为云杉，呈带状展布在西来水汽迎风坡和陡峭阴坡，山体阳坡植被主要以杂草—低矮灌木类为主。该地带主要发育有山地栗钙土、山地黑钙土和灰色森林土。</w:t>
      </w:r>
    </w:p>
    <w:p w14:paraId="550008C1">
      <w:pPr>
        <w:ind w:firstLine="482"/>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b/>
          <w:bCs/>
          <w:color w:val="000000" w:themeColor="text1"/>
          <w:highlight w:val="none"/>
          <w:lang w:val="en-US"/>
          <w14:textFill>
            <w14:solidFill>
              <w14:schemeClr w14:val="tx1"/>
            </w14:solidFill>
          </w14:textFill>
        </w:rPr>
        <w:t>棕钙土、灰漠土、草甸土、草甸盐土：</w:t>
      </w:r>
      <w:r>
        <w:rPr>
          <w:rFonts w:hint="default" w:ascii="Times New Roman" w:hAnsi="Times New Roman" w:cs="Times New Roman"/>
          <w:color w:val="000000" w:themeColor="text1"/>
          <w:highlight w:val="none"/>
          <w:lang w:val="en-US"/>
          <w14:textFill>
            <w14:solidFill>
              <w14:schemeClr w14:val="tx1"/>
            </w14:solidFill>
          </w14:textFill>
        </w:rPr>
        <w:t>海拔500m～1000m的低山丘陵，地面坡度1/80～1/600，堆积物由粗砂变细沙，地表为再沉积黄土所覆盖，土层由南向北逐渐变厚，发育的主要土壤类型为棕钙土、灰漠土、草甸土、草甸盐土等，显域性和隐域性土壤均有分布。地表植被较茂盛，植被群落类型有琵琶柴、梭梭、铃铛刺、芨芨草、芦苇等。</w:t>
      </w:r>
    </w:p>
    <w:p w14:paraId="6C1FEE75">
      <w:pPr>
        <w:ind w:firstLine="482"/>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b/>
          <w:bCs/>
          <w:color w:val="000000" w:themeColor="text1"/>
          <w:highlight w:val="none"/>
          <w:lang w:val="en-US"/>
          <w14:textFill>
            <w14:solidFill>
              <w14:schemeClr w14:val="tx1"/>
            </w14:solidFill>
          </w14:textFill>
        </w:rPr>
        <w:t>沼泽土、灌耕土、潮土、盐土、固定和半固定风沙土：</w:t>
      </w:r>
      <w:r>
        <w:rPr>
          <w:rFonts w:hint="default" w:ascii="Times New Roman" w:hAnsi="Times New Roman" w:cs="Times New Roman"/>
          <w:color w:val="000000" w:themeColor="text1"/>
          <w:highlight w:val="none"/>
          <w:lang w:val="en-US"/>
          <w14:textFill>
            <w14:solidFill>
              <w14:schemeClr w14:val="tx1"/>
            </w14:solidFill>
          </w14:textFill>
        </w:rPr>
        <w:t>平原区分布在奎屯河流域冲积扇下游，海拔高程260～500m，地面坡降1/600～1/1000，地形平坦，土层深厚，</w:t>
      </w:r>
      <w:r>
        <w:rPr>
          <w:rFonts w:hint="eastAsia" w:cs="Times New Roman"/>
          <w:color w:val="000000" w:themeColor="text1"/>
          <w:highlight w:val="none"/>
          <w:lang w:val="en-US" w:eastAsia="zh-CN"/>
          <w14:textFill>
            <w14:solidFill>
              <w14:schemeClr w14:val="tx1"/>
            </w14:solidFill>
          </w14:textFill>
        </w:rPr>
        <w:t>农田</w:t>
      </w:r>
      <w:r>
        <w:rPr>
          <w:rFonts w:hint="default" w:ascii="Times New Roman" w:hAnsi="Times New Roman" w:cs="Times New Roman"/>
          <w:color w:val="000000" w:themeColor="text1"/>
          <w:highlight w:val="none"/>
          <w:lang w:val="en-US"/>
          <w14:textFill>
            <w14:solidFill>
              <w14:schemeClr w14:val="tx1"/>
            </w14:solidFill>
          </w14:textFill>
        </w:rPr>
        <w:t>集中，植被茂盛，受人为因素影响较大，土壤类型主要有灌耕土、潮土、盐土、风沙土等，主要植被类型有芨芨草、芦苇、骆驼刺、猪毛草及盐生植物群落。</w:t>
      </w:r>
    </w:p>
    <w:p w14:paraId="6A1BDC66">
      <w:pPr>
        <w:ind w:firstLine="482"/>
        <w:rPr>
          <w:rFonts w:hint="default" w:ascii="Times New Roman" w:hAnsi="Times New Roman" w:cs="Times New Roman"/>
          <w:color w:val="000000" w:themeColor="text1"/>
          <w:highlight w:val="none"/>
          <w:lang w:val="en-US"/>
          <w14:textFill>
            <w14:solidFill>
              <w14:schemeClr w14:val="tx1"/>
            </w14:solidFill>
          </w14:textFill>
        </w:rPr>
      </w:pPr>
      <w:r>
        <w:rPr>
          <w:rFonts w:hint="default" w:ascii="Times New Roman" w:hAnsi="Times New Roman" w:cs="Times New Roman"/>
          <w:b/>
          <w:bCs/>
          <w:color w:val="000000" w:themeColor="text1"/>
          <w:highlight w:val="none"/>
          <w:lang w:val="en-US"/>
          <w14:textFill>
            <w14:solidFill>
              <w14:schemeClr w14:val="tx1"/>
            </w14:solidFill>
          </w14:textFill>
        </w:rPr>
        <w:t>流动风沙土：</w:t>
      </w:r>
      <w:r>
        <w:rPr>
          <w:rFonts w:hint="default" w:ascii="Times New Roman" w:hAnsi="Times New Roman" w:cs="Times New Roman"/>
          <w:color w:val="000000" w:themeColor="text1"/>
          <w:highlight w:val="none"/>
          <w:lang w:val="en-US"/>
          <w14:textFill>
            <w14:solidFill>
              <w14:schemeClr w14:val="tx1"/>
            </w14:solidFill>
          </w14:textFill>
        </w:rPr>
        <w:t>主要分布在奎屯河流域北部，即佐顿艾力生沙漠，呈东西走向，地形略向西倾斜，海拔240m——400m。发育北西向的新月型沙丘、沙丘链，沙丘高一般在10m—30m，呈波状起伏，最高近百米，沿河道、低洼处分布柽柳、梭梭等耐旱植物。</w:t>
      </w:r>
    </w:p>
    <w:p w14:paraId="4825C8BB">
      <w:pPr>
        <w:ind w:firstLine="480" w:firstLineChars="200"/>
        <w:rPr>
          <w:rFonts w:hint="eastAsia"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根</w:t>
      </w:r>
      <w:r>
        <w:rPr>
          <w:rFonts w:hint="eastAsia" w:ascii="Times New Roman" w:hAnsi="Times New Roman" w:cs="Times New Roman"/>
          <w:color w:val="000000" w:themeColor="text1"/>
          <w:highlight w:val="none"/>
          <w:lang w:val="en-US"/>
          <w14:textFill>
            <w14:solidFill>
              <w14:schemeClr w14:val="tx1"/>
            </w14:solidFill>
          </w14:textFill>
        </w:rPr>
        <w:t>据收集资料和现场踏勘，</w:t>
      </w:r>
      <w:r>
        <w:rPr>
          <w:rFonts w:hint="eastAsia" w:ascii="Times New Roman" w:hAnsi="Times New Roman" w:cs="Times New Roman"/>
          <w:color w:val="000000" w:themeColor="text1"/>
          <w:highlight w:val="none"/>
          <w:lang w:val="en-US" w:eastAsia="zh-CN"/>
          <w14:textFill>
            <w14:solidFill>
              <w14:schemeClr w14:val="tx1"/>
            </w14:solidFill>
          </w14:textFill>
        </w:rPr>
        <w:t>本项目区域土壤类型为盐土和草甸土。</w:t>
      </w:r>
    </w:p>
    <w:p w14:paraId="41EC820A">
      <w:pPr>
        <w:pStyle w:val="4"/>
        <w:rPr>
          <w:color w:val="000000" w:themeColor="text1"/>
          <w:highlight w:val="none"/>
          <w14:textFill>
            <w14:solidFill>
              <w14:schemeClr w14:val="tx1"/>
            </w14:solidFill>
          </w14:textFill>
        </w:rPr>
      </w:pPr>
      <w:bookmarkStart w:id="191" w:name="_Toc15349"/>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文物古迹、自然保护区</w:t>
      </w:r>
      <w:bookmarkEnd w:id="191"/>
      <w:r>
        <w:rPr>
          <w:color w:val="000000" w:themeColor="text1"/>
          <w:highlight w:val="none"/>
          <w14:textFill>
            <w14:solidFill>
              <w14:schemeClr w14:val="tx1"/>
            </w14:solidFill>
          </w14:textFill>
        </w:rPr>
        <w:t xml:space="preserve"> </w:t>
      </w:r>
    </w:p>
    <w:p w14:paraId="5887500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经调查，项目区内没有自然保护区、风景名胜区和受保护的文物古迹单位。</w:t>
      </w:r>
    </w:p>
    <w:p w14:paraId="63681402">
      <w:pPr>
        <w:pStyle w:val="3"/>
        <w:rPr>
          <w:color w:val="000000" w:themeColor="text1"/>
          <w:highlight w:val="none"/>
          <w:lang w:eastAsia="zh-CN"/>
          <w14:textFill>
            <w14:solidFill>
              <w14:schemeClr w14:val="tx1"/>
            </w14:solidFill>
          </w14:textFill>
        </w:rPr>
      </w:pPr>
      <w:bookmarkStart w:id="192" w:name="_Toc27607"/>
      <w:bookmarkStart w:id="193" w:name="_Toc11688"/>
      <w:bookmarkStart w:id="194" w:name="_Toc3196"/>
      <w:bookmarkStart w:id="195" w:name="_Toc18456"/>
      <w:r>
        <w:rPr>
          <w:rFonts w:hint="eastAsia"/>
          <w:color w:val="000000" w:themeColor="text1"/>
          <w:highlight w:val="none"/>
          <w:lang w:eastAsia="zh-CN"/>
          <w14:textFill>
            <w14:solidFill>
              <w14:schemeClr w14:val="tx1"/>
            </w14:solidFill>
          </w14:textFill>
        </w:rPr>
        <w:t>4</w:t>
      </w:r>
      <w:r>
        <w:rPr>
          <w:color w:val="000000" w:themeColor="text1"/>
          <w:highlight w:val="none"/>
          <w:lang w:eastAsia="zh-CN"/>
          <w14:textFill>
            <w14:solidFill>
              <w14:schemeClr w14:val="tx1"/>
            </w14:solidFill>
          </w14:textFill>
        </w:rPr>
        <w:t>.2环境质量现状调查与评价</w:t>
      </w:r>
      <w:bookmarkEnd w:id="192"/>
      <w:bookmarkEnd w:id="193"/>
      <w:bookmarkEnd w:id="194"/>
      <w:bookmarkEnd w:id="195"/>
    </w:p>
    <w:p w14:paraId="47A93CC8">
      <w:pPr>
        <w:pStyle w:val="4"/>
        <w:rPr>
          <w:color w:val="000000" w:themeColor="text1"/>
          <w:highlight w:val="none"/>
          <w14:textFill>
            <w14:solidFill>
              <w14:schemeClr w14:val="tx1"/>
            </w14:solidFill>
          </w14:textFill>
        </w:rPr>
      </w:pPr>
      <w:bookmarkStart w:id="196" w:name="_Toc31664"/>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.2.1环境空气质量现状调查与评价</w:t>
      </w:r>
      <w:bookmarkEnd w:id="196"/>
    </w:p>
    <w:p w14:paraId="3FE21E2C">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w:t>
      </w:r>
      <w:r>
        <w:rPr>
          <w:b/>
          <w:bCs/>
          <w:color w:val="000000" w:themeColor="text1"/>
          <w:highlight w:val="none"/>
          <w14:textFill>
            <w14:solidFill>
              <w14:schemeClr w14:val="tx1"/>
            </w14:solidFill>
          </w14:textFill>
        </w:rPr>
        <w:t>.2.1.1环境空气质量现状调查</w:t>
      </w:r>
    </w:p>
    <w:p w14:paraId="3EFB817E">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1.空气质量达标区判定</w:t>
      </w:r>
    </w:p>
    <w:p w14:paraId="34360602">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根据《环境影响评价技术导则 大气环境》（HJ2.2-2018）对环境质量现状数据的要求，选择生态环境部环境工程评估中心国家环境保护环境影响评价数值模拟重点实验室发布的关于</w:t>
      </w:r>
      <w:r>
        <w:rPr>
          <w:rFonts w:hint="eastAsia"/>
          <w:color w:val="000000" w:themeColor="text1"/>
          <w:highlight w:val="none"/>
          <w:lang w:val="en-US" w:eastAsia="zh-CN"/>
          <w14:textFill>
            <w14:solidFill>
              <w14:schemeClr w14:val="tx1"/>
            </w14:solidFill>
          </w14:textFill>
        </w:rPr>
        <w:t>克拉玛依市</w:t>
      </w:r>
      <w:r>
        <w:rPr>
          <w:rFonts w:hint="eastAsia"/>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年环境空气质量状况（数据来源http://data.lem.org.cn/eamds/apply/tostepone.html#），作为本项目环境空气现状评价基本污染物SO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、NO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、PM10、PM2.5、CO和O</w:t>
      </w:r>
      <w:r>
        <w:rPr>
          <w:rFonts w:hint="eastAsia"/>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的数据来源，数据从空间和时间上均符合《环境影响评价技术导则 大气环境》（HJ2.2-2018）的要求。</w:t>
      </w:r>
    </w:p>
    <w:p w14:paraId="145B5162">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评价标准</w:t>
      </w:r>
    </w:p>
    <w:p w14:paraId="1A15A7E8">
      <w:pPr>
        <w:ind w:firstLine="480" w:firstLineChars="200"/>
        <w:rPr>
          <w:color w:val="000000" w:themeColor="text1"/>
          <w:highlight w:val="none"/>
          <w14:textFill>
            <w14:solidFill>
              <w14:schemeClr w14:val="tx1"/>
            </w14:solidFill>
          </w14:textFill>
        </w:rPr>
      </w:pPr>
      <w:bookmarkStart w:id="197" w:name="_Toc11467"/>
      <w:r>
        <w:rPr>
          <w:color w:val="000000" w:themeColor="text1"/>
          <w:highlight w:val="none"/>
          <w14:textFill>
            <w14:solidFill>
              <w14:schemeClr w14:val="tx1"/>
            </w14:solidFill>
          </w14:textFill>
        </w:rPr>
        <w:t>基本污染物SO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、NO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、PM10、PM2.5、CO和O</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执行《环境空气质量标准》（GB3095-2012）中的二级标准。评价标准见表</w:t>
      </w:r>
      <w:r>
        <w:rPr>
          <w:rFonts w:hint="eastAsia"/>
          <w:color w:val="000000" w:themeColor="text1"/>
          <w:highlight w:val="none"/>
          <w14:textFill>
            <w14:solidFill>
              <w14:schemeClr w14:val="tx1"/>
            </w14:solidFill>
          </w14:textFill>
        </w:rPr>
        <w:t>4.2-1</w:t>
      </w:r>
      <w:r>
        <w:rPr>
          <w:color w:val="000000" w:themeColor="text1"/>
          <w:highlight w:val="none"/>
          <w14:textFill>
            <w14:solidFill>
              <w14:schemeClr w14:val="tx1"/>
            </w14:solidFill>
          </w14:textFill>
        </w:rPr>
        <w:t>。</w:t>
      </w:r>
    </w:p>
    <w:p w14:paraId="7B355CE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 xml:space="preserve">4.2-1  </w:t>
      </w:r>
      <w:r>
        <w:rPr>
          <w:b/>
          <w:bCs/>
          <w:color w:val="000000" w:themeColor="text1"/>
          <w:sz w:val="21"/>
          <w:szCs w:val="21"/>
          <w:highlight w:val="none"/>
          <w14:textFill>
            <w14:solidFill>
              <w14:schemeClr w14:val="tx1"/>
            </w14:solidFill>
          </w14:textFill>
        </w:rPr>
        <w:t>大气环境质量标准  单位：μg/m</w:t>
      </w:r>
      <w:r>
        <w:rPr>
          <w:b/>
          <w:bCs/>
          <w:color w:val="000000" w:themeColor="text1"/>
          <w:sz w:val="21"/>
          <w:szCs w:val="21"/>
          <w:highlight w:val="none"/>
          <w:vertAlign w:val="superscript"/>
          <w14:textFill>
            <w14:solidFill>
              <w14:schemeClr w14:val="tx1"/>
            </w14:solidFill>
          </w14:textFill>
        </w:rPr>
        <w:t>3</w:t>
      </w:r>
    </w:p>
    <w:tbl>
      <w:tblPr>
        <w:tblStyle w:val="33"/>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10"/>
        <w:gridCol w:w="1852"/>
        <w:gridCol w:w="1854"/>
        <w:gridCol w:w="1673"/>
        <w:gridCol w:w="1828"/>
      </w:tblGrid>
      <w:tr w14:paraId="38A450E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6" w:hRule="atLeast"/>
          <w:jc w:val="center"/>
        </w:trPr>
        <w:tc>
          <w:tcPr>
            <w:tcW w:w="769" w:type="pct"/>
            <w:vMerge w:val="restart"/>
            <w:tcBorders>
              <w:top w:val="single" w:color="auto" w:sz="4" w:space="0"/>
              <w:left w:val="single" w:color="auto" w:sz="0" w:space="0"/>
              <w:bottom w:val="single" w:color="auto" w:sz="4" w:space="0"/>
              <w:right w:val="single" w:color="auto" w:sz="4" w:space="0"/>
            </w:tcBorders>
            <w:vAlign w:val="center"/>
          </w:tcPr>
          <w:p w14:paraId="5379505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1087" w:type="pct"/>
            <w:vMerge w:val="restart"/>
            <w:tcBorders>
              <w:top w:val="single" w:color="auto" w:sz="4" w:space="0"/>
              <w:left w:val="single" w:color="auto" w:sz="4" w:space="0"/>
              <w:bottom w:val="single" w:color="auto" w:sz="4" w:space="0"/>
              <w:right w:val="single" w:color="auto" w:sz="4" w:space="0"/>
            </w:tcBorders>
            <w:vAlign w:val="center"/>
          </w:tcPr>
          <w:p w14:paraId="0FFB7AC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污染物名称</w:t>
            </w:r>
          </w:p>
        </w:tc>
        <w:tc>
          <w:tcPr>
            <w:tcW w:w="3142" w:type="pct"/>
            <w:gridSpan w:val="3"/>
            <w:tcBorders>
              <w:top w:val="single" w:color="auto" w:sz="4" w:space="0"/>
              <w:left w:val="single" w:color="auto" w:sz="4" w:space="0"/>
              <w:bottom w:val="single" w:color="auto" w:sz="4" w:space="0"/>
              <w:right w:val="single" w:color="auto" w:sz="4" w:space="0"/>
            </w:tcBorders>
            <w:vAlign w:val="center"/>
          </w:tcPr>
          <w:p w14:paraId="1772ADF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取值时间</w:t>
            </w:r>
          </w:p>
        </w:tc>
      </w:tr>
      <w:tr w14:paraId="128945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1" w:hRule="atLeast"/>
          <w:jc w:val="center"/>
        </w:trPr>
        <w:tc>
          <w:tcPr>
            <w:tcW w:w="769" w:type="pct"/>
            <w:vMerge w:val="continue"/>
            <w:tcBorders>
              <w:top w:val="single" w:color="auto" w:sz="4" w:space="0"/>
              <w:left w:val="single" w:color="auto" w:sz="4" w:space="0"/>
              <w:bottom w:val="single" w:color="auto" w:sz="4" w:space="0"/>
              <w:right w:val="single" w:color="auto" w:sz="4" w:space="0"/>
            </w:tcBorders>
            <w:vAlign w:val="center"/>
          </w:tcPr>
          <w:p w14:paraId="3C811B6B">
            <w:pPr>
              <w:spacing w:line="240" w:lineRule="auto"/>
              <w:jc w:val="center"/>
              <w:rPr>
                <w:b/>
                <w:bCs/>
                <w:color w:val="000000" w:themeColor="text1"/>
                <w:sz w:val="21"/>
                <w:szCs w:val="21"/>
                <w:highlight w:val="none"/>
                <w14:textFill>
                  <w14:solidFill>
                    <w14:schemeClr w14:val="tx1"/>
                  </w14:solidFill>
                </w14:textFill>
              </w:rPr>
            </w:pPr>
          </w:p>
        </w:tc>
        <w:tc>
          <w:tcPr>
            <w:tcW w:w="1087" w:type="pct"/>
            <w:vMerge w:val="continue"/>
            <w:tcBorders>
              <w:top w:val="single" w:color="auto" w:sz="4" w:space="0"/>
              <w:left w:val="single" w:color="auto" w:sz="4" w:space="0"/>
              <w:bottom w:val="single" w:color="auto" w:sz="4" w:space="0"/>
              <w:right w:val="single" w:color="auto" w:sz="4" w:space="0"/>
            </w:tcBorders>
            <w:vAlign w:val="center"/>
          </w:tcPr>
          <w:p w14:paraId="72623CBB">
            <w:pPr>
              <w:spacing w:line="240" w:lineRule="auto"/>
              <w:jc w:val="center"/>
              <w:rPr>
                <w:b/>
                <w:bCs/>
                <w:color w:val="000000" w:themeColor="text1"/>
                <w:sz w:val="21"/>
                <w:szCs w:val="21"/>
                <w:highlight w:val="none"/>
                <w14:textFill>
                  <w14:solidFill>
                    <w14:schemeClr w14:val="tx1"/>
                  </w14:solidFill>
                </w14:textFill>
              </w:rPr>
            </w:pPr>
          </w:p>
        </w:tc>
        <w:tc>
          <w:tcPr>
            <w:tcW w:w="1088" w:type="pct"/>
            <w:tcBorders>
              <w:top w:val="single" w:color="auto" w:sz="4" w:space="0"/>
              <w:left w:val="single" w:color="auto" w:sz="4" w:space="0"/>
              <w:bottom w:val="single" w:color="auto" w:sz="4" w:space="0"/>
              <w:right w:val="single" w:color="auto" w:sz="4" w:space="0"/>
            </w:tcBorders>
            <w:vAlign w:val="center"/>
          </w:tcPr>
          <w:p w14:paraId="5518EAC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年均值</w:t>
            </w:r>
          </w:p>
        </w:tc>
        <w:tc>
          <w:tcPr>
            <w:tcW w:w="982" w:type="pct"/>
            <w:tcBorders>
              <w:top w:val="single" w:color="auto" w:sz="4" w:space="0"/>
              <w:left w:val="single" w:color="auto" w:sz="4" w:space="0"/>
              <w:bottom w:val="single" w:color="auto" w:sz="4" w:space="0"/>
              <w:right w:val="single" w:color="auto" w:sz="4" w:space="0"/>
            </w:tcBorders>
            <w:vAlign w:val="center"/>
          </w:tcPr>
          <w:p w14:paraId="421E5DD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日均值</w:t>
            </w:r>
          </w:p>
        </w:tc>
        <w:tc>
          <w:tcPr>
            <w:tcW w:w="1070" w:type="pct"/>
            <w:tcBorders>
              <w:top w:val="single" w:color="auto" w:sz="4" w:space="0"/>
              <w:left w:val="single" w:color="auto" w:sz="4" w:space="0"/>
              <w:bottom w:val="single" w:color="auto" w:sz="4" w:space="0"/>
              <w:right w:val="single" w:color="auto" w:sz="4" w:space="0"/>
            </w:tcBorders>
            <w:vAlign w:val="center"/>
          </w:tcPr>
          <w:p w14:paraId="47E414F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小时均值</w:t>
            </w:r>
          </w:p>
        </w:tc>
      </w:tr>
      <w:tr w14:paraId="71A4E8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769" w:type="pct"/>
            <w:tcBorders>
              <w:top w:val="single" w:color="auto" w:sz="4" w:space="0"/>
              <w:left w:val="single" w:color="auto" w:sz="4" w:space="0"/>
              <w:bottom w:val="single" w:color="auto" w:sz="4" w:space="0"/>
              <w:right w:val="single" w:color="auto" w:sz="4" w:space="0"/>
            </w:tcBorders>
            <w:vAlign w:val="center"/>
          </w:tcPr>
          <w:p w14:paraId="7659280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087" w:type="pct"/>
            <w:tcBorders>
              <w:top w:val="single" w:color="auto" w:sz="4" w:space="0"/>
              <w:left w:val="single" w:color="auto" w:sz="4" w:space="0"/>
              <w:bottom w:val="single" w:color="auto" w:sz="4" w:space="0"/>
              <w:right w:val="single" w:color="auto" w:sz="4" w:space="0"/>
            </w:tcBorders>
            <w:vAlign w:val="center"/>
          </w:tcPr>
          <w:p w14:paraId="3F8CA9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SO</w:t>
            </w:r>
            <w:r>
              <w:rPr>
                <w:color w:val="000000" w:themeColor="text1"/>
                <w:sz w:val="21"/>
                <w:szCs w:val="21"/>
                <w:highlight w:val="none"/>
                <w:vertAlign w:val="subscript"/>
                <w14:textFill>
                  <w14:solidFill>
                    <w14:schemeClr w14:val="tx1"/>
                  </w14:solidFill>
                </w14:textFill>
              </w:rPr>
              <w:t>2</w:t>
            </w:r>
          </w:p>
        </w:tc>
        <w:tc>
          <w:tcPr>
            <w:tcW w:w="1088" w:type="pct"/>
            <w:tcBorders>
              <w:top w:val="single" w:color="auto" w:sz="4" w:space="0"/>
              <w:left w:val="single" w:color="auto" w:sz="4" w:space="0"/>
              <w:bottom w:val="single" w:color="auto" w:sz="4" w:space="0"/>
              <w:right w:val="single" w:color="auto" w:sz="4" w:space="0"/>
            </w:tcBorders>
            <w:vAlign w:val="center"/>
          </w:tcPr>
          <w:p w14:paraId="2BB1B0B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60</w:t>
            </w:r>
          </w:p>
        </w:tc>
        <w:tc>
          <w:tcPr>
            <w:tcW w:w="982" w:type="pct"/>
            <w:tcBorders>
              <w:top w:val="single" w:color="auto" w:sz="4" w:space="0"/>
              <w:left w:val="single" w:color="auto" w:sz="4" w:space="0"/>
              <w:bottom w:val="single" w:color="auto" w:sz="4" w:space="0"/>
              <w:right w:val="single" w:color="auto" w:sz="4" w:space="0"/>
            </w:tcBorders>
            <w:vAlign w:val="center"/>
          </w:tcPr>
          <w:p w14:paraId="50F4B30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150</w:t>
            </w:r>
          </w:p>
        </w:tc>
        <w:tc>
          <w:tcPr>
            <w:tcW w:w="1070" w:type="pct"/>
            <w:tcBorders>
              <w:top w:val="single" w:color="auto" w:sz="4" w:space="0"/>
              <w:left w:val="single" w:color="auto" w:sz="4" w:space="0"/>
              <w:bottom w:val="single" w:color="auto" w:sz="4" w:space="0"/>
              <w:right w:val="single" w:color="auto" w:sz="4" w:space="0"/>
            </w:tcBorders>
            <w:vAlign w:val="center"/>
          </w:tcPr>
          <w:p w14:paraId="665F7BD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500</w:t>
            </w:r>
          </w:p>
        </w:tc>
      </w:tr>
      <w:tr w14:paraId="7D4AB0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1" w:hRule="atLeast"/>
          <w:jc w:val="center"/>
        </w:trPr>
        <w:tc>
          <w:tcPr>
            <w:tcW w:w="769" w:type="pct"/>
            <w:tcBorders>
              <w:top w:val="single" w:color="auto" w:sz="4" w:space="0"/>
              <w:left w:val="single" w:color="auto" w:sz="4" w:space="0"/>
              <w:bottom w:val="single" w:color="auto" w:sz="4" w:space="0"/>
              <w:right w:val="single" w:color="auto" w:sz="4" w:space="0"/>
            </w:tcBorders>
            <w:vAlign w:val="center"/>
          </w:tcPr>
          <w:p w14:paraId="2F6DBAB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1087" w:type="pct"/>
            <w:tcBorders>
              <w:top w:val="single" w:color="auto" w:sz="4" w:space="0"/>
              <w:left w:val="single" w:color="auto" w:sz="4" w:space="0"/>
              <w:bottom w:val="single" w:color="auto" w:sz="4" w:space="0"/>
              <w:right w:val="single" w:color="auto" w:sz="4" w:space="0"/>
            </w:tcBorders>
            <w:vAlign w:val="center"/>
          </w:tcPr>
          <w:p w14:paraId="0FAFAF3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w:t>
            </w:r>
            <w:r>
              <w:rPr>
                <w:color w:val="000000" w:themeColor="text1"/>
                <w:sz w:val="21"/>
                <w:szCs w:val="21"/>
                <w:highlight w:val="none"/>
                <w:vertAlign w:val="subscript"/>
                <w14:textFill>
                  <w14:solidFill>
                    <w14:schemeClr w14:val="tx1"/>
                  </w14:solidFill>
                </w14:textFill>
              </w:rPr>
              <w:t>2</w:t>
            </w:r>
          </w:p>
        </w:tc>
        <w:tc>
          <w:tcPr>
            <w:tcW w:w="1088" w:type="pct"/>
            <w:tcBorders>
              <w:top w:val="single" w:color="auto" w:sz="4" w:space="0"/>
              <w:left w:val="single" w:color="auto" w:sz="4" w:space="0"/>
              <w:bottom w:val="single" w:color="auto" w:sz="4" w:space="0"/>
              <w:right w:val="single" w:color="auto" w:sz="4" w:space="0"/>
            </w:tcBorders>
            <w:vAlign w:val="center"/>
          </w:tcPr>
          <w:p w14:paraId="3B9378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w:t>
            </w:r>
          </w:p>
        </w:tc>
        <w:tc>
          <w:tcPr>
            <w:tcW w:w="982" w:type="pct"/>
            <w:tcBorders>
              <w:top w:val="single" w:color="auto" w:sz="4" w:space="0"/>
              <w:left w:val="single" w:color="auto" w:sz="4" w:space="0"/>
              <w:bottom w:val="single" w:color="auto" w:sz="4" w:space="0"/>
              <w:right w:val="single" w:color="auto" w:sz="4" w:space="0"/>
            </w:tcBorders>
            <w:vAlign w:val="center"/>
          </w:tcPr>
          <w:p w14:paraId="58F1382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w:t>
            </w:r>
          </w:p>
        </w:tc>
        <w:tc>
          <w:tcPr>
            <w:tcW w:w="1070" w:type="pct"/>
            <w:tcBorders>
              <w:top w:val="single" w:color="auto" w:sz="4" w:space="0"/>
              <w:left w:val="single" w:color="auto" w:sz="4" w:space="0"/>
              <w:bottom w:val="single" w:color="auto" w:sz="4" w:space="0"/>
              <w:right w:val="single" w:color="auto" w:sz="4" w:space="0"/>
            </w:tcBorders>
            <w:vAlign w:val="center"/>
          </w:tcPr>
          <w:p w14:paraId="60E7166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w:t>
            </w:r>
          </w:p>
        </w:tc>
      </w:tr>
      <w:tr w14:paraId="0EA1E0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3" w:hRule="atLeast"/>
          <w:jc w:val="center"/>
        </w:trPr>
        <w:tc>
          <w:tcPr>
            <w:tcW w:w="769" w:type="pct"/>
            <w:tcBorders>
              <w:top w:val="single" w:color="auto" w:sz="4" w:space="0"/>
              <w:left w:val="single" w:color="auto" w:sz="4" w:space="0"/>
              <w:bottom w:val="single" w:color="auto" w:sz="4" w:space="0"/>
              <w:right w:val="single" w:color="auto" w:sz="4" w:space="0"/>
            </w:tcBorders>
            <w:vAlign w:val="center"/>
          </w:tcPr>
          <w:p w14:paraId="7643ADA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1087" w:type="pct"/>
            <w:tcBorders>
              <w:top w:val="single" w:color="auto" w:sz="4" w:space="0"/>
              <w:left w:val="single" w:color="auto" w:sz="4" w:space="0"/>
              <w:bottom w:val="single" w:color="auto" w:sz="4" w:space="0"/>
              <w:right w:val="single" w:color="auto" w:sz="4" w:space="0"/>
            </w:tcBorders>
            <w:vAlign w:val="center"/>
          </w:tcPr>
          <w:p w14:paraId="2FCF924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PM10</w:t>
            </w:r>
          </w:p>
        </w:tc>
        <w:tc>
          <w:tcPr>
            <w:tcW w:w="1088" w:type="pct"/>
            <w:tcBorders>
              <w:top w:val="single" w:color="auto" w:sz="4" w:space="0"/>
              <w:left w:val="single" w:color="auto" w:sz="4" w:space="0"/>
              <w:bottom w:val="single" w:color="auto" w:sz="4" w:space="0"/>
              <w:right w:val="single" w:color="auto" w:sz="4" w:space="0"/>
            </w:tcBorders>
            <w:vAlign w:val="center"/>
          </w:tcPr>
          <w:p w14:paraId="12E50C0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w:t>
            </w:r>
          </w:p>
        </w:tc>
        <w:tc>
          <w:tcPr>
            <w:tcW w:w="982" w:type="pct"/>
            <w:tcBorders>
              <w:top w:val="single" w:color="auto" w:sz="4" w:space="0"/>
              <w:left w:val="single" w:color="auto" w:sz="4" w:space="0"/>
              <w:bottom w:val="single" w:color="auto" w:sz="4" w:space="0"/>
              <w:right w:val="single" w:color="auto" w:sz="4" w:space="0"/>
            </w:tcBorders>
            <w:vAlign w:val="center"/>
          </w:tcPr>
          <w:p w14:paraId="56B9CF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150</w:t>
            </w:r>
          </w:p>
        </w:tc>
        <w:tc>
          <w:tcPr>
            <w:tcW w:w="1070" w:type="pct"/>
            <w:tcBorders>
              <w:top w:val="single" w:color="auto" w:sz="4" w:space="0"/>
              <w:left w:val="single" w:color="auto" w:sz="4" w:space="0"/>
              <w:bottom w:val="single" w:color="auto" w:sz="4" w:space="0"/>
              <w:right w:val="single" w:color="auto" w:sz="4" w:space="0"/>
            </w:tcBorders>
            <w:vAlign w:val="center"/>
          </w:tcPr>
          <w:p w14:paraId="1707FD1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76E4ED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68" w:hRule="atLeast"/>
          <w:jc w:val="center"/>
        </w:trPr>
        <w:tc>
          <w:tcPr>
            <w:tcW w:w="769" w:type="pct"/>
            <w:tcBorders>
              <w:top w:val="single" w:color="auto" w:sz="4" w:space="0"/>
              <w:left w:val="single" w:color="auto" w:sz="4" w:space="0"/>
              <w:bottom w:val="single" w:color="auto" w:sz="4" w:space="0"/>
              <w:right w:val="single" w:color="auto" w:sz="4" w:space="0"/>
            </w:tcBorders>
            <w:vAlign w:val="center"/>
          </w:tcPr>
          <w:p w14:paraId="1DBA531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1087" w:type="pct"/>
            <w:tcBorders>
              <w:top w:val="single" w:color="auto" w:sz="4" w:space="0"/>
              <w:left w:val="single" w:color="auto" w:sz="4" w:space="0"/>
              <w:bottom w:val="single" w:color="auto" w:sz="4" w:space="0"/>
              <w:right w:val="single" w:color="auto" w:sz="4" w:space="0"/>
            </w:tcBorders>
            <w:vAlign w:val="center"/>
          </w:tcPr>
          <w:p w14:paraId="0A1DAB6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PM2.5</w:t>
            </w:r>
          </w:p>
        </w:tc>
        <w:tc>
          <w:tcPr>
            <w:tcW w:w="1088" w:type="pct"/>
            <w:tcBorders>
              <w:top w:val="single" w:color="auto" w:sz="4" w:space="0"/>
              <w:left w:val="single" w:color="auto" w:sz="4" w:space="0"/>
              <w:bottom w:val="single" w:color="auto" w:sz="4" w:space="0"/>
              <w:right w:val="single" w:color="auto" w:sz="4" w:space="0"/>
            </w:tcBorders>
            <w:vAlign w:val="center"/>
          </w:tcPr>
          <w:p w14:paraId="21533A8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35</w:t>
            </w:r>
          </w:p>
        </w:tc>
        <w:tc>
          <w:tcPr>
            <w:tcW w:w="982" w:type="pct"/>
            <w:tcBorders>
              <w:top w:val="single" w:color="auto" w:sz="4" w:space="0"/>
              <w:left w:val="single" w:color="auto" w:sz="4" w:space="0"/>
              <w:bottom w:val="single" w:color="auto" w:sz="4" w:space="0"/>
              <w:right w:val="single" w:color="auto" w:sz="4" w:space="0"/>
            </w:tcBorders>
            <w:vAlign w:val="center"/>
          </w:tcPr>
          <w:p w14:paraId="1EFC4FB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75</w:t>
            </w:r>
          </w:p>
        </w:tc>
        <w:tc>
          <w:tcPr>
            <w:tcW w:w="1070" w:type="pct"/>
            <w:tcBorders>
              <w:top w:val="single" w:color="auto" w:sz="4" w:space="0"/>
              <w:left w:val="single" w:color="auto" w:sz="4" w:space="0"/>
              <w:bottom w:val="single" w:color="auto" w:sz="4" w:space="0"/>
              <w:right w:val="single" w:color="auto" w:sz="4" w:space="0"/>
            </w:tcBorders>
            <w:vAlign w:val="center"/>
          </w:tcPr>
          <w:p w14:paraId="0AACF97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7A86E24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769" w:type="pct"/>
            <w:tcBorders>
              <w:top w:val="single" w:color="auto" w:sz="4" w:space="0"/>
              <w:left w:val="single" w:color="auto" w:sz="4" w:space="0"/>
              <w:bottom w:val="single" w:color="auto" w:sz="4" w:space="0"/>
              <w:right w:val="single" w:color="auto" w:sz="4" w:space="0"/>
            </w:tcBorders>
            <w:vAlign w:val="center"/>
          </w:tcPr>
          <w:p w14:paraId="16CD507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087" w:type="pct"/>
            <w:tcBorders>
              <w:top w:val="single" w:color="auto" w:sz="4" w:space="0"/>
              <w:left w:val="single" w:color="auto" w:sz="4" w:space="0"/>
              <w:bottom w:val="single" w:color="auto" w:sz="4" w:space="0"/>
              <w:right w:val="single" w:color="auto" w:sz="4" w:space="0"/>
            </w:tcBorders>
            <w:vAlign w:val="center"/>
          </w:tcPr>
          <w:p w14:paraId="62F5592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一氧化碳（CO）</w:t>
            </w:r>
          </w:p>
        </w:tc>
        <w:tc>
          <w:tcPr>
            <w:tcW w:w="1088" w:type="pct"/>
            <w:tcBorders>
              <w:top w:val="single" w:color="auto" w:sz="4" w:space="0"/>
              <w:left w:val="single" w:color="auto" w:sz="4" w:space="0"/>
              <w:bottom w:val="single" w:color="auto" w:sz="4" w:space="0"/>
              <w:right w:val="single" w:color="auto" w:sz="4" w:space="0"/>
            </w:tcBorders>
            <w:vAlign w:val="center"/>
          </w:tcPr>
          <w:p w14:paraId="362AFB9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982" w:type="pct"/>
            <w:tcBorders>
              <w:top w:val="single" w:color="auto" w:sz="4" w:space="0"/>
              <w:left w:val="single" w:color="auto" w:sz="4" w:space="0"/>
              <w:bottom w:val="single" w:color="auto" w:sz="4" w:space="0"/>
              <w:right w:val="single" w:color="auto" w:sz="4" w:space="0"/>
            </w:tcBorders>
            <w:vAlign w:val="center"/>
          </w:tcPr>
          <w:p w14:paraId="34D9080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4000</w:t>
            </w:r>
          </w:p>
        </w:tc>
        <w:tc>
          <w:tcPr>
            <w:tcW w:w="1070" w:type="pct"/>
            <w:tcBorders>
              <w:top w:val="single" w:color="auto" w:sz="4" w:space="0"/>
              <w:left w:val="single" w:color="auto" w:sz="4" w:space="0"/>
              <w:bottom w:val="single" w:color="auto" w:sz="4" w:space="0"/>
              <w:right w:val="single" w:color="auto" w:sz="4" w:space="0"/>
            </w:tcBorders>
            <w:vAlign w:val="center"/>
          </w:tcPr>
          <w:p w14:paraId="4CD2440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10000</w:t>
            </w:r>
          </w:p>
        </w:tc>
      </w:tr>
      <w:tr w14:paraId="44A256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3" w:hRule="atLeast"/>
          <w:jc w:val="center"/>
        </w:trPr>
        <w:tc>
          <w:tcPr>
            <w:tcW w:w="769" w:type="pct"/>
            <w:tcBorders>
              <w:top w:val="single" w:color="auto" w:sz="4" w:space="0"/>
              <w:left w:val="single" w:color="auto" w:sz="4" w:space="0"/>
              <w:bottom w:val="single" w:color="auto" w:sz="4" w:space="0"/>
              <w:right w:val="single" w:color="auto" w:sz="4" w:space="0"/>
            </w:tcBorders>
            <w:vAlign w:val="center"/>
          </w:tcPr>
          <w:p w14:paraId="7BA028B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1087" w:type="pct"/>
            <w:tcBorders>
              <w:top w:val="single" w:color="auto" w:sz="4" w:space="0"/>
              <w:left w:val="single" w:color="auto" w:sz="4" w:space="0"/>
              <w:bottom w:val="single" w:color="auto" w:sz="4" w:space="0"/>
              <w:right w:val="single" w:color="auto" w:sz="4" w:space="0"/>
            </w:tcBorders>
            <w:vAlign w:val="center"/>
          </w:tcPr>
          <w:p w14:paraId="50C2155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臭氧（O</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w:t>
            </w:r>
          </w:p>
        </w:tc>
        <w:tc>
          <w:tcPr>
            <w:tcW w:w="1088" w:type="pct"/>
            <w:tcBorders>
              <w:top w:val="single" w:color="auto" w:sz="4" w:space="0"/>
              <w:left w:val="single" w:color="auto" w:sz="4" w:space="0"/>
              <w:bottom w:val="single" w:color="auto" w:sz="4" w:space="0"/>
              <w:right w:val="single" w:color="auto" w:sz="4" w:space="0"/>
            </w:tcBorders>
            <w:vAlign w:val="center"/>
          </w:tcPr>
          <w:p w14:paraId="416713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982" w:type="pct"/>
            <w:tcBorders>
              <w:top w:val="single" w:color="auto" w:sz="4" w:space="0"/>
              <w:left w:val="single" w:color="auto" w:sz="4" w:space="0"/>
              <w:bottom w:val="single" w:color="auto" w:sz="4" w:space="0"/>
              <w:right w:val="single" w:color="auto" w:sz="4" w:space="0"/>
            </w:tcBorders>
            <w:vAlign w:val="center"/>
          </w:tcPr>
          <w:p w14:paraId="2BBB085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160</w:t>
            </w:r>
          </w:p>
        </w:tc>
        <w:tc>
          <w:tcPr>
            <w:tcW w:w="1070" w:type="pct"/>
            <w:tcBorders>
              <w:top w:val="single" w:color="auto" w:sz="4" w:space="0"/>
              <w:left w:val="single" w:color="auto" w:sz="4" w:space="0"/>
              <w:bottom w:val="single" w:color="auto" w:sz="4" w:space="0"/>
              <w:right w:val="single" w:color="auto" w:sz="4" w:space="0"/>
            </w:tcBorders>
            <w:vAlign w:val="center"/>
          </w:tcPr>
          <w:p w14:paraId="408B138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w:t>
            </w:r>
          </w:p>
        </w:tc>
      </w:tr>
      <w:bookmarkEnd w:id="197"/>
    </w:tbl>
    <w:p w14:paraId="3152F87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评价方法</w:t>
      </w:r>
    </w:p>
    <w:p w14:paraId="69758A4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评价方法采用最大质量浓度占相应标准质量浓度限值的百分比，及超标率对监测结果进行评价分析。计算公式如下：</w:t>
      </w:r>
    </w:p>
    <w:p w14:paraId="3916DB1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Pi=Ci/Coi×100%</w:t>
      </w:r>
    </w:p>
    <w:p w14:paraId="35D3B01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式中：Pi—某种污染物的最大地面质量浓度占标率，%；</w:t>
      </w:r>
    </w:p>
    <w:p w14:paraId="473F45A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Ci—某种污染物的实际监测浓度，mg/m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4F6C27D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Coi—某种污染物的环境空气标准浓度，mg/m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7DB74B1D">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克拉玛依市</w:t>
      </w:r>
      <w:r>
        <w:rPr>
          <w:rFonts w:hint="eastAsia"/>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年空气质量达标区判定结果</w:t>
      </w:r>
      <w:r>
        <w:rPr>
          <w:color w:val="000000" w:themeColor="text1"/>
          <w:highlight w:val="none"/>
          <w14:textFill>
            <w14:solidFill>
              <w14:schemeClr w14:val="tx1"/>
            </w14:solidFill>
          </w14:textFill>
        </w:rPr>
        <w:t>见表</w:t>
      </w:r>
      <w:r>
        <w:rPr>
          <w:rFonts w:hint="eastAsia"/>
          <w:color w:val="000000" w:themeColor="text1"/>
          <w:highlight w:val="none"/>
          <w14:textFill>
            <w14:solidFill>
              <w14:schemeClr w14:val="tx1"/>
            </w14:solidFill>
          </w14:textFill>
        </w:rPr>
        <w:t>4.2-2</w:t>
      </w:r>
      <w:r>
        <w:rPr>
          <w:color w:val="000000" w:themeColor="text1"/>
          <w:highlight w:val="none"/>
          <w14:textFill>
            <w14:solidFill>
              <w14:schemeClr w14:val="tx1"/>
            </w14:solidFill>
          </w14:textFill>
        </w:rPr>
        <w:t>。</w:t>
      </w:r>
    </w:p>
    <w:p w14:paraId="33CA5CA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4.2-2  项目所在</w:t>
      </w:r>
      <w:r>
        <w:rPr>
          <w:rFonts w:hint="eastAsia"/>
          <w:b/>
          <w:bCs/>
          <w:color w:val="000000" w:themeColor="text1"/>
          <w:sz w:val="21"/>
          <w:szCs w:val="21"/>
          <w:highlight w:val="none"/>
          <w:lang w:val="en-US" w:eastAsia="zh-CN"/>
          <w14:textFill>
            <w14:solidFill>
              <w14:schemeClr w14:val="tx1"/>
            </w14:solidFill>
          </w14:textFill>
        </w:rPr>
        <w:t>附近</w:t>
      </w:r>
      <w:r>
        <w:rPr>
          <w:rFonts w:hint="eastAsia"/>
          <w:b/>
          <w:bCs/>
          <w:color w:val="000000" w:themeColor="text1"/>
          <w:sz w:val="21"/>
          <w:szCs w:val="21"/>
          <w:highlight w:val="none"/>
          <w14:textFill>
            <w14:solidFill>
              <w14:schemeClr w14:val="tx1"/>
            </w14:solidFill>
          </w14:textFill>
        </w:rPr>
        <w:t>的</w:t>
      </w:r>
      <w:r>
        <w:rPr>
          <w:rFonts w:hint="eastAsia"/>
          <w:b/>
          <w:bCs/>
          <w:color w:val="000000" w:themeColor="text1"/>
          <w:sz w:val="21"/>
          <w:szCs w:val="21"/>
          <w:highlight w:val="none"/>
          <w:lang w:val="en-US" w:eastAsia="zh-CN"/>
          <w14:textFill>
            <w14:solidFill>
              <w14:schemeClr w14:val="tx1"/>
            </w14:solidFill>
          </w14:textFill>
        </w:rPr>
        <w:t>克拉玛依市</w:t>
      </w:r>
      <w:r>
        <w:rPr>
          <w:rFonts w:hint="eastAsia"/>
          <w:b/>
          <w:bCs/>
          <w:color w:val="000000" w:themeColor="text1"/>
          <w:sz w:val="21"/>
          <w:szCs w:val="21"/>
          <w:highlight w:val="none"/>
          <w14:textFill>
            <w14:solidFill>
              <w14:schemeClr w14:val="tx1"/>
            </w14:solidFill>
          </w14:textFill>
        </w:rPr>
        <w:t>202</w:t>
      </w:r>
      <w:r>
        <w:rPr>
          <w:rFonts w:hint="eastAsia"/>
          <w:b/>
          <w:bCs/>
          <w:color w:val="000000" w:themeColor="text1"/>
          <w:sz w:val="21"/>
          <w:szCs w:val="21"/>
          <w:highlight w:val="none"/>
          <w:lang w:val="en-US" w:eastAsia="zh-CN"/>
          <w14:textFill>
            <w14:solidFill>
              <w14:schemeClr w14:val="tx1"/>
            </w14:solidFill>
          </w14:textFill>
        </w:rPr>
        <w:t>3</w:t>
      </w:r>
      <w:r>
        <w:rPr>
          <w:rFonts w:hint="eastAsia"/>
          <w:b/>
          <w:bCs/>
          <w:color w:val="000000" w:themeColor="text1"/>
          <w:sz w:val="21"/>
          <w:szCs w:val="21"/>
          <w:highlight w:val="none"/>
          <w14:textFill>
            <w14:solidFill>
              <w14:schemeClr w14:val="tx1"/>
            </w14:solidFill>
          </w14:textFill>
        </w:rPr>
        <w:t>年空气质量达标区判定结果</w:t>
      </w:r>
    </w:p>
    <w:tbl>
      <w:tblPr>
        <w:tblStyle w:val="33"/>
        <w:tblW w:w="0" w:type="auto"/>
        <w:jc w:val="center"/>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964"/>
        <w:gridCol w:w="1441"/>
        <w:gridCol w:w="1163"/>
        <w:gridCol w:w="1179"/>
        <w:gridCol w:w="1013"/>
        <w:gridCol w:w="723"/>
      </w:tblGrid>
      <w:tr w14:paraId="423D1A28">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7" w:type="dxa"/>
            <w:vAlign w:val="center"/>
          </w:tcPr>
          <w:p w14:paraId="110F9D1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污染物名称</w:t>
            </w:r>
          </w:p>
        </w:tc>
        <w:tc>
          <w:tcPr>
            <w:tcW w:w="1964" w:type="dxa"/>
            <w:vAlign w:val="center"/>
          </w:tcPr>
          <w:p w14:paraId="73BE51B8">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年度</w:t>
            </w:r>
            <w:r>
              <w:rPr>
                <w:b/>
                <w:bCs/>
                <w:color w:val="000000" w:themeColor="text1"/>
                <w:sz w:val="21"/>
                <w:szCs w:val="21"/>
                <w:highlight w:val="none"/>
                <w14:textFill>
                  <w14:solidFill>
                    <w14:schemeClr w14:val="tx1"/>
                  </w14:solidFill>
                </w14:textFill>
              </w:rPr>
              <w:t>评价指标</w:t>
            </w:r>
          </w:p>
        </w:tc>
        <w:tc>
          <w:tcPr>
            <w:tcW w:w="1441" w:type="dxa"/>
            <w:vAlign w:val="center"/>
          </w:tcPr>
          <w:p w14:paraId="69A51E0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评价标准</w:t>
            </w:r>
          </w:p>
          <w:p w14:paraId="08D34CE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（μg/m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w:t>
            </w:r>
          </w:p>
        </w:tc>
        <w:tc>
          <w:tcPr>
            <w:tcW w:w="1163" w:type="dxa"/>
            <w:vAlign w:val="center"/>
          </w:tcPr>
          <w:p w14:paraId="16140BF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现状浓度</w:t>
            </w:r>
          </w:p>
          <w:p w14:paraId="0DC5759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（μg/m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w:t>
            </w:r>
          </w:p>
        </w:tc>
        <w:tc>
          <w:tcPr>
            <w:tcW w:w="1179" w:type="dxa"/>
            <w:vAlign w:val="center"/>
          </w:tcPr>
          <w:p w14:paraId="77B98D9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c>
          <w:tcPr>
            <w:tcW w:w="1013" w:type="dxa"/>
            <w:vAlign w:val="center"/>
          </w:tcPr>
          <w:p w14:paraId="4F04E2A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超标率（%）</w:t>
            </w:r>
          </w:p>
        </w:tc>
        <w:tc>
          <w:tcPr>
            <w:tcW w:w="723" w:type="dxa"/>
            <w:vAlign w:val="center"/>
          </w:tcPr>
          <w:p w14:paraId="06CE065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达标情况</w:t>
            </w:r>
          </w:p>
        </w:tc>
      </w:tr>
      <w:tr w14:paraId="23ECA14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7" w:type="dxa"/>
            <w:vAlign w:val="center"/>
          </w:tcPr>
          <w:p w14:paraId="404FB15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SO</w:t>
            </w:r>
            <w:r>
              <w:rPr>
                <w:color w:val="000000" w:themeColor="text1"/>
                <w:sz w:val="21"/>
                <w:szCs w:val="21"/>
                <w:highlight w:val="none"/>
                <w:vertAlign w:val="subscript"/>
                <w14:textFill>
                  <w14:solidFill>
                    <w14:schemeClr w14:val="tx1"/>
                  </w14:solidFill>
                </w14:textFill>
              </w:rPr>
              <w:t>2</w:t>
            </w:r>
          </w:p>
        </w:tc>
        <w:tc>
          <w:tcPr>
            <w:tcW w:w="1964" w:type="dxa"/>
            <w:vAlign w:val="center"/>
          </w:tcPr>
          <w:p w14:paraId="3821270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年平均</w:t>
            </w:r>
          </w:p>
        </w:tc>
        <w:tc>
          <w:tcPr>
            <w:tcW w:w="1441" w:type="dxa"/>
            <w:vAlign w:val="center"/>
          </w:tcPr>
          <w:p w14:paraId="772485A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60</w:t>
            </w:r>
          </w:p>
        </w:tc>
        <w:tc>
          <w:tcPr>
            <w:tcW w:w="1163" w:type="dxa"/>
            <w:vAlign w:val="center"/>
          </w:tcPr>
          <w:p w14:paraId="37A6F3E8">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w:t>
            </w:r>
          </w:p>
        </w:tc>
        <w:tc>
          <w:tcPr>
            <w:tcW w:w="1179" w:type="dxa"/>
            <w:vAlign w:val="center"/>
          </w:tcPr>
          <w:p w14:paraId="40F4CFC5">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11.67</w:t>
            </w:r>
          </w:p>
        </w:tc>
        <w:tc>
          <w:tcPr>
            <w:tcW w:w="1013" w:type="dxa"/>
            <w:vAlign w:val="center"/>
          </w:tcPr>
          <w:p w14:paraId="56FE6F0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723" w:type="dxa"/>
            <w:vAlign w:val="center"/>
          </w:tcPr>
          <w:p w14:paraId="28D3F29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171AD36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7" w:type="dxa"/>
            <w:vAlign w:val="center"/>
          </w:tcPr>
          <w:p w14:paraId="5532D73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w:t>
            </w:r>
            <w:r>
              <w:rPr>
                <w:color w:val="000000" w:themeColor="text1"/>
                <w:sz w:val="21"/>
                <w:szCs w:val="21"/>
                <w:highlight w:val="none"/>
                <w:vertAlign w:val="subscript"/>
                <w14:textFill>
                  <w14:solidFill>
                    <w14:schemeClr w14:val="tx1"/>
                  </w14:solidFill>
                </w14:textFill>
              </w:rPr>
              <w:t>2</w:t>
            </w:r>
          </w:p>
        </w:tc>
        <w:tc>
          <w:tcPr>
            <w:tcW w:w="1964" w:type="dxa"/>
            <w:vAlign w:val="center"/>
          </w:tcPr>
          <w:p w14:paraId="5DDF8E5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年平均</w:t>
            </w:r>
          </w:p>
        </w:tc>
        <w:tc>
          <w:tcPr>
            <w:tcW w:w="1441" w:type="dxa"/>
            <w:vAlign w:val="center"/>
          </w:tcPr>
          <w:p w14:paraId="0398EA0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w:t>
            </w:r>
          </w:p>
        </w:tc>
        <w:tc>
          <w:tcPr>
            <w:tcW w:w="1163" w:type="dxa"/>
            <w:vAlign w:val="center"/>
          </w:tcPr>
          <w:p w14:paraId="7CB01A7A">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w:t>
            </w:r>
          </w:p>
        </w:tc>
        <w:tc>
          <w:tcPr>
            <w:tcW w:w="1179" w:type="dxa"/>
            <w:vAlign w:val="center"/>
          </w:tcPr>
          <w:p w14:paraId="31CF0201">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p>
        </w:tc>
        <w:tc>
          <w:tcPr>
            <w:tcW w:w="1013" w:type="dxa"/>
            <w:vAlign w:val="center"/>
          </w:tcPr>
          <w:p w14:paraId="4F89C37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723" w:type="dxa"/>
            <w:vAlign w:val="center"/>
          </w:tcPr>
          <w:p w14:paraId="071C42B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34592E91">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7" w:type="dxa"/>
            <w:vAlign w:val="center"/>
          </w:tcPr>
          <w:p w14:paraId="7D4BDDB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PM10</w:t>
            </w:r>
          </w:p>
        </w:tc>
        <w:tc>
          <w:tcPr>
            <w:tcW w:w="1964" w:type="dxa"/>
            <w:vAlign w:val="center"/>
          </w:tcPr>
          <w:p w14:paraId="3BD84EA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年平均</w:t>
            </w:r>
          </w:p>
        </w:tc>
        <w:tc>
          <w:tcPr>
            <w:tcW w:w="1441" w:type="dxa"/>
            <w:vAlign w:val="center"/>
          </w:tcPr>
          <w:p w14:paraId="3D58424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w:t>
            </w:r>
          </w:p>
        </w:tc>
        <w:tc>
          <w:tcPr>
            <w:tcW w:w="1163" w:type="dxa"/>
            <w:vAlign w:val="center"/>
          </w:tcPr>
          <w:p w14:paraId="2004F849">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w:t>
            </w:r>
          </w:p>
        </w:tc>
        <w:tc>
          <w:tcPr>
            <w:tcW w:w="1179" w:type="dxa"/>
            <w:vAlign w:val="center"/>
          </w:tcPr>
          <w:p w14:paraId="0250DDB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61.43</w:t>
            </w:r>
          </w:p>
        </w:tc>
        <w:tc>
          <w:tcPr>
            <w:tcW w:w="1013" w:type="dxa"/>
            <w:vAlign w:val="center"/>
          </w:tcPr>
          <w:p w14:paraId="12A40EC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723" w:type="dxa"/>
            <w:vAlign w:val="center"/>
          </w:tcPr>
          <w:p w14:paraId="2EFA362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76F6345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7" w:type="dxa"/>
            <w:vAlign w:val="center"/>
          </w:tcPr>
          <w:p w14:paraId="0144388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PM2.5</w:t>
            </w:r>
          </w:p>
        </w:tc>
        <w:tc>
          <w:tcPr>
            <w:tcW w:w="1964" w:type="dxa"/>
            <w:vAlign w:val="center"/>
          </w:tcPr>
          <w:p w14:paraId="7A8492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年平均</w:t>
            </w:r>
          </w:p>
        </w:tc>
        <w:tc>
          <w:tcPr>
            <w:tcW w:w="1441" w:type="dxa"/>
            <w:vAlign w:val="center"/>
          </w:tcPr>
          <w:p w14:paraId="404B355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35</w:t>
            </w:r>
          </w:p>
        </w:tc>
        <w:tc>
          <w:tcPr>
            <w:tcW w:w="1163" w:type="dxa"/>
            <w:vAlign w:val="center"/>
          </w:tcPr>
          <w:p w14:paraId="25BCA6C1">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22</w:t>
            </w:r>
          </w:p>
        </w:tc>
        <w:tc>
          <w:tcPr>
            <w:tcW w:w="1179" w:type="dxa"/>
            <w:vAlign w:val="center"/>
          </w:tcPr>
          <w:p w14:paraId="09A608F1">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62.86</w:t>
            </w:r>
          </w:p>
        </w:tc>
        <w:tc>
          <w:tcPr>
            <w:tcW w:w="1013" w:type="dxa"/>
            <w:vAlign w:val="center"/>
          </w:tcPr>
          <w:p w14:paraId="5249F06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723" w:type="dxa"/>
            <w:vAlign w:val="center"/>
          </w:tcPr>
          <w:p w14:paraId="54263A4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0CAF0A1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7" w:type="dxa"/>
            <w:vAlign w:val="center"/>
          </w:tcPr>
          <w:p w14:paraId="6D1E0DE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CO</w:t>
            </w:r>
          </w:p>
        </w:tc>
        <w:tc>
          <w:tcPr>
            <w:tcW w:w="1964" w:type="dxa"/>
            <w:vAlign w:val="center"/>
          </w:tcPr>
          <w:p w14:paraId="0C28C72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24h平均第95百分位数</w:t>
            </w:r>
          </w:p>
        </w:tc>
        <w:tc>
          <w:tcPr>
            <w:tcW w:w="1441" w:type="dxa"/>
            <w:vAlign w:val="center"/>
          </w:tcPr>
          <w:p w14:paraId="5B1DF4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r>
              <w:rPr>
                <w:rFonts w:hint="eastAsia"/>
                <w:color w:val="000000" w:themeColor="text1"/>
                <w:sz w:val="21"/>
                <w:szCs w:val="21"/>
                <w:highlight w:val="none"/>
                <w14:textFill>
                  <w14:solidFill>
                    <w14:schemeClr w14:val="tx1"/>
                  </w14:solidFill>
                </w14:textFill>
              </w:rPr>
              <w:t>000</w:t>
            </w:r>
          </w:p>
        </w:tc>
        <w:tc>
          <w:tcPr>
            <w:tcW w:w="1163" w:type="dxa"/>
            <w:vAlign w:val="center"/>
          </w:tcPr>
          <w:p w14:paraId="225D7288">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1000</w:t>
            </w:r>
          </w:p>
        </w:tc>
        <w:tc>
          <w:tcPr>
            <w:tcW w:w="1179" w:type="dxa"/>
            <w:vAlign w:val="center"/>
          </w:tcPr>
          <w:p w14:paraId="0ECA860C">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1013" w:type="dxa"/>
            <w:vAlign w:val="center"/>
          </w:tcPr>
          <w:p w14:paraId="5142EB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723" w:type="dxa"/>
            <w:vAlign w:val="center"/>
          </w:tcPr>
          <w:p w14:paraId="22B6BEB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57DAFC26">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7" w:type="dxa"/>
            <w:vAlign w:val="center"/>
          </w:tcPr>
          <w:p w14:paraId="561AB00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O</w:t>
            </w:r>
            <w:r>
              <w:rPr>
                <w:color w:val="000000" w:themeColor="text1"/>
                <w:sz w:val="21"/>
                <w:szCs w:val="21"/>
                <w:highlight w:val="none"/>
                <w:vertAlign w:val="subscript"/>
                <w14:textFill>
                  <w14:solidFill>
                    <w14:schemeClr w14:val="tx1"/>
                  </w14:solidFill>
                </w14:textFill>
              </w:rPr>
              <w:t>3</w:t>
            </w:r>
          </w:p>
        </w:tc>
        <w:tc>
          <w:tcPr>
            <w:tcW w:w="1964" w:type="dxa"/>
            <w:vAlign w:val="center"/>
          </w:tcPr>
          <w:p w14:paraId="66D0FD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日最大8h</w:t>
            </w:r>
          </w:p>
          <w:p w14:paraId="0B093E3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平均第90百分位数</w:t>
            </w:r>
          </w:p>
        </w:tc>
        <w:tc>
          <w:tcPr>
            <w:tcW w:w="1441" w:type="dxa"/>
            <w:vAlign w:val="center"/>
          </w:tcPr>
          <w:p w14:paraId="39FD01F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160</w:t>
            </w:r>
          </w:p>
        </w:tc>
        <w:tc>
          <w:tcPr>
            <w:tcW w:w="1163" w:type="dxa"/>
            <w:vAlign w:val="center"/>
          </w:tcPr>
          <w:p w14:paraId="3B1450FD">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123</w:t>
            </w:r>
          </w:p>
        </w:tc>
        <w:tc>
          <w:tcPr>
            <w:tcW w:w="1179" w:type="dxa"/>
            <w:vAlign w:val="center"/>
          </w:tcPr>
          <w:p w14:paraId="22BC026F">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76.88</w:t>
            </w:r>
          </w:p>
        </w:tc>
        <w:tc>
          <w:tcPr>
            <w:tcW w:w="1013" w:type="dxa"/>
            <w:vAlign w:val="center"/>
          </w:tcPr>
          <w:p w14:paraId="61DF4D6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723" w:type="dxa"/>
            <w:vAlign w:val="center"/>
          </w:tcPr>
          <w:p w14:paraId="20E0179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bl>
    <w:p w14:paraId="00817A3F">
      <w:pPr>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73675" cy="2663190"/>
            <wp:effectExtent l="0" t="0" r="3175" b="381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1"/>
                    </pic:cNvPicPr>
                  </pic:nvPicPr>
                  <pic:blipFill>
                    <a:blip r:embed="rId36"/>
                    <a:stretch>
                      <a:fillRect/>
                    </a:stretch>
                  </pic:blipFill>
                  <pic:spPr>
                    <a:xfrm>
                      <a:off x="0" y="0"/>
                      <a:ext cx="5273675" cy="2663190"/>
                    </a:xfrm>
                    <a:prstGeom prst="rect">
                      <a:avLst/>
                    </a:prstGeom>
                    <a:noFill/>
                    <a:ln>
                      <a:noFill/>
                    </a:ln>
                  </pic:spPr>
                </pic:pic>
              </a:graphicData>
            </a:graphic>
          </wp:inline>
        </w:drawing>
      </w:r>
    </w:p>
    <w:p w14:paraId="118E41CA">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项目所在区域空气质量达标区判定结果为：</w:t>
      </w:r>
      <w:r>
        <w:rPr>
          <w:rFonts w:hint="eastAsia"/>
          <w:color w:val="000000" w:themeColor="text1"/>
          <w:highlight w:val="none"/>
          <w:lang w:val="en-US" w:eastAsia="zh-CN"/>
          <w14:textFill>
            <w14:solidFill>
              <w14:schemeClr w14:val="tx1"/>
            </w14:solidFill>
          </w14:textFill>
        </w:rPr>
        <w:t>克拉玛依市</w:t>
      </w:r>
      <w:r>
        <w:rPr>
          <w:rFonts w:hint="eastAsia"/>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年SO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、NO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、PM10、PM2.5年均浓度分别</w:t>
      </w:r>
      <w:r>
        <w:rPr>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28</w:t>
      </w:r>
      <w:r>
        <w:rPr>
          <w:color w:val="000000" w:themeColor="text1"/>
          <w:highlight w:val="none"/>
          <w14:textFill>
            <w14:solidFill>
              <w14:schemeClr w14:val="tx1"/>
            </w14:solidFill>
          </w14:textFill>
        </w:rPr>
        <w:t>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43</w:t>
      </w:r>
      <w:r>
        <w:rPr>
          <w:color w:val="000000" w:themeColor="text1"/>
          <w:highlight w:val="none"/>
          <w14:textFill>
            <w14:solidFill>
              <w14:schemeClr w14:val="tx1"/>
            </w14:solidFill>
          </w14:textFill>
        </w:rPr>
        <w:t>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22</w:t>
      </w:r>
      <w:r>
        <w:rPr>
          <w:color w:val="000000" w:themeColor="text1"/>
          <w:highlight w:val="none"/>
          <w14:textFill>
            <w14:solidFill>
              <w14:schemeClr w14:val="tx1"/>
            </w14:solidFill>
          </w14:textFill>
        </w:rPr>
        <w:t>μg/m3；CO24小时平均第95百分位数为</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，O</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日最大8小时平均第90百分位数为</w:t>
      </w:r>
      <w:r>
        <w:rPr>
          <w:rFonts w:hint="eastAsia"/>
          <w:color w:val="000000" w:themeColor="text1"/>
          <w:highlight w:val="none"/>
          <w:lang w:val="en-US" w:eastAsia="zh-CN"/>
          <w14:textFill>
            <w14:solidFill>
              <w14:schemeClr w14:val="tx1"/>
            </w14:solidFill>
          </w14:textFill>
        </w:rPr>
        <w:t>123</w:t>
      </w:r>
      <w:r>
        <w:rPr>
          <w:color w:val="000000" w:themeColor="text1"/>
          <w:highlight w:val="none"/>
          <w14:textFill>
            <w14:solidFill>
              <w14:schemeClr w14:val="tx1"/>
            </w14:solidFill>
          </w14:textFill>
        </w:rPr>
        <w:t>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；各项污染物平均浓度均未超过《环境空气质量标准》（GB3095-2012）中二级标准限值。因此，本项目所在区域属于环境空气达标区。</w:t>
      </w:r>
    </w:p>
    <w:p w14:paraId="6774E6DB">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w:t>
      </w:r>
      <w:r>
        <w:rPr>
          <w:b/>
          <w:bCs/>
          <w:color w:val="000000" w:themeColor="text1"/>
          <w:highlight w:val="none"/>
          <w14:textFill>
            <w14:solidFill>
              <w14:schemeClr w14:val="tx1"/>
            </w14:solidFill>
          </w14:textFill>
        </w:rPr>
        <w:t>2.1.2环境空气质量现状监测</w:t>
      </w:r>
    </w:p>
    <w:p w14:paraId="23B45A1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1、监测布点</w:t>
      </w:r>
    </w:p>
    <w:p w14:paraId="22659A6F">
      <w:pPr>
        <w:ind w:firstLine="480" w:firstLineChars="200"/>
        <w:rPr>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val="en-US"/>
          <w14:textFill>
            <w14:solidFill>
              <w14:schemeClr w14:val="tx1"/>
            </w14:solidFill>
          </w14:textFill>
        </w:rPr>
        <w:t>根据项目区域的实际情况及项目区平面布置情况</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color w:val="000000" w:themeColor="text1"/>
          <w:sz w:val="24"/>
          <w:szCs w:val="24"/>
          <w:highlight w:val="none"/>
          <w14:textFill>
            <w14:solidFill>
              <w14:schemeClr w14:val="tx1"/>
            </w14:solidFill>
          </w14:textFill>
        </w:rPr>
        <w:t>NH</w:t>
      </w:r>
      <w:r>
        <w:rPr>
          <w:color w:val="000000" w:themeColor="text1"/>
          <w:sz w:val="24"/>
          <w:szCs w:val="24"/>
          <w:highlight w:val="none"/>
          <w:vertAlign w:val="subscript"/>
          <w14:textFill>
            <w14:solidFill>
              <w14:schemeClr w14:val="tx1"/>
            </w14:solidFill>
          </w14:textFill>
        </w:rPr>
        <w:t>3</w:t>
      </w:r>
      <w:r>
        <w:rPr>
          <w:color w:val="000000" w:themeColor="text1"/>
          <w:sz w:val="24"/>
          <w:szCs w:val="24"/>
          <w:highlight w:val="none"/>
          <w14:textFill>
            <w14:solidFill>
              <w14:schemeClr w14:val="tx1"/>
            </w14:solidFill>
          </w14:textFill>
        </w:rPr>
        <w:t>、H</w:t>
      </w:r>
      <w:r>
        <w:rPr>
          <w:color w:val="000000" w:themeColor="text1"/>
          <w:sz w:val="24"/>
          <w:szCs w:val="24"/>
          <w:highlight w:val="none"/>
          <w:vertAlign w:val="subscript"/>
          <w14:textFill>
            <w14:solidFill>
              <w14:schemeClr w14:val="tx1"/>
            </w14:solidFill>
          </w14:textFill>
        </w:rPr>
        <w:t>2</w:t>
      </w:r>
      <w:r>
        <w:rPr>
          <w:color w:val="000000" w:themeColor="text1"/>
          <w:sz w:val="24"/>
          <w:szCs w:val="24"/>
          <w:highlight w:val="none"/>
          <w14:textFill>
            <w14:solidFill>
              <w14:schemeClr w14:val="tx1"/>
            </w14:solidFill>
          </w14:textFill>
        </w:rPr>
        <w:t>S、臭气浓度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布置了两个点位监测</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1、2</w:t>
      </w:r>
      <w:r>
        <w:rPr>
          <w:rFonts w:hint="eastAsia"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TSP</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布置了两个点位监测（1</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TSp</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TSp</w:t>
      </w:r>
      <w:r>
        <w:rPr>
          <w:rFonts w:hint="eastAsia"/>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w:t>
      </w:r>
    </w:p>
    <w:p w14:paraId="3A9605D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具体监测点位见表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，环境空气监测布点图见</w:t>
      </w:r>
      <w:r>
        <w:rPr>
          <w:rFonts w:hint="eastAsia"/>
          <w:color w:val="000000" w:themeColor="text1"/>
          <w:highlight w:val="none"/>
          <w:lang w:val="en-US" w:eastAsia="zh-CN"/>
          <w14:textFill>
            <w14:solidFill>
              <w14:schemeClr w14:val="tx1"/>
            </w14:solidFill>
          </w14:textFill>
        </w:rPr>
        <w:t>附</w:t>
      </w:r>
      <w:r>
        <w:rPr>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p>
    <w:p w14:paraId="65625D6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环境空气质量现状监测布点一览表</w:t>
      </w:r>
    </w:p>
    <w:tbl>
      <w:tblPr>
        <w:tblStyle w:val="33"/>
        <w:tblW w:w="82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3454"/>
        <w:gridCol w:w="1125"/>
        <w:gridCol w:w="2746"/>
      </w:tblGrid>
      <w:tr w14:paraId="37BEA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vAlign w:val="center"/>
          </w:tcPr>
          <w:p w14:paraId="5947C97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3454" w:type="dxa"/>
            <w:vAlign w:val="center"/>
          </w:tcPr>
          <w:p w14:paraId="47EB6DB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监测点位</w:t>
            </w:r>
          </w:p>
        </w:tc>
        <w:tc>
          <w:tcPr>
            <w:tcW w:w="1125" w:type="dxa"/>
            <w:vAlign w:val="center"/>
          </w:tcPr>
          <w:p w14:paraId="5AE5CD5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相对方位</w:t>
            </w:r>
          </w:p>
        </w:tc>
        <w:tc>
          <w:tcPr>
            <w:tcW w:w="2746" w:type="dxa"/>
            <w:vAlign w:val="center"/>
          </w:tcPr>
          <w:p w14:paraId="1607630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监测点位相对厂址距离</w:t>
            </w:r>
          </w:p>
        </w:tc>
      </w:tr>
      <w:tr w14:paraId="34AF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shd w:val="clear" w:color="auto" w:fill="auto"/>
            <w:vAlign w:val="center"/>
          </w:tcPr>
          <w:p w14:paraId="18E2B971">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3454" w:type="dxa"/>
            <w:vAlign w:val="center"/>
          </w:tcPr>
          <w:p w14:paraId="5E7C681A">
            <w:pPr>
              <w:pStyle w:val="79"/>
              <w:rPr>
                <w:color w:val="000000" w:themeColor="text1"/>
                <w:highlight w:val="none"/>
                <w14:textFill>
                  <w14:solidFill>
                    <w14:schemeClr w14:val="tx1"/>
                  </w14:solidFill>
                </w14:textFill>
              </w:rPr>
            </w:pPr>
            <w:r>
              <w:rPr>
                <w:rFonts w:cs="Times New Roman"/>
                <w:color w:val="000000" w:themeColor="text1"/>
                <w:kern w:val="2"/>
                <w:sz w:val="21"/>
                <w:szCs w:val="21"/>
                <w:highlight w:val="none"/>
                <w:lang w:bidi="zh-CN"/>
                <w14:textFill>
                  <w14:solidFill>
                    <w14:schemeClr w14:val="tx1"/>
                  </w14:solidFill>
                </w14:textFill>
              </w:rPr>
              <w:t>E</w:t>
            </w:r>
            <w:r>
              <w:rPr>
                <w:rFonts w:hint="eastAsia" w:cs="Times New Roman"/>
                <w:color w:val="000000" w:themeColor="text1"/>
                <w:kern w:val="2"/>
                <w:sz w:val="21"/>
                <w:szCs w:val="21"/>
                <w:highlight w:val="none"/>
                <w:lang w:bidi="zh-CN"/>
                <w14:textFill>
                  <w14:solidFill>
                    <w14:schemeClr w14:val="tx1"/>
                  </w14:solidFill>
                </w14:textFill>
              </w:rPr>
              <w:t>：</w:t>
            </w:r>
            <w:r>
              <w:rPr>
                <w:rFonts w:hint="eastAsia"/>
                <w:color w:val="000000" w:themeColor="text1"/>
                <w:highlight w:val="none"/>
                <w14:textFill>
                  <w14:solidFill>
                    <w14:schemeClr w14:val="tx1"/>
                  </w14:solidFill>
                </w14:textFill>
              </w:rPr>
              <w:t>8</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32</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03.39</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cs="Times New Roman"/>
                <w:color w:val="000000" w:themeColor="text1"/>
                <w:kern w:val="2"/>
                <w:sz w:val="21"/>
                <w:szCs w:val="21"/>
                <w:highlight w:val="none"/>
                <w:lang w:bidi="zh-CN"/>
                <w14:textFill>
                  <w14:solidFill>
                    <w14:schemeClr w14:val="tx1"/>
                  </w14:solidFill>
                </w14:textFill>
              </w:rPr>
              <w:t>N</w:t>
            </w:r>
            <w:r>
              <w:rPr>
                <w:rFonts w:hint="eastAsia" w:cs="Times New Roman"/>
                <w:color w:val="000000" w:themeColor="text1"/>
                <w:kern w:val="2"/>
                <w:sz w:val="21"/>
                <w:szCs w:val="21"/>
                <w:highlight w:val="none"/>
                <w:lang w:bidi="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44</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50</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24.15</w:t>
            </w:r>
            <w:r>
              <w:rPr>
                <w:rFonts w:hint="eastAsia"/>
                <w:color w:val="000000" w:themeColor="text1"/>
                <w:highlight w:val="none"/>
                <w14:textFill>
                  <w14:solidFill>
                    <w14:schemeClr w14:val="tx1"/>
                  </w14:solidFill>
                </w14:textFill>
              </w:rPr>
              <w:t>″</w:t>
            </w:r>
          </w:p>
        </w:tc>
        <w:tc>
          <w:tcPr>
            <w:tcW w:w="1125" w:type="dxa"/>
            <w:shd w:val="clear" w:color="auto" w:fill="auto"/>
            <w:vAlign w:val="center"/>
          </w:tcPr>
          <w:p w14:paraId="188C2E94">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西</w:t>
            </w:r>
          </w:p>
        </w:tc>
        <w:tc>
          <w:tcPr>
            <w:tcW w:w="2746" w:type="dxa"/>
            <w:shd w:val="clear" w:color="auto" w:fill="auto"/>
            <w:vAlign w:val="center"/>
          </w:tcPr>
          <w:p w14:paraId="7F8019AE">
            <w:pPr>
              <w:spacing w:line="240" w:lineRule="auto"/>
              <w:jc w:val="center"/>
              <w:rPr>
                <w:rFonts w:hint="default"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20m</w:t>
            </w:r>
          </w:p>
        </w:tc>
      </w:tr>
      <w:tr w14:paraId="7BCA0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shd w:val="clear" w:color="auto" w:fill="auto"/>
            <w:vAlign w:val="center"/>
          </w:tcPr>
          <w:p w14:paraId="3D73FBBF">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3454" w:type="dxa"/>
            <w:vAlign w:val="center"/>
          </w:tcPr>
          <w:p w14:paraId="4E1EA1B5">
            <w:pPr>
              <w:pStyle w:val="79"/>
              <w:rPr>
                <w:color w:val="000000" w:themeColor="text1"/>
                <w:highlight w:val="none"/>
                <w14:textFill>
                  <w14:solidFill>
                    <w14:schemeClr w14:val="tx1"/>
                  </w14:solidFill>
                </w14:textFill>
              </w:rPr>
            </w:pPr>
            <w:r>
              <w:rPr>
                <w:rFonts w:cs="Times New Roman"/>
                <w:color w:val="000000" w:themeColor="text1"/>
                <w:kern w:val="2"/>
                <w:sz w:val="21"/>
                <w:szCs w:val="21"/>
                <w:highlight w:val="none"/>
                <w:lang w:bidi="zh-CN"/>
                <w14:textFill>
                  <w14:solidFill>
                    <w14:schemeClr w14:val="tx1"/>
                  </w14:solidFill>
                </w14:textFill>
              </w:rPr>
              <w:t>E</w:t>
            </w:r>
            <w:r>
              <w:rPr>
                <w:rFonts w:hint="eastAsia" w:cs="Times New Roman"/>
                <w:color w:val="000000" w:themeColor="text1"/>
                <w:kern w:val="2"/>
                <w:sz w:val="21"/>
                <w:szCs w:val="21"/>
                <w:highlight w:val="none"/>
                <w:lang w:bidi="zh-CN"/>
                <w14:textFill>
                  <w14:solidFill>
                    <w14:schemeClr w14:val="tx1"/>
                  </w14:solidFill>
                </w14:textFill>
              </w:rPr>
              <w:t>：</w:t>
            </w:r>
            <w:r>
              <w:rPr>
                <w:rFonts w:hint="eastAsia"/>
                <w:color w:val="000000" w:themeColor="text1"/>
                <w:highlight w:val="none"/>
                <w14:textFill>
                  <w14:solidFill>
                    <w14:schemeClr w14:val="tx1"/>
                  </w14:solidFill>
                </w14:textFill>
              </w:rPr>
              <w:t>84°32′08.16″，</w:t>
            </w:r>
            <w:r>
              <w:rPr>
                <w:rFonts w:cs="Times New Roman"/>
                <w:color w:val="000000" w:themeColor="text1"/>
                <w:kern w:val="2"/>
                <w:sz w:val="21"/>
                <w:szCs w:val="21"/>
                <w:highlight w:val="none"/>
                <w:lang w:bidi="zh-CN"/>
                <w14:textFill>
                  <w14:solidFill>
                    <w14:schemeClr w14:val="tx1"/>
                  </w14:solidFill>
                </w14:textFill>
              </w:rPr>
              <w:t>N</w:t>
            </w:r>
            <w:r>
              <w:rPr>
                <w:rFonts w:hint="eastAsia" w:cs="Times New Roman"/>
                <w:color w:val="000000" w:themeColor="text1"/>
                <w:kern w:val="2"/>
                <w:sz w:val="21"/>
                <w:szCs w:val="21"/>
                <w:highlight w:val="none"/>
                <w:lang w:bidi="zh-CN"/>
                <w14:textFill>
                  <w14:solidFill>
                    <w14:schemeClr w14:val="tx1"/>
                  </w14:solidFill>
                </w14:textFill>
              </w:rPr>
              <w:t>：</w:t>
            </w:r>
            <w:r>
              <w:rPr>
                <w:rFonts w:hint="eastAsia"/>
                <w:color w:val="000000" w:themeColor="text1"/>
                <w:highlight w:val="none"/>
                <w14:textFill>
                  <w14:solidFill>
                    <w14:schemeClr w14:val="tx1"/>
                  </w14:solidFill>
                </w14:textFill>
              </w:rPr>
              <w:t>44°50′15.07″</w:t>
            </w:r>
          </w:p>
        </w:tc>
        <w:tc>
          <w:tcPr>
            <w:tcW w:w="1125" w:type="dxa"/>
            <w:shd w:val="clear" w:color="auto" w:fill="auto"/>
            <w:vAlign w:val="center"/>
          </w:tcPr>
          <w:p w14:paraId="48519EEE">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西</w:t>
            </w:r>
          </w:p>
        </w:tc>
        <w:tc>
          <w:tcPr>
            <w:tcW w:w="2746" w:type="dxa"/>
            <w:shd w:val="clear" w:color="auto" w:fill="auto"/>
            <w:vAlign w:val="center"/>
          </w:tcPr>
          <w:p w14:paraId="6720E955">
            <w:pPr>
              <w:spacing w:line="240" w:lineRule="auto"/>
              <w:jc w:val="center"/>
              <w:rPr>
                <w:rFonts w:hint="default"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20m</w:t>
            </w:r>
          </w:p>
        </w:tc>
      </w:tr>
      <w:tr w14:paraId="5F02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shd w:val="clear" w:color="auto" w:fill="auto"/>
            <w:vAlign w:val="center"/>
          </w:tcPr>
          <w:p w14:paraId="2B8B7F98">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TSp</w:t>
            </w:r>
            <w:r>
              <w:rPr>
                <w:rFonts w:hint="eastAsia"/>
                <w:color w:val="000000" w:themeColor="text1"/>
                <w:sz w:val="21"/>
                <w:szCs w:val="21"/>
                <w:highlight w:val="none"/>
                <w:lang w:eastAsia="zh-CN"/>
                <w14:textFill>
                  <w14:solidFill>
                    <w14:schemeClr w14:val="tx1"/>
                  </w14:solidFill>
                </w14:textFill>
              </w:rPr>
              <w:t>）</w:t>
            </w:r>
          </w:p>
        </w:tc>
        <w:tc>
          <w:tcPr>
            <w:tcW w:w="3454" w:type="dxa"/>
            <w:shd w:val="clear" w:color="auto" w:fill="auto"/>
            <w:vAlign w:val="center"/>
          </w:tcPr>
          <w:p w14:paraId="704FA175">
            <w:pPr>
              <w:pStyle w:val="79"/>
              <w:rPr>
                <w:rFonts w:ascii="Times New Roman" w:hAnsi="Times New Roman" w:eastAsia="宋体" w:cs="Times New Roman"/>
                <w:snapToGrid w:val="0"/>
                <w:color w:val="000000" w:themeColor="text1"/>
                <w:kern w:val="2"/>
                <w:sz w:val="21"/>
                <w:szCs w:val="21"/>
                <w:highlight w:val="none"/>
                <w:lang w:val="en-US" w:eastAsia="zh-CN" w:bidi="zh-CN"/>
                <w14:textFill>
                  <w14:solidFill>
                    <w14:schemeClr w14:val="tx1"/>
                  </w14:solidFill>
                </w14:textFill>
              </w:rPr>
            </w:pPr>
            <w:r>
              <w:rPr>
                <w:rFonts w:cs="Times New Roman"/>
                <w:color w:val="000000" w:themeColor="text1"/>
                <w:kern w:val="2"/>
                <w:sz w:val="21"/>
                <w:szCs w:val="21"/>
                <w:highlight w:val="none"/>
                <w:lang w:bidi="zh-CN"/>
                <w14:textFill>
                  <w14:solidFill>
                    <w14:schemeClr w14:val="tx1"/>
                  </w14:solidFill>
                </w14:textFill>
              </w:rPr>
              <w:t>E</w:t>
            </w:r>
            <w:r>
              <w:rPr>
                <w:rFonts w:hint="eastAsia" w:cs="Times New Roman"/>
                <w:color w:val="000000" w:themeColor="text1"/>
                <w:kern w:val="2"/>
                <w:sz w:val="21"/>
                <w:szCs w:val="21"/>
                <w:highlight w:val="none"/>
                <w:lang w:bidi="zh-CN"/>
                <w14:textFill>
                  <w14:solidFill>
                    <w14:schemeClr w14:val="tx1"/>
                  </w14:solidFill>
                </w14:textFill>
              </w:rPr>
              <w:t>：84</w:t>
            </w:r>
            <w:r>
              <w:rPr>
                <w:rFonts w:hint="eastAsia"/>
                <w:color w:val="000000" w:themeColor="text1"/>
                <w:highlight w:val="none"/>
                <w14:textFill>
                  <w14:solidFill>
                    <w14:schemeClr w14:val="tx1"/>
                  </w14:solidFill>
                </w14:textFill>
              </w:rPr>
              <w:t>°</w:t>
            </w:r>
            <w:r>
              <w:rPr>
                <w:rFonts w:hint="eastAsia" w:cs="Times New Roman"/>
                <w:color w:val="000000" w:themeColor="text1"/>
                <w:kern w:val="2"/>
                <w:sz w:val="21"/>
                <w:szCs w:val="21"/>
                <w:highlight w:val="none"/>
                <w:lang w:bidi="zh-CN"/>
                <w14:textFill>
                  <w14:solidFill>
                    <w14:schemeClr w14:val="tx1"/>
                  </w14:solidFill>
                </w14:textFill>
              </w:rPr>
              <w:t>32</w:t>
            </w:r>
            <w:r>
              <w:rPr>
                <w:rFonts w:hint="eastAsia"/>
                <w:color w:val="000000" w:themeColor="text1"/>
                <w:highlight w:val="none"/>
                <w14:textFill>
                  <w14:solidFill>
                    <w14:schemeClr w14:val="tx1"/>
                  </w14:solidFill>
                </w14:textFill>
              </w:rPr>
              <w:t>′</w:t>
            </w:r>
            <w:r>
              <w:rPr>
                <w:rFonts w:hint="eastAsia" w:cs="Times New Roman"/>
                <w:color w:val="000000" w:themeColor="text1"/>
                <w:kern w:val="2"/>
                <w:sz w:val="21"/>
                <w:szCs w:val="21"/>
                <w:highlight w:val="none"/>
                <w:lang w:bidi="zh-CN"/>
                <w14:textFill>
                  <w14:solidFill>
                    <w14:schemeClr w14:val="tx1"/>
                  </w14:solidFill>
                </w14:textFill>
              </w:rPr>
              <w:t>05.03</w:t>
            </w:r>
            <w:r>
              <w:rPr>
                <w:rFonts w:hint="eastAsia"/>
                <w:color w:val="000000" w:themeColor="text1"/>
                <w:highlight w:val="none"/>
                <w14:textFill>
                  <w14:solidFill>
                    <w14:schemeClr w14:val="tx1"/>
                  </w14:solidFill>
                </w14:textFill>
              </w:rPr>
              <w:t>″</w:t>
            </w:r>
            <w:r>
              <w:rPr>
                <w:rFonts w:hint="eastAsia" w:cs="Times New Roman"/>
                <w:color w:val="000000" w:themeColor="text1"/>
                <w:kern w:val="2"/>
                <w:sz w:val="21"/>
                <w:szCs w:val="21"/>
                <w:highlight w:val="none"/>
                <w:lang w:bidi="zh-CN"/>
                <w14:textFill>
                  <w14:solidFill>
                    <w14:schemeClr w14:val="tx1"/>
                  </w14:solidFill>
                </w14:textFill>
              </w:rPr>
              <w:t>，</w:t>
            </w:r>
            <w:r>
              <w:rPr>
                <w:rFonts w:cs="Times New Roman"/>
                <w:color w:val="000000" w:themeColor="text1"/>
                <w:kern w:val="2"/>
                <w:sz w:val="21"/>
                <w:szCs w:val="21"/>
                <w:highlight w:val="none"/>
                <w:lang w:bidi="zh-CN"/>
                <w14:textFill>
                  <w14:solidFill>
                    <w14:schemeClr w14:val="tx1"/>
                  </w14:solidFill>
                </w14:textFill>
              </w:rPr>
              <w:t>N</w:t>
            </w:r>
            <w:r>
              <w:rPr>
                <w:rFonts w:hint="eastAsia" w:cs="Times New Roman"/>
                <w:color w:val="000000" w:themeColor="text1"/>
                <w:kern w:val="2"/>
                <w:sz w:val="21"/>
                <w:szCs w:val="21"/>
                <w:highlight w:val="none"/>
                <w:lang w:bidi="zh-CN"/>
                <w14:textFill>
                  <w14:solidFill>
                    <w14:schemeClr w14:val="tx1"/>
                  </w14:solidFill>
                </w14:textFill>
              </w:rPr>
              <w:t>：44°50</w:t>
            </w:r>
            <w:r>
              <w:rPr>
                <w:rFonts w:hint="eastAsia"/>
                <w:color w:val="000000" w:themeColor="text1"/>
                <w:highlight w:val="none"/>
                <w14:textFill>
                  <w14:solidFill>
                    <w14:schemeClr w14:val="tx1"/>
                  </w14:solidFill>
                </w14:textFill>
              </w:rPr>
              <w:t>′</w:t>
            </w:r>
            <w:r>
              <w:rPr>
                <w:rFonts w:hint="eastAsia" w:cs="Times New Roman"/>
                <w:color w:val="000000" w:themeColor="text1"/>
                <w:kern w:val="2"/>
                <w:sz w:val="21"/>
                <w:szCs w:val="21"/>
                <w:highlight w:val="none"/>
                <w:lang w:bidi="zh-CN"/>
                <w14:textFill>
                  <w14:solidFill>
                    <w14:schemeClr w14:val="tx1"/>
                  </w14:solidFill>
                </w14:textFill>
              </w:rPr>
              <w:t>28.99</w:t>
            </w:r>
            <w:r>
              <w:rPr>
                <w:rFonts w:hint="eastAsia"/>
                <w:color w:val="000000" w:themeColor="text1"/>
                <w:highlight w:val="none"/>
                <w14:textFill>
                  <w14:solidFill>
                    <w14:schemeClr w14:val="tx1"/>
                  </w14:solidFill>
                </w14:textFill>
              </w:rPr>
              <w:t>″</w:t>
            </w:r>
          </w:p>
        </w:tc>
        <w:tc>
          <w:tcPr>
            <w:tcW w:w="1125" w:type="dxa"/>
            <w:shd w:val="clear" w:color="auto" w:fill="auto"/>
            <w:vAlign w:val="center"/>
          </w:tcPr>
          <w:p w14:paraId="68E4A21B">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西</w:t>
            </w:r>
          </w:p>
        </w:tc>
        <w:tc>
          <w:tcPr>
            <w:tcW w:w="2746" w:type="dxa"/>
            <w:shd w:val="clear" w:color="auto" w:fill="auto"/>
            <w:vAlign w:val="center"/>
          </w:tcPr>
          <w:p w14:paraId="66FFEF63">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20m</w:t>
            </w:r>
          </w:p>
        </w:tc>
      </w:tr>
      <w:tr w14:paraId="3551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7" w:type="dxa"/>
            <w:shd w:val="clear" w:color="auto" w:fill="auto"/>
            <w:vAlign w:val="center"/>
          </w:tcPr>
          <w:p w14:paraId="012745F9">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TSp</w:t>
            </w:r>
            <w:r>
              <w:rPr>
                <w:rFonts w:hint="eastAsia"/>
                <w:color w:val="000000" w:themeColor="text1"/>
                <w:sz w:val="21"/>
                <w:szCs w:val="21"/>
                <w:highlight w:val="none"/>
                <w:lang w:eastAsia="zh-CN"/>
                <w14:textFill>
                  <w14:solidFill>
                    <w14:schemeClr w14:val="tx1"/>
                  </w14:solidFill>
                </w14:textFill>
              </w:rPr>
              <w:t>）</w:t>
            </w:r>
          </w:p>
        </w:tc>
        <w:tc>
          <w:tcPr>
            <w:tcW w:w="3454" w:type="dxa"/>
            <w:shd w:val="clear" w:color="auto" w:fill="auto"/>
            <w:vAlign w:val="center"/>
          </w:tcPr>
          <w:p w14:paraId="472D58A9">
            <w:pPr>
              <w:pStyle w:val="79"/>
              <w:rPr>
                <w:rFonts w:hint="eastAsia" w:ascii="Times New Roman" w:hAnsi="Times New Roman" w:eastAsia="宋体" w:cs="Times New Roman"/>
                <w:snapToGrid w:val="0"/>
                <w:color w:val="000000" w:themeColor="text1"/>
                <w:kern w:val="2"/>
                <w:sz w:val="21"/>
                <w:szCs w:val="21"/>
                <w:highlight w:val="none"/>
                <w:lang w:val="en-US" w:eastAsia="zh-CN" w:bidi="zh-CN"/>
                <w14:textFill>
                  <w14:solidFill>
                    <w14:schemeClr w14:val="tx1"/>
                  </w14:solidFill>
                </w14:textFill>
              </w:rPr>
            </w:pPr>
            <w:r>
              <w:rPr>
                <w:rFonts w:cs="Times New Roman"/>
                <w:color w:val="000000" w:themeColor="text1"/>
                <w:kern w:val="2"/>
                <w:sz w:val="21"/>
                <w:szCs w:val="21"/>
                <w:highlight w:val="none"/>
                <w:lang w:bidi="zh-CN"/>
                <w14:textFill>
                  <w14:solidFill>
                    <w14:schemeClr w14:val="tx1"/>
                  </w14:solidFill>
                </w14:textFill>
              </w:rPr>
              <w:t>E</w:t>
            </w:r>
            <w:r>
              <w:rPr>
                <w:rFonts w:hint="eastAsia" w:cs="Times New Roman"/>
                <w:color w:val="000000" w:themeColor="text1"/>
                <w:kern w:val="2"/>
                <w:sz w:val="21"/>
                <w:szCs w:val="21"/>
                <w:highlight w:val="none"/>
                <w:lang w:bidi="zh-CN"/>
                <w14:textFill>
                  <w14:solidFill>
                    <w14:schemeClr w14:val="tx1"/>
                  </w14:solidFill>
                </w14:textFill>
              </w:rPr>
              <w:t>：84°32</w:t>
            </w:r>
            <w:r>
              <w:rPr>
                <w:rFonts w:hint="eastAsia"/>
                <w:color w:val="000000" w:themeColor="text1"/>
                <w:highlight w:val="none"/>
                <w14:textFill>
                  <w14:solidFill>
                    <w14:schemeClr w14:val="tx1"/>
                  </w14:solidFill>
                </w14:textFill>
              </w:rPr>
              <w:t>′</w:t>
            </w:r>
            <w:r>
              <w:rPr>
                <w:rFonts w:hint="eastAsia" w:cs="Times New Roman"/>
                <w:color w:val="000000" w:themeColor="text1"/>
                <w:kern w:val="2"/>
                <w:sz w:val="21"/>
                <w:szCs w:val="21"/>
                <w:highlight w:val="none"/>
                <w:lang w:bidi="zh-CN"/>
                <w14:textFill>
                  <w14:solidFill>
                    <w14:schemeClr w14:val="tx1"/>
                  </w14:solidFill>
                </w14:textFill>
              </w:rPr>
              <w:t>04.79"，</w:t>
            </w:r>
            <w:r>
              <w:rPr>
                <w:rFonts w:cs="Times New Roman"/>
                <w:color w:val="000000" w:themeColor="text1"/>
                <w:kern w:val="2"/>
                <w:sz w:val="21"/>
                <w:szCs w:val="21"/>
                <w:highlight w:val="none"/>
                <w:lang w:bidi="zh-CN"/>
                <w14:textFill>
                  <w14:solidFill>
                    <w14:schemeClr w14:val="tx1"/>
                  </w14:solidFill>
                </w14:textFill>
              </w:rPr>
              <w:t>N</w:t>
            </w:r>
            <w:r>
              <w:rPr>
                <w:rFonts w:hint="eastAsia" w:cs="Times New Roman"/>
                <w:color w:val="000000" w:themeColor="text1"/>
                <w:kern w:val="2"/>
                <w:sz w:val="21"/>
                <w:szCs w:val="21"/>
                <w:highlight w:val="none"/>
                <w:lang w:bidi="zh-CN"/>
                <w14:textFill>
                  <w14:solidFill>
                    <w14:schemeClr w14:val="tx1"/>
                  </w14:solidFill>
                </w14:textFill>
              </w:rPr>
              <w:t>：44°50</w:t>
            </w:r>
            <w:r>
              <w:rPr>
                <w:rFonts w:hint="eastAsia"/>
                <w:color w:val="000000" w:themeColor="text1"/>
                <w:highlight w:val="none"/>
                <w14:textFill>
                  <w14:solidFill>
                    <w14:schemeClr w14:val="tx1"/>
                  </w14:solidFill>
                </w14:textFill>
              </w:rPr>
              <w:t>′</w:t>
            </w:r>
            <w:r>
              <w:rPr>
                <w:rFonts w:hint="eastAsia" w:cs="Times New Roman"/>
                <w:color w:val="000000" w:themeColor="text1"/>
                <w:kern w:val="2"/>
                <w:sz w:val="21"/>
                <w:szCs w:val="21"/>
                <w:highlight w:val="none"/>
                <w:lang w:bidi="zh-CN"/>
                <w14:textFill>
                  <w14:solidFill>
                    <w14:schemeClr w14:val="tx1"/>
                  </w14:solidFill>
                </w14:textFill>
              </w:rPr>
              <w:t>24.33</w:t>
            </w:r>
            <w:r>
              <w:rPr>
                <w:rFonts w:hint="eastAsia"/>
                <w:color w:val="000000" w:themeColor="text1"/>
                <w:highlight w:val="none"/>
                <w14:textFill>
                  <w14:solidFill>
                    <w14:schemeClr w14:val="tx1"/>
                  </w14:solidFill>
                </w14:textFill>
              </w:rPr>
              <w:t>″</w:t>
            </w:r>
          </w:p>
        </w:tc>
        <w:tc>
          <w:tcPr>
            <w:tcW w:w="1125" w:type="dxa"/>
            <w:shd w:val="clear" w:color="auto" w:fill="auto"/>
            <w:vAlign w:val="center"/>
          </w:tcPr>
          <w:p w14:paraId="37B7F663">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西</w:t>
            </w:r>
          </w:p>
        </w:tc>
        <w:tc>
          <w:tcPr>
            <w:tcW w:w="2746" w:type="dxa"/>
            <w:shd w:val="clear" w:color="auto" w:fill="auto"/>
            <w:vAlign w:val="center"/>
          </w:tcPr>
          <w:p w14:paraId="1B460EB6">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20m</w:t>
            </w:r>
          </w:p>
        </w:tc>
      </w:tr>
    </w:tbl>
    <w:p w14:paraId="7C80451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2、监测项目及监测频率</w:t>
      </w:r>
    </w:p>
    <w:p w14:paraId="1D0AFB7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监测项目氨、硫化氢、臭气浓度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TSp</w:t>
      </w:r>
      <w:r>
        <w:rPr>
          <w:color w:val="000000" w:themeColor="text1"/>
          <w:highlight w:val="none"/>
          <w14:textFill>
            <w14:solidFill>
              <w14:schemeClr w14:val="tx1"/>
            </w14:solidFill>
          </w14:textFill>
        </w:rPr>
        <w:t>，监测时同步进行气压、气温、风向、风速、总云量、低云量等气象要素的观测。</w:t>
      </w:r>
    </w:p>
    <w:p w14:paraId="154773D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监测连续7天有效数据</w:t>
      </w:r>
      <w:r>
        <w:rPr>
          <w:rFonts w:hint="eastAsia"/>
          <w:color w:val="000000" w:themeColor="text1"/>
          <w:highlight w:val="none"/>
          <w14:textFill>
            <w14:solidFill>
              <w14:schemeClr w14:val="tx1"/>
            </w14:solidFill>
          </w14:textFill>
        </w:rPr>
        <w:t>，详见表4.2-4</w:t>
      </w:r>
      <w:r>
        <w:rPr>
          <w:color w:val="000000" w:themeColor="text1"/>
          <w:highlight w:val="none"/>
          <w14:textFill>
            <w14:solidFill>
              <w14:schemeClr w14:val="tx1"/>
            </w14:solidFill>
          </w14:textFill>
        </w:rPr>
        <w:t>。</w:t>
      </w:r>
    </w:p>
    <w:p w14:paraId="5A5D7B2B">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 xml:space="preserve">表4.2-4  </w:t>
      </w:r>
      <w:r>
        <w:rPr>
          <w:b/>
          <w:bCs/>
          <w:color w:val="000000" w:themeColor="text1"/>
          <w:sz w:val="21"/>
          <w:szCs w:val="21"/>
          <w:highlight w:val="none"/>
          <w14:textFill>
            <w14:solidFill>
              <w14:schemeClr w14:val="tx1"/>
            </w14:solidFill>
          </w14:textFill>
        </w:rPr>
        <w:t>环境空气监测项目一览表</w:t>
      </w:r>
    </w:p>
    <w:tbl>
      <w:tblPr>
        <w:tblStyle w:val="33"/>
        <w:tblW w:w="4906"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Layout w:type="fixed"/>
        <w:tblCellMar>
          <w:top w:w="0" w:type="dxa"/>
          <w:left w:w="108" w:type="dxa"/>
          <w:bottom w:w="0" w:type="dxa"/>
          <w:right w:w="108" w:type="dxa"/>
        </w:tblCellMar>
      </w:tblPr>
      <w:tblGrid>
        <w:gridCol w:w="1079"/>
        <w:gridCol w:w="2492"/>
        <w:gridCol w:w="4791"/>
      </w:tblGrid>
      <w:tr w14:paraId="5A064BE1">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285" w:hRule="atLeast"/>
          <w:jc w:val="center"/>
        </w:trPr>
        <w:tc>
          <w:tcPr>
            <w:tcW w:w="1079" w:type="dxa"/>
            <w:vMerge w:val="restart"/>
            <w:vAlign w:val="center"/>
          </w:tcPr>
          <w:p w14:paraId="3CA444B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测点名称</w:t>
            </w:r>
          </w:p>
        </w:tc>
        <w:tc>
          <w:tcPr>
            <w:tcW w:w="2492" w:type="dxa"/>
            <w:tcBorders>
              <w:bottom w:val="single" w:color="auto" w:sz="6" w:space="0"/>
            </w:tcBorders>
            <w:vAlign w:val="center"/>
          </w:tcPr>
          <w:p w14:paraId="37CA565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各测点监测项目</w:t>
            </w:r>
          </w:p>
        </w:tc>
        <w:tc>
          <w:tcPr>
            <w:tcW w:w="4791" w:type="dxa"/>
            <w:vMerge w:val="restart"/>
            <w:vAlign w:val="center"/>
          </w:tcPr>
          <w:p w14:paraId="15B065A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采样方法及频率</w:t>
            </w:r>
          </w:p>
        </w:tc>
      </w:tr>
      <w:tr w14:paraId="714BDC73">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trHeight w:val="246" w:hRule="atLeast"/>
          <w:jc w:val="center"/>
        </w:trPr>
        <w:tc>
          <w:tcPr>
            <w:tcW w:w="1079" w:type="dxa"/>
            <w:vMerge w:val="continue"/>
            <w:vAlign w:val="center"/>
          </w:tcPr>
          <w:p w14:paraId="71FF3CAB">
            <w:pPr>
              <w:spacing w:line="240" w:lineRule="auto"/>
              <w:jc w:val="center"/>
              <w:rPr>
                <w:color w:val="000000" w:themeColor="text1"/>
                <w:sz w:val="21"/>
                <w:szCs w:val="21"/>
                <w:highlight w:val="none"/>
                <w14:textFill>
                  <w14:solidFill>
                    <w14:schemeClr w14:val="tx1"/>
                  </w14:solidFill>
                </w14:textFill>
              </w:rPr>
            </w:pPr>
          </w:p>
        </w:tc>
        <w:tc>
          <w:tcPr>
            <w:tcW w:w="2492" w:type="dxa"/>
            <w:tcBorders>
              <w:top w:val="single" w:color="auto" w:sz="6" w:space="0"/>
            </w:tcBorders>
            <w:vAlign w:val="center"/>
          </w:tcPr>
          <w:p w14:paraId="0F4357A2">
            <w:pPr>
              <w:spacing w:line="240" w:lineRule="auto"/>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特征因子</w:t>
            </w:r>
          </w:p>
        </w:tc>
        <w:tc>
          <w:tcPr>
            <w:tcW w:w="4791" w:type="dxa"/>
            <w:vMerge w:val="continue"/>
            <w:vAlign w:val="center"/>
          </w:tcPr>
          <w:p w14:paraId="5A267F01">
            <w:pPr>
              <w:spacing w:line="240" w:lineRule="auto"/>
              <w:jc w:val="center"/>
              <w:rPr>
                <w:color w:val="000000" w:themeColor="text1"/>
                <w:sz w:val="21"/>
                <w:szCs w:val="21"/>
                <w:highlight w:val="none"/>
                <w14:textFill>
                  <w14:solidFill>
                    <w14:schemeClr w14:val="tx1"/>
                  </w14:solidFill>
                </w14:textFill>
              </w:rPr>
            </w:pPr>
          </w:p>
        </w:tc>
      </w:tr>
      <w:tr w14:paraId="00B8611D">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cantSplit/>
          <w:trHeight w:val="814" w:hRule="atLeast"/>
          <w:jc w:val="center"/>
        </w:trPr>
        <w:tc>
          <w:tcPr>
            <w:tcW w:w="1079" w:type="dxa"/>
            <w:tcBorders>
              <w:bottom w:val="single" w:color="auto" w:sz="4" w:space="0"/>
            </w:tcBorders>
            <w:vAlign w:val="center"/>
          </w:tcPr>
          <w:p w14:paraId="0DAA6EC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492" w:type="dxa"/>
            <w:vMerge w:val="restart"/>
            <w:vAlign w:val="center"/>
          </w:tcPr>
          <w:p w14:paraId="7DD19213">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S、臭气浓度</w:t>
            </w:r>
          </w:p>
        </w:tc>
        <w:tc>
          <w:tcPr>
            <w:tcW w:w="4791" w:type="dxa"/>
            <w:vMerge w:val="restart"/>
            <w:vAlign w:val="center"/>
          </w:tcPr>
          <w:p w14:paraId="5CEF379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连续监测7天，小时值、一次值每天监测4次，具体时间为02：00、08：00、14：00、20：00。</w:t>
            </w:r>
          </w:p>
        </w:tc>
      </w:tr>
      <w:tr w14:paraId="62589C51">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cantSplit/>
          <w:trHeight w:val="90" w:hRule="atLeast"/>
          <w:jc w:val="center"/>
        </w:trPr>
        <w:tc>
          <w:tcPr>
            <w:tcW w:w="1079" w:type="dxa"/>
            <w:tcBorders>
              <w:bottom w:val="single" w:color="auto" w:sz="4" w:space="0"/>
            </w:tcBorders>
            <w:vAlign w:val="center"/>
          </w:tcPr>
          <w:p w14:paraId="10DC054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492" w:type="dxa"/>
            <w:vMerge w:val="continue"/>
            <w:vAlign w:val="center"/>
          </w:tcPr>
          <w:p w14:paraId="16D306B6">
            <w:pPr>
              <w:spacing w:line="240" w:lineRule="auto"/>
              <w:jc w:val="center"/>
              <w:rPr>
                <w:color w:val="000000" w:themeColor="text1"/>
                <w:sz w:val="21"/>
                <w:szCs w:val="21"/>
                <w:highlight w:val="none"/>
                <w14:textFill>
                  <w14:solidFill>
                    <w14:schemeClr w14:val="tx1"/>
                  </w14:solidFill>
                </w14:textFill>
              </w:rPr>
            </w:pPr>
          </w:p>
        </w:tc>
        <w:tc>
          <w:tcPr>
            <w:tcW w:w="4791" w:type="dxa"/>
            <w:vMerge w:val="continue"/>
            <w:vAlign w:val="center"/>
          </w:tcPr>
          <w:p w14:paraId="2DD7A5AF">
            <w:pPr>
              <w:spacing w:line="240" w:lineRule="auto"/>
              <w:jc w:val="center"/>
              <w:rPr>
                <w:color w:val="000000" w:themeColor="text1"/>
                <w:sz w:val="21"/>
                <w:szCs w:val="21"/>
                <w:highlight w:val="none"/>
                <w14:textFill>
                  <w14:solidFill>
                    <w14:schemeClr w14:val="tx1"/>
                  </w14:solidFill>
                </w14:textFill>
              </w:rPr>
            </w:pPr>
          </w:p>
        </w:tc>
      </w:tr>
      <w:tr w14:paraId="130E403F">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cantSplit/>
          <w:trHeight w:val="90" w:hRule="atLeast"/>
          <w:jc w:val="center"/>
        </w:trPr>
        <w:tc>
          <w:tcPr>
            <w:tcW w:w="1079" w:type="dxa"/>
            <w:tcBorders>
              <w:bottom w:val="single" w:color="auto" w:sz="4" w:space="0"/>
            </w:tcBorders>
            <w:shd w:val="clear" w:color="auto" w:fill="auto"/>
            <w:vAlign w:val="center"/>
          </w:tcPr>
          <w:p w14:paraId="12740D6A">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TSp</w:t>
            </w:r>
            <w:r>
              <w:rPr>
                <w:rFonts w:hint="eastAsia"/>
                <w:color w:val="000000" w:themeColor="text1"/>
                <w:sz w:val="21"/>
                <w:szCs w:val="21"/>
                <w:highlight w:val="none"/>
                <w:lang w:eastAsia="zh-CN"/>
                <w14:textFill>
                  <w14:solidFill>
                    <w14:schemeClr w14:val="tx1"/>
                  </w14:solidFill>
                </w14:textFill>
              </w:rPr>
              <w:t>）</w:t>
            </w:r>
          </w:p>
        </w:tc>
        <w:tc>
          <w:tcPr>
            <w:tcW w:w="2492" w:type="dxa"/>
            <w:vMerge w:val="restart"/>
            <w:vAlign w:val="center"/>
          </w:tcPr>
          <w:p w14:paraId="3828903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TSp</w:t>
            </w:r>
          </w:p>
        </w:tc>
        <w:tc>
          <w:tcPr>
            <w:tcW w:w="4791" w:type="dxa"/>
            <w:vMerge w:val="restart"/>
            <w:vAlign w:val="center"/>
          </w:tcPr>
          <w:p w14:paraId="2C9D1B78">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连续监测7天</w:t>
            </w:r>
          </w:p>
        </w:tc>
      </w:tr>
      <w:tr w14:paraId="780491C2">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cantSplit/>
          <w:trHeight w:val="90" w:hRule="atLeast"/>
          <w:jc w:val="center"/>
        </w:trPr>
        <w:tc>
          <w:tcPr>
            <w:tcW w:w="1079" w:type="dxa"/>
            <w:tcBorders>
              <w:bottom w:val="single" w:color="auto" w:sz="4" w:space="0"/>
            </w:tcBorders>
            <w:shd w:val="clear" w:color="auto" w:fill="auto"/>
            <w:vAlign w:val="center"/>
          </w:tcPr>
          <w:p w14:paraId="2C69BEC1">
            <w:pPr>
              <w:spacing w:line="240" w:lineRule="auto"/>
              <w:jc w:val="center"/>
              <w:rPr>
                <w:rFonts w:hint="eastAsia"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TSp</w:t>
            </w:r>
            <w:r>
              <w:rPr>
                <w:rFonts w:hint="eastAsia"/>
                <w:color w:val="000000" w:themeColor="text1"/>
                <w:sz w:val="21"/>
                <w:szCs w:val="21"/>
                <w:highlight w:val="none"/>
                <w:lang w:eastAsia="zh-CN"/>
                <w14:textFill>
                  <w14:solidFill>
                    <w14:schemeClr w14:val="tx1"/>
                  </w14:solidFill>
                </w14:textFill>
              </w:rPr>
              <w:t>）</w:t>
            </w:r>
          </w:p>
        </w:tc>
        <w:tc>
          <w:tcPr>
            <w:tcW w:w="2492" w:type="dxa"/>
            <w:vMerge w:val="continue"/>
            <w:vAlign w:val="center"/>
          </w:tcPr>
          <w:p w14:paraId="5678A251">
            <w:pPr>
              <w:spacing w:line="240" w:lineRule="auto"/>
              <w:jc w:val="center"/>
              <w:rPr>
                <w:color w:val="000000" w:themeColor="text1"/>
                <w:sz w:val="21"/>
                <w:szCs w:val="21"/>
                <w:highlight w:val="none"/>
                <w14:textFill>
                  <w14:solidFill>
                    <w14:schemeClr w14:val="tx1"/>
                  </w14:solidFill>
                </w14:textFill>
              </w:rPr>
            </w:pPr>
          </w:p>
        </w:tc>
        <w:tc>
          <w:tcPr>
            <w:tcW w:w="4791" w:type="dxa"/>
            <w:vMerge w:val="continue"/>
            <w:vAlign w:val="center"/>
          </w:tcPr>
          <w:p w14:paraId="3AF08DAF">
            <w:pPr>
              <w:spacing w:line="240" w:lineRule="auto"/>
              <w:jc w:val="center"/>
              <w:rPr>
                <w:color w:val="000000" w:themeColor="text1"/>
                <w:sz w:val="21"/>
                <w:szCs w:val="21"/>
                <w:highlight w:val="none"/>
                <w14:textFill>
                  <w14:solidFill>
                    <w14:schemeClr w14:val="tx1"/>
                  </w14:solidFill>
                </w14:textFill>
              </w:rPr>
            </w:pPr>
          </w:p>
        </w:tc>
      </w:tr>
      <w:tr w14:paraId="3CEB2554">
        <w:tblPrEx>
          <w:tblBorders>
            <w:top w:val="single" w:color="auto" w:sz="2" w:space="0"/>
            <w:left w:val="single" w:color="auto" w:sz="2" w:space="0"/>
            <w:bottom w:val="single" w:color="auto" w:sz="2" w:space="0"/>
            <w:right w:val="single" w:color="auto" w:sz="2" w:space="0"/>
            <w:insideH w:val="single" w:color="auto" w:sz="2" w:space="0"/>
            <w:insideV w:val="single" w:color="auto" w:sz="6" w:space="0"/>
          </w:tblBorders>
          <w:tblCellMar>
            <w:top w:w="0" w:type="dxa"/>
            <w:left w:w="108" w:type="dxa"/>
            <w:bottom w:w="0" w:type="dxa"/>
            <w:right w:w="108" w:type="dxa"/>
          </w:tblCellMar>
        </w:tblPrEx>
        <w:trPr>
          <w:cantSplit/>
          <w:trHeight w:val="573" w:hRule="atLeast"/>
          <w:jc w:val="center"/>
        </w:trPr>
        <w:tc>
          <w:tcPr>
            <w:tcW w:w="8362" w:type="dxa"/>
            <w:gridSpan w:val="3"/>
            <w:vAlign w:val="center"/>
          </w:tcPr>
          <w:p w14:paraId="026B90A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注：1、采样同时观测气温、气压、风向、风速、总云、低云等气象要素。</w:t>
            </w:r>
          </w:p>
          <w:p w14:paraId="2CDB13B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2、环境现状监测期间若遇雨雪天气停止采样，待降水过后继续采样，时间</w:t>
            </w:r>
            <w:r>
              <w:rPr>
                <w:rFonts w:hint="eastAsia"/>
                <w:color w:val="000000" w:themeColor="text1"/>
                <w:sz w:val="21"/>
                <w:szCs w:val="21"/>
                <w:highlight w:val="none"/>
                <w:lang w:eastAsia="zh-CN"/>
                <w14:textFill>
                  <w14:solidFill>
                    <w14:schemeClr w14:val="tx1"/>
                  </w14:solidFill>
                </w14:textFill>
              </w:rPr>
              <w:t>顺延</w:t>
            </w:r>
            <w:r>
              <w:rPr>
                <w:color w:val="000000" w:themeColor="text1"/>
                <w:sz w:val="21"/>
                <w:szCs w:val="21"/>
                <w:highlight w:val="none"/>
                <w14:textFill>
                  <w14:solidFill>
                    <w14:schemeClr w14:val="tx1"/>
                  </w14:solidFill>
                </w14:textFill>
              </w:rPr>
              <w:t>。</w:t>
            </w:r>
          </w:p>
        </w:tc>
      </w:tr>
    </w:tbl>
    <w:p w14:paraId="71ACF71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3、监测单位</w:t>
      </w:r>
    </w:p>
    <w:p w14:paraId="792BE418">
      <w:pPr>
        <w:ind w:firstLine="480" w:firstLineChars="200"/>
        <w:rPr>
          <w:rFonts w:ascii="Times New Roman" w:hAnsi="Times New Roman"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宋体"/>
          <w:color w:val="000000" w:themeColor="text1"/>
          <w:sz w:val="24"/>
          <w:szCs w:val="24"/>
          <w:highlight w:val="none"/>
          <w14:textFill>
            <w14:solidFill>
              <w14:schemeClr w14:val="tx1"/>
            </w14:solidFill>
          </w14:textFill>
        </w:rPr>
        <w:t>新疆</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齐新环境服务</w:t>
      </w:r>
      <w:r>
        <w:rPr>
          <w:rFonts w:hint="eastAsia" w:ascii="Times New Roman" w:hAnsi="Times New Roman" w:eastAsia="宋体" w:cs="宋体"/>
          <w:color w:val="000000" w:themeColor="text1"/>
          <w:sz w:val="24"/>
          <w:szCs w:val="24"/>
          <w:highlight w:val="none"/>
          <w14:textFill>
            <w14:solidFill>
              <w14:schemeClr w14:val="tx1"/>
            </w14:solidFill>
          </w14:textFill>
        </w:rPr>
        <w:t>有限公司</w:t>
      </w:r>
      <w:r>
        <w:rPr>
          <w:rFonts w:ascii="Times New Roman" w:hAnsi="Times New Roman" w:eastAsia="宋体" w:cs="宋体"/>
          <w:color w:val="000000" w:themeColor="text1"/>
          <w:sz w:val="24"/>
          <w:szCs w:val="24"/>
          <w:highlight w:val="none"/>
          <w14:textFill>
            <w14:solidFill>
              <w14:schemeClr w14:val="tx1"/>
            </w14:solidFill>
          </w14:textFill>
        </w:rPr>
        <w:t>于</w:t>
      </w:r>
      <w:r>
        <w:rPr>
          <w:rFonts w:hint="eastAsia" w:ascii="Times New Roman" w:hAnsi="Times New Roman" w:eastAsia="宋体" w:cs="宋体"/>
          <w:color w:val="000000" w:themeColor="text1"/>
          <w:sz w:val="24"/>
          <w:szCs w:val="24"/>
          <w:highlight w:val="none"/>
          <w14:textFill>
            <w14:solidFill>
              <w14:schemeClr w14:val="tx1"/>
            </w14:solidFill>
          </w14:textFill>
        </w:rPr>
        <w:t>2</w:t>
      </w:r>
      <w:r>
        <w:rPr>
          <w:rFonts w:ascii="Times New Roman" w:hAnsi="Times New Roman" w:eastAsia="宋体" w:cs="宋体"/>
          <w:color w:val="000000" w:themeColor="text1"/>
          <w:sz w:val="24"/>
          <w:szCs w:val="24"/>
          <w:highlight w:val="none"/>
          <w14:textFill>
            <w14:solidFill>
              <w14:schemeClr w14:val="tx1"/>
            </w14:solidFill>
          </w14:textFill>
        </w:rPr>
        <w:t>02</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4</w:t>
      </w:r>
      <w:r>
        <w:rPr>
          <w:rFonts w:ascii="Times New Roman" w:hAnsi="Times New Roman" w:eastAsia="宋体" w:cs="宋体"/>
          <w:color w:val="000000" w:themeColor="text1"/>
          <w:sz w:val="24"/>
          <w:szCs w:val="24"/>
          <w:highlight w:val="none"/>
          <w14:textFill>
            <w14:solidFill>
              <w14:schemeClr w14:val="tx1"/>
            </w14:solidFill>
          </w14:textFill>
        </w:rPr>
        <w:t>年</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4</w:t>
      </w:r>
      <w:r>
        <w:rPr>
          <w:rFonts w:ascii="Times New Roman" w:hAnsi="Times New Roman" w:eastAsia="宋体" w:cs="宋体"/>
          <w:color w:val="000000" w:themeColor="text1"/>
          <w:sz w:val="24"/>
          <w:szCs w:val="24"/>
          <w:highlight w:val="none"/>
          <w14:textFill>
            <w14:solidFill>
              <w14:schemeClr w14:val="tx1"/>
            </w14:solidFill>
          </w14:textFill>
        </w:rPr>
        <w:t>月</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27</w:t>
      </w:r>
      <w:r>
        <w:rPr>
          <w:rFonts w:ascii="Times New Roman" w:hAnsi="Times New Roman" w:eastAsia="宋体" w:cs="宋体"/>
          <w:color w:val="000000" w:themeColor="text1"/>
          <w:sz w:val="24"/>
          <w:szCs w:val="24"/>
          <w:highlight w:val="none"/>
          <w14:textFill>
            <w14:solidFill>
              <w14:schemeClr w14:val="tx1"/>
            </w14:solidFill>
          </w14:textFill>
        </w:rPr>
        <w:t>日至</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5</w:t>
      </w:r>
      <w:r>
        <w:rPr>
          <w:rFonts w:ascii="Times New Roman" w:hAnsi="Times New Roman" w:eastAsia="宋体" w:cs="宋体"/>
          <w:color w:val="000000" w:themeColor="text1"/>
          <w:sz w:val="24"/>
          <w:szCs w:val="24"/>
          <w:highlight w:val="none"/>
          <w14:textFill>
            <w14:solidFill>
              <w14:schemeClr w14:val="tx1"/>
            </w14:solidFill>
          </w14:textFill>
        </w:rPr>
        <w:t>月</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3</w:t>
      </w:r>
      <w:r>
        <w:rPr>
          <w:rFonts w:ascii="Times New Roman" w:hAnsi="Times New Roman" w:eastAsia="宋体" w:cs="宋体"/>
          <w:color w:val="000000" w:themeColor="text1"/>
          <w:sz w:val="24"/>
          <w:szCs w:val="24"/>
          <w:highlight w:val="none"/>
          <w14:textFill>
            <w14:solidFill>
              <w14:schemeClr w14:val="tx1"/>
            </w14:solidFill>
          </w14:textFill>
        </w:rPr>
        <w:t>日对项目场地周边</w:t>
      </w:r>
      <w:r>
        <w:rPr>
          <w:color w:val="000000" w:themeColor="text1"/>
          <w:sz w:val="24"/>
          <w:szCs w:val="24"/>
          <w:highlight w:val="none"/>
          <w14:textFill>
            <w14:solidFill>
              <w14:schemeClr w14:val="tx1"/>
            </w14:solidFill>
          </w14:textFill>
        </w:rPr>
        <w:t>NH</w:t>
      </w:r>
      <w:r>
        <w:rPr>
          <w:color w:val="000000" w:themeColor="text1"/>
          <w:sz w:val="24"/>
          <w:szCs w:val="24"/>
          <w:highlight w:val="none"/>
          <w:vertAlign w:val="subscript"/>
          <w14:textFill>
            <w14:solidFill>
              <w14:schemeClr w14:val="tx1"/>
            </w14:solidFill>
          </w14:textFill>
        </w:rPr>
        <w:t>3</w:t>
      </w:r>
      <w:r>
        <w:rPr>
          <w:color w:val="000000" w:themeColor="text1"/>
          <w:sz w:val="24"/>
          <w:szCs w:val="24"/>
          <w:highlight w:val="none"/>
          <w14:textFill>
            <w14:solidFill>
              <w14:schemeClr w14:val="tx1"/>
            </w14:solidFill>
          </w14:textFill>
        </w:rPr>
        <w:t>、H</w:t>
      </w:r>
      <w:r>
        <w:rPr>
          <w:color w:val="000000" w:themeColor="text1"/>
          <w:sz w:val="24"/>
          <w:szCs w:val="24"/>
          <w:highlight w:val="none"/>
          <w:vertAlign w:val="subscript"/>
          <w14:textFill>
            <w14:solidFill>
              <w14:schemeClr w14:val="tx1"/>
            </w14:solidFill>
          </w14:textFill>
        </w:rPr>
        <w:t>2</w:t>
      </w:r>
      <w:r>
        <w:rPr>
          <w:color w:val="000000" w:themeColor="text1"/>
          <w:sz w:val="24"/>
          <w:szCs w:val="24"/>
          <w:highlight w:val="none"/>
          <w14:textFill>
            <w14:solidFill>
              <w14:schemeClr w14:val="tx1"/>
            </w14:solidFill>
          </w14:textFill>
        </w:rPr>
        <w:t>S、臭气浓度</w:t>
      </w:r>
      <w:r>
        <w:rPr>
          <w:rFonts w:ascii="Times New Roman" w:hAnsi="Times New Roman" w:eastAsia="宋体" w:cs="宋体"/>
          <w:color w:val="000000" w:themeColor="text1"/>
          <w:sz w:val="24"/>
          <w:szCs w:val="24"/>
          <w:highlight w:val="none"/>
          <w14:textFill>
            <w14:solidFill>
              <w14:schemeClr w14:val="tx1"/>
            </w14:solidFill>
          </w14:textFill>
        </w:rPr>
        <w:t>进行了连续7天监测</w:t>
      </w:r>
      <w:r>
        <w:rPr>
          <w:rFonts w:hint="eastAsia" w:cs="宋体"/>
          <w:color w:val="000000" w:themeColor="text1"/>
          <w:sz w:val="24"/>
          <w:szCs w:val="24"/>
          <w:highlight w:val="none"/>
          <w:lang w:eastAsia="zh-CN"/>
          <w14:textFill>
            <w14:solidFill>
              <w14:schemeClr w14:val="tx1"/>
            </w14:solidFill>
          </w14:textFill>
        </w:rPr>
        <w:t>，</w:t>
      </w:r>
      <w:r>
        <w:rPr>
          <w:rFonts w:ascii="Times New Roman" w:hAnsi="Times New Roman" w:eastAsia="宋体" w:cs="宋体"/>
          <w:color w:val="000000" w:themeColor="text1"/>
          <w:sz w:val="24"/>
          <w:szCs w:val="24"/>
          <w:highlight w:val="none"/>
          <w14:textFill>
            <w14:solidFill>
              <w14:schemeClr w14:val="tx1"/>
            </w14:solidFill>
          </w14:textFill>
        </w:rPr>
        <w:t>于</w:t>
      </w:r>
      <w:r>
        <w:rPr>
          <w:rFonts w:hint="eastAsia" w:ascii="Times New Roman" w:hAnsi="Times New Roman" w:eastAsia="宋体" w:cs="宋体"/>
          <w:color w:val="000000" w:themeColor="text1"/>
          <w:sz w:val="24"/>
          <w:szCs w:val="24"/>
          <w:highlight w:val="none"/>
          <w14:textFill>
            <w14:solidFill>
              <w14:schemeClr w14:val="tx1"/>
            </w14:solidFill>
          </w14:textFill>
        </w:rPr>
        <w:t>2024</w:t>
      </w:r>
      <w:r>
        <w:rPr>
          <w:rFonts w:ascii="Times New Roman" w:hAnsi="Times New Roman" w:eastAsia="宋体" w:cs="宋体"/>
          <w:color w:val="000000" w:themeColor="text1"/>
          <w:sz w:val="24"/>
          <w:szCs w:val="24"/>
          <w:highlight w:val="none"/>
          <w14:textFill>
            <w14:solidFill>
              <w14:schemeClr w14:val="tx1"/>
            </w14:solidFill>
          </w14:textFill>
        </w:rPr>
        <w:t>年</w:t>
      </w:r>
      <w:r>
        <w:rPr>
          <w:rFonts w:hint="eastAsia" w:ascii="Times New Roman" w:hAnsi="Times New Roman" w:eastAsia="宋体" w:cs="宋体"/>
          <w:color w:val="000000" w:themeColor="text1"/>
          <w:sz w:val="24"/>
          <w:szCs w:val="24"/>
          <w:highlight w:val="none"/>
          <w14:textFill>
            <w14:solidFill>
              <w14:schemeClr w14:val="tx1"/>
            </w14:solidFill>
          </w14:textFill>
        </w:rPr>
        <w:t>8</w:t>
      </w:r>
      <w:r>
        <w:rPr>
          <w:rFonts w:ascii="Times New Roman" w:hAnsi="Times New Roman" w:eastAsia="宋体" w:cs="宋体"/>
          <w:color w:val="000000" w:themeColor="text1"/>
          <w:sz w:val="24"/>
          <w:szCs w:val="24"/>
          <w:highlight w:val="none"/>
          <w14:textFill>
            <w14:solidFill>
              <w14:schemeClr w14:val="tx1"/>
            </w14:solidFill>
          </w14:textFill>
        </w:rPr>
        <w:t>月</w:t>
      </w:r>
      <w:r>
        <w:rPr>
          <w:rFonts w:hint="eastAsia" w:ascii="Times New Roman" w:hAnsi="Times New Roman" w:eastAsia="宋体" w:cs="宋体"/>
          <w:color w:val="000000" w:themeColor="text1"/>
          <w:sz w:val="24"/>
          <w:szCs w:val="24"/>
          <w:highlight w:val="none"/>
          <w14:textFill>
            <w14:solidFill>
              <w14:schemeClr w14:val="tx1"/>
            </w14:solidFill>
          </w14:textFill>
        </w:rPr>
        <w:t>12</w:t>
      </w:r>
      <w:r>
        <w:rPr>
          <w:rFonts w:ascii="Times New Roman" w:hAnsi="Times New Roman" w:eastAsia="宋体" w:cs="宋体"/>
          <w:color w:val="000000" w:themeColor="text1"/>
          <w:sz w:val="24"/>
          <w:szCs w:val="24"/>
          <w:highlight w:val="none"/>
          <w14:textFill>
            <w14:solidFill>
              <w14:schemeClr w14:val="tx1"/>
            </w14:solidFill>
          </w14:textFill>
        </w:rPr>
        <w:t>日至</w:t>
      </w:r>
      <w:r>
        <w:rPr>
          <w:rFonts w:hint="eastAsia" w:ascii="Times New Roman" w:hAnsi="Times New Roman" w:eastAsia="宋体" w:cs="宋体"/>
          <w:color w:val="000000" w:themeColor="text1"/>
          <w:sz w:val="24"/>
          <w:szCs w:val="24"/>
          <w:highlight w:val="none"/>
          <w14:textFill>
            <w14:solidFill>
              <w14:schemeClr w14:val="tx1"/>
            </w14:solidFill>
          </w14:textFill>
        </w:rPr>
        <w:t>08</w:t>
      </w:r>
      <w:r>
        <w:rPr>
          <w:rFonts w:ascii="Times New Roman" w:hAnsi="Times New Roman" w:eastAsia="宋体" w:cs="宋体"/>
          <w:color w:val="000000" w:themeColor="text1"/>
          <w:sz w:val="24"/>
          <w:szCs w:val="24"/>
          <w:highlight w:val="none"/>
          <w14:textFill>
            <w14:solidFill>
              <w14:schemeClr w14:val="tx1"/>
            </w14:solidFill>
          </w14:textFill>
        </w:rPr>
        <w:t>月</w:t>
      </w:r>
      <w:r>
        <w:rPr>
          <w:rFonts w:hint="eastAsia" w:ascii="Times New Roman" w:hAnsi="Times New Roman" w:eastAsia="宋体" w:cs="宋体"/>
          <w:color w:val="000000" w:themeColor="text1"/>
          <w:sz w:val="24"/>
          <w:szCs w:val="24"/>
          <w:highlight w:val="none"/>
          <w14:textFill>
            <w14:solidFill>
              <w14:schemeClr w14:val="tx1"/>
            </w14:solidFill>
          </w14:textFill>
        </w:rPr>
        <w:t>19</w:t>
      </w:r>
      <w:r>
        <w:rPr>
          <w:rFonts w:ascii="Times New Roman" w:hAnsi="Times New Roman" w:eastAsia="宋体" w:cs="宋体"/>
          <w:color w:val="000000" w:themeColor="text1"/>
          <w:sz w:val="24"/>
          <w:szCs w:val="24"/>
          <w:highlight w:val="none"/>
          <w14:textFill>
            <w14:solidFill>
              <w14:schemeClr w14:val="tx1"/>
            </w14:solidFill>
          </w14:textFill>
        </w:rPr>
        <w:t>日对项目场地周边</w:t>
      </w:r>
      <w:r>
        <w:rPr>
          <w:rFonts w:hint="eastAsia" w:eastAsia="宋体"/>
          <w:color w:val="000000" w:themeColor="text1"/>
          <w:sz w:val="24"/>
          <w:szCs w:val="24"/>
          <w:highlight w:val="none"/>
          <w:lang w:val="en-US" w:eastAsia="zh-CN"/>
          <w14:textFill>
            <w14:solidFill>
              <w14:schemeClr w14:val="tx1"/>
            </w14:solidFill>
          </w14:textFill>
        </w:rPr>
        <w:t>TSP</w:t>
      </w:r>
      <w:r>
        <w:rPr>
          <w:rFonts w:ascii="Times New Roman" w:hAnsi="Times New Roman" w:eastAsia="宋体" w:cs="宋体"/>
          <w:color w:val="000000" w:themeColor="text1"/>
          <w:sz w:val="24"/>
          <w:szCs w:val="24"/>
          <w:highlight w:val="none"/>
          <w14:textFill>
            <w14:solidFill>
              <w14:schemeClr w14:val="tx1"/>
            </w14:solidFill>
          </w14:textFill>
        </w:rPr>
        <w:t>进行了连续7天监测。</w:t>
      </w:r>
    </w:p>
    <w:p w14:paraId="73937E3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4、分析方法</w:t>
      </w:r>
    </w:p>
    <w:p w14:paraId="34CA03C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w:t>
      </w:r>
      <w:r>
        <w:rPr>
          <w:rFonts w:hint="eastAsia"/>
          <w:color w:val="000000" w:themeColor="text1"/>
          <w:highlight w:val="none"/>
          <w:lang w:eastAsia="zh-CN"/>
          <w14:textFill>
            <w14:solidFill>
              <w14:schemeClr w14:val="tx1"/>
            </w14:solidFill>
          </w14:textFill>
        </w:rPr>
        <w:t>国家环保总局</w:t>
      </w:r>
      <w:r>
        <w:rPr>
          <w:color w:val="000000" w:themeColor="text1"/>
          <w:highlight w:val="none"/>
          <w14:textFill>
            <w14:solidFill>
              <w14:schemeClr w14:val="tx1"/>
            </w14:solidFill>
          </w14:textFill>
        </w:rPr>
        <w:t>颁发的《环境空气质量标准》</w:t>
      </w:r>
      <w:r>
        <w:rPr>
          <w:rFonts w:hint="eastAsia"/>
          <w:color w:val="000000" w:themeColor="text1"/>
          <w:highlight w:val="none"/>
          <w14:textFill>
            <w14:solidFill>
              <w14:schemeClr w14:val="tx1"/>
            </w14:solidFill>
          </w14:textFill>
        </w:rPr>
        <w:t>（GB 3095-2012）</w:t>
      </w:r>
      <w:r>
        <w:rPr>
          <w:color w:val="000000" w:themeColor="text1"/>
          <w:highlight w:val="none"/>
          <w14:textFill>
            <w14:solidFill>
              <w14:schemeClr w14:val="tx1"/>
            </w14:solidFill>
          </w14:textFill>
        </w:rPr>
        <w:t>《空气和废气监测方法》和《环境监测技术规范》中的有关规定进行监测，具体见表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w:t>
      </w:r>
    </w:p>
    <w:p w14:paraId="7C12C95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5</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环境空气质量监测分析方法一览表</w:t>
      </w:r>
    </w:p>
    <w:tbl>
      <w:tblPr>
        <w:tblStyle w:val="33"/>
        <w:tblW w:w="82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6"/>
        <w:gridCol w:w="777"/>
        <w:gridCol w:w="1882"/>
        <w:gridCol w:w="2154"/>
        <w:gridCol w:w="1759"/>
        <w:gridCol w:w="1091"/>
      </w:tblGrid>
      <w:tr w14:paraId="03FAC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566" w:type="dxa"/>
            <w:vAlign w:val="center"/>
          </w:tcPr>
          <w:p w14:paraId="28A4479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777" w:type="dxa"/>
            <w:vAlign w:val="center"/>
          </w:tcPr>
          <w:p w14:paraId="164822D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项目名称</w:t>
            </w:r>
          </w:p>
        </w:tc>
        <w:tc>
          <w:tcPr>
            <w:tcW w:w="1882" w:type="dxa"/>
            <w:vAlign w:val="center"/>
          </w:tcPr>
          <w:p w14:paraId="2B628B1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分析方法</w:t>
            </w:r>
          </w:p>
        </w:tc>
        <w:tc>
          <w:tcPr>
            <w:tcW w:w="2154" w:type="dxa"/>
            <w:vAlign w:val="center"/>
          </w:tcPr>
          <w:p w14:paraId="038A61A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方法依据</w:t>
            </w:r>
          </w:p>
        </w:tc>
        <w:tc>
          <w:tcPr>
            <w:tcW w:w="1759" w:type="dxa"/>
            <w:vAlign w:val="center"/>
          </w:tcPr>
          <w:p w14:paraId="2F1B54C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仪器设备、型号及编号</w:t>
            </w:r>
          </w:p>
        </w:tc>
        <w:tc>
          <w:tcPr>
            <w:tcW w:w="1091" w:type="dxa"/>
            <w:vAlign w:val="center"/>
          </w:tcPr>
          <w:p w14:paraId="4E661E1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检出限</w:t>
            </w:r>
          </w:p>
        </w:tc>
      </w:tr>
      <w:tr w14:paraId="74598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6" w:type="dxa"/>
            <w:vMerge w:val="restart"/>
            <w:vAlign w:val="center"/>
          </w:tcPr>
          <w:p w14:paraId="56AB87A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环境空气</w:t>
            </w:r>
          </w:p>
        </w:tc>
        <w:tc>
          <w:tcPr>
            <w:tcW w:w="777" w:type="dxa"/>
            <w:vAlign w:val="center"/>
          </w:tcPr>
          <w:p w14:paraId="5DD0EF5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w:t>
            </w:r>
          </w:p>
        </w:tc>
        <w:tc>
          <w:tcPr>
            <w:tcW w:w="1882" w:type="dxa"/>
            <w:vAlign w:val="center"/>
          </w:tcPr>
          <w:p w14:paraId="5D6159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纳氏试剂分光光度法</w:t>
            </w:r>
          </w:p>
        </w:tc>
        <w:tc>
          <w:tcPr>
            <w:tcW w:w="2154" w:type="dxa"/>
            <w:vAlign w:val="center"/>
          </w:tcPr>
          <w:p w14:paraId="52E17A9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 533-2009</w:t>
            </w:r>
          </w:p>
        </w:tc>
        <w:tc>
          <w:tcPr>
            <w:tcW w:w="1759" w:type="dxa"/>
            <w:vMerge w:val="restart"/>
            <w:vAlign w:val="center"/>
          </w:tcPr>
          <w:p w14:paraId="3DB5763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紫外可见分光光度计 TU-1900 KDJC-YQ-077</w:t>
            </w:r>
          </w:p>
        </w:tc>
        <w:tc>
          <w:tcPr>
            <w:tcW w:w="1091" w:type="dxa"/>
            <w:vAlign w:val="center"/>
          </w:tcPr>
          <w:p w14:paraId="35F094C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0.01mg/m</w:t>
            </w:r>
            <w:r>
              <w:rPr>
                <w:color w:val="000000" w:themeColor="text1"/>
                <w:sz w:val="21"/>
                <w:szCs w:val="21"/>
                <w:highlight w:val="none"/>
                <w:vertAlign w:val="superscript"/>
                <w14:textFill>
                  <w14:solidFill>
                    <w14:schemeClr w14:val="tx1"/>
                  </w14:solidFill>
                </w14:textFill>
              </w:rPr>
              <w:t>3</w:t>
            </w:r>
          </w:p>
        </w:tc>
      </w:tr>
      <w:tr w14:paraId="781E4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6" w:type="dxa"/>
            <w:vMerge w:val="continue"/>
            <w:vAlign w:val="center"/>
          </w:tcPr>
          <w:p w14:paraId="7FDEE369">
            <w:pPr>
              <w:spacing w:line="240" w:lineRule="auto"/>
              <w:jc w:val="center"/>
              <w:rPr>
                <w:color w:val="000000" w:themeColor="text1"/>
                <w:sz w:val="21"/>
                <w:szCs w:val="21"/>
                <w:highlight w:val="none"/>
                <w14:textFill>
                  <w14:solidFill>
                    <w14:schemeClr w14:val="tx1"/>
                  </w14:solidFill>
                </w14:textFill>
              </w:rPr>
            </w:pPr>
          </w:p>
        </w:tc>
        <w:tc>
          <w:tcPr>
            <w:tcW w:w="777" w:type="dxa"/>
            <w:vAlign w:val="center"/>
          </w:tcPr>
          <w:p w14:paraId="22E017D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硫化氢</w:t>
            </w:r>
          </w:p>
        </w:tc>
        <w:tc>
          <w:tcPr>
            <w:tcW w:w="1882" w:type="dxa"/>
            <w:vAlign w:val="center"/>
          </w:tcPr>
          <w:p w14:paraId="15878EB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亚甲基蓝分光光度法</w:t>
            </w:r>
          </w:p>
        </w:tc>
        <w:tc>
          <w:tcPr>
            <w:tcW w:w="2154" w:type="dxa"/>
            <w:vAlign w:val="center"/>
          </w:tcPr>
          <w:p w14:paraId="2DCE39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国家环保总局（2003）（第四版）（增补版）</w:t>
            </w:r>
          </w:p>
        </w:tc>
        <w:tc>
          <w:tcPr>
            <w:tcW w:w="1759" w:type="dxa"/>
            <w:vMerge w:val="continue"/>
            <w:vAlign w:val="center"/>
          </w:tcPr>
          <w:p w14:paraId="2ECE544F">
            <w:pPr>
              <w:spacing w:line="240" w:lineRule="auto"/>
              <w:jc w:val="center"/>
              <w:rPr>
                <w:color w:val="000000" w:themeColor="text1"/>
                <w:sz w:val="21"/>
                <w:szCs w:val="21"/>
                <w:highlight w:val="none"/>
                <w14:textFill>
                  <w14:solidFill>
                    <w14:schemeClr w14:val="tx1"/>
                  </w14:solidFill>
                </w14:textFill>
              </w:rPr>
            </w:pPr>
          </w:p>
        </w:tc>
        <w:tc>
          <w:tcPr>
            <w:tcW w:w="1091" w:type="dxa"/>
            <w:vAlign w:val="center"/>
          </w:tcPr>
          <w:p w14:paraId="4A1A0A9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0.001mg/m</w:t>
            </w:r>
            <w:r>
              <w:rPr>
                <w:color w:val="000000" w:themeColor="text1"/>
                <w:sz w:val="21"/>
                <w:szCs w:val="21"/>
                <w:highlight w:val="none"/>
                <w:vertAlign w:val="superscript"/>
                <w14:textFill>
                  <w14:solidFill>
                    <w14:schemeClr w14:val="tx1"/>
                  </w14:solidFill>
                </w14:textFill>
              </w:rPr>
              <w:t>3</w:t>
            </w:r>
          </w:p>
        </w:tc>
      </w:tr>
      <w:tr w14:paraId="5E93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6" w:type="dxa"/>
            <w:vMerge w:val="continue"/>
            <w:vAlign w:val="center"/>
          </w:tcPr>
          <w:p w14:paraId="42486EEC">
            <w:pPr>
              <w:spacing w:line="240" w:lineRule="auto"/>
              <w:jc w:val="center"/>
              <w:rPr>
                <w:color w:val="000000" w:themeColor="text1"/>
                <w:sz w:val="21"/>
                <w:szCs w:val="21"/>
                <w:highlight w:val="none"/>
                <w14:textFill>
                  <w14:solidFill>
                    <w14:schemeClr w14:val="tx1"/>
                  </w14:solidFill>
                </w14:textFill>
              </w:rPr>
            </w:pPr>
          </w:p>
        </w:tc>
        <w:tc>
          <w:tcPr>
            <w:tcW w:w="777" w:type="dxa"/>
            <w:vAlign w:val="center"/>
          </w:tcPr>
          <w:p w14:paraId="7722318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臭气浓度</w:t>
            </w:r>
          </w:p>
        </w:tc>
        <w:tc>
          <w:tcPr>
            <w:tcW w:w="1882" w:type="dxa"/>
            <w:vAlign w:val="center"/>
          </w:tcPr>
          <w:p w14:paraId="7C2DDD3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三点比较式臭袋法</w:t>
            </w:r>
          </w:p>
        </w:tc>
        <w:tc>
          <w:tcPr>
            <w:tcW w:w="2154" w:type="dxa"/>
            <w:vAlign w:val="center"/>
          </w:tcPr>
          <w:p w14:paraId="7502123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HJ 1262-2022</w:t>
            </w:r>
          </w:p>
        </w:tc>
        <w:tc>
          <w:tcPr>
            <w:tcW w:w="1759" w:type="dxa"/>
            <w:vAlign w:val="center"/>
          </w:tcPr>
          <w:p w14:paraId="47B9D4C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091" w:type="dxa"/>
            <w:vAlign w:val="center"/>
          </w:tcPr>
          <w:p w14:paraId="3F072A3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10（无量纲）</w:t>
            </w:r>
          </w:p>
        </w:tc>
      </w:tr>
      <w:tr w14:paraId="3CCAB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66" w:type="dxa"/>
            <w:vMerge w:val="continue"/>
            <w:vAlign w:val="center"/>
          </w:tcPr>
          <w:p w14:paraId="389CC118">
            <w:pPr>
              <w:spacing w:line="240" w:lineRule="auto"/>
              <w:jc w:val="center"/>
              <w:rPr>
                <w:color w:val="000000" w:themeColor="text1"/>
                <w:sz w:val="21"/>
                <w:szCs w:val="21"/>
                <w:highlight w:val="none"/>
                <w14:textFill>
                  <w14:solidFill>
                    <w14:schemeClr w14:val="tx1"/>
                  </w14:solidFill>
                </w14:textFill>
              </w:rPr>
            </w:pPr>
          </w:p>
        </w:tc>
        <w:tc>
          <w:tcPr>
            <w:tcW w:w="777" w:type="dxa"/>
            <w:vAlign w:val="center"/>
          </w:tcPr>
          <w:p w14:paraId="2C01F9E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TSp</w:t>
            </w:r>
          </w:p>
        </w:tc>
        <w:tc>
          <w:tcPr>
            <w:tcW w:w="1882" w:type="dxa"/>
            <w:vAlign w:val="center"/>
          </w:tcPr>
          <w:p w14:paraId="1FE55FB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环境空气 总悬浮颗粒物的测定重量法</w:t>
            </w:r>
          </w:p>
        </w:tc>
        <w:tc>
          <w:tcPr>
            <w:tcW w:w="2154" w:type="dxa"/>
            <w:vAlign w:val="center"/>
          </w:tcPr>
          <w:p w14:paraId="31A5DE37">
            <w:pPr>
              <w:spacing w:line="240" w:lineRule="auto"/>
              <w:jc w:val="center"/>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 xml:space="preserve"> HJ1263-2022</w:t>
            </w:r>
          </w:p>
        </w:tc>
        <w:tc>
          <w:tcPr>
            <w:tcW w:w="1759" w:type="dxa"/>
            <w:vAlign w:val="center"/>
          </w:tcPr>
          <w:p w14:paraId="3850D95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电子分析天平(YQ-33)ES1055A</w:t>
            </w:r>
          </w:p>
        </w:tc>
        <w:tc>
          <w:tcPr>
            <w:tcW w:w="1091" w:type="dxa"/>
            <w:vAlign w:val="center"/>
          </w:tcPr>
          <w:p w14:paraId="25DBD16D">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bl>
    <w:p w14:paraId="54F60D9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5、监测结果</w:t>
      </w:r>
    </w:p>
    <w:p w14:paraId="6DAAE62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环境空气现状监测期间同步气象参数见表</w:t>
      </w:r>
      <w:r>
        <w:rPr>
          <w:rFonts w:hint="eastAsia"/>
          <w:color w:val="000000" w:themeColor="text1"/>
          <w:highlight w:val="none"/>
          <w14:textFill>
            <w14:solidFill>
              <w14:schemeClr w14:val="tx1"/>
            </w14:solidFill>
          </w14:textFill>
        </w:rPr>
        <w:t>4.2-6</w:t>
      </w:r>
      <w:r>
        <w:rPr>
          <w:color w:val="000000" w:themeColor="text1"/>
          <w:highlight w:val="none"/>
          <w14:textFill>
            <w14:solidFill>
              <w14:schemeClr w14:val="tx1"/>
            </w14:solidFill>
          </w14:textFill>
        </w:rPr>
        <w:t>，监测结果见表</w:t>
      </w:r>
      <w:r>
        <w:rPr>
          <w:rFonts w:hint="eastAsia"/>
          <w:color w:val="000000" w:themeColor="text1"/>
          <w:highlight w:val="none"/>
          <w14:textFill>
            <w14:solidFill>
              <w14:schemeClr w14:val="tx1"/>
            </w14:solidFill>
          </w14:textFill>
        </w:rPr>
        <w:t>4.2-7</w:t>
      </w:r>
      <w:r>
        <w:rPr>
          <w:color w:val="000000" w:themeColor="text1"/>
          <w:highlight w:val="none"/>
          <w14:textFill>
            <w14:solidFill>
              <w14:schemeClr w14:val="tx1"/>
            </w14:solidFill>
          </w14:textFill>
        </w:rPr>
        <w:t>。</w:t>
      </w:r>
    </w:p>
    <w:p w14:paraId="72E00C86">
      <w:pPr>
        <w:spacing w:line="240" w:lineRule="auto"/>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环境空气现状监测期间气象参数表</w:t>
      </w:r>
    </w:p>
    <w:tbl>
      <w:tblPr>
        <w:tblStyle w:val="33"/>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2191"/>
        <w:gridCol w:w="1528"/>
        <w:gridCol w:w="1704"/>
        <w:gridCol w:w="1431"/>
        <w:gridCol w:w="1359"/>
      </w:tblGrid>
      <w:tr w14:paraId="69DC913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2191" w:type="dxa"/>
            <w:vAlign w:val="center"/>
          </w:tcPr>
          <w:p w14:paraId="1315B880">
            <w:pPr>
              <w:spacing w:line="240" w:lineRule="auto"/>
              <w:rPr>
                <w:b/>
                <w:bCs/>
                <w:color w:val="000000" w:themeColor="text1"/>
                <w:sz w:val="21"/>
                <w:szCs w:val="21"/>
                <w:highlight w:val="none"/>
                <w:lang w:val="zh-CN"/>
                <w14:textFill>
                  <w14:solidFill>
                    <w14:schemeClr w14:val="tx1"/>
                  </w14:solidFill>
                </w14:textFill>
              </w:rPr>
            </w:pP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8480" behindDoc="0" locked="0" layoutInCell="1" allowOverlap="1">
                      <wp:simplePos x="0" y="0"/>
                      <wp:positionH relativeFrom="column">
                        <wp:posOffset>-69850</wp:posOffset>
                      </wp:positionH>
                      <wp:positionV relativeFrom="paragraph">
                        <wp:posOffset>15240</wp:posOffset>
                      </wp:positionV>
                      <wp:extent cx="1384300" cy="378460"/>
                      <wp:effectExtent l="1270" t="4445" r="5080" b="17145"/>
                      <wp:wrapNone/>
                      <wp:docPr id="168" name="直接连接符 168"/>
                      <wp:cNvGraphicFramePr/>
                      <a:graphic xmlns:a="http://schemas.openxmlformats.org/drawingml/2006/main">
                        <a:graphicData uri="http://schemas.microsoft.com/office/word/2010/wordprocessingShape">
                          <wps:wsp>
                            <wps:cNvCnPr/>
                            <wps:spPr>
                              <a:xfrm>
                                <a:off x="0" y="0"/>
                                <a:ext cx="1384300" cy="37846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5.5pt;margin-top:1.2pt;height:29.8pt;width:109pt;z-index:251668480;mso-width-relative:page;mso-height-relative:page;" filled="f" stroked="t" coordsize="21600,21600" o:gfxdata="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i+r3nWAAAACAEAAA8AAAAAAAAAAQAgAAAAIgAAAGRycy9kb3ducmV2LnhtbFBLAQIU&#10;ABQAAAAIAIdO4kB5AYvB9QEAAOEDAAAOAAAAAAAAAAEAIAAAACUBAABkcnMvZTJvRG9jLnhtbFBL&#10;BQYAAAAABgAGAFkBAACMBQAAAAA=&#10;">
                      <v:fill on="f" focussize="0,0"/>
                      <v:stroke color="#000000" joinstyle="round"/>
                      <v:imagedata o:title=""/>
                      <o:lock v:ext="edit" aspectratio="f"/>
                    </v:line>
                  </w:pict>
                </mc:Fallback>
              </mc:AlternateContent>
            </w:r>
            <w:r>
              <w:rPr>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lang w:val="zh-CN"/>
                <w14:textFill>
                  <w14:solidFill>
                    <w14:schemeClr w14:val="tx1"/>
                  </w14:solidFill>
                </w14:textFill>
              </w:rPr>
              <w:t>气象</w:t>
            </w:r>
            <w:r>
              <w:rPr>
                <w:b/>
                <w:bCs/>
                <w:color w:val="000000" w:themeColor="text1"/>
                <w:sz w:val="21"/>
                <w:szCs w:val="21"/>
                <w:highlight w:val="none"/>
                <w14:textFill>
                  <w14:solidFill>
                    <w14:schemeClr w14:val="tx1"/>
                  </w14:solidFill>
                </w14:textFill>
              </w:rPr>
              <w:t>条件</w:t>
            </w:r>
          </w:p>
          <w:p w14:paraId="2B2F7EF0">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lang w:val="zh-CN"/>
                <w14:textFill>
                  <w14:solidFill>
                    <w14:schemeClr w14:val="tx1"/>
                  </w14:solidFill>
                </w14:textFill>
              </w:rPr>
              <w:t>日</w:t>
            </w:r>
            <w:r>
              <w:rPr>
                <w:b/>
                <w:bCs/>
                <w:color w:val="000000" w:themeColor="text1"/>
                <w:sz w:val="21"/>
                <w:szCs w:val="21"/>
                <w:highlight w:val="none"/>
                <w14:textFill>
                  <w14:solidFill>
                    <w14:schemeClr w14:val="tx1"/>
                  </w14:solidFill>
                </w14:textFill>
              </w:rPr>
              <w:t xml:space="preserve">期  </w:t>
            </w:r>
          </w:p>
        </w:tc>
        <w:tc>
          <w:tcPr>
            <w:tcW w:w="1528" w:type="dxa"/>
            <w:vAlign w:val="center"/>
          </w:tcPr>
          <w:p w14:paraId="712C3AE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气温(℃)</w:t>
            </w:r>
          </w:p>
        </w:tc>
        <w:tc>
          <w:tcPr>
            <w:tcW w:w="1704" w:type="dxa"/>
            <w:vAlign w:val="center"/>
          </w:tcPr>
          <w:p w14:paraId="072A8988">
            <w:pPr>
              <w:spacing w:line="240" w:lineRule="auto"/>
              <w:jc w:val="center"/>
              <w:rPr>
                <w:rFonts w:hint="eastAsia" w:eastAsia="宋体"/>
                <w:b/>
                <w:bCs/>
                <w:color w:val="000000" w:themeColor="text1"/>
                <w:sz w:val="21"/>
                <w:szCs w:val="21"/>
                <w:highlight w:val="none"/>
                <w:lang w:eastAsia="zh-CN"/>
                <w14:textFill>
                  <w14:solidFill>
                    <w14:schemeClr w14:val="tx1"/>
                  </w14:solidFill>
                </w14:textFill>
              </w:rPr>
            </w:pPr>
            <w:r>
              <w:rPr>
                <w:b/>
                <w:bCs/>
                <w:color w:val="000000" w:themeColor="text1"/>
                <w:sz w:val="21"/>
                <w:szCs w:val="21"/>
                <w:highlight w:val="none"/>
                <w14:textFill>
                  <w14:solidFill>
                    <w14:schemeClr w14:val="tx1"/>
                  </w14:solidFill>
                </w14:textFill>
              </w:rPr>
              <w:t>气压</w:t>
            </w:r>
            <w:r>
              <w:rPr>
                <w:rFonts w:hint="eastAsia"/>
                <w:b/>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kPa</w:t>
            </w:r>
            <w:r>
              <w:rPr>
                <w:rFonts w:hint="eastAsia"/>
                <w:b/>
                <w:bCs/>
                <w:color w:val="000000" w:themeColor="text1"/>
                <w:sz w:val="21"/>
                <w:szCs w:val="21"/>
                <w:highlight w:val="none"/>
                <w:lang w:eastAsia="zh-CN"/>
                <w14:textFill>
                  <w14:solidFill>
                    <w14:schemeClr w14:val="tx1"/>
                  </w14:solidFill>
                </w14:textFill>
              </w:rPr>
              <w:t>）</w:t>
            </w:r>
          </w:p>
        </w:tc>
        <w:tc>
          <w:tcPr>
            <w:tcW w:w="1431" w:type="dxa"/>
            <w:vAlign w:val="center"/>
          </w:tcPr>
          <w:p w14:paraId="3A1C524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风速(m/s)</w:t>
            </w:r>
          </w:p>
        </w:tc>
        <w:tc>
          <w:tcPr>
            <w:tcW w:w="1359" w:type="dxa"/>
            <w:vAlign w:val="center"/>
          </w:tcPr>
          <w:p w14:paraId="0E5FA06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风向</w:t>
            </w:r>
          </w:p>
        </w:tc>
      </w:tr>
      <w:tr w14:paraId="65D167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2191" w:type="dxa"/>
            <w:vAlign w:val="center"/>
          </w:tcPr>
          <w:p w14:paraId="36458DAD">
            <w:pPr>
              <w:spacing w:line="240" w:lineRule="auto"/>
              <w:jc w:val="center"/>
              <w:rPr>
                <w:color w:val="000000" w:themeColor="text1"/>
                <w:sz w:val="21"/>
                <w:szCs w:val="21"/>
                <w:highlight w:val="none"/>
                <w14:textFill>
                  <w14:solidFill>
                    <w14:schemeClr w14:val="tx1"/>
                  </w14:solidFill>
                </w14:textFill>
              </w:rPr>
            </w:pPr>
            <w:bookmarkStart w:id="198" w:name="OLE_LINK18" w:colFirst="2" w:colLast="2"/>
            <w:bookmarkStart w:id="199" w:name="OLE_LINK29" w:colFirst="3" w:colLast="3"/>
            <w:bookmarkStart w:id="200" w:name="OLE_LINK1" w:colFirst="0" w:colLast="0"/>
            <w:r>
              <w:rPr>
                <w:rFonts w:hint="eastAsia" w:cs="Times New Roman"/>
                <w:color w:val="000000" w:themeColor="text1"/>
                <w:kern w:val="2"/>
                <w:sz w:val="21"/>
                <w:szCs w:val="21"/>
                <w:highlight w:val="none"/>
                <w:lang w:val="en-US" w:eastAsia="zh-CN" w:bidi="ar-SA"/>
                <w14:textFill>
                  <w14:solidFill>
                    <w14:schemeClr w14:val="tx1"/>
                  </w14:solidFill>
                </w14:textFill>
              </w:rPr>
              <w:t>2024.04.27-05.03</w:t>
            </w:r>
          </w:p>
        </w:tc>
        <w:tc>
          <w:tcPr>
            <w:tcW w:w="1528" w:type="dxa"/>
            <w:vAlign w:val="center"/>
          </w:tcPr>
          <w:p w14:paraId="0D433D85">
            <w:pPr>
              <w:spacing w:line="240" w:lineRule="auto"/>
              <w:jc w:val="center"/>
              <w:rPr>
                <w:color w:val="000000" w:themeColor="text1"/>
                <w:sz w:val="21"/>
                <w:szCs w:val="21"/>
                <w:highlight w:val="none"/>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16.1~26.4</w:t>
            </w:r>
          </w:p>
        </w:tc>
        <w:tc>
          <w:tcPr>
            <w:tcW w:w="1704" w:type="dxa"/>
            <w:vAlign w:val="center"/>
          </w:tcPr>
          <w:p w14:paraId="5B1E40C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93.8~97.4</w:t>
            </w:r>
          </w:p>
        </w:tc>
        <w:tc>
          <w:tcPr>
            <w:tcW w:w="1431" w:type="dxa"/>
            <w:vAlign w:val="center"/>
          </w:tcPr>
          <w:p w14:paraId="446FAE8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1.9~2.4</w:t>
            </w:r>
          </w:p>
        </w:tc>
        <w:tc>
          <w:tcPr>
            <w:tcW w:w="1359" w:type="dxa"/>
            <w:vAlign w:val="center"/>
          </w:tcPr>
          <w:p w14:paraId="45695F05">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西</w:t>
            </w:r>
          </w:p>
        </w:tc>
      </w:tr>
      <w:tr w14:paraId="45B7089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567" w:hRule="atLeast"/>
          <w:jc w:val="center"/>
        </w:trPr>
        <w:tc>
          <w:tcPr>
            <w:tcW w:w="2191" w:type="dxa"/>
            <w:vAlign w:val="center"/>
          </w:tcPr>
          <w:p w14:paraId="70985D98">
            <w:pPr>
              <w:spacing w:line="240" w:lineRule="auto"/>
              <w:jc w:val="center"/>
              <w:rPr>
                <w:rFonts w:hint="default"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2024.08.12-2024.08.19</w:t>
            </w:r>
          </w:p>
        </w:tc>
        <w:tc>
          <w:tcPr>
            <w:tcW w:w="1528" w:type="dxa"/>
            <w:vAlign w:val="center"/>
          </w:tcPr>
          <w:p w14:paraId="37C0C601">
            <w:pPr>
              <w:spacing w:line="240" w:lineRule="auto"/>
              <w:jc w:val="center"/>
              <w:rPr>
                <w:rFonts w:hint="default" w:ascii="Times New Roman"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29.8</w:t>
            </w:r>
            <w:r>
              <w:rPr>
                <w:rFonts w:hint="eastAsia" w:ascii="Times New Roman" w:eastAsia="宋体"/>
                <w:color w:val="000000" w:themeColor="text1"/>
                <w:sz w:val="21"/>
                <w:szCs w:val="21"/>
                <w:highlight w:val="none"/>
                <w:lang w:val="en-US"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36.2</w:t>
            </w:r>
          </w:p>
        </w:tc>
        <w:tc>
          <w:tcPr>
            <w:tcW w:w="1704" w:type="dxa"/>
            <w:vAlign w:val="center"/>
          </w:tcPr>
          <w:p w14:paraId="0C36721D">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94.6~95.1</w:t>
            </w:r>
          </w:p>
        </w:tc>
        <w:tc>
          <w:tcPr>
            <w:tcW w:w="1431" w:type="dxa"/>
            <w:vAlign w:val="center"/>
          </w:tcPr>
          <w:p w14:paraId="5041CF96">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2.1~2.4</w:t>
            </w:r>
          </w:p>
        </w:tc>
        <w:tc>
          <w:tcPr>
            <w:tcW w:w="1359" w:type="dxa"/>
            <w:vAlign w:val="center"/>
          </w:tcPr>
          <w:p w14:paraId="1DEF386F">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南风</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西南风</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东风</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东北</w:t>
            </w:r>
            <w:r>
              <w:rPr>
                <w:rFonts w:hint="eastAsia" w:cs="Times New Roman"/>
                <w:color w:val="000000" w:themeColor="text1"/>
                <w:kern w:val="2"/>
                <w:sz w:val="21"/>
                <w:szCs w:val="21"/>
                <w:highlight w:val="none"/>
                <w:lang w:val="en-US" w:eastAsia="zh-CN" w:bidi="ar-SA"/>
                <w14:textFill>
                  <w14:solidFill>
                    <w14:schemeClr w14:val="tx1"/>
                  </w14:solidFill>
                </w14:textFill>
              </w:rPr>
              <w:t>风、</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东南风</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南风</w:t>
            </w:r>
            <w:r>
              <w:rPr>
                <w:rFonts w:hint="eastAsia" w:cs="Times New Roman"/>
                <w:color w:val="000000" w:themeColor="text1"/>
                <w:kern w:val="2"/>
                <w:sz w:val="21"/>
                <w:szCs w:val="21"/>
                <w:highlight w:val="none"/>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西北凤</w:t>
            </w:r>
          </w:p>
        </w:tc>
      </w:tr>
      <w:bookmarkEnd w:id="198"/>
      <w:bookmarkEnd w:id="199"/>
      <w:bookmarkEnd w:id="200"/>
    </w:tbl>
    <w:p w14:paraId="6E15B89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7（1）</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环境空气现状监测结果</w:t>
      </w:r>
    </w:p>
    <w:tbl>
      <w:tblPr>
        <w:tblStyle w:val="33"/>
        <w:tblW w:w="8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5"/>
        <w:gridCol w:w="929"/>
        <w:gridCol w:w="2155"/>
        <w:gridCol w:w="1236"/>
        <w:gridCol w:w="1210"/>
        <w:gridCol w:w="1254"/>
      </w:tblGrid>
      <w:tr w14:paraId="1EC2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gridSpan w:val="3"/>
            <w:vMerge w:val="restart"/>
            <w:vAlign w:val="center"/>
          </w:tcPr>
          <w:p w14:paraId="1BD8F34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-35560</wp:posOffset>
                      </wp:positionH>
                      <wp:positionV relativeFrom="paragraph">
                        <wp:posOffset>462915</wp:posOffset>
                      </wp:positionV>
                      <wp:extent cx="894715" cy="34353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894715" cy="343535"/>
                              </a:xfrm>
                              <a:prstGeom prst="rect">
                                <a:avLst/>
                              </a:prstGeom>
                              <a:noFill/>
                              <a:ln w="15875">
                                <a:noFill/>
                              </a:ln>
                            </wps:spPr>
                            <wps:txbx>
                              <w:txbxContent>
                                <w:p w14:paraId="758B9DCD">
                                  <w:pPr>
                                    <w:spacing w:line="240" w:lineRule="auto"/>
                                    <w:rPr>
                                      <w:rFonts w:ascii="Calibri" w:hAnsi="Calibri" w:cs="Times New Roman"/>
                                      <w:b/>
                                      <w:bCs/>
                                      <w:sz w:val="21"/>
                                    </w:rPr>
                                  </w:pPr>
                                  <w:r>
                                    <w:rPr>
                                      <w:rFonts w:hint="eastAsia" w:ascii="Calibri" w:hAnsi="Calibri" w:cs="Times New Roman"/>
                                      <w:b/>
                                      <w:bCs/>
                                      <w:sz w:val="21"/>
                                    </w:rPr>
                                    <w:t>采样日期</w:t>
                                  </w:r>
                                </w:p>
                              </w:txbxContent>
                            </wps:txbx>
                            <wps:bodyPr upright="1"/>
                          </wps:wsp>
                        </a:graphicData>
                      </a:graphic>
                    </wp:anchor>
                  </w:drawing>
                </mc:Choice>
                <mc:Fallback>
                  <w:pict>
                    <v:shape id="_x0000_s1026" o:spid="_x0000_s1026" o:spt="202" type="#_x0000_t202" style="position:absolute;left:0pt;margin-left:-2.8pt;margin-top:36.45pt;height:27.05pt;width:70.45pt;z-index:251671552;mso-width-relative:page;mso-height-relative:page;" filled="f" stroked="f" coordsize="21600,21600" o:gfxdata="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eLmZndAAAACQEAAA8AAAAAAAAAAQAgAAAAIgAAAGRycy9kb3ducmV2LnhtbFBL&#10;AQIUABQAAAAIAIdO4kDhpD+JuAEAAFsDAAAOAAAAAAAAAAEAIAAAACwBAABkcnMvZTJvRG9jLnht&#10;bFBLBQYAAAAABgAGAFkBAABWBQAAAAA=&#10;">
                      <v:fill on="f" focussize="0,0"/>
                      <v:stroke on="f" weight="1.25pt"/>
                      <v:imagedata o:title=""/>
                      <o:lock v:ext="edit" aspectratio="f"/>
                      <v:textbox>
                        <w:txbxContent>
                          <w:p w14:paraId="758B9DCD">
                            <w:pPr>
                              <w:spacing w:line="240" w:lineRule="auto"/>
                              <w:rPr>
                                <w:rFonts w:ascii="Calibri" w:hAnsi="Calibri" w:cs="Times New Roman"/>
                                <w:b/>
                                <w:bCs/>
                                <w:sz w:val="21"/>
                              </w:rPr>
                            </w:pPr>
                            <w:r>
                              <w:rPr>
                                <w:rFonts w:hint="eastAsia" w:ascii="Calibri" w:hAnsi="Calibri" w:cs="Times New Roman"/>
                                <w:b/>
                                <w:bCs/>
                                <w:sz w:val="21"/>
                              </w:rPr>
                              <w:t>采样日期</w:t>
                            </w:r>
                          </w:p>
                        </w:txbxContent>
                      </v:textbox>
                    </v:shap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2576" behindDoc="0" locked="0" layoutInCell="1" allowOverlap="1">
                      <wp:simplePos x="0" y="0"/>
                      <wp:positionH relativeFrom="column">
                        <wp:posOffset>602615</wp:posOffset>
                      </wp:positionH>
                      <wp:positionV relativeFrom="paragraph">
                        <wp:posOffset>314325</wp:posOffset>
                      </wp:positionV>
                      <wp:extent cx="770890" cy="27622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770890" cy="276225"/>
                              </a:xfrm>
                              <a:prstGeom prst="rect">
                                <a:avLst/>
                              </a:prstGeom>
                              <a:noFill/>
                              <a:ln w="15875">
                                <a:noFill/>
                              </a:ln>
                            </wps:spPr>
                            <wps:txbx>
                              <w:txbxContent>
                                <w:p w14:paraId="4483838C">
                                  <w:pPr>
                                    <w:spacing w:line="240" w:lineRule="auto"/>
                                    <w:rPr>
                                      <w:rFonts w:ascii="Calibri" w:hAnsi="Calibri" w:cs="Times New Roman"/>
                                      <w:b/>
                                      <w:bCs/>
                                      <w:sz w:val="21"/>
                                    </w:rPr>
                                  </w:pPr>
                                  <w:r>
                                    <w:rPr>
                                      <w:rFonts w:hint="eastAsia" w:ascii="Calibri" w:hAnsi="Calibri" w:cs="Times New Roman"/>
                                      <w:b/>
                                      <w:bCs/>
                                      <w:sz w:val="21"/>
                                    </w:rPr>
                                    <w:t>检测结果</w:t>
                                  </w:r>
                                </w:p>
                              </w:txbxContent>
                            </wps:txbx>
                            <wps:bodyPr upright="1"/>
                          </wps:wsp>
                        </a:graphicData>
                      </a:graphic>
                    </wp:anchor>
                  </w:drawing>
                </mc:Choice>
                <mc:Fallback>
                  <w:pict>
                    <v:shape id="_x0000_s1026" o:spid="_x0000_s1026" o:spt="202" type="#_x0000_t202" style="position:absolute;left:0pt;margin-left:47.45pt;margin-top:24.75pt;height:21.75pt;width:60.7pt;z-index:251672576;mso-width-relative:page;mso-height-relative:page;" filled="f" stroked="f" coordsize="21600,21600" o:gfxdata="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Vh872gAAAAgBAAAPAAAAAAAAAAEAIAAAACIAAABkcnMvZG93bnJldi54bWxQSwECFAAU&#10;AAAACACHTuJA0dfG2LYBAABbAwAADgAAAAAAAAABACAAAAApAQAAZHJzL2Uyb0RvYy54bWxQSwUG&#10;AAAAAAYABgBZAQAAUQUAAAAA&#10;">
                      <v:fill on="f" focussize="0,0"/>
                      <v:stroke on="f" weight="1.25pt"/>
                      <v:imagedata o:title=""/>
                      <o:lock v:ext="edit" aspectratio="f"/>
                      <v:textbox>
                        <w:txbxContent>
                          <w:p w14:paraId="4483838C">
                            <w:pPr>
                              <w:spacing w:line="240" w:lineRule="auto"/>
                              <w:rPr>
                                <w:rFonts w:ascii="Calibri" w:hAnsi="Calibri" w:cs="Times New Roman"/>
                                <w:b/>
                                <w:bCs/>
                                <w:sz w:val="21"/>
                              </w:rPr>
                            </w:pPr>
                            <w:r>
                              <w:rPr>
                                <w:rFonts w:hint="eastAsia" w:ascii="Calibri" w:hAnsi="Calibri" w:cs="Times New Roman"/>
                                <w:b/>
                                <w:bCs/>
                                <w:sz w:val="21"/>
                              </w:rPr>
                              <w:t>检测结果</w:t>
                            </w:r>
                          </w:p>
                        </w:txbxContent>
                      </v:textbox>
                    </v:shap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-5080</wp:posOffset>
                      </wp:positionH>
                      <wp:positionV relativeFrom="paragraph">
                        <wp:posOffset>5715</wp:posOffset>
                      </wp:positionV>
                      <wp:extent cx="1315720" cy="368935"/>
                      <wp:effectExtent l="1270" t="4445" r="16510" b="7620"/>
                      <wp:wrapNone/>
                      <wp:docPr id="165" name="直接连接符 165"/>
                      <wp:cNvGraphicFramePr/>
                      <a:graphic xmlns:a="http://schemas.openxmlformats.org/drawingml/2006/main">
                        <a:graphicData uri="http://schemas.microsoft.com/office/word/2010/wordprocessingShape">
                          <wps:wsp>
                            <wps:cNvCnPr/>
                            <wps:spPr>
                              <a:xfrm>
                                <a:off x="0" y="0"/>
                                <a:ext cx="1315720" cy="3689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4pt;margin-top:0.45pt;height:29.05pt;width:103.6pt;z-index:251669504;mso-width-relative:page;mso-height-relative:page;" filled="f" stroked="t" coordsize="21600,21600" o:gfxdata="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d6+SuNMAAAAFAQAADwAAAAAAAAABACAAAAAiAAAAZHJzL2Rvd25yZXYueG1sUEsBAhQAFAAA&#10;AAgAh07iQHU7rtT0AQAA4QMAAA4AAAAAAAAAAQAgAAAAIgEAAGRycy9lMm9Eb2MueG1sUEsFBgAA&#10;AAAGAAYAWQEAAIgFAAAAAA==&#10;">
                      <v:fill on="f" focussize="0,0"/>
                      <v:stroke color="#000000" joinstyle="round"/>
                      <v:imagedata o:title=""/>
                      <o:lock v:ext="edit" aspectratio="f"/>
                    </v:lin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-61595</wp:posOffset>
                      </wp:positionH>
                      <wp:positionV relativeFrom="paragraph">
                        <wp:posOffset>0</wp:posOffset>
                      </wp:positionV>
                      <wp:extent cx="1381760" cy="740410"/>
                      <wp:effectExtent l="2540" t="4445" r="6350" b="17145"/>
                      <wp:wrapNone/>
                      <wp:docPr id="164" name="直接连接符 164"/>
                      <wp:cNvGraphicFramePr/>
                      <a:graphic xmlns:a="http://schemas.openxmlformats.org/drawingml/2006/main">
                        <a:graphicData uri="http://schemas.microsoft.com/office/word/2010/wordprocessingShape">
                          <wps:wsp>
                            <wps:cNvCnPr/>
                            <wps:spPr>
                              <a:xfrm>
                                <a:off x="0" y="0"/>
                                <a:ext cx="1381760" cy="7404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85pt;margin-top:0pt;height:58.3pt;width:108.8pt;z-index:251670528;mso-width-relative:page;mso-height-relative:page;" filled="f" stroked="t" coordsize="21600,21600" o:gfxdata="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g6zFvWAAAABwEAAA8AAAAAAAAAAQAgAAAAIgAAAGRycy9kb3ducmV2LnhtbFBLAQIU&#10;ABQAAAAIAIdO4kC4ZedL9QEAAOEDAAAOAAAAAAAAAAEAIAAAACUBAABkcnMvZTJvRG9jLnhtbFBL&#10;BQYAAAAABgAGAFkBAACMBQAAAAA=&#10;">
                      <v:fill on="f" focussize="0,0"/>
                      <v:stroke color="#000000" joinstyle="round"/>
                      <v:imagedata o:title=""/>
                      <o:lock v:ext="edit" aspectratio="f"/>
                    </v:line>
                  </w:pict>
                </mc:Fallback>
              </mc:AlternateContent>
            </w:r>
          </w:p>
        </w:tc>
        <w:tc>
          <w:tcPr>
            <w:tcW w:w="5855" w:type="dxa"/>
            <w:gridSpan w:val="4"/>
            <w:vAlign w:val="center"/>
          </w:tcPr>
          <w:p w14:paraId="2B21651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w:t>
            </w:r>
          </w:p>
        </w:tc>
      </w:tr>
      <w:tr w14:paraId="5E68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gridSpan w:val="3"/>
            <w:vMerge w:val="continue"/>
            <w:vAlign w:val="center"/>
          </w:tcPr>
          <w:p w14:paraId="0E162AD5">
            <w:pPr>
              <w:spacing w:line="240" w:lineRule="auto"/>
              <w:jc w:val="center"/>
              <w:rPr>
                <w:b/>
                <w:bCs/>
                <w:color w:val="000000" w:themeColor="text1"/>
                <w:sz w:val="21"/>
                <w:szCs w:val="21"/>
                <w:highlight w:val="none"/>
                <w14:textFill>
                  <w14:solidFill>
                    <w14:schemeClr w14:val="tx1"/>
                  </w14:solidFill>
                </w14:textFill>
              </w:rPr>
            </w:pPr>
          </w:p>
        </w:tc>
        <w:tc>
          <w:tcPr>
            <w:tcW w:w="2155" w:type="dxa"/>
            <w:vAlign w:val="center"/>
          </w:tcPr>
          <w:p w14:paraId="736F4A2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样品编号</w:t>
            </w:r>
          </w:p>
        </w:tc>
        <w:tc>
          <w:tcPr>
            <w:tcW w:w="1236" w:type="dxa"/>
            <w:vAlign w:val="center"/>
          </w:tcPr>
          <w:p w14:paraId="796439B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氨（mg/m³）</w:t>
            </w:r>
          </w:p>
        </w:tc>
        <w:tc>
          <w:tcPr>
            <w:tcW w:w="1210" w:type="dxa"/>
            <w:vAlign w:val="center"/>
          </w:tcPr>
          <w:p w14:paraId="5A0F009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硫化氢（mg/m³）</w:t>
            </w:r>
          </w:p>
        </w:tc>
        <w:tc>
          <w:tcPr>
            <w:tcW w:w="1254" w:type="dxa"/>
            <w:vAlign w:val="center"/>
          </w:tcPr>
          <w:p w14:paraId="24A2D09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臭气浓度（无量纲）</w:t>
            </w:r>
          </w:p>
        </w:tc>
      </w:tr>
      <w:tr w14:paraId="44B60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restart"/>
            <w:vAlign w:val="center"/>
          </w:tcPr>
          <w:p w14:paraId="049FD47B">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2024.04.27</w:t>
            </w:r>
          </w:p>
        </w:tc>
        <w:tc>
          <w:tcPr>
            <w:tcW w:w="929" w:type="dxa"/>
            <w:vAlign w:val="center"/>
          </w:tcPr>
          <w:p w14:paraId="02665B6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155" w:type="dxa"/>
            <w:vAlign w:val="center"/>
          </w:tcPr>
          <w:p w14:paraId="5194494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G1-1-1</w:t>
            </w:r>
          </w:p>
        </w:tc>
        <w:tc>
          <w:tcPr>
            <w:tcW w:w="1236" w:type="dxa"/>
            <w:vAlign w:val="center"/>
          </w:tcPr>
          <w:p w14:paraId="11AA38C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475828F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74A6260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3AFC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7EE904C4">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04BE5F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155" w:type="dxa"/>
            <w:vAlign w:val="center"/>
          </w:tcPr>
          <w:p w14:paraId="3DF0C8F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G1-1-2</w:t>
            </w:r>
          </w:p>
        </w:tc>
        <w:tc>
          <w:tcPr>
            <w:tcW w:w="1236" w:type="dxa"/>
            <w:vAlign w:val="center"/>
          </w:tcPr>
          <w:p w14:paraId="781014C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3FB04F9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43EF962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0EDC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4566A2AD">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27AA76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155" w:type="dxa"/>
            <w:vAlign w:val="center"/>
          </w:tcPr>
          <w:p w14:paraId="3BEC7B1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G1-1-3</w:t>
            </w:r>
          </w:p>
        </w:tc>
        <w:tc>
          <w:tcPr>
            <w:tcW w:w="1236" w:type="dxa"/>
            <w:vAlign w:val="center"/>
          </w:tcPr>
          <w:p w14:paraId="002841F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476576B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47D42A4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22FA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710E1F2D">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7B1622D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155" w:type="dxa"/>
            <w:vAlign w:val="center"/>
          </w:tcPr>
          <w:p w14:paraId="5143DA23">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G1-1-4</w:t>
            </w:r>
          </w:p>
        </w:tc>
        <w:tc>
          <w:tcPr>
            <w:tcW w:w="1236" w:type="dxa"/>
            <w:vAlign w:val="center"/>
          </w:tcPr>
          <w:p w14:paraId="1E9AE24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0.09</w:t>
            </w:r>
          </w:p>
        </w:tc>
        <w:tc>
          <w:tcPr>
            <w:tcW w:w="1210" w:type="dxa"/>
            <w:vAlign w:val="center"/>
          </w:tcPr>
          <w:p w14:paraId="2006318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37AF4FD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5862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restart"/>
            <w:vAlign w:val="center"/>
          </w:tcPr>
          <w:p w14:paraId="0BE51DE2">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2024.04.28</w:t>
            </w:r>
          </w:p>
        </w:tc>
        <w:tc>
          <w:tcPr>
            <w:tcW w:w="929" w:type="dxa"/>
            <w:vAlign w:val="center"/>
          </w:tcPr>
          <w:p w14:paraId="04519B8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155" w:type="dxa"/>
            <w:vAlign w:val="center"/>
          </w:tcPr>
          <w:p w14:paraId="078CBED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G1-2-1</w:t>
            </w:r>
          </w:p>
        </w:tc>
        <w:tc>
          <w:tcPr>
            <w:tcW w:w="1236" w:type="dxa"/>
            <w:vAlign w:val="center"/>
          </w:tcPr>
          <w:p w14:paraId="4405110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3E95B14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7BBB653F">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5E65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4CEDA556">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03A0DBE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155" w:type="dxa"/>
            <w:vAlign w:val="center"/>
          </w:tcPr>
          <w:p w14:paraId="096964F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G1-2-2</w:t>
            </w:r>
          </w:p>
        </w:tc>
        <w:tc>
          <w:tcPr>
            <w:tcW w:w="1236" w:type="dxa"/>
            <w:vAlign w:val="center"/>
          </w:tcPr>
          <w:p w14:paraId="406B31F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0.07</w:t>
            </w:r>
          </w:p>
        </w:tc>
        <w:tc>
          <w:tcPr>
            <w:tcW w:w="1210" w:type="dxa"/>
            <w:vAlign w:val="center"/>
          </w:tcPr>
          <w:p w14:paraId="5377E38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66437EC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5FC8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64F056DF">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1CC0284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155" w:type="dxa"/>
            <w:vAlign w:val="center"/>
          </w:tcPr>
          <w:p w14:paraId="3C6CC83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G1-2-3</w:t>
            </w:r>
          </w:p>
        </w:tc>
        <w:tc>
          <w:tcPr>
            <w:tcW w:w="1236" w:type="dxa"/>
            <w:vAlign w:val="center"/>
          </w:tcPr>
          <w:p w14:paraId="410481B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6D606AB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6DC4EB93">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6073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5E9F1208">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7CBEECB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155" w:type="dxa"/>
            <w:vAlign w:val="center"/>
          </w:tcPr>
          <w:p w14:paraId="0873B46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G1-2-4</w:t>
            </w:r>
          </w:p>
        </w:tc>
        <w:tc>
          <w:tcPr>
            <w:tcW w:w="1236" w:type="dxa"/>
            <w:vAlign w:val="center"/>
          </w:tcPr>
          <w:p w14:paraId="213D009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1649EC3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12F38CF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57F1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restart"/>
            <w:vAlign w:val="center"/>
          </w:tcPr>
          <w:p w14:paraId="026A4464">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2024.04.29</w:t>
            </w:r>
          </w:p>
        </w:tc>
        <w:tc>
          <w:tcPr>
            <w:tcW w:w="929" w:type="dxa"/>
            <w:vAlign w:val="center"/>
          </w:tcPr>
          <w:p w14:paraId="11F27DD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155" w:type="dxa"/>
            <w:vAlign w:val="center"/>
          </w:tcPr>
          <w:p w14:paraId="267F504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G1-3-1</w:t>
            </w:r>
          </w:p>
        </w:tc>
        <w:tc>
          <w:tcPr>
            <w:tcW w:w="1236" w:type="dxa"/>
            <w:vAlign w:val="center"/>
          </w:tcPr>
          <w:p w14:paraId="4CC9B24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4C28F46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26B0D7F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1B39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30262C7F">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4C74106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155" w:type="dxa"/>
            <w:vAlign w:val="center"/>
          </w:tcPr>
          <w:p w14:paraId="43781AB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G1-3-2</w:t>
            </w:r>
          </w:p>
        </w:tc>
        <w:tc>
          <w:tcPr>
            <w:tcW w:w="1236" w:type="dxa"/>
            <w:vAlign w:val="center"/>
          </w:tcPr>
          <w:p w14:paraId="6F40D60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7390AD1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3AC1646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0BF1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5A483F12">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2EEA78C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155" w:type="dxa"/>
            <w:vAlign w:val="center"/>
          </w:tcPr>
          <w:p w14:paraId="53162FD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G1-3-3</w:t>
            </w:r>
          </w:p>
        </w:tc>
        <w:tc>
          <w:tcPr>
            <w:tcW w:w="1236" w:type="dxa"/>
            <w:vAlign w:val="center"/>
          </w:tcPr>
          <w:p w14:paraId="73D0D4A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6B6AF36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1F77CAB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157A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59352745">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59342D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155" w:type="dxa"/>
            <w:vAlign w:val="center"/>
          </w:tcPr>
          <w:p w14:paraId="5FE6562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G1-3-4</w:t>
            </w:r>
          </w:p>
        </w:tc>
        <w:tc>
          <w:tcPr>
            <w:tcW w:w="1236" w:type="dxa"/>
            <w:vAlign w:val="center"/>
          </w:tcPr>
          <w:p w14:paraId="581089A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0.07</w:t>
            </w:r>
          </w:p>
        </w:tc>
        <w:tc>
          <w:tcPr>
            <w:tcW w:w="1210" w:type="dxa"/>
            <w:vAlign w:val="center"/>
          </w:tcPr>
          <w:p w14:paraId="0A3CC94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2A0D558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7651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restart"/>
            <w:vAlign w:val="center"/>
          </w:tcPr>
          <w:p w14:paraId="26F245EC">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2024.04.30</w:t>
            </w:r>
          </w:p>
        </w:tc>
        <w:tc>
          <w:tcPr>
            <w:tcW w:w="929" w:type="dxa"/>
            <w:vAlign w:val="center"/>
          </w:tcPr>
          <w:p w14:paraId="64A56BE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155" w:type="dxa"/>
            <w:vAlign w:val="center"/>
          </w:tcPr>
          <w:p w14:paraId="52BD6DC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G1-4-1</w:t>
            </w:r>
          </w:p>
        </w:tc>
        <w:tc>
          <w:tcPr>
            <w:tcW w:w="1236" w:type="dxa"/>
            <w:vAlign w:val="center"/>
          </w:tcPr>
          <w:p w14:paraId="5521E85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0FEF8F2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5BAFED4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7E957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17E7E8A3">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63B4A47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155" w:type="dxa"/>
            <w:vAlign w:val="center"/>
          </w:tcPr>
          <w:p w14:paraId="29CFB56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G1-4-2</w:t>
            </w:r>
          </w:p>
        </w:tc>
        <w:tc>
          <w:tcPr>
            <w:tcW w:w="1236" w:type="dxa"/>
            <w:vAlign w:val="center"/>
          </w:tcPr>
          <w:p w14:paraId="65B3046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0.07</w:t>
            </w:r>
          </w:p>
        </w:tc>
        <w:tc>
          <w:tcPr>
            <w:tcW w:w="1210" w:type="dxa"/>
            <w:vAlign w:val="center"/>
          </w:tcPr>
          <w:p w14:paraId="737CA4F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7780190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5C4A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13850ED3">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415D51F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155" w:type="dxa"/>
            <w:vAlign w:val="center"/>
          </w:tcPr>
          <w:p w14:paraId="129355C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G1-4-3</w:t>
            </w:r>
          </w:p>
        </w:tc>
        <w:tc>
          <w:tcPr>
            <w:tcW w:w="1236" w:type="dxa"/>
            <w:vAlign w:val="center"/>
          </w:tcPr>
          <w:p w14:paraId="1BD1F85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3F9BFCA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60E90AA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2C4CE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59205CB0">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4BE36B2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155" w:type="dxa"/>
            <w:vAlign w:val="center"/>
          </w:tcPr>
          <w:p w14:paraId="0E3A1CA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G1-4-4</w:t>
            </w:r>
          </w:p>
        </w:tc>
        <w:tc>
          <w:tcPr>
            <w:tcW w:w="1236" w:type="dxa"/>
            <w:vAlign w:val="center"/>
          </w:tcPr>
          <w:p w14:paraId="6E002EA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0.07</w:t>
            </w:r>
          </w:p>
        </w:tc>
        <w:tc>
          <w:tcPr>
            <w:tcW w:w="1210" w:type="dxa"/>
            <w:vAlign w:val="center"/>
          </w:tcPr>
          <w:p w14:paraId="53A72AE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76D2A85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131C4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restart"/>
            <w:vAlign w:val="center"/>
          </w:tcPr>
          <w:p w14:paraId="142C4C25">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2024.05.01</w:t>
            </w:r>
          </w:p>
        </w:tc>
        <w:tc>
          <w:tcPr>
            <w:tcW w:w="944" w:type="dxa"/>
            <w:gridSpan w:val="2"/>
            <w:vAlign w:val="center"/>
          </w:tcPr>
          <w:p w14:paraId="78C62B6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155" w:type="dxa"/>
            <w:vAlign w:val="center"/>
          </w:tcPr>
          <w:p w14:paraId="617C56A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G1-5-1</w:t>
            </w:r>
          </w:p>
        </w:tc>
        <w:tc>
          <w:tcPr>
            <w:tcW w:w="1236" w:type="dxa"/>
            <w:vAlign w:val="center"/>
          </w:tcPr>
          <w:p w14:paraId="7FC94E4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436DE9B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5878B66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221E5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2D9570E3">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285A666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155" w:type="dxa"/>
            <w:vAlign w:val="center"/>
          </w:tcPr>
          <w:p w14:paraId="6AC91DB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G1-5-2</w:t>
            </w:r>
          </w:p>
        </w:tc>
        <w:tc>
          <w:tcPr>
            <w:tcW w:w="1236" w:type="dxa"/>
            <w:vAlign w:val="center"/>
          </w:tcPr>
          <w:p w14:paraId="0269B12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0.07</w:t>
            </w:r>
          </w:p>
        </w:tc>
        <w:tc>
          <w:tcPr>
            <w:tcW w:w="1210" w:type="dxa"/>
            <w:vAlign w:val="center"/>
          </w:tcPr>
          <w:p w14:paraId="7A2B1A9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466928C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66864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1E0F9458">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2CCBA4B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155" w:type="dxa"/>
            <w:vAlign w:val="center"/>
          </w:tcPr>
          <w:p w14:paraId="7B9E2E6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G1-5-3</w:t>
            </w:r>
          </w:p>
        </w:tc>
        <w:tc>
          <w:tcPr>
            <w:tcW w:w="1236" w:type="dxa"/>
            <w:vAlign w:val="center"/>
          </w:tcPr>
          <w:p w14:paraId="78B271C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0.09</w:t>
            </w:r>
          </w:p>
        </w:tc>
        <w:tc>
          <w:tcPr>
            <w:tcW w:w="1210" w:type="dxa"/>
            <w:vAlign w:val="center"/>
          </w:tcPr>
          <w:p w14:paraId="00F95B73">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6CD5BF8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3FF7C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668BF9EF">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057D2C7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155" w:type="dxa"/>
            <w:vAlign w:val="center"/>
          </w:tcPr>
          <w:p w14:paraId="6BEF6CA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G1-5-4</w:t>
            </w:r>
          </w:p>
        </w:tc>
        <w:tc>
          <w:tcPr>
            <w:tcW w:w="1236" w:type="dxa"/>
            <w:vAlign w:val="center"/>
          </w:tcPr>
          <w:p w14:paraId="35604E1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7932A7D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69A8D82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39EBE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restart"/>
            <w:vAlign w:val="center"/>
          </w:tcPr>
          <w:p w14:paraId="436041A2">
            <w:pPr>
              <w:jc w:val="center"/>
              <w:rPr>
                <w:rFonts w:hint="default"/>
                <w:color w:val="000000" w:themeColor="text1"/>
                <w:highlight w:val="none"/>
                <w:lang w:val="en-US"/>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2024.05.02</w:t>
            </w:r>
          </w:p>
        </w:tc>
        <w:tc>
          <w:tcPr>
            <w:tcW w:w="944" w:type="dxa"/>
            <w:gridSpan w:val="2"/>
            <w:vAlign w:val="center"/>
          </w:tcPr>
          <w:p w14:paraId="007B506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155" w:type="dxa"/>
            <w:vAlign w:val="center"/>
          </w:tcPr>
          <w:p w14:paraId="66BF81E0">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G1-6-1</w:t>
            </w:r>
          </w:p>
        </w:tc>
        <w:tc>
          <w:tcPr>
            <w:tcW w:w="1236" w:type="dxa"/>
            <w:vAlign w:val="center"/>
          </w:tcPr>
          <w:p w14:paraId="515BEB2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0.09</w:t>
            </w:r>
          </w:p>
        </w:tc>
        <w:tc>
          <w:tcPr>
            <w:tcW w:w="1210" w:type="dxa"/>
            <w:vAlign w:val="center"/>
          </w:tcPr>
          <w:p w14:paraId="05D0C97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11B107C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25FA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1DD50FEB">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0525AE5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155" w:type="dxa"/>
            <w:vAlign w:val="center"/>
          </w:tcPr>
          <w:p w14:paraId="221C3167">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G1-6-2</w:t>
            </w:r>
          </w:p>
        </w:tc>
        <w:tc>
          <w:tcPr>
            <w:tcW w:w="1236" w:type="dxa"/>
            <w:vAlign w:val="center"/>
          </w:tcPr>
          <w:p w14:paraId="771AA69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3E32AD5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5780990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7A4B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3AA3D664">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7C7C2EB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155" w:type="dxa"/>
            <w:vAlign w:val="center"/>
          </w:tcPr>
          <w:p w14:paraId="4780D7E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G1-6-3</w:t>
            </w:r>
          </w:p>
        </w:tc>
        <w:tc>
          <w:tcPr>
            <w:tcW w:w="1236" w:type="dxa"/>
            <w:vAlign w:val="center"/>
          </w:tcPr>
          <w:p w14:paraId="57511A0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0.09</w:t>
            </w:r>
          </w:p>
        </w:tc>
        <w:tc>
          <w:tcPr>
            <w:tcW w:w="1210" w:type="dxa"/>
            <w:vAlign w:val="center"/>
          </w:tcPr>
          <w:p w14:paraId="690F895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13706BF2">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7EC6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17D6CF2A">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1F8EF64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155" w:type="dxa"/>
            <w:vAlign w:val="center"/>
          </w:tcPr>
          <w:p w14:paraId="391FAD9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G1-6-4</w:t>
            </w:r>
          </w:p>
        </w:tc>
        <w:tc>
          <w:tcPr>
            <w:tcW w:w="1236" w:type="dxa"/>
            <w:vAlign w:val="center"/>
          </w:tcPr>
          <w:p w14:paraId="6CB9D0F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7EF573C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5041ED34">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4F5AA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restart"/>
            <w:vAlign w:val="center"/>
          </w:tcPr>
          <w:p w14:paraId="7A2486B8">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2024.05.03</w:t>
            </w:r>
          </w:p>
        </w:tc>
        <w:tc>
          <w:tcPr>
            <w:tcW w:w="944" w:type="dxa"/>
            <w:gridSpan w:val="2"/>
            <w:vAlign w:val="center"/>
          </w:tcPr>
          <w:p w14:paraId="0C09D9E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155" w:type="dxa"/>
            <w:vAlign w:val="center"/>
          </w:tcPr>
          <w:p w14:paraId="1CD4260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G1-7-1</w:t>
            </w:r>
          </w:p>
        </w:tc>
        <w:tc>
          <w:tcPr>
            <w:tcW w:w="1236" w:type="dxa"/>
            <w:vAlign w:val="center"/>
          </w:tcPr>
          <w:p w14:paraId="0415B74D">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14A95481">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1DDA9A4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55805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6413BAE5">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11119F2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155" w:type="dxa"/>
            <w:vAlign w:val="center"/>
          </w:tcPr>
          <w:p w14:paraId="617B65D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G1-7-2</w:t>
            </w:r>
          </w:p>
        </w:tc>
        <w:tc>
          <w:tcPr>
            <w:tcW w:w="1236" w:type="dxa"/>
            <w:vAlign w:val="center"/>
          </w:tcPr>
          <w:p w14:paraId="251C86FE">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1A31D216">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057506AC">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1F759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2A46701C">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391B1C1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155" w:type="dxa"/>
            <w:vAlign w:val="center"/>
          </w:tcPr>
          <w:p w14:paraId="5FA55B15">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G1-7-3</w:t>
            </w:r>
          </w:p>
        </w:tc>
        <w:tc>
          <w:tcPr>
            <w:tcW w:w="1236" w:type="dxa"/>
            <w:vAlign w:val="center"/>
          </w:tcPr>
          <w:p w14:paraId="65D2464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0.07</w:t>
            </w:r>
          </w:p>
        </w:tc>
        <w:tc>
          <w:tcPr>
            <w:tcW w:w="1210" w:type="dxa"/>
            <w:vAlign w:val="center"/>
          </w:tcPr>
          <w:p w14:paraId="10D38F69">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0C7B589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25EA8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223" w:type="dxa"/>
            <w:vMerge w:val="continue"/>
            <w:vAlign w:val="center"/>
          </w:tcPr>
          <w:p w14:paraId="177015E8">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4CA10E5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155" w:type="dxa"/>
            <w:vAlign w:val="center"/>
          </w:tcPr>
          <w:p w14:paraId="02C48EFA">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G1-7-4</w:t>
            </w:r>
          </w:p>
        </w:tc>
        <w:tc>
          <w:tcPr>
            <w:tcW w:w="1236" w:type="dxa"/>
            <w:vAlign w:val="center"/>
          </w:tcPr>
          <w:p w14:paraId="2AD4180B">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0.08</w:t>
            </w:r>
          </w:p>
        </w:tc>
        <w:tc>
          <w:tcPr>
            <w:tcW w:w="1210" w:type="dxa"/>
            <w:vAlign w:val="center"/>
          </w:tcPr>
          <w:p w14:paraId="52BAEE13">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782267E8">
            <w:pPr>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bl>
    <w:p w14:paraId="51FBD2C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7（2）</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环境空气现状监测结果</w:t>
      </w:r>
    </w:p>
    <w:tbl>
      <w:tblPr>
        <w:tblStyle w:val="33"/>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3"/>
        <w:gridCol w:w="15"/>
        <w:gridCol w:w="929"/>
        <w:gridCol w:w="2280"/>
        <w:gridCol w:w="1171"/>
        <w:gridCol w:w="1436"/>
        <w:gridCol w:w="1254"/>
      </w:tblGrid>
      <w:tr w14:paraId="631B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gridSpan w:val="3"/>
            <w:vMerge w:val="restart"/>
            <w:vAlign w:val="center"/>
          </w:tcPr>
          <w:p w14:paraId="11C1004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5648" behindDoc="0" locked="0" layoutInCell="1" allowOverlap="1">
                      <wp:simplePos x="0" y="0"/>
                      <wp:positionH relativeFrom="column">
                        <wp:posOffset>-35560</wp:posOffset>
                      </wp:positionH>
                      <wp:positionV relativeFrom="paragraph">
                        <wp:posOffset>462915</wp:posOffset>
                      </wp:positionV>
                      <wp:extent cx="894715" cy="343535"/>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894715" cy="343535"/>
                              </a:xfrm>
                              <a:prstGeom prst="rect">
                                <a:avLst/>
                              </a:prstGeom>
                              <a:noFill/>
                              <a:ln w="15875">
                                <a:noFill/>
                              </a:ln>
                            </wps:spPr>
                            <wps:txbx>
                              <w:txbxContent>
                                <w:p w14:paraId="5BC24729">
                                  <w:pPr>
                                    <w:spacing w:line="240" w:lineRule="auto"/>
                                    <w:rPr>
                                      <w:rFonts w:ascii="Calibri" w:hAnsi="Calibri" w:cs="Times New Roman"/>
                                      <w:b/>
                                      <w:bCs/>
                                      <w:sz w:val="21"/>
                                    </w:rPr>
                                  </w:pPr>
                                  <w:r>
                                    <w:rPr>
                                      <w:rFonts w:hint="eastAsia" w:ascii="Calibri" w:hAnsi="Calibri" w:cs="Times New Roman"/>
                                      <w:b/>
                                      <w:bCs/>
                                      <w:sz w:val="21"/>
                                    </w:rPr>
                                    <w:t>采样日期</w:t>
                                  </w:r>
                                </w:p>
                              </w:txbxContent>
                            </wps:txbx>
                            <wps:bodyPr upright="1"/>
                          </wps:wsp>
                        </a:graphicData>
                      </a:graphic>
                    </wp:anchor>
                  </w:drawing>
                </mc:Choice>
                <mc:Fallback>
                  <w:pict>
                    <v:shape id="_x0000_s1026" o:spid="_x0000_s1026" o:spt="202" type="#_x0000_t202" style="position:absolute;left:0pt;margin-left:-2.8pt;margin-top:36.45pt;height:27.05pt;width:70.45pt;z-index:251675648;mso-width-relative:page;mso-height-relative:page;" filled="f" stroked="f" coordsize="21600,21600" o:gfxdata="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eLmZndAAAACQEAAA8AAAAAAAAAAQAgAAAAIgAAAGRycy9kb3ducmV2LnhtbFBL&#10;AQIUABQAAAAIAIdO4kBE7MkcuAEAAFsDAAAOAAAAAAAAAAEAIAAAACwBAABkcnMvZTJvRG9jLnht&#10;bFBLBQYAAAAABgAGAFkBAABWBQAAAAA=&#10;">
                      <v:fill on="f" focussize="0,0"/>
                      <v:stroke on="f" weight="1.25pt"/>
                      <v:imagedata o:title=""/>
                      <o:lock v:ext="edit" aspectratio="f"/>
                      <v:textbox>
                        <w:txbxContent>
                          <w:p w14:paraId="5BC24729">
                            <w:pPr>
                              <w:spacing w:line="240" w:lineRule="auto"/>
                              <w:rPr>
                                <w:rFonts w:ascii="Calibri" w:hAnsi="Calibri" w:cs="Times New Roman"/>
                                <w:b/>
                                <w:bCs/>
                                <w:sz w:val="21"/>
                              </w:rPr>
                            </w:pPr>
                            <w:r>
                              <w:rPr>
                                <w:rFonts w:hint="eastAsia" w:ascii="Calibri" w:hAnsi="Calibri" w:cs="Times New Roman"/>
                                <w:b/>
                                <w:bCs/>
                                <w:sz w:val="21"/>
                              </w:rPr>
                              <w:t>采样日期</w:t>
                            </w:r>
                          </w:p>
                        </w:txbxContent>
                      </v:textbox>
                    </v:shap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602615</wp:posOffset>
                      </wp:positionH>
                      <wp:positionV relativeFrom="paragraph">
                        <wp:posOffset>314325</wp:posOffset>
                      </wp:positionV>
                      <wp:extent cx="770890" cy="276225"/>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770890" cy="276225"/>
                              </a:xfrm>
                              <a:prstGeom prst="rect">
                                <a:avLst/>
                              </a:prstGeom>
                              <a:noFill/>
                              <a:ln w="15875">
                                <a:noFill/>
                              </a:ln>
                            </wps:spPr>
                            <wps:txbx>
                              <w:txbxContent>
                                <w:p w14:paraId="08B4BC3F">
                                  <w:pPr>
                                    <w:spacing w:line="240" w:lineRule="auto"/>
                                    <w:rPr>
                                      <w:rFonts w:ascii="Calibri" w:hAnsi="Calibri" w:cs="Times New Roman"/>
                                      <w:b/>
                                      <w:bCs/>
                                      <w:sz w:val="21"/>
                                    </w:rPr>
                                  </w:pPr>
                                  <w:r>
                                    <w:rPr>
                                      <w:rFonts w:hint="eastAsia" w:ascii="Calibri" w:hAnsi="Calibri" w:cs="Times New Roman"/>
                                      <w:b/>
                                      <w:bCs/>
                                      <w:sz w:val="21"/>
                                    </w:rPr>
                                    <w:t>检测结果</w:t>
                                  </w:r>
                                </w:p>
                              </w:txbxContent>
                            </wps:txbx>
                            <wps:bodyPr upright="1"/>
                          </wps:wsp>
                        </a:graphicData>
                      </a:graphic>
                    </wp:anchor>
                  </w:drawing>
                </mc:Choice>
                <mc:Fallback>
                  <w:pict>
                    <v:shape id="_x0000_s1026" o:spid="_x0000_s1026" o:spt="202" type="#_x0000_t202" style="position:absolute;left:0pt;margin-left:47.45pt;margin-top:24.75pt;height:21.75pt;width:60.7pt;z-index:251676672;mso-width-relative:page;mso-height-relative:page;" filled="f" stroked="f" coordsize="21600,21600" o:gfxdata="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Vh872gAAAAgBAAAPAAAAAAAAAAEAIAAAACIAAABkcnMvZG93bnJldi54bWxQSwECFAAU&#10;AAAACACHTuJAdJ8wTbYBAABbAwAADgAAAAAAAAABACAAAAApAQAAZHJzL2Uyb0RvYy54bWxQSwUG&#10;AAAAAAYABgBZAQAAUQUAAAAA&#10;">
                      <v:fill on="f" focussize="0,0"/>
                      <v:stroke on="f" weight="1.25pt"/>
                      <v:imagedata o:title=""/>
                      <o:lock v:ext="edit" aspectratio="f"/>
                      <v:textbox>
                        <w:txbxContent>
                          <w:p w14:paraId="08B4BC3F">
                            <w:pPr>
                              <w:spacing w:line="240" w:lineRule="auto"/>
                              <w:rPr>
                                <w:rFonts w:ascii="Calibri" w:hAnsi="Calibri" w:cs="Times New Roman"/>
                                <w:b/>
                                <w:bCs/>
                                <w:sz w:val="21"/>
                              </w:rPr>
                            </w:pPr>
                            <w:r>
                              <w:rPr>
                                <w:rFonts w:hint="eastAsia" w:ascii="Calibri" w:hAnsi="Calibri" w:cs="Times New Roman"/>
                                <w:b/>
                                <w:bCs/>
                                <w:sz w:val="21"/>
                              </w:rPr>
                              <w:t>检测结果</w:t>
                            </w:r>
                          </w:p>
                        </w:txbxContent>
                      </v:textbox>
                    </v:shap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-5080</wp:posOffset>
                      </wp:positionH>
                      <wp:positionV relativeFrom="paragraph">
                        <wp:posOffset>5715</wp:posOffset>
                      </wp:positionV>
                      <wp:extent cx="1315720" cy="368935"/>
                      <wp:effectExtent l="1270" t="4445" r="16510" b="7620"/>
                      <wp:wrapNone/>
                      <wp:docPr id="161" name="直接连接符 161"/>
                      <wp:cNvGraphicFramePr/>
                      <a:graphic xmlns:a="http://schemas.openxmlformats.org/drawingml/2006/main">
                        <a:graphicData uri="http://schemas.microsoft.com/office/word/2010/wordprocessingShape">
                          <wps:wsp>
                            <wps:cNvCnPr/>
                            <wps:spPr>
                              <a:xfrm>
                                <a:off x="0" y="0"/>
                                <a:ext cx="1315720" cy="3689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4pt;margin-top:0.45pt;height:29.05pt;width:103.6pt;z-index:251673600;mso-width-relative:page;mso-height-relative:page;" filled="f" stroked="t" coordsize="21600,21600" o:gfxdata="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6+SuNMAAAAFAQAADwAAAAAAAAABACAAAAAiAAAAZHJzL2Rvd25yZXYueG1sUEsBAhQAFAAAAAgA&#10;h07iQMmL67zxAQAA4QMAAA4AAAAAAAAAAQAgAAAAIgEAAGRycy9lMm9Eb2MueG1sUEsFBgAAAAAG&#10;AAYAWQEAAIUFAAAAAA==&#10;">
                      <v:fill on="f" focussize="0,0"/>
                      <v:stroke color="#000000" joinstyle="round"/>
                      <v:imagedata o:title=""/>
                      <o:lock v:ext="edit" aspectratio="f"/>
                    </v:lin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4624" behindDoc="0" locked="0" layoutInCell="1" allowOverlap="1">
                      <wp:simplePos x="0" y="0"/>
                      <wp:positionH relativeFrom="column">
                        <wp:posOffset>-61595</wp:posOffset>
                      </wp:positionH>
                      <wp:positionV relativeFrom="paragraph">
                        <wp:posOffset>0</wp:posOffset>
                      </wp:positionV>
                      <wp:extent cx="1381760" cy="740410"/>
                      <wp:effectExtent l="2540" t="4445" r="6350" b="17145"/>
                      <wp:wrapNone/>
                      <wp:docPr id="160" name="直接连接符 160"/>
                      <wp:cNvGraphicFramePr/>
                      <a:graphic xmlns:a="http://schemas.openxmlformats.org/drawingml/2006/main">
                        <a:graphicData uri="http://schemas.microsoft.com/office/word/2010/wordprocessingShape">
                          <wps:wsp>
                            <wps:cNvCnPr/>
                            <wps:spPr>
                              <a:xfrm>
                                <a:off x="0" y="0"/>
                                <a:ext cx="1381760" cy="7404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85pt;margin-top:0pt;height:58.3pt;width:108.8pt;z-index:251674624;mso-width-relative:page;mso-height-relative:page;" filled="f" stroked="t" coordsize="21600,21600" o:gfxdata="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Osxb1gAAAAcBAAAPAAAAAAAAAAEAIAAAACIAAABkcnMvZG93bnJldi54bWxQSwECFAAU&#10;AAAACACHTuJABNWiI/MBAADhAwAADgAAAAAAAAABACAAAAAlAQAAZHJzL2Uyb0RvYy54bWxQSwUG&#10;AAAAAAYABgBZAQAAigUAAAAA&#10;">
                      <v:fill on="f" focussize="0,0"/>
                      <v:stroke color="#000000" joinstyle="round"/>
                      <v:imagedata o:title=""/>
                      <o:lock v:ext="edit" aspectratio="f"/>
                    </v:line>
                  </w:pict>
                </mc:Fallback>
              </mc:AlternateContent>
            </w:r>
          </w:p>
        </w:tc>
        <w:tc>
          <w:tcPr>
            <w:tcW w:w="6141" w:type="dxa"/>
            <w:gridSpan w:val="4"/>
            <w:vAlign w:val="center"/>
          </w:tcPr>
          <w:p w14:paraId="6DA990E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w:t>
            </w:r>
          </w:p>
        </w:tc>
      </w:tr>
      <w:tr w14:paraId="3185A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gridSpan w:val="3"/>
            <w:vMerge w:val="continue"/>
            <w:vAlign w:val="center"/>
          </w:tcPr>
          <w:p w14:paraId="4750BF96">
            <w:pPr>
              <w:spacing w:line="240" w:lineRule="auto"/>
              <w:jc w:val="center"/>
              <w:rPr>
                <w:b/>
                <w:bCs/>
                <w:color w:val="000000" w:themeColor="text1"/>
                <w:sz w:val="21"/>
                <w:szCs w:val="21"/>
                <w:highlight w:val="none"/>
                <w14:textFill>
                  <w14:solidFill>
                    <w14:schemeClr w14:val="tx1"/>
                  </w14:solidFill>
                </w14:textFill>
              </w:rPr>
            </w:pPr>
          </w:p>
        </w:tc>
        <w:tc>
          <w:tcPr>
            <w:tcW w:w="2280" w:type="dxa"/>
            <w:vAlign w:val="center"/>
          </w:tcPr>
          <w:p w14:paraId="0EDA265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样品编号</w:t>
            </w:r>
          </w:p>
        </w:tc>
        <w:tc>
          <w:tcPr>
            <w:tcW w:w="1171" w:type="dxa"/>
            <w:vAlign w:val="center"/>
          </w:tcPr>
          <w:p w14:paraId="5377B7D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氨（mg/m³）</w:t>
            </w:r>
          </w:p>
        </w:tc>
        <w:tc>
          <w:tcPr>
            <w:tcW w:w="1436" w:type="dxa"/>
            <w:vAlign w:val="center"/>
          </w:tcPr>
          <w:p w14:paraId="451F2DE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硫化氢（mg/m³）</w:t>
            </w:r>
          </w:p>
        </w:tc>
        <w:tc>
          <w:tcPr>
            <w:tcW w:w="1254" w:type="dxa"/>
            <w:vAlign w:val="center"/>
          </w:tcPr>
          <w:p w14:paraId="27B4BF7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臭气浓度（无量纲）</w:t>
            </w:r>
          </w:p>
        </w:tc>
      </w:tr>
      <w:tr w14:paraId="27BB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restart"/>
            <w:vAlign w:val="center"/>
          </w:tcPr>
          <w:p w14:paraId="1ADF9C50">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2024.04.27</w:t>
            </w:r>
          </w:p>
        </w:tc>
        <w:tc>
          <w:tcPr>
            <w:tcW w:w="929" w:type="dxa"/>
            <w:vAlign w:val="center"/>
          </w:tcPr>
          <w:p w14:paraId="77496A9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280" w:type="dxa"/>
            <w:vAlign w:val="center"/>
          </w:tcPr>
          <w:p w14:paraId="31BBDAA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G2-1-1</w:t>
            </w:r>
          </w:p>
        </w:tc>
        <w:tc>
          <w:tcPr>
            <w:tcW w:w="1171" w:type="dxa"/>
            <w:vAlign w:val="center"/>
          </w:tcPr>
          <w:p w14:paraId="6F3FAA1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center"/>
          </w:tcPr>
          <w:p w14:paraId="40CA302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4B8CC82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76A0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5B5DFC77">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3A1E873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280" w:type="dxa"/>
            <w:vAlign w:val="center"/>
          </w:tcPr>
          <w:p w14:paraId="51A08F7C">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G2-1-2</w:t>
            </w:r>
          </w:p>
        </w:tc>
        <w:tc>
          <w:tcPr>
            <w:tcW w:w="1171" w:type="dxa"/>
            <w:vAlign w:val="center"/>
          </w:tcPr>
          <w:p w14:paraId="22232927">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top"/>
          </w:tcPr>
          <w:p w14:paraId="5B3ED29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00A986F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2FAC1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77FC64BF">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09E88CB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280" w:type="dxa"/>
            <w:vAlign w:val="center"/>
          </w:tcPr>
          <w:p w14:paraId="7534A10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G2-1-3</w:t>
            </w:r>
          </w:p>
        </w:tc>
        <w:tc>
          <w:tcPr>
            <w:tcW w:w="1171" w:type="dxa"/>
            <w:vAlign w:val="center"/>
          </w:tcPr>
          <w:p w14:paraId="5DC76B5F">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1F3562A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7B76751C">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3201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29876917">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019BE1A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280" w:type="dxa"/>
            <w:vAlign w:val="center"/>
          </w:tcPr>
          <w:p w14:paraId="28FFA8CA">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G2-1-4</w:t>
            </w:r>
          </w:p>
        </w:tc>
        <w:tc>
          <w:tcPr>
            <w:tcW w:w="1171" w:type="dxa"/>
            <w:vAlign w:val="center"/>
          </w:tcPr>
          <w:p w14:paraId="48B987C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top"/>
          </w:tcPr>
          <w:p w14:paraId="0A73E6C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0AE8D2E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6CBF6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restart"/>
            <w:vAlign w:val="center"/>
          </w:tcPr>
          <w:p w14:paraId="0562726E">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2024.04.28</w:t>
            </w:r>
          </w:p>
        </w:tc>
        <w:tc>
          <w:tcPr>
            <w:tcW w:w="929" w:type="dxa"/>
            <w:vAlign w:val="center"/>
          </w:tcPr>
          <w:p w14:paraId="02B1446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280" w:type="dxa"/>
            <w:vAlign w:val="center"/>
          </w:tcPr>
          <w:p w14:paraId="3C29816F">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G2-2-1</w:t>
            </w:r>
          </w:p>
        </w:tc>
        <w:tc>
          <w:tcPr>
            <w:tcW w:w="1171" w:type="dxa"/>
            <w:vAlign w:val="center"/>
          </w:tcPr>
          <w:p w14:paraId="638F6221">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13240C29">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4DA85097">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638CD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2C2D8E7F">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0F782BF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280" w:type="dxa"/>
            <w:vAlign w:val="center"/>
          </w:tcPr>
          <w:p w14:paraId="32F4559C">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G2-2-2</w:t>
            </w:r>
          </w:p>
        </w:tc>
        <w:tc>
          <w:tcPr>
            <w:tcW w:w="1171" w:type="dxa"/>
            <w:vAlign w:val="center"/>
          </w:tcPr>
          <w:p w14:paraId="58296A8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065BDF7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38CF9212">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67157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026ACA50">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5926CCC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280" w:type="dxa"/>
            <w:vAlign w:val="center"/>
          </w:tcPr>
          <w:p w14:paraId="648B223A">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G2-2-3</w:t>
            </w:r>
          </w:p>
        </w:tc>
        <w:tc>
          <w:tcPr>
            <w:tcW w:w="1171" w:type="dxa"/>
            <w:vAlign w:val="center"/>
          </w:tcPr>
          <w:p w14:paraId="7CB9A347">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6052DB2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4228B23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518C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63AA1362">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56CE85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280" w:type="dxa"/>
            <w:vAlign w:val="center"/>
          </w:tcPr>
          <w:p w14:paraId="0D804C72">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G2-2-4</w:t>
            </w:r>
          </w:p>
        </w:tc>
        <w:tc>
          <w:tcPr>
            <w:tcW w:w="1171" w:type="dxa"/>
            <w:vAlign w:val="center"/>
          </w:tcPr>
          <w:p w14:paraId="417CEDA1">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52319AD9">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4B88604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1440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restart"/>
            <w:vAlign w:val="center"/>
          </w:tcPr>
          <w:p w14:paraId="69F2D09C">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2024.04.29</w:t>
            </w:r>
          </w:p>
        </w:tc>
        <w:tc>
          <w:tcPr>
            <w:tcW w:w="929" w:type="dxa"/>
            <w:vAlign w:val="center"/>
          </w:tcPr>
          <w:p w14:paraId="080F1C3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280" w:type="dxa"/>
            <w:vAlign w:val="center"/>
          </w:tcPr>
          <w:p w14:paraId="569BC2F2">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G2-3-1</w:t>
            </w:r>
          </w:p>
        </w:tc>
        <w:tc>
          <w:tcPr>
            <w:tcW w:w="1171" w:type="dxa"/>
            <w:vAlign w:val="center"/>
          </w:tcPr>
          <w:p w14:paraId="3FDA56E9">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7CD3857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20D77F53">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6EF6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52F53EBE">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0DA73EF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280" w:type="dxa"/>
            <w:vAlign w:val="center"/>
          </w:tcPr>
          <w:p w14:paraId="52DC48B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G2-3-2</w:t>
            </w:r>
          </w:p>
        </w:tc>
        <w:tc>
          <w:tcPr>
            <w:tcW w:w="1171" w:type="dxa"/>
            <w:vAlign w:val="center"/>
          </w:tcPr>
          <w:p w14:paraId="16101B8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094374A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445CB5A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1D30F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736BD820">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51B6F8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280" w:type="dxa"/>
            <w:vAlign w:val="center"/>
          </w:tcPr>
          <w:p w14:paraId="34FD96D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G2-3-3</w:t>
            </w:r>
          </w:p>
        </w:tc>
        <w:tc>
          <w:tcPr>
            <w:tcW w:w="1171" w:type="dxa"/>
            <w:vAlign w:val="center"/>
          </w:tcPr>
          <w:p w14:paraId="10C609E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28E41C9F">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6562ABE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4E721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1BDD22DF">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7525CB7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280" w:type="dxa"/>
            <w:vAlign w:val="center"/>
          </w:tcPr>
          <w:p w14:paraId="52D94635">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G2-3-4</w:t>
            </w:r>
          </w:p>
        </w:tc>
        <w:tc>
          <w:tcPr>
            <w:tcW w:w="1171" w:type="dxa"/>
            <w:vAlign w:val="center"/>
          </w:tcPr>
          <w:p w14:paraId="7DA11B3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top"/>
          </w:tcPr>
          <w:p w14:paraId="077A54C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6AFE96C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6B28E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restart"/>
            <w:vAlign w:val="center"/>
          </w:tcPr>
          <w:p w14:paraId="0A956823">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2024.04.30</w:t>
            </w:r>
          </w:p>
        </w:tc>
        <w:tc>
          <w:tcPr>
            <w:tcW w:w="929" w:type="dxa"/>
            <w:vAlign w:val="center"/>
          </w:tcPr>
          <w:p w14:paraId="361686E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280" w:type="dxa"/>
            <w:vAlign w:val="center"/>
          </w:tcPr>
          <w:p w14:paraId="6496B403">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G2-4-1</w:t>
            </w:r>
          </w:p>
        </w:tc>
        <w:tc>
          <w:tcPr>
            <w:tcW w:w="1171" w:type="dxa"/>
            <w:vAlign w:val="center"/>
          </w:tcPr>
          <w:p w14:paraId="4B5BEC95">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1606C05C">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5B558733">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7EC0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50BB9330">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1313D81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280" w:type="dxa"/>
            <w:vAlign w:val="center"/>
          </w:tcPr>
          <w:p w14:paraId="275D2312">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G2-4-2</w:t>
            </w:r>
          </w:p>
        </w:tc>
        <w:tc>
          <w:tcPr>
            <w:tcW w:w="1171" w:type="dxa"/>
            <w:vAlign w:val="center"/>
          </w:tcPr>
          <w:p w14:paraId="4AA1E51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3C932FF7">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043C707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1440A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67BE0F02">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5964797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280" w:type="dxa"/>
            <w:vAlign w:val="center"/>
          </w:tcPr>
          <w:p w14:paraId="19A4A9E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G2-4-3</w:t>
            </w:r>
          </w:p>
        </w:tc>
        <w:tc>
          <w:tcPr>
            <w:tcW w:w="1171" w:type="dxa"/>
            <w:vAlign w:val="center"/>
          </w:tcPr>
          <w:p w14:paraId="4F5154F3">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07C6118F">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7E244A93">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6DA61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38" w:type="dxa"/>
            <w:gridSpan w:val="2"/>
            <w:vMerge w:val="continue"/>
            <w:vAlign w:val="center"/>
          </w:tcPr>
          <w:p w14:paraId="7822033C">
            <w:pPr>
              <w:spacing w:line="240" w:lineRule="auto"/>
              <w:jc w:val="center"/>
              <w:rPr>
                <w:color w:val="000000" w:themeColor="text1"/>
                <w:sz w:val="21"/>
                <w:szCs w:val="21"/>
                <w:highlight w:val="none"/>
                <w14:textFill>
                  <w14:solidFill>
                    <w14:schemeClr w14:val="tx1"/>
                  </w14:solidFill>
                </w14:textFill>
              </w:rPr>
            </w:pPr>
          </w:p>
        </w:tc>
        <w:tc>
          <w:tcPr>
            <w:tcW w:w="929" w:type="dxa"/>
            <w:vAlign w:val="center"/>
          </w:tcPr>
          <w:p w14:paraId="4DBCD23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280" w:type="dxa"/>
            <w:vAlign w:val="center"/>
          </w:tcPr>
          <w:p w14:paraId="415CFD62">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G2-4-4</w:t>
            </w:r>
          </w:p>
        </w:tc>
        <w:tc>
          <w:tcPr>
            <w:tcW w:w="1171" w:type="dxa"/>
            <w:vAlign w:val="center"/>
          </w:tcPr>
          <w:p w14:paraId="7F5D920C">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top"/>
          </w:tcPr>
          <w:p w14:paraId="2EF75861">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4941EAE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1F44B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restart"/>
            <w:vAlign w:val="center"/>
          </w:tcPr>
          <w:p w14:paraId="2EA06861">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2024.05.01</w:t>
            </w:r>
          </w:p>
        </w:tc>
        <w:tc>
          <w:tcPr>
            <w:tcW w:w="944" w:type="dxa"/>
            <w:gridSpan w:val="2"/>
            <w:vAlign w:val="center"/>
          </w:tcPr>
          <w:p w14:paraId="00B86C8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280" w:type="dxa"/>
            <w:vAlign w:val="center"/>
          </w:tcPr>
          <w:p w14:paraId="34B45373">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G2-5-1</w:t>
            </w:r>
          </w:p>
        </w:tc>
        <w:tc>
          <w:tcPr>
            <w:tcW w:w="1171" w:type="dxa"/>
            <w:vAlign w:val="center"/>
          </w:tcPr>
          <w:p w14:paraId="0E68FFD1">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04A1CFA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4518D6D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41147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50D0847A">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482582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280" w:type="dxa"/>
            <w:vAlign w:val="center"/>
          </w:tcPr>
          <w:p w14:paraId="441328C7">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G2-5-2</w:t>
            </w:r>
          </w:p>
        </w:tc>
        <w:tc>
          <w:tcPr>
            <w:tcW w:w="1171" w:type="dxa"/>
            <w:vAlign w:val="center"/>
          </w:tcPr>
          <w:p w14:paraId="10DFCB57">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0.02</w:t>
            </w:r>
          </w:p>
        </w:tc>
        <w:tc>
          <w:tcPr>
            <w:tcW w:w="1436" w:type="dxa"/>
            <w:vAlign w:val="top"/>
          </w:tcPr>
          <w:p w14:paraId="27354DCC">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7F1E3A4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48342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62019D1E">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2F29B5A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280" w:type="dxa"/>
            <w:vAlign w:val="center"/>
          </w:tcPr>
          <w:p w14:paraId="0F01B8E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G2-5-3</w:t>
            </w:r>
          </w:p>
        </w:tc>
        <w:tc>
          <w:tcPr>
            <w:tcW w:w="1171" w:type="dxa"/>
            <w:vAlign w:val="center"/>
          </w:tcPr>
          <w:p w14:paraId="654C4D1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1A8CCA92">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5663F20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03455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77F6C51F">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2A74D58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280" w:type="dxa"/>
            <w:vAlign w:val="center"/>
          </w:tcPr>
          <w:p w14:paraId="5654346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G2-5-4</w:t>
            </w:r>
          </w:p>
        </w:tc>
        <w:tc>
          <w:tcPr>
            <w:tcW w:w="1171" w:type="dxa"/>
            <w:vAlign w:val="center"/>
          </w:tcPr>
          <w:p w14:paraId="0D429D0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center"/>
          </w:tcPr>
          <w:p w14:paraId="13763D1A">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732208F7">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6549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restart"/>
            <w:vAlign w:val="center"/>
          </w:tcPr>
          <w:p w14:paraId="62CFDAC0">
            <w:pP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2024.05.02</w:t>
            </w:r>
          </w:p>
        </w:tc>
        <w:tc>
          <w:tcPr>
            <w:tcW w:w="944" w:type="dxa"/>
            <w:gridSpan w:val="2"/>
            <w:vAlign w:val="center"/>
          </w:tcPr>
          <w:p w14:paraId="3109368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280" w:type="dxa"/>
            <w:vAlign w:val="center"/>
          </w:tcPr>
          <w:p w14:paraId="6B1D00D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G2-6-1</w:t>
            </w:r>
          </w:p>
        </w:tc>
        <w:tc>
          <w:tcPr>
            <w:tcW w:w="1171" w:type="dxa"/>
            <w:vAlign w:val="center"/>
          </w:tcPr>
          <w:p w14:paraId="53BC2C6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center"/>
          </w:tcPr>
          <w:p w14:paraId="374686F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center"/>
          </w:tcPr>
          <w:p w14:paraId="128A9D3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24CF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6F4599A3">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33AB669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280" w:type="dxa"/>
            <w:vAlign w:val="center"/>
          </w:tcPr>
          <w:p w14:paraId="678650B5">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G2-6-2</w:t>
            </w:r>
          </w:p>
        </w:tc>
        <w:tc>
          <w:tcPr>
            <w:tcW w:w="1171" w:type="dxa"/>
            <w:vAlign w:val="center"/>
          </w:tcPr>
          <w:p w14:paraId="4BE7D505">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36D397E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71B2E3DA">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5EF5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0976D795">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4645868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280" w:type="dxa"/>
            <w:vAlign w:val="center"/>
          </w:tcPr>
          <w:p w14:paraId="6E171F0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G2-6-3</w:t>
            </w:r>
          </w:p>
        </w:tc>
        <w:tc>
          <w:tcPr>
            <w:tcW w:w="1171" w:type="dxa"/>
            <w:vAlign w:val="center"/>
          </w:tcPr>
          <w:p w14:paraId="073CB125">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top"/>
          </w:tcPr>
          <w:p w14:paraId="68A98CB9">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7CEE9B25">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2100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6DAE95DD">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5687B0F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280" w:type="dxa"/>
            <w:vAlign w:val="center"/>
          </w:tcPr>
          <w:p w14:paraId="2857B587">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G2-6-4</w:t>
            </w:r>
          </w:p>
        </w:tc>
        <w:tc>
          <w:tcPr>
            <w:tcW w:w="1171" w:type="dxa"/>
            <w:vAlign w:val="center"/>
          </w:tcPr>
          <w:p w14:paraId="3CCFECFA">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top"/>
          </w:tcPr>
          <w:p w14:paraId="01CF5757">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047B065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6135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restart"/>
            <w:vAlign w:val="center"/>
          </w:tcPr>
          <w:p w14:paraId="5971BD7D">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2024.05.03</w:t>
            </w:r>
          </w:p>
        </w:tc>
        <w:tc>
          <w:tcPr>
            <w:tcW w:w="944" w:type="dxa"/>
            <w:gridSpan w:val="2"/>
            <w:vAlign w:val="center"/>
          </w:tcPr>
          <w:p w14:paraId="62A1648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第一次</w:t>
            </w:r>
          </w:p>
        </w:tc>
        <w:tc>
          <w:tcPr>
            <w:tcW w:w="2280" w:type="dxa"/>
            <w:vAlign w:val="center"/>
          </w:tcPr>
          <w:p w14:paraId="60C803F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G2-7-1</w:t>
            </w:r>
          </w:p>
        </w:tc>
        <w:tc>
          <w:tcPr>
            <w:tcW w:w="1171" w:type="dxa"/>
            <w:vAlign w:val="center"/>
          </w:tcPr>
          <w:p w14:paraId="59A1555F">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top"/>
          </w:tcPr>
          <w:p w14:paraId="7CA0E929">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0F5F30ED">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397E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74F3C69D">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214C14F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第二次</w:t>
            </w:r>
          </w:p>
        </w:tc>
        <w:tc>
          <w:tcPr>
            <w:tcW w:w="2280" w:type="dxa"/>
            <w:vAlign w:val="center"/>
          </w:tcPr>
          <w:p w14:paraId="5F9C4CF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G2-7-2</w:t>
            </w:r>
          </w:p>
        </w:tc>
        <w:tc>
          <w:tcPr>
            <w:tcW w:w="1171" w:type="dxa"/>
            <w:vAlign w:val="center"/>
          </w:tcPr>
          <w:p w14:paraId="5198F1CC">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0.03</w:t>
            </w:r>
          </w:p>
        </w:tc>
        <w:tc>
          <w:tcPr>
            <w:tcW w:w="1436" w:type="dxa"/>
            <w:vAlign w:val="top"/>
          </w:tcPr>
          <w:p w14:paraId="5BBDD74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623ED34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1107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091924F7">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37569DC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第三次</w:t>
            </w:r>
          </w:p>
        </w:tc>
        <w:tc>
          <w:tcPr>
            <w:tcW w:w="2280" w:type="dxa"/>
            <w:vAlign w:val="center"/>
          </w:tcPr>
          <w:p w14:paraId="2056C928">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G2-7-3</w:t>
            </w:r>
          </w:p>
        </w:tc>
        <w:tc>
          <w:tcPr>
            <w:tcW w:w="1171" w:type="dxa"/>
            <w:vAlign w:val="center"/>
          </w:tcPr>
          <w:p w14:paraId="22ECE3A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top"/>
          </w:tcPr>
          <w:p w14:paraId="0BA9004A">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0962979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2F10C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23" w:type="dxa"/>
            <w:vMerge w:val="continue"/>
            <w:vAlign w:val="center"/>
          </w:tcPr>
          <w:p w14:paraId="418E2682">
            <w:pPr>
              <w:spacing w:line="240" w:lineRule="auto"/>
              <w:jc w:val="center"/>
              <w:rPr>
                <w:color w:val="000000" w:themeColor="text1"/>
                <w:sz w:val="21"/>
                <w:szCs w:val="21"/>
                <w:highlight w:val="none"/>
                <w14:textFill>
                  <w14:solidFill>
                    <w14:schemeClr w14:val="tx1"/>
                  </w14:solidFill>
                </w14:textFill>
              </w:rPr>
            </w:pPr>
          </w:p>
        </w:tc>
        <w:tc>
          <w:tcPr>
            <w:tcW w:w="944" w:type="dxa"/>
            <w:gridSpan w:val="2"/>
            <w:vAlign w:val="center"/>
          </w:tcPr>
          <w:p w14:paraId="67890B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第四次</w:t>
            </w:r>
          </w:p>
        </w:tc>
        <w:tc>
          <w:tcPr>
            <w:tcW w:w="2280" w:type="dxa"/>
            <w:vAlign w:val="center"/>
          </w:tcPr>
          <w:p w14:paraId="0FA208C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G2-7-4</w:t>
            </w:r>
          </w:p>
        </w:tc>
        <w:tc>
          <w:tcPr>
            <w:tcW w:w="1171" w:type="dxa"/>
            <w:vAlign w:val="center"/>
          </w:tcPr>
          <w:p w14:paraId="1979A4AF">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0.04</w:t>
            </w:r>
          </w:p>
        </w:tc>
        <w:tc>
          <w:tcPr>
            <w:tcW w:w="1436" w:type="dxa"/>
            <w:vAlign w:val="top"/>
          </w:tcPr>
          <w:p w14:paraId="6690FC0A">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＜0.005</w:t>
            </w:r>
          </w:p>
        </w:tc>
        <w:tc>
          <w:tcPr>
            <w:tcW w:w="1254" w:type="dxa"/>
            <w:vAlign w:val="top"/>
          </w:tcPr>
          <w:p w14:paraId="6F07990E">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bl>
    <w:p w14:paraId="4068F10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7（</w:t>
      </w:r>
      <w:r>
        <w:rPr>
          <w:rFonts w:hint="eastAsia"/>
          <w:b/>
          <w:bCs/>
          <w:color w:val="000000" w:themeColor="text1"/>
          <w:sz w:val="21"/>
          <w:szCs w:val="21"/>
          <w:highlight w:val="none"/>
          <w:lang w:val="en-US" w:eastAsia="zh-CN"/>
          <w14:textFill>
            <w14:solidFill>
              <w14:schemeClr w14:val="tx1"/>
            </w14:solidFill>
          </w14:textFill>
        </w:rPr>
        <w:t>3</w:t>
      </w:r>
      <w:r>
        <w:rPr>
          <w:rFonts w:hint="eastAsia"/>
          <w:b/>
          <w:bCs/>
          <w:color w:val="000000" w:themeColor="text1"/>
          <w:sz w:val="21"/>
          <w:szCs w:val="21"/>
          <w:highlight w:val="none"/>
          <w14:textFill>
            <w14:solidFill>
              <w14:schemeClr w14:val="tx1"/>
            </w14:solidFill>
          </w14:textFill>
        </w:rPr>
        <w:t>）</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环境空气现状监测结果</w:t>
      </w:r>
    </w:p>
    <w:tbl>
      <w:tblPr>
        <w:tblStyle w:val="33"/>
        <w:tblW w:w="8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7"/>
        <w:gridCol w:w="2280"/>
        <w:gridCol w:w="3861"/>
      </w:tblGrid>
      <w:tr w14:paraId="7B0B0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vMerge w:val="restart"/>
            <w:vAlign w:val="center"/>
          </w:tcPr>
          <w:p w14:paraId="22AB0D0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99200" behindDoc="0" locked="0" layoutInCell="1" allowOverlap="1">
                      <wp:simplePos x="0" y="0"/>
                      <wp:positionH relativeFrom="column">
                        <wp:posOffset>-35560</wp:posOffset>
                      </wp:positionH>
                      <wp:positionV relativeFrom="paragraph">
                        <wp:posOffset>462915</wp:posOffset>
                      </wp:positionV>
                      <wp:extent cx="894715" cy="34353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894715" cy="343535"/>
                              </a:xfrm>
                              <a:prstGeom prst="rect">
                                <a:avLst/>
                              </a:prstGeom>
                              <a:noFill/>
                              <a:ln w="15875">
                                <a:noFill/>
                              </a:ln>
                            </wps:spPr>
                            <wps:txbx>
                              <w:txbxContent>
                                <w:p w14:paraId="1C5B242D">
                                  <w:pPr>
                                    <w:spacing w:line="240" w:lineRule="auto"/>
                                    <w:rPr>
                                      <w:rFonts w:ascii="Calibri" w:hAnsi="Calibri" w:cs="Times New Roman"/>
                                      <w:b/>
                                      <w:bCs/>
                                      <w:sz w:val="21"/>
                                    </w:rPr>
                                  </w:pPr>
                                  <w:r>
                                    <w:rPr>
                                      <w:rFonts w:hint="eastAsia" w:ascii="Calibri" w:hAnsi="Calibri" w:cs="Times New Roman"/>
                                      <w:b/>
                                      <w:bCs/>
                                      <w:sz w:val="21"/>
                                    </w:rPr>
                                    <w:t>采样日期</w:t>
                                  </w:r>
                                </w:p>
                              </w:txbxContent>
                            </wps:txbx>
                            <wps:bodyPr upright="1"/>
                          </wps:wsp>
                        </a:graphicData>
                      </a:graphic>
                    </wp:anchor>
                  </w:drawing>
                </mc:Choice>
                <mc:Fallback>
                  <w:pict>
                    <v:shape id="_x0000_s1026" o:spid="_x0000_s1026" o:spt="202" type="#_x0000_t202" style="position:absolute;left:0pt;margin-left:-2.8pt;margin-top:36.45pt;height:27.05pt;width:70.45pt;z-index:251699200;mso-width-relative:page;mso-height-relative:page;" filled="f" stroked="f" coordsize="21600,21600" o:gfxdata="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4uZmd0AAAAJAQAADwAAAAAAAAABACAAAAAiAAAAZHJzL2Rvd25yZXYueG1sUEsB&#10;AhQAFAAAAAgAh07iQDU3g6e3AQAAWQMAAA4AAAAAAAAAAQAgAAAALAEAAGRycy9lMm9Eb2MueG1s&#10;UEsFBgAAAAAGAAYAWQEAAFUFAAAAAA==&#10;">
                      <v:fill on="f" focussize="0,0"/>
                      <v:stroke on="f" weight="1.25pt"/>
                      <v:imagedata o:title=""/>
                      <o:lock v:ext="edit" aspectratio="f"/>
                      <v:textbox>
                        <w:txbxContent>
                          <w:p w14:paraId="1C5B242D">
                            <w:pPr>
                              <w:spacing w:line="240" w:lineRule="auto"/>
                              <w:rPr>
                                <w:rFonts w:ascii="Calibri" w:hAnsi="Calibri" w:cs="Times New Roman"/>
                                <w:b/>
                                <w:bCs/>
                                <w:sz w:val="21"/>
                              </w:rPr>
                            </w:pPr>
                            <w:r>
                              <w:rPr>
                                <w:rFonts w:hint="eastAsia" w:ascii="Calibri" w:hAnsi="Calibri" w:cs="Times New Roman"/>
                                <w:b/>
                                <w:bCs/>
                                <w:sz w:val="21"/>
                              </w:rPr>
                              <w:t>采样日期</w:t>
                            </w:r>
                          </w:p>
                        </w:txbxContent>
                      </v:textbox>
                    </v:shap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700224" behindDoc="0" locked="0" layoutInCell="1" allowOverlap="1">
                      <wp:simplePos x="0" y="0"/>
                      <wp:positionH relativeFrom="column">
                        <wp:posOffset>602615</wp:posOffset>
                      </wp:positionH>
                      <wp:positionV relativeFrom="paragraph">
                        <wp:posOffset>314325</wp:posOffset>
                      </wp:positionV>
                      <wp:extent cx="770890" cy="27622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770890" cy="276225"/>
                              </a:xfrm>
                              <a:prstGeom prst="rect">
                                <a:avLst/>
                              </a:prstGeom>
                              <a:noFill/>
                              <a:ln w="15875">
                                <a:noFill/>
                              </a:ln>
                            </wps:spPr>
                            <wps:txbx>
                              <w:txbxContent>
                                <w:p w14:paraId="3A81A639">
                                  <w:pPr>
                                    <w:spacing w:line="240" w:lineRule="auto"/>
                                    <w:rPr>
                                      <w:rFonts w:ascii="Calibri" w:hAnsi="Calibri" w:cs="Times New Roman"/>
                                      <w:b/>
                                      <w:bCs/>
                                      <w:sz w:val="21"/>
                                    </w:rPr>
                                  </w:pPr>
                                  <w:r>
                                    <w:rPr>
                                      <w:rFonts w:hint="eastAsia" w:ascii="Calibri" w:hAnsi="Calibri" w:cs="Times New Roman"/>
                                      <w:b/>
                                      <w:bCs/>
                                      <w:sz w:val="21"/>
                                    </w:rPr>
                                    <w:t>检测结果</w:t>
                                  </w:r>
                                </w:p>
                              </w:txbxContent>
                            </wps:txbx>
                            <wps:bodyPr upright="1"/>
                          </wps:wsp>
                        </a:graphicData>
                      </a:graphic>
                    </wp:anchor>
                  </w:drawing>
                </mc:Choice>
                <mc:Fallback>
                  <w:pict>
                    <v:shape id="_x0000_s1026" o:spid="_x0000_s1026" o:spt="202" type="#_x0000_t202" style="position:absolute;left:0pt;margin-left:47.45pt;margin-top:24.75pt;height:21.75pt;width:60.7pt;z-index:251700224;mso-width-relative:page;mso-height-relative:page;" filled="f" stroked="f" coordsize="21600,21600" o:gfxdata="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JWHzvaAAAACAEAAA8AAAAAAAAAAQAgAAAAIgAAAGRycy9kb3ducmV2LnhtbFBLAQIUABQA&#10;AAAIAIdO4kDBb7y4tQEAAFkDAAAOAAAAAAAAAAEAIAAAACkBAABkcnMvZTJvRG9jLnhtbFBLBQYA&#10;AAAABgAGAFkBAABQBQAAAAA=&#10;">
                      <v:fill on="f" focussize="0,0"/>
                      <v:stroke on="f" weight="1.25pt"/>
                      <v:imagedata o:title=""/>
                      <o:lock v:ext="edit" aspectratio="f"/>
                      <v:textbox>
                        <w:txbxContent>
                          <w:p w14:paraId="3A81A639">
                            <w:pPr>
                              <w:spacing w:line="240" w:lineRule="auto"/>
                              <w:rPr>
                                <w:rFonts w:ascii="Calibri" w:hAnsi="Calibri" w:cs="Times New Roman"/>
                                <w:b/>
                                <w:bCs/>
                                <w:sz w:val="21"/>
                              </w:rPr>
                            </w:pPr>
                            <w:r>
                              <w:rPr>
                                <w:rFonts w:hint="eastAsia" w:ascii="Calibri" w:hAnsi="Calibri" w:cs="Times New Roman"/>
                                <w:b/>
                                <w:bCs/>
                                <w:sz w:val="21"/>
                              </w:rPr>
                              <w:t>检测结果</w:t>
                            </w:r>
                          </w:p>
                        </w:txbxContent>
                      </v:textbox>
                    </v:shap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97152" behindDoc="0" locked="0" layoutInCell="1" allowOverlap="1">
                      <wp:simplePos x="0" y="0"/>
                      <wp:positionH relativeFrom="column">
                        <wp:posOffset>-5080</wp:posOffset>
                      </wp:positionH>
                      <wp:positionV relativeFrom="paragraph">
                        <wp:posOffset>5715</wp:posOffset>
                      </wp:positionV>
                      <wp:extent cx="1315720" cy="368935"/>
                      <wp:effectExtent l="1270" t="4445" r="16510" b="7620"/>
                      <wp:wrapNone/>
                      <wp:docPr id="59" name="直接连接符 59"/>
                      <wp:cNvGraphicFramePr/>
                      <a:graphic xmlns:a="http://schemas.openxmlformats.org/drawingml/2006/main">
                        <a:graphicData uri="http://schemas.microsoft.com/office/word/2010/wordprocessingShape">
                          <wps:wsp>
                            <wps:cNvCnPr/>
                            <wps:spPr>
                              <a:xfrm>
                                <a:off x="0" y="0"/>
                                <a:ext cx="1315720" cy="3689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4pt;margin-top:0.45pt;height:29.05pt;width:103.6pt;z-index:251697152;mso-width-relative:page;mso-height-relative:page;" filled="f" stroked="t" coordsize="21600,21600" o:gfxdata="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d6+SuNMAAAAFAQAADwAAAAAAAAABACAAAAAiAAAAZHJzL2Rvd25yZXYueG1sUEsBAhQAFAAAAAgA&#10;h07iQL3MRc3xAQAA3wMAAA4AAAAAAAAAAQAgAAAAIgEAAGRycy9lMm9Eb2MueG1sUEsFBgAAAAAG&#10;AAYAWQEAAIUFAAAAAA==&#10;">
                      <v:fill on="f" focussize="0,0"/>
                      <v:stroke color="#000000" joinstyle="round"/>
                      <v:imagedata o:title=""/>
                      <o:lock v:ext="edit" aspectratio="f"/>
                    </v:lin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98176" behindDoc="0" locked="0" layoutInCell="1" allowOverlap="1">
                      <wp:simplePos x="0" y="0"/>
                      <wp:positionH relativeFrom="column">
                        <wp:posOffset>-61595</wp:posOffset>
                      </wp:positionH>
                      <wp:positionV relativeFrom="paragraph">
                        <wp:posOffset>0</wp:posOffset>
                      </wp:positionV>
                      <wp:extent cx="1381760" cy="740410"/>
                      <wp:effectExtent l="2540" t="4445" r="6350" b="17145"/>
                      <wp:wrapNone/>
                      <wp:docPr id="84" name="直接连接符 84"/>
                      <wp:cNvGraphicFramePr/>
                      <a:graphic xmlns:a="http://schemas.openxmlformats.org/drawingml/2006/main">
                        <a:graphicData uri="http://schemas.microsoft.com/office/word/2010/wordprocessingShape">
                          <wps:wsp>
                            <wps:cNvCnPr/>
                            <wps:spPr>
                              <a:xfrm>
                                <a:off x="0" y="0"/>
                                <a:ext cx="1381760" cy="74041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4.85pt;margin-top:0pt;height:58.3pt;width:108.8pt;z-index:251698176;mso-width-relative:page;mso-height-relative:page;" filled="f" stroked="t" coordsize="21600,21600" o:gfxdata="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DrMW9YAAAAHAQAADwAAAAAAAAABACAAAAAiAAAAZHJzL2Rvd25yZXYueG1sUEsBAhQA&#10;FAAAAAgAh07iQPljoi/0AQAA3wMAAA4AAAAAAAAAAQAgAAAAJQEAAGRycy9lMm9Eb2MueG1sUEsF&#10;BgAAAAAGAAYAWQEAAIsFAAAAAA==&#10;">
                      <v:fill on="f" focussize="0,0"/>
                      <v:stroke color="#000000" joinstyle="round"/>
                      <v:imagedata o:title=""/>
                      <o:lock v:ext="edit" aspectratio="f"/>
                    </v:line>
                  </w:pict>
                </mc:Fallback>
              </mc:AlternateContent>
            </w:r>
          </w:p>
        </w:tc>
        <w:tc>
          <w:tcPr>
            <w:tcW w:w="6141" w:type="dxa"/>
            <w:gridSpan w:val="2"/>
            <w:vAlign w:val="center"/>
          </w:tcPr>
          <w:p w14:paraId="74E24D2E">
            <w:pPr>
              <w:spacing w:line="240" w:lineRule="auto"/>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1（TSp）、</w:t>
            </w:r>
            <w:r>
              <w:rPr>
                <w:b/>
                <w:bCs/>
                <w:color w:val="000000" w:themeColor="text1"/>
                <w:sz w:val="21"/>
                <w:szCs w:val="21"/>
                <w:highlight w:val="none"/>
                <w14:textFill>
                  <w14:solidFill>
                    <w14:schemeClr w14:val="tx1"/>
                  </w14:solidFill>
                </w14:textFill>
              </w:rPr>
              <w:t>2</w:t>
            </w:r>
            <w:r>
              <w:rPr>
                <w:rFonts w:hint="eastAsia"/>
                <w:b/>
                <w:bCs/>
                <w:color w:val="000000" w:themeColor="text1"/>
                <w:sz w:val="21"/>
                <w:szCs w:val="21"/>
                <w:highlight w:val="none"/>
                <w:lang w:eastAsia="zh-CN"/>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TSP</w:t>
            </w:r>
            <w:r>
              <w:rPr>
                <w:rFonts w:hint="eastAsia"/>
                <w:b/>
                <w:bCs/>
                <w:color w:val="000000" w:themeColor="text1"/>
                <w:sz w:val="21"/>
                <w:szCs w:val="21"/>
                <w:highlight w:val="none"/>
                <w:lang w:eastAsia="zh-CN"/>
                <w14:textFill>
                  <w14:solidFill>
                    <w14:schemeClr w14:val="tx1"/>
                  </w14:solidFill>
                </w14:textFill>
              </w:rPr>
              <w:t>）</w:t>
            </w:r>
          </w:p>
        </w:tc>
      </w:tr>
      <w:tr w14:paraId="4205B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vMerge w:val="continue"/>
            <w:vAlign w:val="center"/>
          </w:tcPr>
          <w:p w14:paraId="02A8EBD6">
            <w:pPr>
              <w:spacing w:line="240" w:lineRule="auto"/>
              <w:jc w:val="center"/>
              <w:rPr>
                <w:b/>
                <w:bCs/>
                <w:color w:val="000000" w:themeColor="text1"/>
                <w:sz w:val="21"/>
                <w:szCs w:val="21"/>
                <w:highlight w:val="none"/>
                <w14:textFill>
                  <w14:solidFill>
                    <w14:schemeClr w14:val="tx1"/>
                  </w14:solidFill>
                </w14:textFill>
              </w:rPr>
            </w:pPr>
          </w:p>
        </w:tc>
        <w:tc>
          <w:tcPr>
            <w:tcW w:w="2280" w:type="dxa"/>
            <w:vAlign w:val="center"/>
          </w:tcPr>
          <w:p w14:paraId="39DC08D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样品编号</w:t>
            </w:r>
          </w:p>
        </w:tc>
        <w:tc>
          <w:tcPr>
            <w:tcW w:w="3861" w:type="dxa"/>
            <w:vAlign w:val="center"/>
          </w:tcPr>
          <w:p w14:paraId="1A9D4C13">
            <w:pPr>
              <w:spacing w:line="240" w:lineRule="auto"/>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TSP（μg/m</w:t>
            </w:r>
            <w:r>
              <w:rPr>
                <w:rFonts w:hint="eastAsia"/>
                <w:b/>
                <w:bCs/>
                <w:color w:val="000000" w:themeColor="text1"/>
                <w:sz w:val="21"/>
                <w:szCs w:val="21"/>
                <w:highlight w:val="none"/>
                <w:vertAlign w:val="superscript"/>
                <w:lang w:val="en-US" w:eastAsia="zh-CN"/>
                <w14:textFill>
                  <w14:solidFill>
                    <w14:schemeClr w14:val="tx1"/>
                  </w14:solidFill>
                </w14:textFill>
              </w:rPr>
              <w:t>3</w:t>
            </w:r>
            <w:r>
              <w:rPr>
                <w:rFonts w:hint="eastAsia"/>
                <w:b/>
                <w:bCs/>
                <w:color w:val="000000" w:themeColor="text1"/>
                <w:sz w:val="21"/>
                <w:szCs w:val="21"/>
                <w:highlight w:val="none"/>
                <w:lang w:val="en-US" w:eastAsia="zh-CN"/>
                <w14:textFill>
                  <w14:solidFill>
                    <w14:schemeClr w14:val="tx1"/>
                  </w14:solidFill>
                </w14:textFill>
              </w:rPr>
              <w:t>）</w:t>
            </w:r>
          </w:p>
        </w:tc>
      </w:tr>
      <w:tr w14:paraId="300C2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vMerge w:val="restart"/>
            <w:vAlign w:val="center"/>
          </w:tcPr>
          <w:p w14:paraId="46F53F9F">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2024.08.12-2024.08.13</w:t>
            </w:r>
          </w:p>
        </w:tc>
        <w:tc>
          <w:tcPr>
            <w:tcW w:w="2280" w:type="dxa"/>
            <w:vAlign w:val="center"/>
          </w:tcPr>
          <w:p w14:paraId="43FB5BA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G1-1-1</w:t>
            </w:r>
          </w:p>
        </w:tc>
        <w:tc>
          <w:tcPr>
            <w:tcW w:w="3861" w:type="dxa"/>
            <w:vAlign w:val="center"/>
          </w:tcPr>
          <w:p w14:paraId="635544D4">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189</w:t>
            </w:r>
          </w:p>
        </w:tc>
      </w:tr>
      <w:tr w14:paraId="346AC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vMerge w:val="continue"/>
            <w:vAlign w:val="center"/>
          </w:tcPr>
          <w:p w14:paraId="60F4673B">
            <w:pPr>
              <w:spacing w:line="240" w:lineRule="auto"/>
              <w:jc w:val="center"/>
              <w:rPr>
                <w:color w:val="000000" w:themeColor="text1"/>
                <w:sz w:val="21"/>
                <w:szCs w:val="21"/>
                <w:highlight w:val="none"/>
                <w14:textFill>
                  <w14:solidFill>
                    <w14:schemeClr w14:val="tx1"/>
                  </w14:solidFill>
                </w14:textFill>
              </w:rPr>
            </w:pPr>
          </w:p>
        </w:tc>
        <w:tc>
          <w:tcPr>
            <w:tcW w:w="2280" w:type="dxa"/>
            <w:vAlign w:val="center"/>
          </w:tcPr>
          <w:p w14:paraId="5AC36717">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G2-1-1</w:t>
            </w:r>
          </w:p>
        </w:tc>
        <w:tc>
          <w:tcPr>
            <w:tcW w:w="3861" w:type="dxa"/>
            <w:vAlign w:val="center"/>
          </w:tcPr>
          <w:p w14:paraId="78555B65">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199</w:t>
            </w:r>
          </w:p>
        </w:tc>
      </w:tr>
      <w:tr w14:paraId="31B73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vMerge w:val="restart"/>
            <w:vAlign w:val="center"/>
          </w:tcPr>
          <w:p w14:paraId="28417371">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2024.08.13-2024.08.14</w:t>
            </w:r>
          </w:p>
        </w:tc>
        <w:tc>
          <w:tcPr>
            <w:tcW w:w="2280" w:type="dxa"/>
            <w:vAlign w:val="center"/>
          </w:tcPr>
          <w:p w14:paraId="6713B527">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G1-2-1</w:t>
            </w:r>
          </w:p>
        </w:tc>
        <w:tc>
          <w:tcPr>
            <w:tcW w:w="3861" w:type="dxa"/>
            <w:vAlign w:val="center"/>
          </w:tcPr>
          <w:p w14:paraId="6E7B07A6">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149</w:t>
            </w:r>
          </w:p>
        </w:tc>
      </w:tr>
      <w:tr w14:paraId="0AD06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vMerge w:val="continue"/>
            <w:vAlign w:val="center"/>
          </w:tcPr>
          <w:p w14:paraId="5653F691">
            <w:pPr>
              <w:spacing w:line="240" w:lineRule="auto"/>
              <w:jc w:val="center"/>
              <w:rPr>
                <w:color w:val="000000" w:themeColor="text1"/>
                <w:sz w:val="21"/>
                <w:szCs w:val="21"/>
                <w:highlight w:val="none"/>
                <w14:textFill>
                  <w14:solidFill>
                    <w14:schemeClr w14:val="tx1"/>
                  </w14:solidFill>
                </w14:textFill>
              </w:rPr>
            </w:pPr>
          </w:p>
        </w:tc>
        <w:tc>
          <w:tcPr>
            <w:tcW w:w="2280" w:type="dxa"/>
            <w:vAlign w:val="center"/>
          </w:tcPr>
          <w:p w14:paraId="4CD538C4">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G2-2-1</w:t>
            </w:r>
          </w:p>
        </w:tc>
        <w:tc>
          <w:tcPr>
            <w:tcW w:w="3861" w:type="dxa"/>
            <w:vAlign w:val="center"/>
          </w:tcPr>
          <w:p w14:paraId="4A93AF33">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150</w:t>
            </w:r>
          </w:p>
        </w:tc>
      </w:tr>
      <w:tr w14:paraId="1C762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vMerge w:val="restart"/>
            <w:vAlign w:val="center"/>
          </w:tcPr>
          <w:p w14:paraId="1E1A855D">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2024.08.14-2024.08.15</w:t>
            </w:r>
          </w:p>
        </w:tc>
        <w:tc>
          <w:tcPr>
            <w:tcW w:w="2280" w:type="dxa"/>
            <w:vAlign w:val="center"/>
          </w:tcPr>
          <w:p w14:paraId="587F90B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G1-3-1</w:t>
            </w:r>
          </w:p>
        </w:tc>
        <w:tc>
          <w:tcPr>
            <w:tcW w:w="3861" w:type="dxa"/>
            <w:vAlign w:val="center"/>
          </w:tcPr>
          <w:p w14:paraId="417B8616">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181</w:t>
            </w:r>
          </w:p>
        </w:tc>
      </w:tr>
      <w:tr w14:paraId="69E52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vMerge w:val="continue"/>
            <w:vAlign w:val="center"/>
          </w:tcPr>
          <w:p w14:paraId="54928C16">
            <w:pPr>
              <w:spacing w:line="240" w:lineRule="auto"/>
              <w:jc w:val="center"/>
              <w:rPr>
                <w:color w:val="000000" w:themeColor="text1"/>
                <w:sz w:val="21"/>
                <w:szCs w:val="21"/>
                <w:highlight w:val="none"/>
                <w14:textFill>
                  <w14:solidFill>
                    <w14:schemeClr w14:val="tx1"/>
                  </w14:solidFill>
                </w14:textFill>
              </w:rPr>
            </w:pPr>
          </w:p>
        </w:tc>
        <w:tc>
          <w:tcPr>
            <w:tcW w:w="2280" w:type="dxa"/>
            <w:vAlign w:val="center"/>
          </w:tcPr>
          <w:p w14:paraId="79A6BF9B">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G2-3-1</w:t>
            </w:r>
          </w:p>
        </w:tc>
        <w:tc>
          <w:tcPr>
            <w:tcW w:w="3861" w:type="dxa"/>
            <w:vAlign w:val="center"/>
          </w:tcPr>
          <w:p w14:paraId="29BEF333">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191</w:t>
            </w:r>
          </w:p>
        </w:tc>
      </w:tr>
      <w:tr w14:paraId="7647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vMerge w:val="restart"/>
            <w:vAlign w:val="center"/>
          </w:tcPr>
          <w:p w14:paraId="3DFA49FE">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2024.08.15-2024.08.16</w:t>
            </w:r>
          </w:p>
        </w:tc>
        <w:tc>
          <w:tcPr>
            <w:tcW w:w="2280" w:type="dxa"/>
            <w:vAlign w:val="center"/>
          </w:tcPr>
          <w:p w14:paraId="4CE4D7D2">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G1-4-1</w:t>
            </w:r>
          </w:p>
        </w:tc>
        <w:tc>
          <w:tcPr>
            <w:tcW w:w="3861" w:type="dxa"/>
            <w:vAlign w:val="center"/>
          </w:tcPr>
          <w:p w14:paraId="7FE91301">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160</w:t>
            </w:r>
          </w:p>
        </w:tc>
      </w:tr>
      <w:tr w14:paraId="5EBF1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167" w:type="dxa"/>
            <w:vMerge w:val="continue"/>
            <w:vAlign w:val="center"/>
          </w:tcPr>
          <w:p w14:paraId="5AAE29DD">
            <w:pPr>
              <w:spacing w:line="240" w:lineRule="auto"/>
              <w:jc w:val="center"/>
              <w:rPr>
                <w:color w:val="000000" w:themeColor="text1"/>
                <w:sz w:val="21"/>
                <w:szCs w:val="21"/>
                <w:highlight w:val="none"/>
                <w14:textFill>
                  <w14:solidFill>
                    <w14:schemeClr w14:val="tx1"/>
                  </w14:solidFill>
                </w14:textFill>
              </w:rPr>
            </w:pPr>
          </w:p>
        </w:tc>
        <w:tc>
          <w:tcPr>
            <w:tcW w:w="2280" w:type="dxa"/>
            <w:vAlign w:val="center"/>
          </w:tcPr>
          <w:p w14:paraId="1CA4CFD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G2-4-1</w:t>
            </w:r>
          </w:p>
        </w:tc>
        <w:tc>
          <w:tcPr>
            <w:tcW w:w="3861" w:type="dxa"/>
            <w:vAlign w:val="center"/>
          </w:tcPr>
          <w:p w14:paraId="6D4766C7">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164</w:t>
            </w:r>
          </w:p>
        </w:tc>
      </w:tr>
      <w:tr w14:paraId="50D28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vMerge w:val="restart"/>
            <w:vAlign w:val="center"/>
          </w:tcPr>
          <w:p w14:paraId="1ECA355F">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2024.08.16-</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2024.08.17</w:t>
            </w:r>
          </w:p>
        </w:tc>
        <w:tc>
          <w:tcPr>
            <w:tcW w:w="2280" w:type="dxa"/>
            <w:vAlign w:val="center"/>
          </w:tcPr>
          <w:p w14:paraId="545DCF0C">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G1-5-1</w:t>
            </w:r>
          </w:p>
        </w:tc>
        <w:tc>
          <w:tcPr>
            <w:tcW w:w="3861" w:type="dxa"/>
            <w:vAlign w:val="center"/>
          </w:tcPr>
          <w:p w14:paraId="78028736">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199</w:t>
            </w:r>
          </w:p>
        </w:tc>
      </w:tr>
      <w:tr w14:paraId="60506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vMerge w:val="continue"/>
            <w:vAlign w:val="center"/>
          </w:tcPr>
          <w:p w14:paraId="638D07C2">
            <w:pPr>
              <w:spacing w:line="240" w:lineRule="auto"/>
              <w:jc w:val="center"/>
              <w:rPr>
                <w:color w:val="000000" w:themeColor="text1"/>
                <w:sz w:val="21"/>
                <w:szCs w:val="21"/>
                <w:highlight w:val="none"/>
                <w14:textFill>
                  <w14:solidFill>
                    <w14:schemeClr w14:val="tx1"/>
                  </w14:solidFill>
                </w14:textFill>
              </w:rPr>
            </w:pPr>
          </w:p>
        </w:tc>
        <w:tc>
          <w:tcPr>
            <w:tcW w:w="2280" w:type="dxa"/>
            <w:vAlign w:val="center"/>
          </w:tcPr>
          <w:p w14:paraId="2023EB6A">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G2-5-1</w:t>
            </w:r>
          </w:p>
        </w:tc>
        <w:tc>
          <w:tcPr>
            <w:tcW w:w="3861" w:type="dxa"/>
            <w:vAlign w:val="center"/>
          </w:tcPr>
          <w:p w14:paraId="164FA34A">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144</w:t>
            </w:r>
          </w:p>
        </w:tc>
      </w:tr>
      <w:tr w14:paraId="1F103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vMerge w:val="restart"/>
            <w:vAlign w:val="center"/>
          </w:tcPr>
          <w:p w14:paraId="7988D608">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2024.08.17-</w:t>
            </w:r>
            <w:r>
              <w:rPr>
                <w:rFonts w:hint="eastAsia" w:cs="Times New Roman"/>
                <w:color w:val="000000" w:themeColor="text1"/>
                <w:kern w:val="2"/>
                <w:sz w:val="21"/>
                <w:szCs w:val="21"/>
                <w:highlight w:val="none"/>
                <w:lang w:val="en-US" w:eastAsia="zh-CN" w:bidi="ar-SA"/>
                <w14:textFill>
                  <w14:solidFill>
                    <w14:schemeClr w14:val="tx1"/>
                  </w14:solidFill>
                </w14:textFill>
              </w:rPr>
              <w:t>2024.08.18</w:t>
            </w:r>
          </w:p>
        </w:tc>
        <w:tc>
          <w:tcPr>
            <w:tcW w:w="2280" w:type="dxa"/>
            <w:vAlign w:val="center"/>
          </w:tcPr>
          <w:p w14:paraId="3D8B256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G1-6-1</w:t>
            </w:r>
          </w:p>
        </w:tc>
        <w:tc>
          <w:tcPr>
            <w:tcW w:w="3861" w:type="dxa"/>
            <w:vAlign w:val="center"/>
          </w:tcPr>
          <w:p w14:paraId="2B1EF7CB">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147</w:t>
            </w:r>
          </w:p>
        </w:tc>
      </w:tr>
      <w:tr w14:paraId="2E5B2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vMerge w:val="continue"/>
            <w:vAlign w:val="center"/>
          </w:tcPr>
          <w:p w14:paraId="34754FE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280" w:type="dxa"/>
            <w:vAlign w:val="center"/>
          </w:tcPr>
          <w:p w14:paraId="45EABB76">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G2-6-1</w:t>
            </w:r>
          </w:p>
        </w:tc>
        <w:tc>
          <w:tcPr>
            <w:tcW w:w="3861" w:type="dxa"/>
            <w:vAlign w:val="center"/>
          </w:tcPr>
          <w:p w14:paraId="13454305">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145</w:t>
            </w:r>
          </w:p>
        </w:tc>
      </w:tr>
      <w:tr w14:paraId="7D349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vMerge w:val="restart"/>
            <w:vAlign w:val="center"/>
          </w:tcPr>
          <w:p w14:paraId="5CCCDFA4">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2024.08.18-2024.08.19</w:t>
            </w:r>
          </w:p>
        </w:tc>
        <w:tc>
          <w:tcPr>
            <w:tcW w:w="2280" w:type="dxa"/>
            <w:vAlign w:val="center"/>
          </w:tcPr>
          <w:p w14:paraId="6D6E6849">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G1-7-1</w:t>
            </w:r>
          </w:p>
        </w:tc>
        <w:tc>
          <w:tcPr>
            <w:tcW w:w="3861" w:type="dxa"/>
            <w:vAlign w:val="center"/>
          </w:tcPr>
          <w:p w14:paraId="09A11F88">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183</w:t>
            </w:r>
          </w:p>
        </w:tc>
      </w:tr>
      <w:tr w14:paraId="3E48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67" w:type="dxa"/>
            <w:vMerge w:val="continue"/>
            <w:vAlign w:val="center"/>
          </w:tcPr>
          <w:p w14:paraId="7C150983">
            <w:pPr>
              <w:spacing w:line="240" w:lineRule="auto"/>
              <w:jc w:val="center"/>
              <w:rPr>
                <w:color w:val="000000" w:themeColor="text1"/>
                <w:sz w:val="21"/>
                <w:szCs w:val="21"/>
                <w:highlight w:val="none"/>
                <w14:textFill>
                  <w14:solidFill>
                    <w14:schemeClr w14:val="tx1"/>
                  </w14:solidFill>
                </w14:textFill>
              </w:rPr>
            </w:pPr>
          </w:p>
        </w:tc>
        <w:tc>
          <w:tcPr>
            <w:tcW w:w="2280" w:type="dxa"/>
            <w:vAlign w:val="center"/>
          </w:tcPr>
          <w:p w14:paraId="5D5552E0">
            <w:pPr>
              <w:spacing w:line="240" w:lineRule="auto"/>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G2-7-1</w:t>
            </w:r>
          </w:p>
        </w:tc>
        <w:tc>
          <w:tcPr>
            <w:tcW w:w="3861" w:type="dxa"/>
            <w:vAlign w:val="center"/>
          </w:tcPr>
          <w:p w14:paraId="2BBC991A">
            <w:pPr>
              <w:spacing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180</w:t>
            </w:r>
          </w:p>
        </w:tc>
      </w:tr>
    </w:tbl>
    <w:p w14:paraId="43383905">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w:t>
      </w:r>
      <w:r>
        <w:rPr>
          <w:b/>
          <w:bCs/>
          <w:color w:val="000000" w:themeColor="text1"/>
          <w:highlight w:val="none"/>
          <w14:textFill>
            <w14:solidFill>
              <w14:schemeClr w14:val="tx1"/>
            </w14:solidFill>
          </w14:textFill>
        </w:rPr>
        <w:t>.2.1.2环境空气质量现状评价</w:t>
      </w:r>
    </w:p>
    <w:p w14:paraId="5CABE96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1、评价因子</w:t>
      </w:r>
    </w:p>
    <w:p w14:paraId="37DD164A">
      <w:pPr>
        <w:pStyle w:val="14"/>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污染特征和周围环境空气质量现状，未检出的污染因子不进行评价，</w:t>
      </w:r>
      <w:r>
        <w:rPr>
          <w:rFonts w:hint="eastAsia" w:ascii="宋体" w:hAnsi="宋体"/>
          <w:color w:val="000000" w:themeColor="text1"/>
          <w:highlight w:val="none"/>
          <w:lang w:val="en-US" w:eastAsia="zh-CN" w:bidi="ar"/>
          <w14:textFill>
            <w14:solidFill>
              <w14:schemeClr w14:val="tx1"/>
            </w14:solidFill>
          </w14:textFill>
        </w:rPr>
        <w:t>臭气浓度执行</w:t>
      </w:r>
      <w:r>
        <w:rPr>
          <w:rFonts w:hint="default" w:ascii="宋体" w:hAnsi="宋体"/>
          <w:color w:val="000000" w:themeColor="text1"/>
          <w:highlight w:val="none"/>
          <w:lang w:val="en-US" w:eastAsia="zh-CN" w:bidi="ar"/>
          <w14:textFill>
            <w14:solidFill>
              <w14:schemeClr w14:val="tx1"/>
            </w14:solidFill>
          </w14:textFill>
        </w:rPr>
        <w:t>畜禽养殖产地环境评价规范</w:t>
      </w:r>
      <w:r>
        <w:rPr>
          <w:rFonts w:hint="eastAsia" w:ascii="宋体" w:hAnsi="宋体"/>
          <w:color w:val="000000" w:themeColor="text1"/>
          <w:highlight w:val="none"/>
          <w:lang w:val="en-US" w:eastAsia="zh-CN" w:bidi="ar"/>
          <w14:textFill>
            <w14:solidFill>
              <w14:schemeClr w14:val="tx1"/>
            </w14:solidFill>
          </w14:textFill>
        </w:rPr>
        <w:t>（</w:t>
      </w:r>
      <w:r>
        <w:rPr>
          <w:rFonts w:hint="default" w:ascii="宋体" w:hAnsi="宋体"/>
          <w:color w:val="000000" w:themeColor="text1"/>
          <w:highlight w:val="none"/>
          <w:lang w:val="en-US" w:eastAsia="zh-CN" w:bidi="ar"/>
          <w14:textFill>
            <w14:solidFill>
              <w14:schemeClr w14:val="tx1"/>
            </w14:solidFill>
          </w14:textFill>
        </w:rPr>
        <w:t>HJ568-2010</w:t>
      </w:r>
      <w:r>
        <w:rPr>
          <w:rFonts w:hint="eastAsia" w:ascii="宋体" w:hAnsi="宋体"/>
          <w:color w:val="000000" w:themeColor="text1"/>
          <w:highlight w:val="none"/>
          <w:lang w:val="en-US" w:eastAsia="zh-CN" w:bidi="ar"/>
          <w14:textFill>
            <w14:solidFill>
              <w14:schemeClr w14:val="tx1"/>
            </w14:solidFill>
          </w14:textFill>
        </w:rPr>
        <w:t>）</w:t>
      </w:r>
      <w:r>
        <w:rPr>
          <w:rFonts w:hint="default" w:ascii="宋体" w:hAnsi="宋体"/>
          <w:color w:val="000000" w:themeColor="text1"/>
          <w:highlight w:val="none"/>
          <w:lang w:val="en-US" w:eastAsia="zh-CN" w:bidi="ar"/>
          <w14:textFill>
            <w14:solidFill>
              <w14:schemeClr w14:val="tx1"/>
            </w14:solidFill>
          </w14:textFill>
        </w:rPr>
        <w:t>表</w:t>
      </w:r>
      <w:r>
        <w:rPr>
          <w:rFonts w:hint="default" w:ascii="Times New Roman" w:hAnsi="Times New Roman" w:cs="Times New Roman"/>
          <w:color w:val="000000" w:themeColor="text1"/>
          <w:highlight w:val="none"/>
          <w:lang w:val="en-US" w:eastAsia="zh-CN" w:bidi="ar"/>
          <w14:textFill>
            <w14:solidFill>
              <w14:schemeClr w14:val="tx1"/>
            </w14:solidFill>
          </w14:textFill>
        </w:rPr>
        <w:t>5畜禽</w:t>
      </w:r>
      <w:r>
        <w:rPr>
          <w:rFonts w:hint="default" w:ascii="宋体" w:hAnsi="宋体"/>
          <w:color w:val="000000" w:themeColor="text1"/>
          <w:highlight w:val="none"/>
          <w:lang w:val="en-US" w:eastAsia="zh-CN" w:bidi="ar"/>
          <w14:textFill>
            <w14:solidFill>
              <w14:schemeClr w14:val="tx1"/>
            </w14:solidFill>
          </w14:textFill>
        </w:rPr>
        <w:t>养殖场和养殖小区环境空气质量评价指标限值</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eastAsia" w:cs="Times New Roman"/>
          <w:b w:val="0"/>
          <w:bCs w:val="0"/>
          <w:color w:val="000000" w:themeColor="text1"/>
          <w:sz w:val="24"/>
          <w:szCs w:val="24"/>
          <w:highlight w:val="none"/>
          <w:lang w:val="en-US" w:eastAsia="zh-CN"/>
          <w14:textFill>
            <w14:solidFill>
              <w14:schemeClr w14:val="tx1"/>
            </w14:solidFill>
          </w14:textFill>
        </w:rPr>
        <w:t>50</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（无量纲）</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color w:val="000000" w:themeColor="text1"/>
          <w:highlight w:val="none"/>
          <w14:textFill>
            <w14:solidFill>
              <w14:schemeClr w14:val="tx1"/>
            </w14:solidFill>
          </w14:textFill>
        </w:rPr>
        <w:t>。氨、硫化氢执行《环境影响评价技术导则大气环境》（HJ2.2-2018）附录D（氨0.20mg/m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，硫化氢0.01mg/m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s="宋体"/>
          <w:b w:val="0"/>
          <w:bCs w:val="0"/>
          <w:color w:val="000000" w:themeColor="text1"/>
          <w:kern w:val="0"/>
          <w:szCs w:val="24"/>
          <w:highlight w:val="none"/>
          <w:lang w:val="en-US" w:eastAsia="zh-CN"/>
          <w14:textFill>
            <w14:solidFill>
              <w14:schemeClr w14:val="tx1"/>
            </w14:solidFill>
          </w14:textFill>
        </w:rPr>
        <w:t>TSP执行</w:t>
      </w:r>
      <w:r>
        <w:rPr>
          <w:rFonts w:hint="default" w:ascii="Times New Roman" w:hAnsi="Times New Roman" w:eastAsia="宋体" w:cs="Times New Roman"/>
          <w:b w:val="0"/>
          <w:bCs w:val="0"/>
          <w:snapToGrid w:val="0"/>
          <w:color w:val="000000" w:themeColor="text1"/>
          <w:kern w:val="0"/>
          <w:sz w:val="24"/>
          <w:szCs w:val="40"/>
          <w:highlight w:val="none"/>
          <w:lang w:val="en-US" w:eastAsia="zh-CN" w:bidi="ar-SA"/>
          <w14:textFill>
            <w14:solidFill>
              <w14:schemeClr w14:val="tx1"/>
            </w14:solidFill>
          </w14:textFill>
        </w:rPr>
        <w:t>《大气污染物综合排放标准》（GB16297-1996）</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表2中</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无组织排放监控浓度限值</w:t>
      </w:r>
      <w:r>
        <w:rPr>
          <w:rFonts w:hint="eastAsia" w:cs="宋体"/>
          <w:b w:val="0"/>
          <w:bCs w:val="0"/>
          <w:color w:val="000000" w:themeColor="text1"/>
          <w:kern w:val="0"/>
          <w:szCs w:val="24"/>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r>
        <w:rPr>
          <w:rFonts w:hint="eastAsia" w:cs="宋体"/>
          <w:b w:val="0"/>
          <w:bCs w:val="0"/>
          <w:color w:val="000000" w:themeColor="text1"/>
          <w:kern w:val="0"/>
          <w:szCs w:val="24"/>
          <w:highlight w:val="none"/>
          <w:lang w:val="en-US"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w:t>
      </w:r>
    </w:p>
    <w:p w14:paraId="7B9F6FF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2、评价方法</w:t>
      </w:r>
    </w:p>
    <w:p w14:paraId="24DFB55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评价方法采用单项标准指数法，计算公式如下：</w:t>
      </w:r>
    </w:p>
    <w:p w14:paraId="05621AE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Pi＝Ci/C0i</w:t>
      </w:r>
    </w:p>
    <w:p w14:paraId="30755E4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式中：Pi——i污染物标准指数；</w:t>
      </w:r>
    </w:p>
    <w:p w14:paraId="57C5B51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Ci——i污染物实测浓度，mg/m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25E7BFE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C0i——i污染物评价标准值，mg/m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1E0E950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3、评价结果</w:t>
      </w:r>
    </w:p>
    <w:p w14:paraId="4747D1E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监测数据结果统计见表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w:t>
      </w:r>
    </w:p>
    <w:p w14:paraId="7BAC225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8</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 xml:space="preserve"> 监测数据评价结果表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100"/>
        <w:gridCol w:w="688"/>
        <w:gridCol w:w="1458"/>
        <w:gridCol w:w="1611"/>
        <w:gridCol w:w="1305"/>
        <w:gridCol w:w="925"/>
        <w:gridCol w:w="760"/>
      </w:tblGrid>
      <w:tr w14:paraId="650B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393" w:type="pct"/>
            <w:vMerge w:val="restart"/>
            <w:vAlign w:val="center"/>
          </w:tcPr>
          <w:p w14:paraId="64B22CCE">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监测点位</w:t>
            </w:r>
          </w:p>
        </w:tc>
        <w:tc>
          <w:tcPr>
            <w:tcW w:w="645" w:type="pct"/>
            <w:vMerge w:val="restart"/>
            <w:vAlign w:val="center"/>
          </w:tcPr>
          <w:p w14:paraId="4ED435D7">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w:t>
            </w:r>
          </w:p>
        </w:tc>
        <w:tc>
          <w:tcPr>
            <w:tcW w:w="403" w:type="pct"/>
            <w:vMerge w:val="restart"/>
            <w:vAlign w:val="center"/>
          </w:tcPr>
          <w:p w14:paraId="12B68EB2">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平均时间</w:t>
            </w:r>
          </w:p>
        </w:tc>
        <w:tc>
          <w:tcPr>
            <w:tcW w:w="855" w:type="pct"/>
            <w:vMerge w:val="restart"/>
            <w:vAlign w:val="center"/>
          </w:tcPr>
          <w:p w14:paraId="7989D8C0">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评价标准（μg/m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w:t>
            </w:r>
          </w:p>
        </w:tc>
        <w:tc>
          <w:tcPr>
            <w:tcW w:w="945" w:type="pct"/>
            <w:vMerge w:val="restart"/>
            <w:vAlign w:val="center"/>
          </w:tcPr>
          <w:p w14:paraId="574FDE42">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监测浓度范围（μg/m</w:t>
            </w:r>
            <w:r>
              <w:rPr>
                <w:b/>
                <w:bCs/>
                <w:color w:val="000000" w:themeColor="text1"/>
                <w:sz w:val="21"/>
                <w:szCs w:val="21"/>
                <w:highlight w:val="none"/>
                <w:vertAlign w:val="superscript"/>
                <w14:textFill>
                  <w14:solidFill>
                    <w14:schemeClr w14:val="tx1"/>
                  </w14:solidFill>
                </w14:textFill>
              </w:rPr>
              <w:t>3</w:t>
            </w:r>
            <w:r>
              <w:rPr>
                <w:b/>
                <w:bCs/>
                <w:color w:val="000000" w:themeColor="text1"/>
                <w:sz w:val="21"/>
                <w:szCs w:val="21"/>
                <w:highlight w:val="none"/>
                <w14:textFill>
                  <w14:solidFill>
                    <w14:schemeClr w14:val="tx1"/>
                  </w14:solidFill>
                </w14:textFill>
              </w:rPr>
              <w:t>)</w:t>
            </w:r>
          </w:p>
        </w:tc>
        <w:tc>
          <w:tcPr>
            <w:tcW w:w="766" w:type="pct"/>
            <w:vMerge w:val="restart"/>
            <w:vAlign w:val="center"/>
          </w:tcPr>
          <w:p w14:paraId="1C2BDB5F">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最大浓度占标率（%）</w:t>
            </w:r>
          </w:p>
        </w:tc>
        <w:tc>
          <w:tcPr>
            <w:tcW w:w="542" w:type="pct"/>
            <w:vMerge w:val="restart"/>
            <w:vAlign w:val="center"/>
          </w:tcPr>
          <w:p w14:paraId="468DB532">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超标率（%）</w:t>
            </w:r>
          </w:p>
        </w:tc>
        <w:tc>
          <w:tcPr>
            <w:tcW w:w="446" w:type="pct"/>
            <w:vMerge w:val="restart"/>
            <w:vAlign w:val="center"/>
          </w:tcPr>
          <w:p w14:paraId="14CEF52B">
            <w:pPr>
              <w:spacing w:line="240" w:lineRule="auto"/>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达标情况</w:t>
            </w:r>
          </w:p>
        </w:tc>
      </w:tr>
      <w:tr w14:paraId="4497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93" w:type="pct"/>
            <w:vMerge w:val="continue"/>
            <w:vAlign w:val="center"/>
          </w:tcPr>
          <w:p w14:paraId="3BDCE401">
            <w:pPr>
              <w:spacing w:line="240" w:lineRule="auto"/>
              <w:rPr>
                <w:color w:val="000000" w:themeColor="text1"/>
                <w:sz w:val="21"/>
                <w:szCs w:val="21"/>
                <w:highlight w:val="none"/>
                <w14:textFill>
                  <w14:solidFill>
                    <w14:schemeClr w14:val="tx1"/>
                  </w14:solidFill>
                </w14:textFill>
              </w:rPr>
            </w:pPr>
          </w:p>
        </w:tc>
        <w:tc>
          <w:tcPr>
            <w:tcW w:w="645" w:type="pct"/>
            <w:vMerge w:val="continue"/>
            <w:vAlign w:val="center"/>
          </w:tcPr>
          <w:p w14:paraId="45C474B6">
            <w:pPr>
              <w:spacing w:line="240" w:lineRule="auto"/>
              <w:rPr>
                <w:color w:val="000000" w:themeColor="text1"/>
                <w:sz w:val="21"/>
                <w:szCs w:val="21"/>
                <w:highlight w:val="none"/>
                <w14:textFill>
                  <w14:solidFill>
                    <w14:schemeClr w14:val="tx1"/>
                  </w14:solidFill>
                </w14:textFill>
              </w:rPr>
            </w:pPr>
          </w:p>
        </w:tc>
        <w:tc>
          <w:tcPr>
            <w:tcW w:w="403" w:type="pct"/>
            <w:vMerge w:val="continue"/>
            <w:vAlign w:val="center"/>
          </w:tcPr>
          <w:p w14:paraId="3D237B4E">
            <w:pPr>
              <w:spacing w:line="240" w:lineRule="auto"/>
              <w:rPr>
                <w:color w:val="000000" w:themeColor="text1"/>
                <w:sz w:val="21"/>
                <w:szCs w:val="21"/>
                <w:highlight w:val="none"/>
                <w14:textFill>
                  <w14:solidFill>
                    <w14:schemeClr w14:val="tx1"/>
                  </w14:solidFill>
                </w14:textFill>
              </w:rPr>
            </w:pPr>
          </w:p>
        </w:tc>
        <w:tc>
          <w:tcPr>
            <w:tcW w:w="855" w:type="pct"/>
            <w:vMerge w:val="continue"/>
            <w:vAlign w:val="center"/>
          </w:tcPr>
          <w:p w14:paraId="7AC0798A">
            <w:pPr>
              <w:spacing w:line="240" w:lineRule="auto"/>
              <w:rPr>
                <w:color w:val="000000" w:themeColor="text1"/>
                <w:sz w:val="21"/>
                <w:szCs w:val="21"/>
                <w:highlight w:val="none"/>
                <w14:textFill>
                  <w14:solidFill>
                    <w14:schemeClr w14:val="tx1"/>
                  </w14:solidFill>
                </w14:textFill>
              </w:rPr>
            </w:pPr>
          </w:p>
        </w:tc>
        <w:tc>
          <w:tcPr>
            <w:tcW w:w="945" w:type="pct"/>
            <w:vMerge w:val="continue"/>
            <w:vAlign w:val="center"/>
          </w:tcPr>
          <w:p w14:paraId="6F9A33C5">
            <w:pPr>
              <w:spacing w:line="240" w:lineRule="auto"/>
              <w:rPr>
                <w:color w:val="000000" w:themeColor="text1"/>
                <w:sz w:val="21"/>
                <w:szCs w:val="21"/>
                <w:highlight w:val="none"/>
                <w14:textFill>
                  <w14:solidFill>
                    <w14:schemeClr w14:val="tx1"/>
                  </w14:solidFill>
                </w14:textFill>
              </w:rPr>
            </w:pPr>
          </w:p>
        </w:tc>
        <w:tc>
          <w:tcPr>
            <w:tcW w:w="766" w:type="pct"/>
            <w:vMerge w:val="continue"/>
            <w:vAlign w:val="center"/>
          </w:tcPr>
          <w:p w14:paraId="44A1CAF4">
            <w:pPr>
              <w:spacing w:line="240" w:lineRule="auto"/>
              <w:rPr>
                <w:color w:val="000000" w:themeColor="text1"/>
                <w:sz w:val="21"/>
                <w:szCs w:val="21"/>
                <w:highlight w:val="none"/>
                <w14:textFill>
                  <w14:solidFill>
                    <w14:schemeClr w14:val="tx1"/>
                  </w14:solidFill>
                </w14:textFill>
              </w:rPr>
            </w:pPr>
          </w:p>
        </w:tc>
        <w:tc>
          <w:tcPr>
            <w:tcW w:w="542" w:type="pct"/>
            <w:vMerge w:val="continue"/>
            <w:vAlign w:val="center"/>
          </w:tcPr>
          <w:p w14:paraId="7C266C77">
            <w:pPr>
              <w:spacing w:line="240" w:lineRule="auto"/>
              <w:rPr>
                <w:color w:val="000000" w:themeColor="text1"/>
                <w:sz w:val="21"/>
                <w:szCs w:val="21"/>
                <w:highlight w:val="none"/>
                <w14:textFill>
                  <w14:solidFill>
                    <w14:schemeClr w14:val="tx1"/>
                  </w14:solidFill>
                </w14:textFill>
              </w:rPr>
            </w:pPr>
          </w:p>
        </w:tc>
        <w:tc>
          <w:tcPr>
            <w:tcW w:w="446" w:type="pct"/>
            <w:vMerge w:val="continue"/>
            <w:vAlign w:val="center"/>
          </w:tcPr>
          <w:p w14:paraId="51FD4CCD">
            <w:pPr>
              <w:spacing w:line="240" w:lineRule="auto"/>
              <w:rPr>
                <w:color w:val="000000" w:themeColor="text1"/>
                <w:sz w:val="21"/>
                <w:szCs w:val="21"/>
                <w:highlight w:val="none"/>
                <w14:textFill>
                  <w14:solidFill>
                    <w14:schemeClr w14:val="tx1"/>
                  </w14:solidFill>
                </w14:textFill>
              </w:rPr>
            </w:pPr>
          </w:p>
        </w:tc>
      </w:tr>
      <w:tr w14:paraId="493CB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restart"/>
            <w:vAlign w:val="center"/>
          </w:tcPr>
          <w:p w14:paraId="2A602498">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645" w:type="pct"/>
            <w:vAlign w:val="center"/>
          </w:tcPr>
          <w:p w14:paraId="61D9D1CD">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w:t>
            </w:r>
          </w:p>
        </w:tc>
        <w:tc>
          <w:tcPr>
            <w:tcW w:w="403" w:type="pct"/>
            <w:vAlign w:val="center"/>
          </w:tcPr>
          <w:p w14:paraId="2D723B1F">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1h</w:t>
            </w:r>
          </w:p>
        </w:tc>
        <w:tc>
          <w:tcPr>
            <w:tcW w:w="855" w:type="pct"/>
            <w:vAlign w:val="center"/>
          </w:tcPr>
          <w:p w14:paraId="6C692348">
            <w:pPr>
              <w:spacing w:line="240" w:lineRule="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200</w:t>
            </w:r>
          </w:p>
        </w:tc>
        <w:tc>
          <w:tcPr>
            <w:tcW w:w="945" w:type="pct"/>
            <w:vAlign w:val="center"/>
          </w:tcPr>
          <w:p w14:paraId="0F954E8D">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90</w:t>
            </w:r>
          </w:p>
        </w:tc>
        <w:tc>
          <w:tcPr>
            <w:tcW w:w="766" w:type="pct"/>
            <w:vAlign w:val="center"/>
          </w:tcPr>
          <w:p w14:paraId="2CCA84DD">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w:t>
            </w:r>
          </w:p>
        </w:tc>
        <w:tc>
          <w:tcPr>
            <w:tcW w:w="542" w:type="pct"/>
            <w:vAlign w:val="center"/>
          </w:tcPr>
          <w:p w14:paraId="74C4DC81">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446" w:type="pct"/>
            <w:vAlign w:val="center"/>
          </w:tcPr>
          <w:p w14:paraId="7F112330">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3101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continue"/>
            <w:vAlign w:val="center"/>
          </w:tcPr>
          <w:p w14:paraId="7594600B">
            <w:pPr>
              <w:spacing w:line="240" w:lineRule="auto"/>
              <w:rPr>
                <w:color w:val="000000" w:themeColor="text1"/>
                <w:sz w:val="21"/>
                <w:szCs w:val="21"/>
                <w:highlight w:val="none"/>
                <w14:textFill>
                  <w14:solidFill>
                    <w14:schemeClr w14:val="tx1"/>
                  </w14:solidFill>
                </w14:textFill>
              </w:rPr>
            </w:pPr>
          </w:p>
        </w:tc>
        <w:tc>
          <w:tcPr>
            <w:tcW w:w="645" w:type="pct"/>
            <w:vAlign w:val="center"/>
          </w:tcPr>
          <w:p w14:paraId="370AB5D5">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硫化氢</w:t>
            </w:r>
          </w:p>
        </w:tc>
        <w:tc>
          <w:tcPr>
            <w:tcW w:w="403" w:type="pct"/>
            <w:vAlign w:val="center"/>
          </w:tcPr>
          <w:p w14:paraId="1D229A84">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1h</w:t>
            </w:r>
          </w:p>
        </w:tc>
        <w:tc>
          <w:tcPr>
            <w:tcW w:w="855" w:type="pct"/>
            <w:vAlign w:val="center"/>
          </w:tcPr>
          <w:p w14:paraId="338AEF51">
            <w:pPr>
              <w:spacing w:line="240" w:lineRule="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10</w:t>
            </w:r>
          </w:p>
        </w:tc>
        <w:tc>
          <w:tcPr>
            <w:tcW w:w="945" w:type="pct"/>
            <w:vAlign w:val="center"/>
          </w:tcPr>
          <w:p w14:paraId="64EDA8C9">
            <w:pPr>
              <w:spacing w:line="240" w:lineRule="auto"/>
              <w:rPr>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766" w:type="pct"/>
            <w:vAlign w:val="center"/>
          </w:tcPr>
          <w:p w14:paraId="045FAEE8">
            <w:pPr>
              <w:spacing w:line="240" w:lineRule="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42" w:type="pct"/>
            <w:vAlign w:val="center"/>
          </w:tcPr>
          <w:p w14:paraId="3D53F118">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446" w:type="pct"/>
            <w:vAlign w:val="center"/>
          </w:tcPr>
          <w:p w14:paraId="51441660">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5DB96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continue"/>
            <w:vAlign w:val="center"/>
          </w:tcPr>
          <w:p w14:paraId="297E5A90">
            <w:pPr>
              <w:spacing w:line="240" w:lineRule="auto"/>
              <w:rPr>
                <w:color w:val="000000" w:themeColor="text1"/>
                <w:sz w:val="21"/>
                <w:szCs w:val="21"/>
                <w:highlight w:val="none"/>
                <w14:textFill>
                  <w14:solidFill>
                    <w14:schemeClr w14:val="tx1"/>
                  </w14:solidFill>
                </w14:textFill>
              </w:rPr>
            </w:pPr>
          </w:p>
        </w:tc>
        <w:tc>
          <w:tcPr>
            <w:tcW w:w="645" w:type="pct"/>
            <w:vAlign w:val="center"/>
          </w:tcPr>
          <w:p w14:paraId="2C38679F">
            <w:pPr>
              <w:spacing w:line="240" w:lineRule="auto"/>
              <w:rPr>
                <w:color w:val="000000" w:themeColor="text1"/>
                <w:sz w:val="21"/>
                <w:szCs w:val="21"/>
                <w:highlight w:val="none"/>
                <w14:textFill>
                  <w14:solidFill>
                    <w14:schemeClr w14:val="tx1"/>
                  </w14:solidFill>
                </w14:textFill>
              </w:rPr>
            </w:pPr>
            <w:r>
              <w:rPr>
                <w:rFonts w:hint="default" w:ascii="Times New Roman" w:hAnsi="Times New Roman" w:eastAsia="宋体" w:cs="宋体"/>
                <w:color w:val="000000" w:themeColor="text1"/>
                <w:sz w:val="21"/>
                <w:szCs w:val="21"/>
                <w:highlight w:val="none"/>
                <w14:textFill>
                  <w14:solidFill>
                    <w14:schemeClr w14:val="tx1"/>
                  </w14:solidFill>
                </w14:textFill>
              </w:rPr>
              <w:t>臭气浓度</w:t>
            </w:r>
          </w:p>
        </w:tc>
        <w:tc>
          <w:tcPr>
            <w:tcW w:w="403" w:type="pct"/>
            <w:vAlign w:val="center"/>
          </w:tcPr>
          <w:p w14:paraId="7F51672E">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55" w:type="pct"/>
            <w:vAlign w:val="center"/>
          </w:tcPr>
          <w:p w14:paraId="4A75CA9D">
            <w:pPr>
              <w:spacing w:line="240" w:lineRule="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50</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（无量纲）</w:t>
            </w:r>
          </w:p>
        </w:tc>
        <w:tc>
          <w:tcPr>
            <w:tcW w:w="945" w:type="pct"/>
            <w:vAlign w:val="center"/>
          </w:tcPr>
          <w:p w14:paraId="0059B6C6">
            <w:pPr>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&lt;10</w:t>
            </w:r>
          </w:p>
        </w:tc>
        <w:tc>
          <w:tcPr>
            <w:tcW w:w="766" w:type="pct"/>
            <w:vAlign w:val="center"/>
          </w:tcPr>
          <w:p w14:paraId="2088F1D0">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42" w:type="pct"/>
            <w:vAlign w:val="center"/>
          </w:tcPr>
          <w:p w14:paraId="6DD53883">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6" w:type="pct"/>
            <w:vAlign w:val="center"/>
          </w:tcPr>
          <w:p w14:paraId="789F8038">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4E605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restart"/>
            <w:vAlign w:val="center"/>
          </w:tcPr>
          <w:p w14:paraId="34CCA845">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645" w:type="pct"/>
            <w:vAlign w:val="center"/>
          </w:tcPr>
          <w:p w14:paraId="720CE451">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w:t>
            </w:r>
          </w:p>
        </w:tc>
        <w:tc>
          <w:tcPr>
            <w:tcW w:w="403" w:type="pct"/>
            <w:vAlign w:val="center"/>
          </w:tcPr>
          <w:p w14:paraId="70CE814E">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1h</w:t>
            </w:r>
          </w:p>
        </w:tc>
        <w:tc>
          <w:tcPr>
            <w:tcW w:w="855" w:type="pct"/>
            <w:vAlign w:val="center"/>
          </w:tcPr>
          <w:p w14:paraId="35FCB16C">
            <w:pPr>
              <w:spacing w:line="240" w:lineRule="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200</w:t>
            </w:r>
          </w:p>
        </w:tc>
        <w:tc>
          <w:tcPr>
            <w:tcW w:w="945" w:type="pct"/>
            <w:vAlign w:val="center"/>
          </w:tcPr>
          <w:p w14:paraId="4F114BFE">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40</w:t>
            </w:r>
          </w:p>
        </w:tc>
        <w:tc>
          <w:tcPr>
            <w:tcW w:w="766" w:type="pct"/>
            <w:vAlign w:val="center"/>
          </w:tcPr>
          <w:p w14:paraId="07CC5272">
            <w:pPr>
              <w:spacing w:line="240" w:lineRule="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542" w:type="pct"/>
            <w:vAlign w:val="center"/>
          </w:tcPr>
          <w:p w14:paraId="3DC4F8D0">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446" w:type="pct"/>
            <w:vAlign w:val="center"/>
          </w:tcPr>
          <w:p w14:paraId="0609262B">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01D02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continue"/>
            <w:vAlign w:val="center"/>
          </w:tcPr>
          <w:p w14:paraId="0F9DF8FA">
            <w:pPr>
              <w:spacing w:line="240" w:lineRule="auto"/>
              <w:rPr>
                <w:color w:val="000000" w:themeColor="text1"/>
                <w:sz w:val="21"/>
                <w:szCs w:val="21"/>
                <w:highlight w:val="none"/>
                <w14:textFill>
                  <w14:solidFill>
                    <w14:schemeClr w14:val="tx1"/>
                  </w14:solidFill>
                </w14:textFill>
              </w:rPr>
            </w:pPr>
          </w:p>
        </w:tc>
        <w:tc>
          <w:tcPr>
            <w:tcW w:w="645" w:type="pct"/>
            <w:vAlign w:val="center"/>
          </w:tcPr>
          <w:p w14:paraId="61A96F9A">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硫化氢</w:t>
            </w:r>
          </w:p>
        </w:tc>
        <w:tc>
          <w:tcPr>
            <w:tcW w:w="403" w:type="pct"/>
            <w:vAlign w:val="center"/>
          </w:tcPr>
          <w:p w14:paraId="6DE13ED4">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1h</w:t>
            </w:r>
          </w:p>
        </w:tc>
        <w:tc>
          <w:tcPr>
            <w:tcW w:w="855" w:type="pct"/>
            <w:vAlign w:val="center"/>
          </w:tcPr>
          <w:p w14:paraId="05536D8B">
            <w:pPr>
              <w:spacing w:line="240" w:lineRule="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10</w:t>
            </w:r>
          </w:p>
        </w:tc>
        <w:tc>
          <w:tcPr>
            <w:tcW w:w="945" w:type="pct"/>
            <w:vAlign w:val="center"/>
          </w:tcPr>
          <w:p w14:paraId="612784BC">
            <w:pPr>
              <w:spacing w:line="240" w:lineRule="auto"/>
              <w:rPr>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w:t>
            </w:r>
          </w:p>
        </w:tc>
        <w:tc>
          <w:tcPr>
            <w:tcW w:w="766" w:type="pct"/>
            <w:vAlign w:val="center"/>
          </w:tcPr>
          <w:p w14:paraId="6F0D9FB8">
            <w:pPr>
              <w:spacing w:line="240" w:lineRule="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42" w:type="pct"/>
            <w:vAlign w:val="center"/>
          </w:tcPr>
          <w:p w14:paraId="334B98C4">
            <w:pPr>
              <w:spacing w:line="240" w:lineRule="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446" w:type="pct"/>
            <w:vAlign w:val="center"/>
          </w:tcPr>
          <w:p w14:paraId="3150D3A2">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429F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Merge w:val="continue"/>
            <w:vAlign w:val="center"/>
          </w:tcPr>
          <w:p w14:paraId="66DBAD3C">
            <w:pPr>
              <w:spacing w:line="240" w:lineRule="auto"/>
              <w:rPr>
                <w:color w:val="000000" w:themeColor="text1"/>
                <w:sz w:val="21"/>
                <w:szCs w:val="21"/>
                <w:highlight w:val="none"/>
                <w14:textFill>
                  <w14:solidFill>
                    <w14:schemeClr w14:val="tx1"/>
                  </w14:solidFill>
                </w14:textFill>
              </w:rPr>
            </w:pPr>
          </w:p>
        </w:tc>
        <w:tc>
          <w:tcPr>
            <w:tcW w:w="645" w:type="pct"/>
            <w:vAlign w:val="center"/>
          </w:tcPr>
          <w:p w14:paraId="485E2309">
            <w:pPr>
              <w:spacing w:line="240" w:lineRule="auto"/>
              <w:rPr>
                <w:color w:val="000000" w:themeColor="text1"/>
                <w:sz w:val="21"/>
                <w:szCs w:val="21"/>
                <w:highlight w:val="none"/>
                <w14:textFill>
                  <w14:solidFill>
                    <w14:schemeClr w14:val="tx1"/>
                  </w14:solidFill>
                </w14:textFill>
              </w:rPr>
            </w:pPr>
            <w:r>
              <w:rPr>
                <w:rFonts w:hint="default" w:ascii="Times New Roman" w:hAnsi="Times New Roman" w:eastAsia="宋体" w:cs="宋体"/>
                <w:color w:val="000000" w:themeColor="text1"/>
                <w:sz w:val="21"/>
                <w:szCs w:val="21"/>
                <w:highlight w:val="none"/>
                <w14:textFill>
                  <w14:solidFill>
                    <w14:schemeClr w14:val="tx1"/>
                  </w14:solidFill>
                </w14:textFill>
              </w:rPr>
              <w:t>臭气浓度</w:t>
            </w:r>
          </w:p>
        </w:tc>
        <w:tc>
          <w:tcPr>
            <w:tcW w:w="403" w:type="pct"/>
            <w:vAlign w:val="center"/>
          </w:tcPr>
          <w:p w14:paraId="1CDC0B98">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55" w:type="pct"/>
            <w:vAlign w:val="center"/>
          </w:tcPr>
          <w:p w14:paraId="0437E307">
            <w:pPr>
              <w:spacing w:line="240" w:lineRule="auto"/>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50</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（无量纲）</w:t>
            </w:r>
          </w:p>
        </w:tc>
        <w:tc>
          <w:tcPr>
            <w:tcW w:w="945" w:type="pct"/>
            <w:vAlign w:val="center"/>
          </w:tcPr>
          <w:p w14:paraId="5ADF04C2">
            <w:pPr>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&lt;10</w:t>
            </w:r>
          </w:p>
        </w:tc>
        <w:tc>
          <w:tcPr>
            <w:tcW w:w="766" w:type="pct"/>
            <w:vAlign w:val="center"/>
          </w:tcPr>
          <w:p w14:paraId="6C00E88E">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542" w:type="pct"/>
            <w:vAlign w:val="center"/>
          </w:tcPr>
          <w:p w14:paraId="2E959033">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446" w:type="pct"/>
            <w:vAlign w:val="center"/>
          </w:tcPr>
          <w:p w14:paraId="054573F1">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750C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Align w:val="center"/>
          </w:tcPr>
          <w:p w14:paraId="739188DE">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1（TSP）</w:t>
            </w:r>
          </w:p>
        </w:tc>
        <w:tc>
          <w:tcPr>
            <w:tcW w:w="645" w:type="pct"/>
            <w:vAlign w:val="center"/>
          </w:tcPr>
          <w:p w14:paraId="005CD50B">
            <w:pPr>
              <w:spacing w:line="240" w:lineRule="auto"/>
              <w:rPr>
                <w:rFonts w:hint="default" w:ascii="Times New Roman" w:hAnsi="Times New Roman" w:eastAsia="宋体" w:cs="宋体"/>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TSP</w:t>
            </w:r>
          </w:p>
        </w:tc>
        <w:tc>
          <w:tcPr>
            <w:tcW w:w="403" w:type="pct"/>
            <w:vAlign w:val="center"/>
          </w:tcPr>
          <w:p w14:paraId="21F812DD">
            <w:pPr>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24h</w:t>
            </w:r>
          </w:p>
        </w:tc>
        <w:tc>
          <w:tcPr>
            <w:tcW w:w="855" w:type="pct"/>
            <w:vAlign w:val="center"/>
          </w:tcPr>
          <w:p w14:paraId="176734E7">
            <w:pPr>
              <w:spacing w:line="240" w:lineRule="auto"/>
              <w:rPr>
                <w:rFonts w:hint="default"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1000</w:t>
            </w:r>
          </w:p>
        </w:tc>
        <w:tc>
          <w:tcPr>
            <w:tcW w:w="945" w:type="pct"/>
            <w:vAlign w:val="center"/>
          </w:tcPr>
          <w:p w14:paraId="454E6E02">
            <w:pPr>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147-199</w:t>
            </w:r>
          </w:p>
        </w:tc>
        <w:tc>
          <w:tcPr>
            <w:tcW w:w="766" w:type="pct"/>
            <w:vAlign w:val="center"/>
          </w:tcPr>
          <w:p w14:paraId="5EF53873">
            <w:pPr>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19.9</w:t>
            </w:r>
          </w:p>
        </w:tc>
        <w:tc>
          <w:tcPr>
            <w:tcW w:w="542" w:type="pct"/>
            <w:vAlign w:val="center"/>
          </w:tcPr>
          <w:p w14:paraId="1579D67D">
            <w:pPr>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w:t>
            </w:r>
          </w:p>
        </w:tc>
        <w:tc>
          <w:tcPr>
            <w:tcW w:w="446" w:type="pct"/>
            <w:shd w:val="clear" w:color="auto" w:fill="auto"/>
            <w:vAlign w:val="center"/>
          </w:tcPr>
          <w:p w14:paraId="1BCFCD85">
            <w:pPr>
              <w:spacing w:line="240" w:lineRule="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达标</w:t>
            </w:r>
          </w:p>
        </w:tc>
      </w:tr>
      <w:tr w14:paraId="14D8B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3" w:type="pct"/>
            <w:vAlign w:val="center"/>
          </w:tcPr>
          <w:p w14:paraId="2DCBAA0D">
            <w:pPr>
              <w:spacing w:line="240" w:lineRule="auto"/>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2（TSP）</w:t>
            </w:r>
          </w:p>
        </w:tc>
        <w:tc>
          <w:tcPr>
            <w:tcW w:w="645" w:type="pct"/>
            <w:vAlign w:val="center"/>
          </w:tcPr>
          <w:p w14:paraId="0D7720E7">
            <w:pPr>
              <w:spacing w:line="240" w:lineRule="auto"/>
              <w:rPr>
                <w:rFonts w:hint="default" w:ascii="Times New Roman" w:hAnsi="Times New Roman" w:eastAsia="宋体" w:cs="宋体"/>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TSP</w:t>
            </w:r>
          </w:p>
        </w:tc>
        <w:tc>
          <w:tcPr>
            <w:tcW w:w="403" w:type="pct"/>
            <w:vAlign w:val="center"/>
          </w:tcPr>
          <w:p w14:paraId="3856E8BC">
            <w:pPr>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24h</w:t>
            </w:r>
          </w:p>
        </w:tc>
        <w:tc>
          <w:tcPr>
            <w:tcW w:w="855" w:type="pct"/>
            <w:vAlign w:val="center"/>
          </w:tcPr>
          <w:p w14:paraId="51AE6F2E">
            <w:pPr>
              <w:spacing w:line="240" w:lineRule="auto"/>
              <w:rPr>
                <w:rFonts w:hint="default"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1000</w:t>
            </w:r>
          </w:p>
        </w:tc>
        <w:tc>
          <w:tcPr>
            <w:tcW w:w="945" w:type="pct"/>
            <w:vAlign w:val="center"/>
          </w:tcPr>
          <w:p w14:paraId="6C1F9AA3">
            <w:pPr>
              <w:spacing w:line="240" w:lineRule="auto"/>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144-199</w:t>
            </w:r>
          </w:p>
        </w:tc>
        <w:tc>
          <w:tcPr>
            <w:tcW w:w="766" w:type="pct"/>
            <w:vAlign w:val="center"/>
          </w:tcPr>
          <w:p w14:paraId="1D135E4F">
            <w:pPr>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19.9</w:t>
            </w:r>
          </w:p>
        </w:tc>
        <w:tc>
          <w:tcPr>
            <w:tcW w:w="542" w:type="pct"/>
            <w:vAlign w:val="center"/>
          </w:tcPr>
          <w:p w14:paraId="3F11521B">
            <w:pPr>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446" w:type="pct"/>
            <w:shd w:val="clear" w:color="auto" w:fill="auto"/>
            <w:vAlign w:val="center"/>
          </w:tcPr>
          <w:p w14:paraId="50E4A0F7">
            <w:pPr>
              <w:spacing w:line="240" w:lineRule="auto"/>
              <w:rPr>
                <w:rFonts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color w:val="000000" w:themeColor="text1"/>
                <w:sz w:val="21"/>
                <w:szCs w:val="21"/>
                <w:highlight w:val="none"/>
                <w14:textFill>
                  <w14:solidFill>
                    <w14:schemeClr w14:val="tx1"/>
                  </w14:solidFill>
                </w14:textFill>
              </w:rPr>
              <w:t>达标</w:t>
            </w:r>
          </w:p>
        </w:tc>
      </w:tr>
    </w:tbl>
    <w:p w14:paraId="221E749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由表4.2-</w:t>
      </w:r>
      <w:r>
        <w:rPr>
          <w:rFonts w:hint="eastAsia"/>
          <w:color w:val="000000" w:themeColor="text1"/>
          <w:highlight w:val="none"/>
          <w14:textFill>
            <w14:solidFill>
              <w14:schemeClr w14:val="tx1"/>
            </w14:solidFill>
          </w14:textFill>
        </w:rPr>
        <w:t>8</w:t>
      </w:r>
      <w:r>
        <w:rPr>
          <w:color w:val="000000" w:themeColor="text1"/>
          <w:highlight w:val="none"/>
          <w14:textFill>
            <w14:solidFill>
              <w14:schemeClr w14:val="tx1"/>
            </w14:solidFill>
          </w14:textFill>
        </w:rPr>
        <w:t>可知：各监测点NH</w:t>
      </w:r>
      <w:r>
        <w:rPr>
          <w:color w:val="000000" w:themeColor="text1"/>
          <w:highlight w:val="none"/>
          <w:vertAlign w:val="subscript"/>
          <w14:textFill>
            <w14:solidFill>
              <w14:schemeClr w14:val="tx1"/>
            </w14:solidFill>
          </w14:textFill>
        </w:rPr>
        <w:t>3</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S均满足《环境影响评价技术导则 大气环境》（HJ2.2-2018）附录D中标准</w:t>
      </w:r>
      <w:r>
        <w:rPr>
          <w:rFonts w:hint="eastAsia"/>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bidi="ar"/>
          <w14:textFill>
            <w14:solidFill>
              <w14:schemeClr w14:val="tx1"/>
            </w14:solidFill>
          </w14:textFill>
        </w:rPr>
        <w:t>臭气浓度满足</w:t>
      </w:r>
      <w:r>
        <w:rPr>
          <w:rFonts w:hint="default" w:ascii="宋体" w:hAnsi="宋体"/>
          <w:color w:val="000000" w:themeColor="text1"/>
          <w:highlight w:val="none"/>
          <w:lang w:val="en-US" w:eastAsia="zh-CN" w:bidi="ar"/>
          <w14:textFill>
            <w14:solidFill>
              <w14:schemeClr w14:val="tx1"/>
            </w14:solidFill>
          </w14:textFill>
        </w:rPr>
        <w:t>畜禽养殖产地环境评价规范</w:t>
      </w:r>
      <w:r>
        <w:rPr>
          <w:rFonts w:hint="eastAsia" w:ascii="宋体" w:hAnsi="宋体"/>
          <w:color w:val="000000" w:themeColor="text1"/>
          <w:highlight w:val="none"/>
          <w:lang w:val="en-US" w:eastAsia="zh-CN" w:bidi="ar"/>
          <w14:textFill>
            <w14:solidFill>
              <w14:schemeClr w14:val="tx1"/>
            </w14:solidFill>
          </w14:textFill>
        </w:rPr>
        <w:t>（</w:t>
      </w:r>
      <w:r>
        <w:rPr>
          <w:rFonts w:hint="default" w:ascii="宋体" w:hAnsi="宋体"/>
          <w:color w:val="000000" w:themeColor="text1"/>
          <w:highlight w:val="none"/>
          <w:lang w:val="en-US" w:eastAsia="zh-CN" w:bidi="ar"/>
          <w14:textFill>
            <w14:solidFill>
              <w14:schemeClr w14:val="tx1"/>
            </w14:solidFill>
          </w14:textFill>
        </w:rPr>
        <w:t>HJ568-2010</w:t>
      </w:r>
      <w:r>
        <w:rPr>
          <w:rFonts w:hint="eastAsia" w:ascii="宋体" w:hAnsi="宋体"/>
          <w:color w:val="000000" w:themeColor="text1"/>
          <w:highlight w:val="none"/>
          <w:lang w:val="en-US" w:eastAsia="zh-CN" w:bidi="ar"/>
          <w14:textFill>
            <w14:solidFill>
              <w14:schemeClr w14:val="tx1"/>
            </w14:solidFill>
          </w14:textFill>
        </w:rPr>
        <w:t>）</w:t>
      </w:r>
      <w:r>
        <w:rPr>
          <w:rFonts w:hint="default" w:ascii="宋体" w:hAnsi="宋体"/>
          <w:color w:val="000000" w:themeColor="text1"/>
          <w:highlight w:val="none"/>
          <w:lang w:val="en-US" w:eastAsia="zh-CN" w:bidi="ar"/>
          <w14:textFill>
            <w14:solidFill>
              <w14:schemeClr w14:val="tx1"/>
            </w14:solidFill>
          </w14:textFill>
        </w:rPr>
        <w:t>表</w:t>
      </w:r>
      <w:r>
        <w:rPr>
          <w:rFonts w:hint="default" w:ascii="Times New Roman" w:hAnsi="Times New Roman" w:cs="Times New Roman"/>
          <w:color w:val="000000" w:themeColor="text1"/>
          <w:highlight w:val="none"/>
          <w:lang w:val="en-US" w:eastAsia="zh-CN" w:bidi="ar"/>
          <w14:textFill>
            <w14:solidFill>
              <w14:schemeClr w14:val="tx1"/>
            </w14:solidFill>
          </w14:textFill>
        </w:rPr>
        <w:t>5畜禽</w:t>
      </w:r>
      <w:r>
        <w:rPr>
          <w:rFonts w:hint="default" w:ascii="宋体" w:hAnsi="宋体"/>
          <w:color w:val="000000" w:themeColor="text1"/>
          <w:highlight w:val="none"/>
          <w:lang w:val="en-US" w:eastAsia="zh-CN" w:bidi="ar"/>
          <w14:textFill>
            <w14:solidFill>
              <w14:schemeClr w14:val="tx1"/>
            </w14:solidFill>
          </w14:textFill>
        </w:rPr>
        <w:t>养殖场和养殖小区环境空气质量评价指标限值</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color w:val="000000" w:themeColor="text1"/>
          <w:highlight w:val="none"/>
          <w14:textFill>
            <w14:solidFill>
              <w14:schemeClr w14:val="tx1"/>
            </w14:solidFill>
          </w14:textFill>
        </w:rPr>
        <w:t>各监测点</w:t>
      </w:r>
      <w:r>
        <w:rPr>
          <w:rFonts w:hint="eastAsia" w:cs="宋体"/>
          <w:b w:val="0"/>
          <w:bCs w:val="0"/>
          <w:color w:val="000000" w:themeColor="text1"/>
          <w:kern w:val="0"/>
          <w:szCs w:val="24"/>
          <w:highlight w:val="none"/>
          <w:lang w:val="en-US" w:eastAsia="zh-CN"/>
          <w14:textFill>
            <w14:solidFill>
              <w14:schemeClr w14:val="tx1"/>
            </w14:solidFill>
          </w14:textFill>
        </w:rPr>
        <w:t>TSP满足</w:t>
      </w:r>
      <w:r>
        <w:rPr>
          <w:rFonts w:hint="default" w:ascii="Times New Roman" w:hAnsi="Times New Roman" w:eastAsia="宋体" w:cs="Times New Roman"/>
          <w:b w:val="0"/>
          <w:bCs w:val="0"/>
          <w:snapToGrid w:val="0"/>
          <w:color w:val="000000" w:themeColor="text1"/>
          <w:kern w:val="0"/>
          <w:sz w:val="24"/>
          <w:szCs w:val="40"/>
          <w:highlight w:val="none"/>
          <w:lang w:val="en-US" w:eastAsia="zh-CN" w:bidi="ar-SA"/>
          <w14:textFill>
            <w14:solidFill>
              <w14:schemeClr w14:val="tx1"/>
            </w14:solidFill>
          </w14:textFill>
        </w:rPr>
        <w:t>《大气污染物综合排放标准》（GB16297-1996）</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表2中</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无组织排放监控浓度限值。</w:t>
      </w:r>
    </w:p>
    <w:p w14:paraId="756DCC6A">
      <w:pPr>
        <w:pStyle w:val="4"/>
        <w:rPr>
          <w:color w:val="000000" w:themeColor="text1"/>
          <w:highlight w:val="none"/>
          <w14:textFill>
            <w14:solidFill>
              <w14:schemeClr w14:val="tx1"/>
            </w14:solidFill>
          </w14:textFill>
        </w:rPr>
      </w:pPr>
      <w:bookmarkStart w:id="201" w:name="_Toc10539"/>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地下水环境质量现状监测与评价</w:t>
      </w:r>
      <w:bookmarkEnd w:id="201"/>
    </w:p>
    <w:p w14:paraId="3BDD51C2">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w:t>
      </w:r>
      <w:r>
        <w:rPr>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2</w:t>
      </w:r>
      <w:r>
        <w:rPr>
          <w:b/>
          <w:bCs/>
          <w:color w:val="000000" w:themeColor="text1"/>
          <w:highlight w:val="none"/>
          <w14:textFill>
            <w14:solidFill>
              <w14:schemeClr w14:val="tx1"/>
            </w14:solidFill>
          </w14:textFill>
        </w:rPr>
        <w:t>.1地下水环境质量现状监测</w:t>
      </w:r>
    </w:p>
    <w:p w14:paraId="4D1AF72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1、监测布点</w:t>
      </w:r>
    </w:p>
    <w:p w14:paraId="3F1EE9C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参照厂区总平面布置及周边的环境状况，在</w:t>
      </w: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周边共布设</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个监测点进行</w:t>
      </w:r>
      <w:r>
        <w:rPr>
          <w:rFonts w:hint="eastAsia"/>
          <w:color w:val="000000" w:themeColor="text1"/>
          <w:highlight w:val="none"/>
          <w:lang w:val="en-US" w:eastAsia="zh-CN"/>
          <w14:textFill>
            <w14:solidFill>
              <w14:schemeClr w14:val="tx1"/>
            </w14:solidFill>
          </w14:textFill>
        </w:rPr>
        <w:t>地下水</w:t>
      </w:r>
      <w:r>
        <w:rPr>
          <w:color w:val="000000" w:themeColor="text1"/>
          <w:highlight w:val="none"/>
          <w14:textFill>
            <w14:solidFill>
              <w14:schemeClr w14:val="tx1"/>
            </w14:solidFill>
          </w14:textFill>
        </w:rPr>
        <w:t>环境现状监测。具体点位的布置见表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9</w:t>
      </w:r>
      <w:r>
        <w:rPr>
          <w:color w:val="000000" w:themeColor="text1"/>
          <w:highlight w:val="none"/>
          <w14:textFill>
            <w14:solidFill>
              <w14:schemeClr w14:val="tx1"/>
            </w14:solidFill>
          </w14:textFill>
        </w:rPr>
        <w:t>和</w:t>
      </w:r>
      <w:r>
        <w:rPr>
          <w:rFonts w:hint="eastAsia"/>
          <w:color w:val="000000" w:themeColor="text1"/>
          <w:highlight w:val="none"/>
          <w:lang w:val="en-US" w:eastAsia="zh-CN"/>
          <w14:textFill>
            <w14:solidFill>
              <w14:schemeClr w14:val="tx1"/>
            </w14:solidFill>
          </w14:textFill>
        </w:rPr>
        <w:t>附</w:t>
      </w:r>
      <w:r>
        <w:rPr>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p>
    <w:p w14:paraId="6B52289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 xml:space="preserve">9 </w:t>
      </w:r>
      <w:r>
        <w:rPr>
          <w:b/>
          <w:bCs/>
          <w:color w:val="000000" w:themeColor="text1"/>
          <w:sz w:val="21"/>
          <w:szCs w:val="21"/>
          <w:highlight w:val="none"/>
          <w14:textFill>
            <w14:solidFill>
              <w14:schemeClr w14:val="tx1"/>
            </w14:solidFill>
          </w14:textFill>
        </w:rPr>
        <w:t>地下水环境质量现状监测布点一览表</w:t>
      </w:r>
    </w:p>
    <w:tbl>
      <w:tblPr>
        <w:tblStyle w:val="33"/>
        <w:tblW w:w="510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472"/>
        <w:gridCol w:w="2652"/>
        <w:gridCol w:w="732"/>
        <w:gridCol w:w="1650"/>
        <w:gridCol w:w="1072"/>
        <w:gridCol w:w="961"/>
        <w:gridCol w:w="961"/>
      </w:tblGrid>
      <w:tr w14:paraId="128939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49" w:hRule="atLeast"/>
          <w:jc w:val="center"/>
        </w:trPr>
        <w:tc>
          <w:tcPr>
            <w:tcW w:w="471" w:type="dxa"/>
            <w:tcBorders>
              <w:right w:val="single" w:color="auto" w:sz="4" w:space="0"/>
            </w:tcBorders>
            <w:vAlign w:val="center"/>
          </w:tcPr>
          <w:p w14:paraId="7689299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648" w:type="dxa"/>
            <w:tcBorders>
              <w:left w:val="single" w:color="auto" w:sz="4" w:space="0"/>
              <w:right w:val="single" w:color="auto" w:sz="4" w:space="0"/>
            </w:tcBorders>
            <w:vAlign w:val="center"/>
          </w:tcPr>
          <w:p w14:paraId="46A649F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监测点</w:t>
            </w:r>
          </w:p>
        </w:tc>
        <w:tc>
          <w:tcPr>
            <w:tcW w:w="731" w:type="dxa"/>
            <w:tcBorders>
              <w:left w:val="single" w:color="auto" w:sz="4" w:space="0"/>
              <w:right w:val="single" w:color="auto" w:sz="4" w:space="0"/>
            </w:tcBorders>
            <w:vAlign w:val="center"/>
          </w:tcPr>
          <w:p w14:paraId="04F1C2B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方位</w:t>
            </w:r>
          </w:p>
        </w:tc>
        <w:tc>
          <w:tcPr>
            <w:tcW w:w="1648" w:type="dxa"/>
            <w:tcBorders>
              <w:left w:val="single" w:color="auto" w:sz="4" w:space="0"/>
              <w:right w:val="single" w:color="auto" w:sz="4" w:space="0"/>
            </w:tcBorders>
            <w:vAlign w:val="center"/>
          </w:tcPr>
          <w:p w14:paraId="59C7955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距厂址距离（</w:t>
            </w:r>
            <w:r>
              <w:rPr>
                <w:rFonts w:hint="eastAsia"/>
                <w:b/>
                <w:bCs/>
                <w:color w:val="000000" w:themeColor="text1"/>
                <w:sz w:val="21"/>
                <w:szCs w:val="21"/>
                <w:highlight w:val="none"/>
                <w14:textFill>
                  <w14:solidFill>
                    <w14:schemeClr w14:val="tx1"/>
                  </w14:solidFill>
                </w14:textFill>
              </w:rPr>
              <w:t>k</w:t>
            </w:r>
            <w:r>
              <w:rPr>
                <w:b/>
                <w:bCs/>
                <w:color w:val="000000" w:themeColor="text1"/>
                <w:sz w:val="21"/>
                <w:szCs w:val="21"/>
                <w:highlight w:val="none"/>
                <w14:textFill>
                  <w14:solidFill>
                    <w14:schemeClr w14:val="tx1"/>
                  </w14:solidFill>
                </w14:textFill>
              </w:rPr>
              <w:t>m）</w:t>
            </w:r>
          </w:p>
        </w:tc>
        <w:tc>
          <w:tcPr>
            <w:tcW w:w="1070" w:type="dxa"/>
            <w:tcBorders>
              <w:left w:val="single" w:color="auto" w:sz="4" w:space="0"/>
              <w:right w:val="single" w:color="auto" w:sz="4" w:space="0"/>
            </w:tcBorders>
            <w:vAlign w:val="center"/>
          </w:tcPr>
          <w:p w14:paraId="72F323F2">
            <w:pPr>
              <w:spacing w:line="240" w:lineRule="auto"/>
              <w:jc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井深（m）</w:t>
            </w:r>
          </w:p>
        </w:tc>
        <w:tc>
          <w:tcPr>
            <w:tcW w:w="960" w:type="dxa"/>
            <w:tcBorders>
              <w:left w:val="single" w:color="auto" w:sz="4" w:space="0"/>
              <w:right w:val="single" w:color="auto" w:sz="4" w:space="0"/>
            </w:tcBorders>
            <w:vAlign w:val="center"/>
          </w:tcPr>
          <w:p w14:paraId="5471E7D1">
            <w:pPr>
              <w:spacing w:line="240" w:lineRule="auto"/>
              <w:jc w:val="center"/>
              <w:rPr>
                <w:rFonts w:hint="eastAsia"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水位（m）</w:t>
            </w:r>
          </w:p>
        </w:tc>
        <w:tc>
          <w:tcPr>
            <w:tcW w:w="960" w:type="dxa"/>
            <w:tcBorders>
              <w:left w:val="single" w:color="auto" w:sz="4" w:space="0"/>
              <w:right w:val="single" w:color="auto" w:sz="4" w:space="0"/>
            </w:tcBorders>
            <w:vAlign w:val="center"/>
          </w:tcPr>
          <w:p w14:paraId="32319C84">
            <w:pPr>
              <w:spacing w:line="240" w:lineRule="auto"/>
              <w:jc w:val="center"/>
              <w:rPr>
                <w:rFonts w:hint="eastAsia"/>
                <w:b/>
                <w:bCs/>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样品状态</w:t>
            </w:r>
          </w:p>
        </w:tc>
      </w:tr>
      <w:tr w14:paraId="3CAA07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44" w:hRule="atLeast"/>
          <w:jc w:val="center"/>
        </w:trPr>
        <w:tc>
          <w:tcPr>
            <w:tcW w:w="471" w:type="dxa"/>
            <w:tcBorders>
              <w:right w:val="single" w:color="auto" w:sz="4" w:space="0"/>
            </w:tcBorders>
            <w:vAlign w:val="center"/>
          </w:tcPr>
          <w:p w14:paraId="146060E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648" w:type="dxa"/>
            <w:tcBorders>
              <w:left w:val="single" w:color="auto" w:sz="4" w:space="0"/>
              <w:right w:val="single" w:color="auto" w:sz="4" w:space="0"/>
            </w:tcBorders>
            <w:vAlign w:val="center"/>
          </w:tcPr>
          <w:p w14:paraId="52E329D9">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项目区上游：</w:t>
            </w:r>
            <w:r>
              <w:rPr>
                <w:rFonts w:cs="Times New Roman"/>
                <w:color w:val="000000" w:themeColor="text1"/>
                <w:kern w:val="2"/>
                <w:sz w:val="21"/>
                <w:szCs w:val="21"/>
                <w:highlight w:val="none"/>
                <w:lang w:bidi="zh-CN"/>
                <w14:textFill>
                  <w14:solidFill>
                    <w14:schemeClr w14:val="tx1"/>
                  </w14:solidFill>
                </w14:textFill>
              </w:rPr>
              <w:t>E</w:t>
            </w:r>
            <w:r>
              <w:rPr>
                <w:rFonts w:hint="eastAsia" w:cs="Times New Roman"/>
                <w:color w:val="000000" w:themeColor="text1"/>
                <w:kern w:val="2"/>
                <w:sz w:val="21"/>
                <w:szCs w:val="21"/>
                <w:highlight w:val="none"/>
                <w:lang w:bidi="zh-CN"/>
                <w14:textFill>
                  <w14:solidFill>
                    <w14:schemeClr w14:val="tx1"/>
                  </w14:solidFill>
                </w14:textFill>
              </w:rPr>
              <w:t>：84°32′09.39″，</w:t>
            </w:r>
            <w:r>
              <w:rPr>
                <w:rFonts w:cs="Times New Roman"/>
                <w:color w:val="000000" w:themeColor="text1"/>
                <w:kern w:val="2"/>
                <w:sz w:val="21"/>
                <w:szCs w:val="21"/>
                <w:highlight w:val="none"/>
                <w:lang w:bidi="zh-CN"/>
                <w14:textFill>
                  <w14:solidFill>
                    <w14:schemeClr w14:val="tx1"/>
                  </w14:solidFill>
                </w14:textFill>
              </w:rPr>
              <w:t>N</w:t>
            </w:r>
            <w:r>
              <w:rPr>
                <w:rFonts w:hint="eastAsia" w:cs="Times New Roman"/>
                <w:color w:val="000000" w:themeColor="text1"/>
                <w:kern w:val="2"/>
                <w:sz w:val="21"/>
                <w:szCs w:val="21"/>
                <w:highlight w:val="none"/>
                <w:lang w:bidi="zh-CN"/>
                <w14:textFill>
                  <w14:solidFill>
                    <w14:schemeClr w14:val="tx1"/>
                  </w14:solidFill>
                </w14:textFill>
              </w:rPr>
              <w:t>：44°50′12.00″</w:t>
            </w:r>
          </w:p>
        </w:tc>
        <w:tc>
          <w:tcPr>
            <w:tcW w:w="731" w:type="dxa"/>
            <w:tcBorders>
              <w:left w:val="single" w:color="auto" w:sz="4" w:space="0"/>
              <w:right w:val="single" w:color="auto" w:sz="4" w:space="0"/>
            </w:tcBorders>
            <w:vAlign w:val="center"/>
          </w:tcPr>
          <w:p w14:paraId="075BF81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西</w:t>
            </w:r>
            <w:r>
              <w:rPr>
                <w:color w:val="000000" w:themeColor="text1"/>
                <w:sz w:val="21"/>
                <w:szCs w:val="21"/>
                <w:highlight w:val="none"/>
                <w14:textFill>
                  <w14:solidFill>
                    <w14:schemeClr w14:val="tx1"/>
                  </w14:solidFill>
                </w14:textFill>
              </w:rPr>
              <w:t>南</w:t>
            </w:r>
          </w:p>
        </w:tc>
        <w:tc>
          <w:tcPr>
            <w:tcW w:w="1648" w:type="dxa"/>
            <w:tcBorders>
              <w:left w:val="single" w:color="auto" w:sz="4" w:space="0"/>
              <w:right w:val="single" w:color="auto" w:sz="4" w:space="0"/>
            </w:tcBorders>
            <w:vAlign w:val="center"/>
          </w:tcPr>
          <w:p w14:paraId="256C58D1">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070" w:type="dxa"/>
            <w:tcBorders>
              <w:left w:val="single" w:color="auto" w:sz="4" w:space="0"/>
              <w:right w:val="single" w:color="auto" w:sz="4" w:space="0"/>
            </w:tcBorders>
            <w:vAlign w:val="center"/>
          </w:tcPr>
          <w:p w14:paraId="0374B524">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w:t>
            </w:r>
          </w:p>
        </w:tc>
        <w:tc>
          <w:tcPr>
            <w:tcW w:w="960" w:type="dxa"/>
            <w:tcBorders>
              <w:left w:val="single" w:color="auto" w:sz="4" w:space="0"/>
              <w:right w:val="single" w:color="auto" w:sz="4" w:space="0"/>
            </w:tcBorders>
            <w:vAlign w:val="center"/>
          </w:tcPr>
          <w:p w14:paraId="12E18407">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960" w:type="dxa"/>
            <w:vMerge w:val="restart"/>
            <w:tcBorders>
              <w:left w:val="single" w:color="auto" w:sz="4" w:space="0"/>
              <w:right w:val="single" w:color="auto" w:sz="4" w:space="0"/>
            </w:tcBorders>
            <w:vAlign w:val="center"/>
          </w:tcPr>
          <w:p w14:paraId="107C46B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无色、无味、无浑浊、无沉淀物</w:t>
            </w:r>
          </w:p>
        </w:tc>
      </w:tr>
      <w:tr w14:paraId="25C3E5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659" w:hRule="atLeast"/>
          <w:jc w:val="center"/>
        </w:trPr>
        <w:tc>
          <w:tcPr>
            <w:tcW w:w="471" w:type="dxa"/>
            <w:tcBorders>
              <w:right w:val="single" w:color="auto" w:sz="4" w:space="0"/>
            </w:tcBorders>
            <w:vAlign w:val="center"/>
          </w:tcPr>
          <w:p w14:paraId="6521647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648" w:type="dxa"/>
            <w:tcBorders>
              <w:left w:val="single" w:color="auto" w:sz="4" w:space="0"/>
              <w:right w:val="single" w:color="auto" w:sz="4" w:space="0"/>
            </w:tcBorders>
            <w:vAlign w:val="center"/>
          </w:tcPr>
          <w:p w14:paraId="55C2D2DA">
            <w:pPr>
              <w:spacing w:line="240" w:lineRule="auto"/>
              <w:jc w:val="center"/>
              <w:rPr>
                <w:color w:val="000000" w:themeColor="text1"/>
                <w:sz w:val="21"/>
                <w:szCs w:val="21"/>
                <w:highlight w:val="none"/>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项目区下游：</w:t>
            </w:r>
            <w:r>
              <w:rPr>
                <w:rFonts w:cs="Times New Roman"/>
                <w:color w:val="000000" w:themeColor="text1"/>
                <w:kern w:val="2"/>
                <w:sz w:val="21"/>
                <w:szCs w:val="21"/>
                <w:highlight w:val="none"/>
                <w:lang w:bidi="zh-CN"/>
                <w14:textFill>
                  <w14:solidFill>
                    <w14:schemeClr w14:val="tx1"/>
                  </w14:solidFill>
                </w14:textFill>
              </w:rPr>
              <w:t>E</w:t>
            </w:r>
            <w:r>
              <w:rPr>
                <w:rFonts w:hint="eastAsia" w:cs="Times New Roman"/>
                <w:color w:val="000000" w:themeColor="text1"/>
                <w:kern w:val="2"/>
                <w:sz w:val="21"/>
                <w:szCs w:val="21"/>
                <w:highlight w:val="none"/>
                <w:lang w:bidi="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84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32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32.44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kern w:val="2"/>
                <w:sz w:val="21"/>
                <w:szCs w:val="21"/>
                <w:highlight w:val="none"/>
                <w:lang w:bidi="zh-CN"/>
                <w14:textFill>
                  <w14:solidFill>
                    <w14:schemeClr w14:val="tx1"/>
                  </w14:solidFill>
                </w14:textFill>
              </w:rPr>
              <w:t>，</w:t>
            </w:r>
            <w:r>
              <w:rPr>
                <w:rFonts w:cs="Times New Roman"/>
                <w:color w:val="000000" w:themeColor="text1"/>
                <w:kern w:val="2"/>
                <w:sz w:val="21"/>
                <w:szCs w:val="21"/>
                <w:highlight w:val="none"/>
                <w:lang w:bidi="zh-CN"/>
                <w14:textFill>
                  <w14:solidFill>
                    <w14:schemeClr w14:val="tx1"/>
                  </w14:solidFill>
                </w14:textFill>
              </w:rPr>
              <w:t>N</w:t>
            </w:r>
            <w:r>
              <w:rPr>
                <w:rFonts w:hint="eastAsia" w:cs="Times New Roman"/>
                <w:color w:val="000000" w:themeColor="text1"/>
                <w:kern w:val="2"/>
                <w:sz w:val="21"/>
                <w:szCs w:val="21"/>
                <w:highlight w:val="none"/>
                <w:lang w:bidi="zh-CN"/>
                <w14:textFill>
                  <w14:solidFill>
                    <w14:schemeClr w14:val="tx1"/>
                  </w14:solidFill>
                </w14:textFill>
              </w:rPr>
              <w:t>：</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4</w:t>
            </w:r>
            <w:r>
              <w:rPr>
                <w:rFonts w:hint="eastAsia" w:cs="Times New Roman"/>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50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eastAsia" w:cs="Times New Roman"/>
                <w:color w:val="000000" w:themeColor="text1"/>
                <w:sz w:val="21"/>
                <w:szCs w:val="21"/>
                <w:highlight w:val="none"/>
                <w:lang w:val="en-US" w:eastAsia="zh-CN"/>
                <w14:textFill>
                  <w14:solidFill>
                    <w14:schemeClr w14:val="tx1"/>
                  </w14:solidFill>
                </w14:textFill>
              </w:rPr>
              <w:t>53.52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731" w:type="dxa"/>
            <w:tcBorders>
              <w:left w:val="single" w:color="auto" w:sz="4" w:space="0"/>
              <w:right w:val="single" w:color="auto" w:sz="4" w:space="0"/>
            </w:tcBorders>
            <w:vAlign w:val="center"/>
          </w:tcPr>
          <w:p w14:paraId="104FF1E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东北</w:t>
            </w:r>
          </w:p>
        </w:tc>
        <w:tc>
          <w:tcPr>
            <w:tcW w:w="1648" w:type="dxa"/>
            <w:tcBorders>
              <w:left w:val="single" w:color="auto" w:sz="4" w:space="0"/>
              <w:right w:val="single" w:color="auto" w:sz="4" w:space="0"/>
            </w:tcBorders>
            <w:vAlign w:val="center"/>
          </w:tcPr>
          <w:p w14:paraId="4096D99D">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0.75</w:t>
            </w:r>
          </w:p>
        </w:tc>
        <w:tc>
          <w:tcPr>
            <w:tcW w:w="1070" w:type="dxa"/>
            <w:tcBorders>
              <w:left w:val="single" w:color="auto" w:sz="4" w:space="0"/>
              <w:right w:val="single" w:color="auto" w:sz="4" w:space="0"/>
            </w:tcBorders>
            <w:vAlign w:val="center"/>
          </w:tcPr>
          <w:p w14:paraId="22A96E90">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w:t>
            </w:r>
          </w:p>
        </w:tc>
        <w:tc>
          <w:tcPr>
            <w:tcW w:w="960" w:type="dxa"/>
            <w:tcBorders>
              <w:left w:val="single" w:color="auto" w:sz="4" w:space="0"/>
              <w:right w:val="single" w:color="auto" w:sz="4" w:space="0"/>
            </w:tcBorders>
            <w:vAlign w:val="center"/>
          </w:tcPr>
          <w:p w14:paraId="51C01F90">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960" w:type="dxa"/>
            <w:vMerge w:val="continue"/>
            <w:tcBorders>
              <w:left w:val="single" w:color="auto" w:sz="4" w:space="0"/>
              <w:right w:val="single" w:color="auto" w:sz="4" w:space="0"/>
            </w:tcBorders>
            <w:vAlign w:val="center"/>
          </w:tcPr>
          <w:p w14:paraId="095DD9F5">
            <w:pPr>
              <w:spacing w:line="240" w:lineRule="auto"/>
              <w:jc w:val="center"/>
              <w:rPr>
                <w:rFonts w:hint="eastAsia"/>
                <w:color w:val="000000" w:themeColor="text1"/>
                <w:sz w:val="21"/>
                <w:szCs w:val="21"/>
                <w:highlight w:val="none"/>
                <w:lang w:val="en-US" w:eastAsia="zh-CN"/>
                <w14:textFill>
                  <w14:solidFill>
                    <w14:schemeClr w14:val="tx1"/>
                  </w14:solidFill>
                </w14:textFill>
              </w:rPr>
            </w:pPr>
          </w:p>
        </w:tc>
      </w:tr>
    </w:tbl>
    <w:p w14:paraId="0128366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2、监测项目</w:t>
      </w:r>
    </w:p>
    <w:p w14:paraId="313E6876">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八大离子：</w:t>
      </w:r>
      <w:r>
        <w:rPr>
          <w:color w:val="000000" w:themeColor="text1"/>
          <w:highlight w:val="none"/>
          <w14:textFill>
            <w14:solidFill>
              <w14:schemeClr w14:val="tx1"/>
            </w14:solidFill>
          </w14:textFill>
        </w:rPr>
        <w:t>K</w:t>
      </w:r>
      <w:r>
        <w:rPr>
          <w:color w:val="000000" w:themeColor="text1"/>
          <w:highlight w:val="none"/>
          <w:vertAlign w:val="superscript"/>
          <w14:textFill>
            <w14:solidFill>
              <w14:schemeClr w14:val="tx1"/>
            </w14:solidFill>
          </w14:textFill>
        </w:rPr>
        <w:t>+</w:t>
      </w:r>
      <w:r>
        <w:rPr>
          <w:color w:val="000000" w:themeColor="text1"/>
          <w:highlight w:val="none"/>
          <w14:textFill>
            <w14:solidFill>
              <w14:schemeClr w14:val="tx1"/>
            </w14:solidFill>
          </w14:textFill>
        </w:rPr>
        <w:t>、Na</w:t>
      </w:r>
      <w:r>
        <w:rPr>
          <w:color w:val="000000" w:themeColor="text1"/>
          <w:highlight w:val="none"/>
          <w:vertAlign w:val="superscript"/>
          <w14:textFill>
            <w14:solidFill>
              <w14:schemeClr w14:val="tx1"/>
            </w14:solidFill>
          </w14:textFill>
        </w:rPr>
        <w:t>+</w:t>
      </w:r>
      <w:r>
        <w:rPr>
          <w:color w:val="000000" w:themeColor="text1"/>
          <w:highlight w:val="none"/>
          <w14:textFill>
            <w14:solidFill>
              <w14:schemeClr w14:val="tx1"/>
            </w14:solidFill>
          </w14:textFill>
        </w:rPr>
        <w:t>、Ca</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、Mg</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、CO</w:t>
      </w:r>
      <w:r>
        <w:rPr>
          <w:color w:val="000000" w:themeColor="text1"/>
          <w:highlight w:val="none"/>
          <w:vertAlign w:val="subscript"/>
          <w14:textFill>
            <w14:solidFill>
              <w14:schemeClr w14:val="tx1"/>
            </w14:solidFill>
          </w14:textFill>
        </w:rPr>
        <w:t>3</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、HCO</w:t>
      </w:r>
      <w:r>
        <w:rPr>
          <w:color w:val="000000" w:themeColor="text1"/>
          <w:highlight w:val="none"/>
          <w:vertAlign w:val="subscript"/>
          <w14:textFill>
            <w14:solidFill>
              <w14:schemeClr w14:val="tx1"/>
            </w14:solidFill>
          </w14:textFill>
        </w:rPr>
        <w:t>3</w:t>
      </w:r>
      <w:r>
        <w:rPr>
          <w:color w:val="000000" w:themeColor="text1"/>
          <w:highlight w:val="none"/>
          <w:vertAlign w:val="superscript"/>
          <w14:textFill>
            <w14:solidFill>
              <w14:schemeClr w14:val="tx1"/>
            </w14:solidFill>
          </w14:textFill>
        </w:rPr>
        <w:t>-</w:t>
      </w:r>
      <w:r>
        <w:rPr>
          <w:color w:val="000000" w:themeColor="text1"/>
          <w:highlight w:val="none"/>
          <w14:textFill>
            <w14:solidFill>
              <w14:schemeClr w14:val="tx1"/>
            </w14:solidFill>
          </w14:textFill>
        </w:rPr>
        <w:t>、Cl</w:t>
      </w:r>
      <w:r>
        <w:rPr>
          <w:color w:val="000000" w:themeColor="text1"/>
          <w:highlight w:val="none"/>
          <w:vertAlign w:val="superscript"/>
          <w14:textFill>
            <w14:solidFill>
              <w14:schemeClr w14:val="tx1"/>
            </w14:solidFill>
          </w14:textFill>
        </w:rPr>
        <w:t>-</w:t>
      </w:r>
      <w:r>
        <w:rPr>
          <w:color w:val="000000" w:themeColor="text1"/>
          <w:highlight w:val="none"/>
          <w14:textFill>
            <w14:solidFill>
              <w14:schemeClr w14:val="tx1"/>
            </w14:solidFill>
          </w14:textFill>
        </w:rPr>
        <w:t>、SO</w:t>
      </w:r>
      <w:r>
        <w:rPr>
          <w:color w:val="000000" w:themeColor="text1"/>
          <w:highlight w:val="none"/>
          <w:vertAlign w:val="subscript"/>
          <w14:textFill>
            <w14:solidFill>
              <w14:schemeClr w14:val="tx1"/>
            </w14:solidFill>
          </w14:textFill>
        </w:rPr>
        <w:t>4</w:t>
      </w:r>
      <w:r>
        <w:rPr>
          <w:color w:val="000000" w:themeColor="text1"/>
          <w:highlight w:val="none"/>
          <w:vertAlign w:val="superscript"/>
          <w14:textFill>
            <w14:solidFill>
              <w14:schemeClr w14:val="tx1"/>
            </w14:solidFill>
          </w14:textFill>
        </w:rPr>
        <w:t>2</w:t>
      </w:r>
      <w:r>
        <w:rPr>
          <w:rFonts w:hint="eastAsia"/>
          <w:color w:val="000000" w:themeColor="text1"/>
          <w:highlight w:val="none"/>
          <w:vertAlign w:val="superscript"/>
          <w14:textFill>
            <w14:solidFill>
              <w14:schemeClr w14:val="tx1"/>
            </w14:solidFill>
          </w14:textFill>
        </w:rPr>
        <w:t>-</w:t>
      </w:r>
      <w:r>
        <w:rPr>
          <w:color w:val="000000" w:themeColor="text1"/>
          <w:highlight w:val="none"/>
          <w14:textFill>
            <w14:solidFill>
              <w14:schemeClr w14:val="tx1"/>
            </w14:solidFill>
          </w14:textFill>
        </w:rPr>
        <w:t>等各类离子浓度；</w:t>
      </w:r>
    </w:p>
    <w:p w14:paraId="324A592E">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基本因子：</w:t>
      </w:r>
      <w:r>
        <w:rPr>
          <w:color w:val="000000" w:themeColor="text1"/>
          <w:highlight w:val="none"/>
          <w14:textFill>
            <w14:solidFill>
              <w14:schemeClr w14:val="tx1"/>
            </w14:solidFill>
          </w14:textFill>
        </w:rPr>
        <w:t>pH、氨氮、硝酸盐、亚硝酸盐、挥发性酚类、氰化物、砷、汞、六价铬、总硬度、铅、氟化物、镉、铁、锰、溶解性总固体、耗氧量、硫酸盐、氯化物、总大肠菌群、细菌总数。</w:t>
      </w:r>
    </w:p>
    <w:p w14:paraId="7A439DF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3、时间和频率</w:t>
      </w:r>
    </w:p>
    <w:p w14:paraId="345D3FA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监测时间：</w:t>
      </w:r>
      <w:r>
        <w:rPr>
          <w:rFonts w:hint="eastAsia"/>
          <w:color w:val="000000" w:themeColor="text1"/>
          <w:highlight w:val="none"/>
          <w:lang w:val="en-US" w:eastAsia="zh-CN"/>
          <w14:textFill>
            <w14:solidFill>
              <w14:schemeClr w14:val="tx1"/>
            </w14:solidFill>
          </w14:textFill>
        </w:rPr>
        <w:t>2024</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26</w:t>
      </w:r>
      <w:r>
        <w:rPr>
          <w:color w:val="000000" w:themeColor="text1"/>
          <w:highlight w:val="none"/>
          <w14:textFill>
            <w14:solidFill>
              <w14:schemeClr w14:val="tx1"/>
            </w14:solidFill>
          </w14:textFill>
        </w:rPr>
        <w:t>日；</w:t>
      </w:r>
    </w:p>
    <w:p w14:paraId="543C30E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监测频率：监测1天，取样1次。</w:t>
      </w:r>
    </w:p>
    <w:p w14:paraId="3FC526C5">
      <w:pPr>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监测单位：</w:t>
      </w:r>
      <w:r>
        <w:rPr>
          <w:rFonts w:hint="eastAsia"/>
          <w:color w:val="000000" w:themeColor="text1"/>
          <w:highlight w:val="none"/>
          <w:lang w:eastAsia="zh-CN"/>
          <w14:textFill>
            <w14:solidFill>
              <w14:schemeClr w14:val="tx1"/>
            </w14:solidFill>
          </w14:textFill>
        </w:rPr>
        <w:t>新疆齐新环境服务有限公司</w:t>
      </w:r>
    </w:p>
    <w:p w14:paraId="5EEA88C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4、监测分析方法</w:t>
      </w:r>
    </w:p>
    <w:p w14:paraId="0E52628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按照《地下水环境监测技术规范》(</w:t>
      </w:r>
      <w:r>
        <w:rPr>
          <w:rFonts w:hint="eastAsia"/>
          <w:color w:val="000000" w:themeColor="text1"/>
          <w:highlight w:val="none"/>
          <w14:textFill>
            <w14:solidFill>
              <w14:schemeClr w14:val="tx1"/>
            </w14:solidFill>
          </w14:textFill>
        </w:rPr>
        <w:t>HJ 164-2020</w:t>
      </w:r>
      <w:r>
        <w:rPr>
          <w:color w:val="000000" w:themeColor="text1"/>
          <w:highlight w:val="none"/>
          <w14:textFill>
            <w14:solidFill>
              <w14:schemeClr w14:val="tx1"/>
            </w14:solidFill>
          </w14:textFill>
        </w:rPr>
        <w:t>)和《环境水质监测质量保证手册》中有关规定执行。具体见表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color w:val="000000" w:themeColor="text1"/>
          <w:highlight w:val="none"/>
          <w14:textFill>
            <w14:solidFill>
              <w14:schemeClr w14:val="tx1"/>
            </w14:solidFill>
          </w14:textFill>
        </w:rPr>
        <w:t>。</w:t>
      </w:r>
    </w:p>
    <w:p w14:paraId="252C488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10</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地下水质量监测分析方法一览表</w:t>
      </w:r>
    </w:p>
    <w:tbl>
      <w:tblPr>
        <w:tblStyle w:val="33"/>
        <w:tblW w:w="8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41"/>
        <w:gridCol w:w="1407"/>
        <w:gridCol w:w="1178"/>
        <w:gridCol w:w="1507"/>
        <w:gridCol w:w="2490"/>
        <w:gridCol w:w="942"/>
      </w:tblGrid>
      <w:tr w14:paraId="0F49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841" w:type="dxa"/>
            <w:vAlign w:val="center"/>
          </w:tcPr>
          <w:p w14:paraId="66FE049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类别</w:t>
            </w:r>
          </w:p>
        </w:tc>
        <w:tc>
          <w:tcPr>
            <w:tcW w:w="1407" w:type="dxa"/>
            <w:vAlign w:val="center"/>
          </w:tcPr>
          <w:p w14:paraId="544E37A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项目名称</w:t>
            </w:r>
          </w:p>
        </w:tc>
        <w:tc>
          <w:tcPr>
            <w:tcW w:w="1178" w:type="dxa"/>
            <w:vAlign w:val="center"/>
          </w:tcPr>
          <w:p w14:paraId="633A53F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分析方法</w:t>
            </w:r>
          </w:p>
        </w:tc>
        <w:tc>
          <w:tcPr>
            <w:tcW w:w="1507" w:type="dxa"/>
            <w:vAlign w:val="center"/>
          </w:tcPr>
          <w:p w14:paraId="5E80B93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方法依据</w:t>
            </w:r>
          </w:p>
        </w:tc>
        <w:tc>
          <w:tcPr>
            <w:tcW w:w="2490" w:type="dxa"/>
            <w:vAlign w:val="center"/>
          </w:tcPr>
          <w:p w14:paraId="72DCC5F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仪器设备、型号及编号</w:t>
            </w:r>
          </w:p>
        </w:tc>
        <w:tc>
          <w:tcPr>
            <w:tcW w:w="942" w:type="dxa"/>
            <w:vAlign w:val="center"/>
          </w:tcPr>
          <w:p w14:paraId="3CFC920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检出限</w:t>
            </w:r>
          </w:p>
        </w:tc>
      </w:tr>
      <w:tr w14:paraId="2BCD6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841" w:type="dxa"/>
            <w:vMerge w:val="restart"/>
            <w:vAlign w:val="center"/>
          </w:tcPr>
          <w:p w14:paraId="46E7DA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w:t>
            </w:r>
          </w:p>
        </w:tc>
        <w:tc>
          <w:tcPr>
            <w:tcW w:w="1407" w:type="dxa"/>
            <w:vAlign w:val="center"/>
          </w:tcPr>
          <w:p w14:paraId="6CEAD3F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w:t>
            </w:r>
          </w:p>
        </w:tc>
        <w:tc>
          <w:tcPr>
            <w:tcW w:w="1178" w:type="dxa"/>
            <w:vAlign w:val="center"/>
          </w:tcPr>
          <w:p w14:paraId="39DF017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玻璃电极法</w:t>
            </w:r>
          </w:p>
        </w:tc>
        <w:tc>
          <w:tcPr>
            <w:tcW w:w="1507" w:type="dxa"/>
            <w:vAlign w:val="center"/>
          </w:tcPr>
          <w:p w14:paraId="1A2ED01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5750.4-2023</w:t>
            </w:r>
          </w:p>
        </w:tc>
        <w:tc>
          <w:tcPr>
            <w:tcW w:w="2490" w:type="dxa"/>
            <w:vAlign w:val="center"/>
          </w:tcPr>
          <w:p w14:paraId="52EF96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便携式pH计PHBJ-260 KDJC-YQ-052</w:t>
            </w:r>
          </w:p>
        </w:tc>
        <w:tc>
          <w:tcPr>
            <w:tcW w:w="942" w:type="dxa"/>
            <w:vAlign w:val="center"/>
          </w:tcPr>
          <w:p w14:paraId="4962B6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0.01（pH值）</w:t>
            </w:r>
          </w:p>
        </w:tc>
      </w:tr>
      <w:tr w14:paraId="5A06D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841" w:type="dxa"/>
            <w:vMerge w:val="continue"/>
            <w:vAlign w:val="center"/>
          </w:tcPr>
          <w:p w14:paraId="48D55F71">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38F63A0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总硬度</w:t>
            </w:r>
          </w:p>
        </w:tc>
        <w:tc>
          <w:tcPr>
            <w:tcW w:w="1178" w:type="dxa"/>
            <w:vAlign w:val="center"/>
          </w:tcPr>
          <w:p w14:paraId="78EB7EE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滴定法</w:t>
            </w:r>
          </w:p>
        </w:tc>
        <w:tc>
          <w:tcPr>
            <w:tcW w:w="1507" w:type="dxa"/>
            <w:vAlign w:val="center"/>
          </w:tcPr>
          <w:p w14:paraId="3122569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5750.4-2023</w:t>
            </w:r>
          </w:p>
        </w:tc>
        <w:tc>
          <w:tcPr>
            <w:tcW w:w="2490" w:type="dxa"/>
            <w:vAlign w:val="center"/>
          </w:tcPr>
          <w:p w14:paraId="0D6FBCC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滴定管KDJC-YQ-122</w:t>
            </w:r>
          </w:p>
        </w:tc>
        <w:tc>
          <w:tcPr>
            <w:tcW w:w="942" w:type="dxa"/>
            <w:vAlign w:val="center"/>
          </w:tcPr>
          <w:p w14:paraId="219F5BD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1.0mg/L</w:t>
            </w:r>
          </w:p>
        </w:tc>
      </w:tr>
      <w:tr w14:paraId="202C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493ACFC0">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39AA5AC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溶解性总固体</w:t>
            </w:r>
          </w:p>
        </w:tc>
        <w:tc>
          <w:tcPr>
            <w:tcW w:w="1178" w:type="dxa"/>
            <w:vAlign w:val="center"/>
          </w:tcPr>
          <w:p w14:paraId="4C5045F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称量法</w:t>
            </w:r>
          </w:p>
        </w:tc>
        <w:tc>
          <w:tcPr>
            <w:tcW w:w="1507" w:type="dxa"/>
            <w:vAlign w:val="center"/>
          </w:tcPr>
          <w:p w14:paraId="0E8B16E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5750.4-2023</w:t>
            </w:r>
          </w:p>
        </w:tc>
        <w:tc>
          <w:tcPr>
            <w:tcW w:w="2490" w:type="dxa"/>
            <w:vAlign w:val="center"/>
          </w:tcPr>
          <w:p w14:paraId="4DE0136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天平ML204T∕02</w:t>
            </w:r>
          </w:p>
          <w:p w14:paraId="245AE50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KDJC-YQ-082</w:t>
            </w:r>
          </w:p>
        </w:tc>
        <w:tc>
          <w:tcPr>
            <w:tcW w:w="942" w:type="dxa"/>
            <w:vAlign w:val="center"/>
          </w:tcPr>
          <w:p w14:paraId="0EE5163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12C77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3E4B4AF6">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6DD9BF7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耗氧量</w:t>
            </w:r>
          </w:p>
        </w:tc>
        <w:tc>
          <w:tcPr>
            <w:tcW w:w="1178" w:type="dxa"/>
            <w:vAlign w:val="center"/>
          </w:tcPr>
          <w:p w14:paraId="7F6AA67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滴定法</w:t>
            </w:r>
          </w:p>
        </w:tc>
        <w:tc>
          <w:tcPr>
            <w:tcW w:w="1507" w:type="dxa"/>
            <w:vAlign w:val="center"/>
          </w:tcPr>
          <w:p w14:paraId="408856F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5750.7-2023</w:t>
            </w:r>
          </w:p>
        </w:tc>
        <w:tc>
          <w:tcPr>
            <w:tcW w:w="2490" w:type="dxa"/>
            <w:vAlign w:val="center"/>
          </w:tcPr>
          <w:p w14:paraId="42EC956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滴定管KDJC-YQ-124</w:t>
            </w:r>
          </w:p>
        </w:tc>
        <w:tc>
          <w:tcPr>
            <w:tcW w:w="942" w:type="dxa"/>
            <w:vAlign w:val="center"/>
          </w:tcPr>
          <w:p w14:paraId="2A418CB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0.05mg/L</w:t>
            </w:r>
          </w:p>
        </w:tc>
      </w:tr>
      <w:tr w14:paraId="6466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2E513104">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37610D6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硝酸盐氮</w:t>
            </w:r>
          </w:p>
        </w:tc>
        <w:tc>
          <w:tcPr>
            <w:tcW w:w="1178" w:type="dxa"/>
            <w:vAlign w:val="center"/>
          </w:tcPr>
          <w:p w14:paraId="2AB23C5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分光光度法</w:t>
            </w:r>
          </w:p>
        </w:tc>
        <w:tc>
          <w:tcPr>
            <w:tcW w:w="1507" w:type="dxa"/>
            <w:vAlign w:val="center"/>
          </w:tcPr>
          <w:p w14:paraId="404E9A0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5750.5-2023</w:t>
            </w:r>
          </w:p>
        </w:tc>
        <w:tc>
          <w:tcPr>
            <w:tcW w:w="2490" w:type="dxa"/>
            <w:vAlign w:val="center"/>
          </w:tcPr>
          <w:p w14:paraId="7EAB634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紫外可见分光光度计 TU-1900 KDJC-YQ-077</w:t>
            </w:r>
          </w:p>
        </w:tc>
        <w:tc>
          <w:tcPr>
            <w:tcW w:w="942" w:type="dxa"/>
            <w:vAlign w:val="center"/>
          </w:tcPr>
          <w:p w14:paraId="0A1D980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0.2mg/L</w:t>
            </w:r>
          </w:p>
        </w:tc>
      </w:tr>
      <w:tr w14:paraId="720FC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7BA22842">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0D7A0B6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亚硝酸盐氮</w:t>
            </w:r>
          </w:p>
        </w:tc>
        <w:tc>
          <w:tcPr>
            <w:tcW w:w="1178" w:type="dxa"/>
            <w:vAlign w:val="center"/>
          </w:tcPr>
          <w:p w14:paraId="68AC56E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分光光度法</w:t>
            </w:r>
          </w:p>
        </w:tc>
        <w:tc>
          <w:tcPr>
            <w:tcW w:w="1507" w:type="dxa"/>
            <w:vAlign w:val="center"/>
          </w:tcPr>
          <w:p w14:paraId="4581B13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5750.5-2023</w:t>
            </w:r>
          </w:p>
        </w:tc>
        <w:tc>
          <w:tcPr>
            <w:tcW w:w="2490" w:type="dxa"/>
            <w:vAlign w:val="center"/>
          </w:tcPr>
          <w:p w14:paraId="600CCF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紫外可见分光光度计 TU-1900 KDJC-YQ-077</w:t>
            </w:r>
          </w:p>
        </w:tc>
        <w:tc>
          <w:tcPr>
            <w:tcW w:w="942" w:type="dxa"/>
            <w:vAlign w:val="center"/>
          </w:tcPr>
          <w:p w14:paraId="5E2A70E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0.001mg/L</w:t>
            </w:r>
          </w:p>
        </w:tc>
      </w:tr>
      <w:tr w14:paraId="3AB9A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6D51CBFF">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128576C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氨氮</w:t>
            </w:r>
          </w:p>
        </w:tc>
        <w:tc>
          <w:tcPr>
            <w:tcW w:w="1178" w:type="dxa"/>
            <w:vAlign w:val="center"/>
          </w:tcPr>
          <w:p w14:paraId="20D6D30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分光光度法</w:t>
            </w:r>
          </w:p>
        </w:tc>
        <w:tc>
          <w:tcPr>
            <w:tcW w:w="1507" w:type="dxa"/>
            <w:vAlign w:val="center"/>
          </w:tcPr>
          <w:p w14:paraId="2C01AF3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5750.5-2023</w:t>
            </w:r>
          </w:p>
        </w:tc>
        <w:tc>
          <w:tcPr>
            <w:tcW w:w="2490" w:type="dxa"/>
            <w:vAlign w:val="center"/>
          </w:tcPr>
          <w:p w14:paraId="33FDBD0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紫外可见分光光度计 TU-1900 KDJC-YQ-077</w:t>
            </w:r>
          </w:p>
        </w:tc>
        <w:tc>
          <w:tcPr>
            <w:tcW w:w="942" w:type="dxa"/>
            <w:vAlign w:val="center"/>
          </w:tcPr>
          <w:p w14:paraId="4E2EE7A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0.02mg/L</w:t>
            </w:r>
          </w:p>
        </w:tc>
      </w:tr>
      <w:tr w14:paraId="27EE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5AC231A5">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61328C0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氰化物</w:t>
            </w:r>
          </w:p>
        </w:tc>
        <w:tc>
          <w:tcPr>
            <w:tcW w:w="1178" w:type="dxa"/>
            <w:vAlign w:val="center"/>
          </w:tcPr>
          <w:p w14:paraId="608FC29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分光光度法</w:t>
            </w:r>
          </w:p>
        </w:tc>
        <w:tc>
          <w:tcPr>
            <w:tcW w:w="1507" w:type="dxa"/>
            <w:vAlign w:val="center"/>
          </w:tcPr>
          <w:p w14:paraId="0A7E737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5750.5-2023</w:t>
            </w:r>
          </w:p>
        </w:tc>
        <w:tc>
          <w:tcPr>
            <w:tcW w:w="2490" w:type="dxa"/>
            <w:vAlign w:val="center"/>
          </w:tcPr>
          <w:p w14:paraId="2BA95B8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紫外可见分光光度计 TU-1900 KDJC-YQ-077</w:t>
            </w:r>
          </w:p>
        </w:tc>
        <w:tc>
          <w:tcPr>
            <w:tcW w:w="942" w:type="dxa"/>
            <w:vAlign w:val="center"/>
          </w:tcPr>
          <w:p w14:paraId="568D052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0.002mg/L</w:t>
            </w:r>
          </w:p>
        </w:tc>
      </w:tr>
      <w:tr w14:paraId="3D48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22E74AD5">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6A438CB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氟化物</w:t>
            </w:r>
          </w:p>
        </w:tc>
        <w:tc>
          <w:tcPr>
            <w:tcW w:w="1178" w:type="dxa"/>
            <w:vAlign w:val="center"/>
          </w:tcPr>
          <w:p w14:paraId="2151147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离子选择电极法</w:t>
            </w:r>
          </w:p>
        </w:tc>
        <w:tc>
          <w:tcPr>
            <w:tcW w:w="1507" w:type="dxa"/>
            <w:vAlign w:val="center"/>
          </w:tcPr>
          <w:p w14:paraId="3264A1D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5750.5-2023</w:t>
            </w:r>
          </w:p>
        </w:tc>
        <w:tc>
          <w:tcPr>
            <w:tcW w:w="2490" w:type="dxa"/>
            <w:vAlign w:val="center"/>
          </w:tcPr>
          <w:p w14:paraId="3155920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PHS-25型pH计PHS-25</w:t>
            </w:r>
          </w:p>
          <w:p w14:paraId="1B4F4D5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KDJC-YQ-127</w:t>
            </w:r>
          </w:p>
        </w:tc>
        <w:tc>
          <w:tcPr>
            <w:tcW w:w="942" w:type="dxa"/>
            <w:vAlign w:val="center"/>
          </w:tcPr>
          <w:p w14:paraId="6575579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0.2mg/L</w:t>
            </w:r>
          </w:p>
        </w:tc>
      </w:tr>
      <w:tr w14:paraId="69F0A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2C85A8E6">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728FC14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硫化物</w:t>
            </w:r>
          </w:p>
        </w:tc>
        <w:tc>
          <w:tcPr>
            <w:tcW w:w="1178" w:type="dxa"/>
            <w:vAlign w:val="center"/>
          </w:tcPr>
          <w:p w14:paraId="0D8ACA0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分光光度法</w:t>
            </w:r>
          </w:p>
        </w:tc>
        <w:tc>
          <w:tcPr>
            <w:tcW w:w="1507" w:type="dxa"/>
            <w:vAlign w:val="center"/>
          </w:tcPr>
          <w:p w14:paraId="42E7AC0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5750.5-2023</w:t>
            </w:r>
          </w:p>
        </w:tc>
        <w:tc>
          <w:tcPr>
            <w:tcW w:w="2490" w:type="dxa"/>
            <w:vAlign w:val="center"/>
          </w:tcPr>
          <w:p w14:paraId="5CD6006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紫外可见分光光度计 TU-1900 KDJC-YQ-077</w:t>
            </w:r>
          </w:p>
        </w:tc>
        <w:tc>
          <w:tcPr>
            <w:tcW w:w="942" w:type="dxa"/>
            <w:vAlign w:val="center"/>
          </w:tcPr>
          <w:p w14:paraId="67F083F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0.02mg/L</w:t>
            </w:r>
          </w:p>
        </w:tc>
      </w:tr>
      <w:tr w14:paraId="32DA6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1E185DFA">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3BBE24C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铜</w:t>
            </w:r>
          </w:p>
        </w:tc>
        <w:tc>
          <w:tcPr>
            <w:tcW w:w="1178" w:type="dxa"/>
            <w:vAlign w:val="center"/>
          </w:tcPr>
          <w:p w14:paraId="33BFABF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原子吸收分光光度法</w:t>
            </w:r>
          </w:p>
        </w:tc>
        <w:tc>
          <w:tcPr>
            <w:tcW w:w="1507" w:type="dxa"/>
            <w:vAlign w:val="center"/>
          </w:tcPr>
          <w:p w14:paraId="0490311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5750.6-2023</w:t>
            </w:r>
          </w:p>
        </w:tc>
        <w:tc>
          <w:tcPr>
            <w:tcW w:w="2490" w:type="dxa"/>
            <w:vAlign w:val="center"/>
          </w:tcPr>
          <w:p w14:paraId="2B5A6CE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原子吸收分光光度计SP-3805AA</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KDJC-YQ-076</w:t>
            </w:r>
          </w:p>
        </w:tc>
        <w:tc>
          <w:tcPr>
            <w:tcW w:w="942" w:type="dxa"/>
            <w:vAlign w:val="center"/>
          </w:tcPr>
          <w:p w14:paraId="3AE0A01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0.02mg/L</w:t>
            </w:r>
          </w:p>
        </w:tc>
      </w:tr>
      <w:tr w14:paraId="5B093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01F56A04">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691F343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锌</w:t>
            </w:r>
          </w:p>
        </w:tc>
        <w:tc>
          <w:tcPr>
            <w:tcW w:w="1178" w:type="dxa"/>
            <w:vAlign w:val="center"/>
          </w:tcPr>
          <w:p w14:paraId="3867C08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原子吸收分光光度法</w:t>
            </w:r>
          </w:p>
        </w:tc>
        <w:tc>
          <w:tcPr>
            <w:tcW w:w="1507" w:type="dxa"/>
            <w:vAlign w:val="center"/>
          </w:tcPr>
          <w:p w14:paraId="1A28204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5750.6-2023</w:t>
            </w:r>
          </w:p>
        </w:tc>
        <w:tc>
          <w:tcPr>
            <w:tcW w:w="2490" w:type="dxa"/>
            <w:vAlign w:val="center"/>
          </w:tcPr>
          <w:p w14:paraId="79EE80B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原子吸收分光光度计SP-3805AA</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KDJC-YQ-076</w:t>
            </w:r>
          </w:p>
        </w:tc>
        <w:tc>
          <w:tcPr>
            <w:tcW w:w="942" w:type="dxa"/>
            <w:vAlign w:val="center"/>
          </w:tcPr>
          <w:p w14:paraId="0EB53B0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0.004mg/L</w:t>
            </w:r>
          </w:p>
        </w:tc>
      </w:tr>
      <w:tr w14:paraId="7B09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29C69CE3">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25D6096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镍</w:t>
            </w:r>
          </w:p>
        </w:tc>
        <w:tc>
          <w:tcPr>
            <w:tcW w:w="1178" w:type="dxa"/>
            <w:vAlign w:val="center"/>
          </w:tcPr>
          <w:p w14:paraId="0B41043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原子吸收分光光度法</w:t>
            </w:r>
          </w:p>
        </w:tc>
        <w:tc>
          <w:tcPr>
            <w:tcW w:w="1507" w:type="dxa"/>
            <w:vAlign w:val="center"/>
          </w:tcPr>
          <w:p w14:paraId="7091B99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5750.6-2023</w:t>
            </w:r>
          </w:p>
        </w:tc>
        <w:tc>
          <w:tcPr>
            <w:tcW w:w="2490" w:type="dxa"/>
            <w:vAlign w:val="center"/>
          </w:tcPr>
          <w:p w14:paraId="20F6439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原子吸收分光光度计SP-3805AA</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KDJC-YQ-076</w:t>
            </w:r>
          </w:p>
        </w:tc>
        <w:tc>
          <w:tcPr>
            <w:tcW w:w="942" w:type="dxa"/>
            <w:vAlign w:val="center"/>
          </w:tcPr>
          <w:p w14:paraId="5128815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5μg/L</w:t>
            </w:r>
          </w:p>
        </w:tc>
      </w:tr>
      <w:tr w14:paraId="1B844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7A2D0F00">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3732955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砷</w:t>
            </w:r>
          </w:p>
        </w:tc>
        <w:tc>
          <w:tcPr>
            <w:tcW w:w="1178" w:type="dxa"/>
            <w:vAlign w:val="center"/>
          </w:tcPr>
          <w:p w14:paraId="3510AC3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原子荧光法</w:t>
            </w:r>
          </w:p>
        </w:tc>
        <w:tc>
          <w:tcPr>
            <w:tcW w:w="1507" w:type="dxa"/>
            <w:vAlign w:val="center"/>
          </w:tcPr>
          <w:p w14:paraId="2C6192E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5750.6-2023</w:t>
            </w:r>
          </w:p>
        </w:tc>
        <w:tc>
          <w:tcPr>
            <w:tcW w:w="2490" w:type="dxa"/>
            <w:vAlign w:val="center"/>
          </w:tcPr>
          <w:p w14:paraId="0F8A3ED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原子荧光光度计AFS-8220</w:t>
            </w:r>
          </w:p>
          <w:p w14:paraId="2CB1498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KDJC-YQ-063</w:t>
            </w:r>
          </w:p>
        </w:tc>
        <w:tc>
          <w:tcPr>
            <w:tcW w:w="942" w:type="dxa"/>
            <w:vAlign w:val="center"/>
          </w:tcPr>
          <w:p w14:paraId="34CBE33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1.0μg/L</w:t>
            </w:r>
          </w:p>
        </w:tc>
      </w:tr>
      <w:tr w14:paraId="7B87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20659633">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5D42D03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汞</w:t>
            </w:r>
          </w:p>
        </w:tc>
        <w:tc>
          <w:tcPr>
            <w:tcW w:w="1178" w:type="dxa"/>
            <w:vAlign w:val="center"/>
          </w:tcPr>
          <w:p w14:paraId="0312995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原子荧光法</w:t>
            </w:r>
          </w:p>
        </w:tc>
        <w:tc>
          <w:tcPr>
            <w:tcW w:w="1507" w:type="dxa"/>
            <w:vAlign w:val="center"/>
          </w:tcPr>
          <w:p w14:paraId="1A42894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5750.6-2023</w:t>
            </w:r>
          </w:p>
        </w:tc>
        <w:tc>
          <w:tcPr>
            <w:tcW w:w="2490" w:type="dxa"/>
            <w:vAlign w:val="center"/>
          </w:tcPr>
          <w:p w14:paraId="685A13C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原子荧光光度计AFS-8220</w:t>
            </w:r>
          </w:p>
          <w:p w14:paraId="0763B6F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KDJC-YQ-063</w:t>
            </w:r>
          </w:p>
        </w:tc>
        <w:tc>
          <w:tcPr>
            <w:tcW w:w="942" w:type="dxa"/>
            <w:vAlign w:val="center"/>
          </w:tcPr>
          <w:p w14:paraId="76902C3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0.1μg/L</w:t>
            </w:r>
          </w:p>
        </w:tc>
      </w:tr>
      <w:tr w14:paraId="7E3B5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5B4E8B6F">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0BD2C81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镉</w:t>
            </w:r>
          </w:p>
        </w:tc>
        <w:tc>
          <w:tcPr>
            <w:tcW w:w="1178" w:type="dxa"/>
            <w:vAlign w:val="center"/>
          </w:tcPr>
          <w:p w14:paraId="252EBD6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原子吸收分光光度法</w:t>
            </w:r>
          </w:p>
        </w:tc>
        <w:tc>
          <w:tcPr>
            <w:tcW w:w="1507" w:type="dxa"/>
            <w:vAlign w:val="center"/>
          </w:tcPr>
          <w:p w14:paraId="39E69C8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5750.6-2023</w:t>
            </w:r>
          </w:p>
        </w:tc>
        <w:tc>
          <w:tcPr>
            <w:tcW w:w="2490" w:type="dxa"/>
            <w:vAlign w:val="center"/>
          </w:tcPr>
          <w:p w14:paraId="0BBED2C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原子吸收分光光度计SP-3805AA</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KDJC-YQ-076</w:t>
            </w:r>
          </w:p>
        </w:tc>
        <w:tc>
          <w:tcPr>
            <w:tcW w:w="942" w:type="dxa"/>
            <w:vAlign w:val="center"/>
          </w:tcPr>
          <w:p w14:paraId="2918BC2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0.5μg/L</w:t>
            </w:r>
          </w:p>
        </w:tc>
      </w:tr>
      <w:tr w14:paraId="2037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10D0AC2D">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03FF3F5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六价铬</w:t>
            </w:r>
          </w:p>
        </w:tc>
        <w:tc>
          <w:tcPr>
            <w:tcW w:w="1178" w:type="dxa"/>
            <w:vAlign w:val="center"/>
          </w:tcPr>
          <w:p w14:paraId="632896A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分光光度法</w:t>
            </w:r>
          </w:p>
        </w:tc>
        <w:tc>
          <w:tcPr>
            <w:tcW w:w="1507" w:type="dxa"/>
            <w:vAlign w:val="center"/>
          </w:tcPr>
          <w:p w14:paraId="6214EA4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5750.6-2023</w:t>
            </w:r>
          </w:p>
        </w:tc>
        <w:tc>
          <w:tcPr>
            <w:tcW w:w="2490" w:type="dxa"/>
            <w:vAlign w:val="center"/>
          </w:tcPr>
          <w:p w14:paraId="18AE443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紫外可见分光光度计 TU-1900 KDJC-YQ-077</w:t>
            </w:r>
          </w:p>
        </w:tc>
        <w:tc>
          <w:tcPr>
            <w:tcW w:w="942" w:type="dxa"/>
            <w:vAlign w:val="center"/>
          </w:tcPr>
          <w:p w14:paraId="181A64C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0.004mg/L</w:t>
            </w:r>
          </w:p>
        </w:tc>
      </w:tr>
      <w:tr w14:paraId="60AF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10E6C119">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57FC3BF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铅</w:t>
            </w:r>
          </w:p>
        </w:tc>
        <w:tc>
          <w:tcPr>
            <w:tcW w:w="1178" w:type="dxa"/>
            <w:vAlign w:val="center"/>
          </w:tcPr>
          <w:p w14:paraId="3716253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原子吸收分光光度法</w:t>
            </w:r>
          </w:p>
        </w:tc>
        <w:tc>
          <w:tcPr>
            <w:tcW w:w="1507" w:type="dxa"/>
            <w:vAlign w:val="center"/>
          </w:tcPr>
          <w:p w14:paraId="3437833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5750.6-2023</w:t>
            </w:r>
          </w:p>
        </w:tc>
        <w:tc>
          <w:tcPr>
            <w:tcW w:w="2490" w:type="dxa"/>
            <w:vAlign w:val="center"/>
          </w:tcPr>
          <w:p w14:paraId="4FEE302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原子吸收分光光度计SP-3805AA</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KDJC-YQ-076</w:t>
            </w:r>
          </w:p>
        </w:tc>
        <w:tc>
          <w:tcPr>
            <w:tcW w:w="942" w:type="dxa"/>
            <w:vAlign w:val="center"/>
          </w:tcPr>
          <w:p w14:paraId="0C75A89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2.5μg/L</w:t>
            </w:r>
          </w:p>
        </w:tc>
      </w:tr>
      <w:tr w14:paraId="1DB8A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3255B52A">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1F36F71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总大肠菌群</w:t>
            </w:r>
          </w:p>
        </w:tc>
        <w:tc>
          <w:tcPr>
            <w:tcW w:w="1178" w:type="dxa"/>
            <w:vAlign w:val="center"/>
          </w:tcPr>
          <w:p w14:paraId="2EE297D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多管发酵法</w:t>
            </w:r>
          </w:p>
        </w:tc>
        <w:tc>
          <w:tcPr>
            <w:tcW w:w="1507" w:type="dxa"/>
            <w:vAlign w:val="center"/>
          </w:tcPr>
          <w:p w14:paraId="42416D7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5750.12-2023</w:t>
            </w:r>
          </w:p>
        </w:tc>
        <w:tc>
          <w:tcPr>
            <w:tcW w:w="2490" w:type="dxa"/>
            <w:vAlign w:val="center"/>
          </w:tcPr>
          <w:p w14:paraId="604DFC2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生化培养箱 SPX-250B-Z KDJC-YQ-072</w:t>
            </w:r>
          </w:p>
        </w:tc>
        <w:tc>
          <w:tcPr>
            <w:tcW w:w="942" w:type="dxa"/>
            <w:vAlign w:val="center"/>
          </w:tcPr>
          <w:p w14:paraId="4E25923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 MPN/</w:t>
            </w:r>
            <w:r>
              <w:rPr>
                <w:rFonts w:hint="eastAsia"/>
                <w:color w:val="000000" w:themeColor="text1"/>
                <w:sz w:val="21"/>
                <w:szCs w:val="21"/>
                <w:highlight w:val="none"/>
                <w:lang w:val="en-US" w:eastAsia="zh-CN"/>
                <w14:textFill>
                  <w14:solidFill>
                    <w14:schemeClr w14:val="tx1"/>
                  </w14:solidFill>
                </w14:textFill>
              </w:rPr>
              <w:t xml:space="preserve"> </w:t>
            </w:r>
            <w:r>
              <w:rPr>
                <w:color w:val="000000" w:themeColor="text1"/>
                <w:sz w:val="21"/>
                <w:szCs w:val="21"/>
                <w:highlight w:val="none"/>
                <w14:textFill>
                  <w14:solidFill>
                    <w14:schemeClr w14:val="tx1"/>
                  </w14:solidFill>
                </w14:textFill>
              </w:rPr>
              <w:t>100mL</w:t>
            </w:r>
          </w:p>
        </w:tc>
      </w:tr>
      <w:tr w14:paraId="4DFF5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64096D27">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7D94042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硫酸盐</w:t>
            </w:r>
          </w:p>
        </w:tc>
        <w:tc>
          <w:tcPr>
            <w:tcW w:w="1178" w:type="dxa"/>
            <w:vAlign w:val="center"/>
          </w:tcPr>
          <w:p w14:paraId="1C43AB8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分光光度法</w:t>
            </w:r>
          </w:p>
        </w:tc>
        <w:tc>
          <w:tcPr>
            <w:tcW w:w="1507" w:type="dxa"/>
            <w:vAlign w:val="center"/>
          </w:tcPr>
          <w:p w14:paraId="4EED798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5750.5-2023</w:t>
            </w:r>
          </w:p>
        </w:tc>
        <w:tc>
          <w:tcPr>
            <w:tcW w:w="2490" w:type="dxa"/>
            <w:vAlign w:val="center"/>
          </w:tcPr>
          <w:p w14:paraId="744C26A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紫外可见分光光度计 TU-1900 KDJC-YQ-077</w:t>
            </w:r>
          </w:p>
        </w:tc>
        <w:tc>
          <w:tcPr>
            <w:tcW w:w="942" w:type="dxa"/>
            <w:vAlign w:val="center"/>
          </w:tcPr>
          <w:p w14:paraId="10CA6BC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5mg/L</w:t>
            </w:r>
          </w:p>
        </w:tc>
      </w:tr>
      <w:tr w14:paraId="054B6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7A35DE9A">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7F856CF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氯化物</w:t>
            </w:r>
          </w:p>
        </w:tc>
        <w:tc>
          <w:tcPr>
            <w:tcW w:w="1178" w:type="dxa"/>
            <w:vAlign w:val="center"/>
          </w:tcPr>
          <w:p w14:paraId="373C6E8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硝酸银</w:t>
            </w:r>
            <w:r>
              <w:rPr>
                <w:rFonts w:hint="eastAsia"/>
                <w:color w:val="000000" w:themeColor="text1"/>
                <w:sz w:val="21"/>
                <w:szCs w:val="21"/>
                <w:highlight w:val="none"/>
                <w14:textFill>
                  <w14:solidFill>
                    <w14:schemeClr w14:val="tx1"/>
                  </w14:solidFill>
                </w14:textFill>
              </w:rPr>
              <w:t>滴定法</w:t>
            </w:r>
          </w:p>
        </w:tc>
        <w:tc>
          <w:tcPr>
            <w:tcW w:w="1507" w:type="dxa"/>
            <w:vAlign w:val="center"/>
          </w:tcPr>
          <w:p w14:paraId="2711B15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GB/T 5750.5-2023</w:t>
            </w:r>
          </w:p>
        </w:tc>
        <w:tc>
          <w:tcPr>
            <w:tcW w:w="2490" w:type="dxa"/>
            <w:vAlign w:val="center"/>
          </w:tcPr>
          <w:p w14:paraId="3281503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紫外可见分光光度计 TU-1900 KDJC-YQ-077</w:t>
            </w:r>
          </w:p>
        </w:tc>
        <w:tc>
          <w:tcPr>
            <w:tcW w:w="942" w:type="dxa"/>
            <w:vAlign w:val="center"/>
          </w:tcPr>
          <w:p w14:paraId="0D25BA1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1.0mg/L</w:t>
            </w:r>
          </w:p>
        </w:tc>
      </w:tr>
      <w:tr w14:paraId="6824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7B117823">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094FEA8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Ca2+</w:t>
            </w:r>
          </w:p>
        </w:tc>
        <w:tc>
          <w:tcPr>
            <w:tcW w:w="1178" w:type="dxa"/>
            <w:vAlign w:val="center"/>
          </w:tcPr>
          <w:p w14:paraId="4166BBD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离子色谱法</w:t>
            </w:r>
          </w:p>
        </w:tc>
        <w:tc>
          <w:tcPr>
            <w:tcW w:w="1507" w:type="dxa"/>
            <w:vAlign w:val="center"/>
          </w:tcPr>
          <w:p w14:paraId="27CBDA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 812-2016</w:t>
            </w:r>
          </w:p>
        </w:tc>
        <w:tc>
          <w:tcPr>
            <w:tcW w:w="2490" w:type="dxa"/>
            <w:vAlign w:val="center"/>
          </w:tcPr>
          <w:p w14:paraId="5B19DB8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离子色谱仪 CIC-D100</w:t>
            </w:r>
          </w:p>
          <w:p w14:paraId="3CAC354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KDJC-YQ-195</w:t>
            </w:r>
          </w:p>
        </w:tc>
        <w:tc>
          <w:tcPr>
            <w:tcW w:w="942" w:type="dxa"/>
            <w:vAlign w:val="center"/>
          </w:tcPr>
          <w:p w14:paraId="691456E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0.03mg/L</w:t>
            </w:r>
          </w:p>
        </w:tc>
      </w:tr>
      <w:tr w14:paraId="4E19E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0C1B0886">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0D8C417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Mg2+</w:t>
            </w:r>
          </w:p>
        </w:tc>
        <w:tc>
          <w:tcPr>
            <w:tcW w:w="1178" w:type="dxa"/>
            <w:vAlign w:val="center"/>
          </w:tcPr>
          <w:p w14:paraId="7E0654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离子色谱法</w:t>
            </w:r>
          </w:p>
        </w:tc>
        <w:tc>
          <w:tcPr>
            <w:tcW w:w="1507" w:type="dxa"/>
            <w:vAlign w:val="center"/>
          </w:tcPr>
          <w:p w14:paraId="357E8A1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 812-2016</w:t>
            </w:r>
          </w:p>
        </w:tc>
        <w:tc>
          <w:tcPr>
            <w:tcW w:w="2490" w:type="dxa"/>
            <w:vAlign w:val="center"/>
          </w:tcPr>
          <w:p w14:paraId="6CF2E79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离子色谱仪 CIC-D100</w:t>
            </w:r>
          </w:p>
          <w:p w14:paraId="2ECE01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KDJC-YQ-195</w:t>
            </w:r>
          </w:p>
        </w:tc>
        <w:tc>
          <w:tcPr>
            <w:tcW w:w="942" w:type="dxa"/>
            <w:vAlign w:val="center"/>
          </w:tcPr>
          <w:p w14:paraId="28C514D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0.02mg/L</w:t>
            </w:r>
          </w:p>
        </w:tc>
      </w:tr>
      <w:tr w14:paraId="5DD3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1DEAFCD6">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1C7497A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Na+</w:t>
            </w:r>
          </w:p>
        </w:tc>
        <w:tc>
          <w:tcPr>
            <w:tcW w:w="1178" w:type="dxa"/>
            <w:vAlign w:val="center"/>
          </w:tcPr>
          <w:p w14:paraId="0975FB1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离子色谱法</w:t>
            </w:r>
          </w:p>
        </w:tc>
        <w:tc>
          <w:tcPr>
            <w:tcW w:w="1507" w:type="dxa"/>
            <w:vAlign w:val="center"/>
          </w:tcPr>
          <w:p w14:paraId="7B299A3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 812-2016</w:t>
            </w:r>
          </w:p>
        </w:tc>
        <w:tc>
          <w:tcPr>
            <w:tcW w:w="2490" w:type="dxa"/>
            <w:vAlign w:val="center"/>
          </w:tcPr>
          <w:p w14:paraId="06BBB14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离子色谱仪 CIC-D100</w:t>
            </w:r>
          </w:p>
          <w:p w14:paraId="11B8E1C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KDJC-YQ-195</w:t>
            </w:r>
          </w:p>
        </w:tc>
        <w:tc>
          <w:tcPr>
            <w:tcW w:w="942" w:type="dxa"/>
            <w:vAlign w:val="center"/>
          </w:tcPr>
          <w:p w14:paraId="180B7ED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0.02mg/L</w:t>
            </w:r>
          </w:p>
        </w:tc>
      </w:tr>
      <w:tr w14:paraId="132BF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09B7AFA3">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54E40E0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w:t>
            </w:r>
          </w:p>
        </w:tc>
        <w:tc>
          <w:tcPr>
            <w:tcW w:w="1178" w:type="dxa"/>
            <w:vAlign w:val="center"/>
          </w:tcPr>
          <w:p w14:paraId="6919285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离子色谱法</w:t>
            </w:r>
          </w:p>
        </w:tc>
        <w:tc>
          <w:tcPr>
            <w:tcW w:w="1507" w:type="dxa"/>
            <w:vAlign w:val="center"/>
          </w:tcPr>
          <w:p w14:paraId="7E03D0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 812-2016</w:t>
            </w:r>
          </w:p>
        </w:tc>
        <w:tc>
          <w:tcPr>
            <w:tcW w:w="2490" w:type="dxa"/>
            <w:vAlign w:val="center"/>
          </w:tcPr>
          <w:p w14:paraId="52E6A1F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离子色谱仪 CIC-D100</w:t>
            </w:r>
          </w:p>
          <w:p w14:paraId="493AE7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KDJC-YQ-195</w:t>
            </w:r>
          </w:p>
        </w:tc>
        <w:tc>
          <w:tcPr>
            <w:tcW w:w="942" w:type="dxa"/>
            <w:vAlign w:val="center"/>
          </w:tcPr>
          <w:p w14:paraId="013CE8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0.02mg/L</w:t>
            </w:r>
          </w:p>
        </w:tc>
      </w:tr>
      <w:tr w14:paraId="683B4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841" w:type="dxa"/>
            <w:vMerge w:val="continue"/>
            <w:vAlign w:val="center"/>
          </w:tcPr>
          <w:p w14:paraId="35814192">
            <w:pPr>
              <w:spacing w:line="240" w:lineRule="auto"/>
              <w:jc w:val="center"/>
              <w:rPr>
                <w:color w:val="000000" w:themeColor="text1"/>
                <w:sz w:val="21"/>
                <w:szCs w:val="21"/>
                <w:highlight w:val="none"/>
                <w14:textFill>
                  <w14:solidFill>
                    <w14:schemeClr w14:val="tx1"/>
                  </w14:solidFill>
                </w14:textFill>
              </w:rPr>
            </w:pPr>
          </w:p>
        </w:tc>
        <w:tc>
          <w:tcPr>
            <w:tcW w:w="1407" w:type="dxa"/>
            <w:vAlign w:val="center"/>
          </w:tcPr>
          <w:p w14:paraId="1477828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重碳酸盐</w:t>
            </w:r>
          </w:p>
        </w:tc>
        <w:tc>
          <w:tcPr>
            <w:tcW w:w="1178" w:type="dxa"/>
            <w:vAlign w:val="center"/>
          </w:tcPr>
          <w:p w14:paraId="2A0522D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滴定法</w:t>
            </w:r>
          </w:p>
        </w:tc>
        <w:tc>
          <w:tcPr>
            <w:tcW w:w="1507" w:type="dxa"/>
            <w:vAlign w:val="center"/>
          </w:tcPr>
          <w:p w14:paraId="14135F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国家环保总局（2003）（第四版）（增补版）</w:t>
            </w:r>
          </w:p>
        </w:tc>
        <w:tc>
          <w:tcPr>
            <w:tcW w:w="2490" w:type="dxa"/>
            <w:vAlign w:val="center"/>
          </w:tcPr>
          <w:p w14:paraId="527B68B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滴定管KDJC-YQ-124</w:t>
            </w:r>
          </w:p>
        </w:tc>
        <w:tc>
          <w:tcPr>
            <w:tcW w:w="942" w:type="dxa"/>
            <w:vAlign w:val="center"/>
          </w:tcPr>
          <w:p w14:paraId="30BA579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bl>
    <w:p w14:paraId="382478A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5、监测结果</w:t>
      </w:r>
    </w:p>
    <w:p w14:paraId="30C2800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本次地下水现状监测结果及水文参数统计见表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w:t>
      </w:r>
    </w:p>
    <w:p w14:paraId="5895568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1</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监测结果统计表</w:t>
      </w:r>
    </w:p>
    <w:tbl>
      <w:tblPr>
        <w:tblStyle w:val="33"/>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1879"/>
        <w:gridCol w:w="1957"/>
        <w:gridCol w:w="1772"/>
      </w:tblGrid>
      <w:tr w14:paraId="6D3F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0" w:type="dxa"/>
            <w:gridSpan w:val="2"/>
            <w:vAlign w:val="center"/>
          </w:tcPr>
          <w:p w14:paraId="2663159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采样时间</w:t>
            </w:r>
          </w:p>
        </w:tc>
        <w:tc>
          <w:tcPr>
            <w:tcW w:w="3729" w:type="dxa"/>
            <w:gridSpan w:val="2"/>
            <w:vAlign w:val="center"/>
          </w:tcPr>
          <w:p w14:paraId="173F58F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点位</w:t>
            </w:r>
          </w:p>
        </w:tc>
      </w:tr>
      <w:tr w14:paraId="3CE6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50" w:type="dxa"/>
            <w:gridSpan w:val="2"/>
            <w:vAlign w:val="center"/>
          </w:tcPr>
          <w:p w14:paraId="2237C227">
            <w:pPr>
              <w:spacing w:line="240" w:lineRule="auto"/>
              <w:jc w:val="center"/>
              <w:rPr>
                <w:rFonts w:hint="eastAsia" w:ascii="Times New Roman" w:hAnsi="Times New Roman" w:eastAsia="宋体" w:cs="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b/>
                <w:bCs/>
                <w:color w:val="000000" w:themeColor="text1"/>
                <w:sz w:val="21"/>
                <w:szCs w:val="21"/>
                <w:highlight w:val="none"/>
                <w:lang w:val="en-US" w:eastAsia="zh-CN"/>
                <w14:textFill>
                  <w14:solidFill>
                    <w14:schemeClr w14:val="tx1"/>
                  </w14:solidFill>
                </w14:textFill>
              </w:rPr>
              <w:t>2023.6.30</w:t>
            </w:r>
          </w:p>
        </w:tc>
        <w:tc>
          <w:tcPr>
            <w:tcW w:w="1957" w:type="dxa"/>
            <w:vAlign w:val="center"/>
          </w:tcPr>
          <w:p w14:paraId="2605D42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w:t>
            </w:r>
          </w:p>
        </w:tc>
        <w:tc>
          <w:tcPr>
            <w:tcW w:w="1772" w:type="dxa"/>
            <w:vAlign w:val="center"/>
          </w:tcPr>
          <w:p w14:paraId="42A3EFD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w:t>
            </w:r>
          </w:p>
        </w:tc>
      </w:tr>
      <w:tr w14:paraId="272A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Merge w:val="restart"/>
            <w:vAlign w:val="center"/>
          </w:tcPr>
          <w:p w14:paraId="3CACDE6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4864" behindDoc="0" locked="0" layoutInCell="1" allowOverlap="1">
                      <wp:simplePos x="0" y="0"/>
                      <wp:positionH relativeFrom="column">
                        <wp:posOffset>526415</wp:posOffset>
                      </wp:positionH>
                      <wp:positionV relativeFrom="paragraph">
                        <wp:posOffset>59690</wp:posOffset>
                      </wp:positionV>
                      <wp:extent cx="781050" cy="352425"/>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15875">
                                <a:noFill/>
                              </a:ln>
                            </wps:spPr>
                            <wps:txbx>
                              <w:txbxContent>
                                <w:p w14:paraId="498C9A46">
                                  <w:pPr>
                                    <w:spacing w:line="240" w:lineRule="auto"/>
                                    <w:rPr>
                                      <w:rFonts w:ascii="Calibri" w:hAnsi="Calibri" w:cs="Times New Roman"/>
                                      <w:b/>
                                      <w:bCs/>
                                      <w:sz w:val="21"/>
                                    </w:rPr>
                                  </w:pPr>
                                  <w:r>
                                    <w:rPr>
                                      <w:rFonts w:hint="eastAsia" w:ascii="Calibri" w:hAnsi="Calibri" w:cs="Times New Roman"/>
                                      <w:b/>
                                      <w:bCs/>
                                      <w:sz w:val="21"/>
                                    </w:rPr>
                                    <w:t>检测结果</w:t>
                                  </w:r>
                                </w:p>
                              </w:txbxContent>
                            </wps:txbx>
                            <wps:bodyPr upright="1"/>
                          </wps:wsp>
                        </a:graphicData>
                      </a:graphic>
                    </wp:anchor>
                  </w:drawing>
                </mc:Choice>
                <mc:Fallback>
                  <w:pict>
                    <v:shape id="_x0000_s1026" o:spid="_x0000_s1026" o:spt="202" type="#_x0000_t202" style="position:absolute;left:0pt;margin-left:41.45pt;margin-top:4.7pt;height:27.75pt;width:61.5pt;z-index:251684864;mso-width-relative:page;mso-height-relative:page;" filled="f" stroked="f" coordsize="21600,21600" o:gfxdata="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MOkTB2AAAAAcBAAAPAAAAAAAAAAEAIAAAACIAAABkcnMvZG93bnJldi54bWxQSwECFAAUAAAA&#10;CACHTuJAj2G/0bUBAABbAwAADgAAAAAAAAABACAAAAAnAQAAZHJzL2Uyb0RvYy54bWxQSwUGAAAA&#10;AAYABgBZAQAATgUAAAAA&#10;">
                      <v:fill on="f" focussize="0,0"/>
                      <v:stroke on="f" weight="1.25pt"/>
                      <v:imagedata o:title=""/>
                      <o:lock v:ext="edit" aspectratio="f"/>
                      <v:textbox>
                        <w:txbxContent>
                          <w:p w14:paraId="498C9A46">
                            <w:pPr>
                              <w:spacing w:line="240" w:lineRule="auto"/>
                              <w:rPr>
                                <w:rFonts w:ascii="Calibri" w:hAnsi="Calibri" w:cs="Times New Roman"/>
                                <w:b/>
                                <w:bCs/>
                                <w:sz w:val="21"/>
                              </w:rPr>
                            </w:pPr>
                            <w:r>
                              <w:rPr>
                                <w:rFonts w:hint="eastAsia" w:ascii="Calibri" w:hAnsi="Calibri" w:cs="Times New Roman"/>
                                <w:b/>
                                <w:bCs/>
                                <w:sz w:val="21"/>
                              </w:rPr>
                              <w:t>检测结果</w:t>
                            </w:r>
                          </w:p>
                        </w:txbxContent>
                      </v:textbox>
                    </v:shap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5888" behindDoc="0" locked="0" layoutInCell="1" allowOverlap="1">
                      <wp:simplePos x="0" y="0"/>
                      <wp:positionH relativeFrom="column">
                        <wp:posOffset>116840</wp:posOffset>
                      </wp:positionH>
                      <wp:positionV relativeFrom="paragraph">
                        <wp:posOffset>354965</wp:posOffset>
                      </wp:positionV>
                      <wp:extent cx="781050" cy="352425"/>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15875">
                                <a:noFill/>
                              </a:ln>
                            </wps:spPr>
                            <wps:txbx>
                              <w:txbxContent>
                                <w:p w14:paraId="29C194E6">
                                  <w:pPr>
                                    <w:spacing w:line="240" w:lineRule="auto"/>
                                    <w:rPr>
                                      <w:rFonts w:ascii="Calibri" w:hAnsi="Calibri" w:cs="Times New Roman"/>
                                      <w:b/>
                                      <w:bCs/>
                                      <w:sz w:val="21"/>
                                    </w:rPr>
                                  </w:pPr>
                                  <w:r>
                                    <w:rPr>
                                      <w:rFonts w:hint="eastAsia" w:ascii="Calibri" w:hAnsi="Calibri" w:cs="Times New Roman"/>
                                      <w:b/>
                                      <w:bCs/>
                                      <w:sz w:val="21"/>
                                    </w:rPr>
                                    <w:t>项目</w:t>
                                  </w:r>
                                </w:p>
                              </w:txbxContent>
                            </wps:txbx>
                            <wps:bodyPr upright="1"/>
                          </wps:wsp>
                        </a:graphicData>
                      </a:graphic>
                    </wp:anchor>
                  </w:drawing>
                </mc:Choice>
                <mc:Fallback>
                  <w:pict>
                    <v:shape id="_x0000_s1026" o:spid="_x0000_s1026" o:spt="202" type="#_x0000_t202" style="position:absolute;left:0pt;margin-left:9.2pt;margin-top:27.95pt;height:27.75pt;width:61.5pt;z-index:251685888;mso-width-relative:page;mso-height-relative:page;" filled="f" stroked="f" coordsize="21600,21600" o:gfxdata="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g6zTP2AAAAAkBAAAPAAAAAAAAAAEAIAAAACIAAABkcnMvZG93bnJldi54bWxQSwECFAAUAAAA&#10;CACHTuJA4V2rsLUBAABbAwAADgAAAAAAAAABACAAAAAnAQAAZHJzL2Uyb0RvYy54bWxQSwUGAAAA&#10;AAYABgBZAQAATgUAAAAA&#10;">
                      <v:fill on="f" focussize="0,0"/>
                      <v:stroke on="f" weight="1.25pt"/>
                      <v:imagedata o:title=""/>
                      <o:lock v:ext="edit" aspectratio="f"/>
                      <v:textbox>
                        <w:txbxContent>
                          <w:p w14:paraId="29C194E6">
                            <w:pPr>
                              <w:spacing w:line="240" w:lineRule="auto"/>
                              <w:rPr>
                                <w:rFonts w:ascii="Calibri" w:hAnsi="Calibri" w:cs="Times New Roman"/>
                                <w:b/>
                                <w:bCs/>
                                <w:sz w:val="21"/>
                              </w:rPr>
                            </w:pPr>
                            <w:r>
                              <w:rPr>
                                <w:rFonts w:hint="eastAsia" w:ascii="Calibri" w:hAnsi="Calibri" w:cs="Times New Roman"/>
                                <w:b/>
                                <w:bCs/>
                                <w:sz w:val="21"/>
                              </w:rPr>
                              <w:t>项目</w:t>
                            </w:r>
                          </w:p>
                        </w:txbxContent>
                      </v:textbox>
                    </v:shape>
                  </w:pict>
                </mc:Fallback>
              </mc:AlternateConten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3840" behindDoc="0" locked="0" layoutInCell="1" allowOverlap="1">
                      <wp:simplePos x="0" y="0"/>
                      <wp:positionH relativeFrom="column">
                        <wp:posOffset>-45085</wp:posOffset>
                      </wp:positionH>
                      <wp:positionV relativeFrom="paragraph">
                        <wp:posOffset>24130</wp:posOffset>
                      </wp:positionV>
                      <wp:extent cx="1475740" cy="536575"/>
                      <wp:effectExtent l="1905" t="4445" r="8255" b="11430"/>
                      <wp:wrapNone/>
                      <wp:docPr id="152" name="直接连接符 152"/>
                      <wp:cNvGraphicFramePr/>
                      <a:graphic xmlns:a="http://schemas.openxmlformats.org/drawingml/2006/main">
                        <a:graphicData uri="http://schemas.microsoft.com/office/word/2010/wordprocessingShape">
                          <wps:wsp>
                            <wps:cNvCnPr/>
                            <wps:spPr>
                              <a:xfrm>
                                <a:off x="0" y="0"/>
                                <a:ext cx="1475740" cy="536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55pt;margin-top:1.9pt;height:42.25pt;width:116.2pt;z-index:251683840;mso-width-relative:page;mso-height-relative:page;" filled="f" stroked="t" coordsize="21600,21600" o:gfxdata="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Je/NYAAAAHAQAADwAAAAAAAAABACAAAAAiAAAAZHJzL2Rvd25yZXYueG1sUEsBAhQAFAAA&#10;AAgAh07iQB17v97xAQAA4QMAAA4AAAAAAAAAAQAgAAAAJQEAAGRycy9lMm9Eb2MueG1sUEsFBgAA&#10;AAAGAAYAWQEAAIgFAAAAAA==&#10;">
                      <v:fill on="f" focussize="0,0"/>
                      <v:stroke color="#000000" joinstyle="round"/>
                      <v:imagedata o:title=""/>
                      <o:lock v:ext="edit" aspectratio="f"/>
                    </v:line>
                  </w:pict>
                </mc:Fallback>
              </mc:AlternateContent>
            </w:r>
          </w:p>
        </w:tc>
        <w:tc>
          <w:tcPr>
            <w:tcW w:w="1879" w:type="dxa"/>
            <w:vMerge w:val="restart"/>
            <w:vAlign w:val="center"/>
          </w:tcPr>
          <w:p w14:paraId="01617C3A">
            <w:pPr>
              <w:spacing w:line="240" w:lineRule="auto"/>
              <w:jc w:val="center"/>
              <w:rPr>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单位</w:t>
            </w:r>
          </w:p>
        </w:tc>
        <w:tc>
          <w:tcPr>
            <w:tcW w:w="3729" w:type="dxa"/>
            <w:gridSpan w:val="2"/>
            <w:vAlign w:val="center"/>
          </w:tcPr>
          <w:p w14:paraId="0FB9B6A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样品编号</w:t>
            </w:r>
          </w:p>
        </w:tc>
      </w:tr>
      <w:tr w14:paraId="1B6A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Merge w:val="continue"/>
            <w:vAlign w:val="center"/>
          </w:tcPr>
          <w:p w14:paraId="359FA203">
            <w:pPr>
              <w:spacing w:line="240" w:lineRule="auto"/>
              <w:jc w:val="center"/>
              <w:rPr>
                <w:b/>
                <w:bCs/>
                <w:color w:val="000000" w:themeColor="text1"/>
                <w:sz w:val="21"/>
                <w:szCs w:val="21"/>
                <w:highlight w:val="none"/>
                <w14:textFill>
                  <w14:solidFill>
                    <w14:schemeClr w14:val="tx1"/>
                  </w14:solidFill>
                </w14:textFill>
              </w:rPr>
            </w:pPr>
          </w:p>
        </w:tc>
        <w:tc>
          <w:tcPr>
            <w:tcW w:w="1879" w:type="dxa"/>
            <w:vMerge w:val="continue"/>
            <w:vAlign w:val="center"/>
          </w:tcPr>
          <w:p w14:paraId="75EB3173">
            <w:pPr>
              <w:spacing w:line="240" w:lineRule="auto"/>
              <w:jc w:val="center"/>
              <w:rPr>
                <w:b/>
                <w:bCs/>
                <w:color w:val="000000" w:themeColor="text1"/>
                <w:sz w:val="21"/>
                <w:szCs w:val="21"/>
                <w:highlight w:val="none"/>
                <w14:textFill>
                  <w14:solidFill>
                    <w14:schemeClr w14:val="tx1"/>
                  </w14:solidFill>
                </w14:textFill>
              </w:rPr>
            </w:pPr>
          </w:p>
        </w:tc>
        <w:tc>
          <w:tcPr>
            <w:tcW w:w="1957" w:type="dxa"/>
            <w:vAlign w:val="center"/>
          </w:tcPr>
          <w:p w14:paraId="62E6DA05">
            <w:pPr>
              <w:keepNext w:val="0"/>
              <w:keepLines w:val="0"/>
              <w:pageBreakBefore w:val="0"/>
              <w:widowControl w:val="0"/>
              <w:kinsoku/>
              <w:wordWrap/>
              <w:overflowPunct/>
              <w:topLinePunct w:val="0"/>
              <w:autoSpaceDE/>
              <w:autoSpaceDN/>
              <w:bidi w:val="0"/>
              <w:adjustRightInd/>
              <w:snapToGrid w:val="0"/>
              <w:spacing w:line="440" w:lineRule="exact"/>
              <w:ind w:left="74" w:leftChars="0"/>
              <w:jc w:val="center"/>
              <w:textAlignment w:val="auto"/>
              <w:rPr>
                <w:b/>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D1-1-1</w:t>
            </w:r>
          </w:p>
        </w:tc>
        <w:tc>
          <w:tcPr>
            <w:tcW w:w="1772" w:type="dxa"/>
            <w:vAlign w:val="center"/>
          </w:tcPr>
          <w:p w14:paraId="2DA7AC24">
            <w:pPr>
              <w:keepNext w:val="0"/>
              <w:keepLines w:val="0"/>
              <w:pageBreakBefore w:val="0"/>
              <w:widowControl w:val="0"/>
              <w:kinsoku/>
              <w:wordWrap/>
              <w:overflowPunct/>
              <w:topLinePunct w:val="0"/>
              <w:autoSpaceDE/>
              <w:autoSpaceDN/>
              <w:bidi w:val="0"/>
              <w:adjustRightInd/>
              <w:snapToGrid w:val="0"/>
              <w:spacing w:line="440" w:lineRule="exact"/>
              <w:ind w:left="74" w:leftChars="0"/>
              <w:jc w:val="center"/>
              <w:textAlignment w:val="auto"/>
              <w:rPr>
                <w:b/>
                <w:bCs/>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D2-1-1</w:t>
            </w:r>
          </w:p>
        </w:tc>
      </w:tr>
      <w:tr w14:paraId="677B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1C47D16F">
            <w:pPr>
              <w:keepNext w:val="0"/>
              <w:keepLines w:val="0"/>
              <w:pageBreakBefore w:val="0"/>
              <w:widowControl w:val="0"/>
              <w:kinsoku/>
              <w:wordWrap/>
              <w:overflowPunct/>
              <w:topLinePunct w:val="0"/>
              <w:autoSpaceDE/>
              <w:autoSpaceDN/>
              <w:bidi w:val="0"/>
              <w:adjustRightInd/>
              <w:snapToGrid w:val="0"/>
              <w:spacing w:line="440" w:lineRule="exact"/>
              <w:ind w:left="74" w:lef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pH</w:t>
            </w:r>
          </w:p>
        </w:tc>
        <w:tc>
          <w:tcPr>
            <w:tcW w:w="1879" w:type="dxa"/>
            <w:vAlign w:val="center"/>
          </w:tcPr>
          <w:p w14:paraId="7D6C7CAF">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无量纲</w:t>
            </w:r>
          </w:p>
        </w:tc>
        <w:tc>
          <w:tcPr>
            <w:tcW w:w="1957" w:type="dxa"/>
            <w:vAlign w:val="center"/>
          </w:tcPr>
          <w:p w14:paraId="36CCE32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7.3</w:t>
            </w:r>
          </w:p>
        </w:tc>
        <w:tc>
          <w:tcPr>
            <w:tcW w:w="1772" w:type="dxa"/>
            <w:vAlign w:val="center"/>
          </w:tcPr>
          <w:p w14:paraId="52FC901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7.4</w:t>
            </w:r>
          </w:p>
        </w:tc>
      </w:tr>
      <w:tr w14:paraId="3E72E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69E457E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溶解性总固体</w:t>
            </w:r>
          </w:p>
        </w:tc>
        <w:tc>
          <w:tcPr>
            <w:tcW w:w="1879" w:type="dxa"/>
            <w:vAlign w:val="center"/>
          </w:tcPr>
          <w:p w14:paraId="5061736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4457D52F">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134</w:t>
            </w:r>
          </w:p>
        </w:tc>
        <w:tc>
          <w:tcPr>
            <w:tcW w:w="1772" w:type="dxa"/>
            <w:vAlign w:val="center"/>
          </w:tcPr>
          <w:p w14:paraId="7B5EB22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148</w:t>
            </w:r>
          </w:p>
        </w:tc>
      </w:tr>
      <w:tr w14:paraId="0C025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70805288">
            <w:pPr>
              <w:keepNext w:val="0"/>
              <w:keepLines w:val="0"/>
              <w:pageBreakBefore w:val="0"/>
              <w:widowControl w:val="0"/>
              <w:kinsoku/>
              <w:wordWrap/>
              <w:overflowPunct/>
              <w:topLinePunct w:val="0"/>
              <w:autoSpaceDE/>
              <w:autoSpaceDN/>
              <w:bidi w:val="0"/>
              <w:adjustRightInd/>
              <w:snapToGrid w:val="0"/>
              <w:spacing w:line="560" w:lineRule="exact"/>
              <w:ind w:left="74"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总硬度</w:t>
            </w:r>
          </w:p>
        </w:tc>
        <w:tc>
          <w:tcPr>
            <w:tcW w:w="1879" w:type="dxa"/>
            <w:vAlign w:val="center"/>
          </w:tcPr>
          <w:p w14:paraId="65DB082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2E6847A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36</w:t>
            </w:r>
          </w:p>
        </w:tc>
        <w:tc>
          <w:tcPr>
            <w:tcW w:w="1772" w:type="dxa"/>
            <w:vAlign w:val="center"/>
          </w:tcPr>
          <w:p w14:paraId="3BFDD8F2">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43</w:t>
            </w:r>
          </w:p>
        </w:tc>
      </w:tr>
      <w:tr w14:paraId="4C9B6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7F1A62C7">
            <w:pPr>
              <w:keepNext w:val="0"/>
              <w:keepLines w:val="0"/>
              <w:pageBreakBefore w:val="0"/>
              <w:widowControl w:val="0"/>
              <w:tabs>
                <w:tab w:val="left" w:pos="637"/>
              </w:tabs>
              <w:kinsoku/>
              <w:wordWrap/>
              <w:overflowPunct/>
              <w:topLinePunct w:val="0"/>
              <w:autoSpaceDE/>
              <w:autoSpaceDN/>
              <w:bidi w:val="0"/>
              <w:adjustRightInd/>
              <w:snapToGrid w:val="0"/>
              <w:spacing w:line="560" w:lineRule="exact"/>
              <w:ind w:left="74"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氟化物</w:t>
            </w:r>
          </w:p>
        </w:tc>
        <w:tc>
          <w:tcPr>
            <w:tcW w:w="1879" w:type="dxa"/>
            <w:vAlign w:val="center"/>
          </w:tcPr>
          <w:p w14:paraId="05F51972">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6A89573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w:t>
            </w:r>
          </w:p>
        </w:tc>
        <w:tc>
          <w:tcPr>
            <w:tcW w:w="1772" w:type="dxa"/>
            <w:vAlign w:val="center"/>
          </w:tcPr>
          <w:p w14:paraId="5DA5A5C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w:t>
            </w:r>
          </w:p>
        </w:tc>
      </w:tr>
      <w:tr w14:paraId="10E60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58950728">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氯化物</w:t>
            </w:r>
          </w:p>
        </w:tc>
        <w:tc>
          <w:tcPr>
            <w:tcW w:w="1879" w:type="dxa"/>
            <w:vAlign w:val="center"/>
          </w:tcPr>
          <w:p w14:paraId="39CDDBF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57D4397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11.1</w:t>
            </w:r>
          </w:p>
        </w:tc>
        <w:tc>
          <w:tcPr>
            <w:tcW w:w="1772" w:type="dxa"/>
            <w:vAlign w:val="center"/>
          </w:tcPr>
          <w:p w14:paraId="3E47357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10.8</w:t>
            </w:r>
          </w:p>
        </w:tc>
      </w:tr>
      <w:tr w14:paraId="5BAC9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712B4DDB">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（总）氰化物</w:t>
            </w:r>
          </w:p>
        </w:tc>
        <w:tc>
          <w:tcPr>
            <w:tcW w:w="1879" w:type="dxa"/>
            <w:vAlign w:val="center"/>
          </w:tcPr>
          <w:p w14:paraId="4FAFAE3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371F142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＜0.002</w:t>
            </w:r>
          </w:p>
        </w:tc>
        <w:tc>
          <w:tcPr>
            <w:tcW w:w="1772" w:type="dxa"/>
            <w:vAlign w:val="center"/>
          </w:tcPr>
          <w:p w14:paraId="7A1DA83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＜0.002</w:t>
            </w:r>
          </w:p>
        </w:tc>
      </w:tr>
      <w:tr w14:paraId="63D78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657E121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耗氧量</w:t>
            </w:r>
          </w:p>
        </w:tc>
        <w:tc>
          <w:tcPr>
            <w:tcW w:w="1879" w:type="dxa"/>
            <w:vAlign w:val="center"/>
          </w:tcPr>
          <w:p w14:paraId="7476A72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4746E18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1.45</w:t>
            </w:r>
          </w:p>
        </w:tc>
        <w:tc>
          <w:tcPr>
            <w:tcW w:w="1772" w:type="dxa"/>
            <w:vAlign w:val="center"/>
          </w:tcPr>
          <w:p w14:paraId="766B63F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1.54</w:t>
            </w:r>
          </w:p>
        </w:tc>
      </w:tr>
      <w:tr w14:paraId="53CD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6441C3B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挥发酚</w:t>
            </w:r>
          </w:p>
        </w:tc>
        <w:tc>
          <w:tcPr>
            <w:tcW w:w="1879" w:type="dxa"/>
            <w:vAlign w:val="center"/>
          </w:tcPr>
          <w:p w14:paraId="1809A34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604E6F4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＜0.0003</w:t>
            </w:r>
          </w:p>
        </w:tc>
        <w:tc>
          <w:tcPr>
            <w:tcW w:w="1772" w:type="dxa"/>
            <w:vAlign w:val="center"/>
          </w:tcPr>
          <w:p w14:paraId="5E08C92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＜0.0003</w:t>
            </w:r>
          </w:p>
        </w:tc>
      </w:tr>
      <w:tr w14:paraId="1D208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6210D59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总大肠菌群</w:t>
            </w:r>
          </w:p>
        </w:tc>
        <w:tc>
          <w:tcPr>
            <w:tcW w:w="1879" w:type="dxa"/>
            <w:vAlign w:val="center"/>
          </w:tcPr>
          <w:p w14:paraId="3E12111F">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MPN/100mL</w:t>
            </w:r>
          </w:p>
        </w:tc>
        <w:tc>
          <w:tcPr>
            <w:tcW w:w="1957" w:type="dxa"/>
            <w:vAlign w:val="center"/>
          </w:tcPr>
          <w:p w14:paraId="278A369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c>
          <w:tcPr>
            <w:tcW w:w="1772" w:type="dxa"/>
            <w:vAlign w:val="center"/>
          </w:tcPr>
          <w:p w14:paraId="4FBEAF4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w:t>
            </w:r>
          </w:p>
        </w:tc>
      </w:tr>
      <w:tr w14:paraId="41F67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2030FF1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细菌总数</w:t>
            </w:r>
          </w:p>
        </w:tc>
        <w:tc>
          <w:tcPr>
            <w:tcW w:w="1879" w:type="dxa"/>
            <w:vAlign w:val="center"/>
          </w:tcPr>
          <w:p w14:paraId="7162744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CFU/</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mL</w:t>
            </w:r>
          </w:p>
        </w:tc>
        <w:tc>
          <w:tcPr>
            <w:tcW w:w="1957" w:type="dxa"/>
            <w:vAlign w:val="center"/>
          </w:tcPr>
          <w:p w14:paraId="4A4C061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30</w:t>
            </w:r>
          </w:p>
        </w:tc>
        <w:tc>
          <w:tcPr>
            <w:tcW w:w="1772" w:type="dxa"/>
            <w:vAlign w:val="center"/>
          </w:tcPr>
          <w:p w14:paraId="569D8898">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40</w:t>
            </w:r>
          </w:p>
        </w:tc>
      </w:tr>
      <w:tr w14:paraId="4547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73AC4D7F">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碳酸根离子</w:t>
            </w:r>
          </w:p>
        </w:tc>
        <w:tc>
          <w:tcPr>
            <w:tcW w:w="1879" w:type="dxa"/>
            <w:vAlign w:val="center"/>
          </w:tcPr>
          <w:p w14:paraId="23BC0A8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613240E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8</w:t>
            </w:r>
          </w:p>
        </w:tc>
        <w:tc>
          <w:tcPr>
            <w:tcW w:w="1772" w:type="dxa"/>
            <w:vAlign w:val="center"/>
          </w:tcPr>
          <w:p w14:paraId="115A7A6B">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w:t>
            </w:r>
          </w:p>
        </w:tc>
      </w:tr>
      <w:tr w14:paraId="158C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1BAB18E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碳酸氢根离子</w:t>
            </w:r>
          </w:p>
        </w:tc>
        <w:tc>
          <w:tcPr>
            <w:tcW w:w="1879" w:type="dxa"/>
            <w:vAlign w:val="center"/>
          </w:tcPr>
          <w:p w14:paraId="2F64F51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236EA288">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70</w:t>
            </w:r>
          </w:p>
        </w:tc>
        <w:tc>
          <w:tcPr>
            <w:tcW w:w="1772" w:type="dxa"/>
            <w:vAlign w:val="center"/>
          </w:tcPr>
          <w:p w14:paraId="1B195BE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77</w:t>
            </w:r>
          </w:p>
        </w:tc>
      </w:tr>
      <w:tr w14:paraId="0855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3D5F394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钾离子</w:t>
            </w:r>
          </w:p>
        </w:tc>
        <w:tc>
          <w:tcPr>
            <w:tcW w:w="1879" w:type="dxa"/>
            <w:vAlign w:val="center"/>
          </w:tcPr>
          <w:p w14:paraId="068A555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34C4D04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0.38</w:t>
            </w:r>
          </w:p>
        </w:tc>
        <w:tc>
          <w:tcPr>
            <w:tcW w:w="1772" w:type="dxa"/>
            <w:vAlign w:val="center"/>
          </w:tcPr>
          <w:p w14:paraId="4E46B97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0.49</w:t>
            </w:r>
          </w:p>
        </w:tc>
      </w:tr>
      <w:tr w14:paraId="5EB3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2398B769">
            <w:pPr>
              <w:keepNext w:val="0"/>
              <w:keepLines w:val="0"/>
              <w:pageBreakBefore w:val="0"/>
              <w:widowControl w:val="0"/>
              <w:kinsoku/>
              <w:wordWrap/>
              <w:overflowPunct/>
              <w:topLinePunct w:val="0"/>
              <w:autoSpaceDE/>
              <w:autoSpaceDN/>
              <w:bidi w:val="0"/>
              <w:adjustRightInd/>
              <w:snapToGrid w:val="0"/>
              <w:spacing w:line="560" w:lineRule="exact"/>
              <w:ind w:left="74"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钠离子</w:t>
            </w:r>
          </w:p>
        </w:tc>
        <w:tc>
          <w:tcPr>
            <w:tcW w:w="1879" w:type="dxa"/>
            <w:vAlign w:val="center"/>
          </w:tcPr>
          <w:p w14:paraId="3D06D32B">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5266B4D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36.4</w:t>
            </w:r>
          </w:p>
        </w:tc>
        <w:tc>
          <w:tcPr>
            <w:tcW w:w="1772" w:type="dxa"/>
            <w:vAlign w:val="center"/>
          </w:tcPr>
          <w:p w14:paraId="01515CE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38.8</w:t>
            </w:r>
          </w:p>
        </w:tc>
      </w:tr>
      <w:tr w14:paraId="0D1A2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1FEACECD">
            <w:pPr>
              <w:keepNext w:val="0"/>
              <w:keepLines w:val="0"/>
              <w:pageBreakBefore w:val="0"/>
              <w:widowControl w:val="0"/>
              <w:kinsoku/>
              <w:wordWrap/>
              <w:overflowPunct/>
              <w:topLinePunct w:val="0"/>
              <w:autoSpaceDE/>
              <w:autoSpaceDN/>
              <w:bidi w:val="0"/>
              <w:adjustRightInd/>
              <w:snapToGrid w:val="0"/>
              <w:spacing w:line="560" w:lineRule="exact"/>
              <w:ind w:left="74"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钙离子</w:t>
            </w:r>
          </w:p>
        </w:tc>
        <w:tc>
          <w:tcPr>
            <w:tcW w:w="1879" w:type="dxa"/>
            <w:vAlign w:val="center"/>
          </w:tcPr>
          <w:p w14:paraId="1FA941DF">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333D5FB9">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12.6</w:t>
            </w:r>
          </w:p>
        </w:tc>
        <w:tc>
          <w:tcPr>
            <w:tcW w:w="1772" w:type="dxa"/>
            <w:vAlign w:val="center"/>
          </w:tcPr>
          <w:p w14:paraId="5E8A1A9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14.1</w:t>
            </w:r>
          </w:p>
        </w:tc>
      </w:tr>
      <w:tr w14:paraId="7EF0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6361E71F">
            <w:pPr>
              <w:keepNext w:val="0"/>
              <w:keepLines w:val="0"/>
              <w:pageBreakBefore w:val="0"/>
              <w:widowControl w:val="0"/>
              <w:tabs>
                <w:tab w:val="left" w:pos="637"/>
              </w:tabs>
              <w:kinsoku/>
              <w:wordWrap/>
              <w:overflowPunct/>
              <w:topLinePunct w:val="0"/>
              <w:autoSpaceDE/>
              <w:autoSpaceDN/>
              <w:bidi w:val="0"/>
              <w:adjustRightInd/>
              <w:snapToGrid w:val="0"/>
              <w:spacing w:line="560" w:lineRule="exact"/>
              <w:ind w:left="74" w:left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镁离子</w:t>
            </w:r>
          </w:p>
        </w:tc>
        <w:tc>
          <w:tcPr>
            <w:tcW w:w="1879" w:type="dxa"/>
            <w:vAlign w:val="center"/>
          </w:tcPr>
          <w:p w14:paraId="2DF0294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695C09A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1.41</w:t>
            </w:r>
          </w:p>
        </w:tc>
        <w:tc>
          <w:tcPr>
            <w:tcW w:w="1772" w:type="dxa"/>
            <w:vAlign w:val="center"/>
          </w:tcPr>
          <w:p w14:paraId="47CE744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1.53</w:t>
            </w:r>
          </w:p>
        </w:tc>
      </w:tr>
      <w:tr w14:paraId="6A81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2EA6B7F2">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硝酸盐（以氮计）</w:t>
            </w:r>
          </w:p>
        </w:tc>
        <w:tc>
          <w:tcPr>
            <w:tcW w:w="1879" w:type="dxa"/>
            <w:vAlign w:val="center"/>
          </w:tcPr>
          <w:p w14:paraId="64E13DCF">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31763D0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&lt;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w:t>
            </w:r>
          </w:p>
        </w:tc>
        <w:tc>
          <w:tcPr>
            <w:tcW w:w="1772" w:type="dxa"/>
            <w:vAlign w:val="center"/>
          </w:tcPr>
          <w:p w14:paraId="2516AB3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&lt;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w:t>
            </w:r>
          </w:p>
        </w:tc>
      </w:tr>
      <w:tr w14:paraId="436F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6C746D0B">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eastAsia"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亚硝酸盐</w:t>
            </w:r>
          </w:p>
          <w:p w14:paraId="221C0EE4">
            <w:pPr>
              <w:keepNext w:val="0"/>
              <w:keepLines w:val="0"/>
              <w:pageBreakBefore w:val="0"/>
              <w:widowControl w:val="0"/>
              <w:kinsoku/>
              <w:wordWrap/>
              <w:overflowPunct/>
              <w:topLinePunct w:val="0"/>
              <w:autoSpaceDE/>
              <w:autoSpaceDN/>
              <w:bidi w:val="0"/>
              <w:adjustRightInd/>
              <w:snapToGrid w:val="0"/>
              <w:spacing w:line="28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（以氮计）</w:t>
            </w:r>
          </w:p>
        </w:tc>
        <w:tc>
          <w:tcPr>
            <w:tcW w:w="1879" w:type="dxa"/>
            <w:vAlign w:val="center"/>
          </w:tcPr>
          <w:p w14:paraId="7FAB2AA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5328B7DA">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0.002</w:t>
            </w:r>
          </w:p>
        </w:tc>
        <w:tc>
          <w:tcPr>
            <w:tcW w:w="1772" w:type="dxa"/>
            <w:vAlign w:val="center"/>
          </w:tcPr>
          <w:p w14:paraId="73602D5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0.003</w:t>
            </w:r>
          </w:p>
        </w:tc>
      </w:tr>
      <w:tr w14:paraId="467B2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7064471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硫酸盐</w:t>
            </w:r>
          </w:p>
        </w:tc>
        <w:tc>
          <w:tcPr>
            <w:tcW w:w="1879" w:type="dxa"/>
            <w:vAlign w:val="center"/>
          </w:tcPr>
          <w:p w14:paraId="312F671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2E18296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40.2</w:t>
            </w:r>
          </w:p>
        </w:tc>
        <w:tc>
          <w:tcPr>
            <w:tcW w:w="1772" w:type="dxa"/>
            <w:vAlign w:val="center"/>
          </w:tcPr>
          <w:p w14:paraId="11F2B359">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40.0</w:t>
            </w:r>
          </w:p>
        </w:tc>
      </w:tr>
      <w:tr w14:paraId="490C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78193087">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镉</w:t>
            </w:r>
          </w:p>
        </w:tc>
        <w:tc>
          <w:tcPr>
            <w:tcW w:w="1879" w:type="dxa"/>
            <w:vAlign w:val="center"/>
          </w:tcPr>
          <w:p w14:paraId="6BF9B22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6BD0A38B">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&lt;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0.004</w:t>
            </w:r>
          </w:p>
        </w:tc>
        <w:tc>
          <w:tcPr>
            <w:tcW w:w="1772" w:type="dxa"/>
            <w:vAlign w:val="center"/>
          </w:tcPr>
          <w:p w14:paraId="108A4EE9">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&lt;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0.004</w:t>
            </w:r>
          </w:p>
        </w:tc>
      </w:tr>
      <w:tr w14:paraId="6F42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5AE80C0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铅</w:t>
            </w:r>
          </w:p>
        </w:tc>
        <w:tc>
          <w:tcPr>
            <w:tcW w:w="1879" w:type="dxa"/>
            <w:vAlign w:val="center"/>
          </w:tcPr>
          <w:p w14:paraId="4F34C04E">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μg/L</w:t>
            </w:r>
          </w:p>
        </w:tc>
        <w:tc>
          <w:tcPr>
            <w:tcW w:w="1957" w:type="dxa"/>
            <w:vAlign w:val="center"/>
          </w:tcPr>
          <w:p w14:paraId="31D69522">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&lt;10</w:t>
            </w:r>
          </w:p>
        </w:tc>
        <w:tc>
          <w:tcPr>
            <w:tcW w:w="1772" w:type="dxa"/>
            <w:vAlign w:val="center"/>
          </w:tcPr>
          <w:p w14:paraId="145F70B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&lt;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w:t>
            </w:r>
          </w:p>
        </w:tc>
      </w:tr>
      <w:tr w14:paraId="3397F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1BA85D1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铁</w:t>
            </w:r>
          </w:p>
        </w:tc>
        <w:tc>
          <w:tcPr>
            <w:tcW w:w="1879" w:type="dxa"/>
            <w:vAlign w:val="center"/>
          </w:tcPr>
          <w:p w14:paraId="58DE7BD8">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09B1781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0.0201</w:t>
            </w:r>
          </w:p>
        </w:tc>
        <w:tc>
          <w:tcPr>
            <w:tcW w:w="1772" w:type="dxa"/>
            <w:vAlign w:val="center"/>
          </w:tcPr>
          <w:p w14:paraId="6C137ACB">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0.0207</w:t>
            </w:r>
          </w:p>
        </w:tc>
      </w:tr>
      <w:tr w14:paraId="003C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4DEC3359">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锰</w:t>
            </w:r>
          </w:p>
        </w:tc>
        <w:tc>
          <w:tcPr>
            <w:tcW w:w="1879" w:type="dxa"/>
            <w:vAlign w:val="center"/>
          </w:tcPr>
          <w:p w14:paraId="704B92D7">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7A7692A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0.0125</w:t>
            </w:r>
          </w:p>
        </w:tc>
        <w:tc>
          <w:tcPr>
            <w:tcW w:w="1772" w:type="dxa"/>
            <w:vAlign w:val="center"/>
          </w:tcPr>
          <w:p w14:paraId="69E6342E">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0.0207</w:t>
            </w:r>
          </w:p>
        </w:tc>
      </w:tr>
      <w:tr w14:paraId="7285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549FF9C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汞</w:t>
            </w:r>
          </w:p>
        </w:tc>
        <w:tc>
          <w:tcPr>
            <w:tcW w:w="1879" w:type="dxa"/>
            <w:vAlign w:val="center"/>
          </w:tcPr>
          <w:p w14:paraId="2F0E916F">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μg/L</w:t>
            </w:r>
          </w:p>
        </w:tc>
        <w:tc>
          <w:tcPr>
            <w:tcW w:w="1957" w:type="dxa"/>
            <w:vAlign w:val="center"/>
          </w:tcPr>
          <w:p w14:paraId="539794C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0.34</w:t>
            </w:r>
          </w:p>
        </w:tc>
        <w:tc>
          <w:tcPr>
            <w:tcW w:w="1772" w:type="dxa"/>
            <w:vAlign w:val="center"/>
          </w:tcPr>
          <w:p w14:paraId="309DEC0A">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0.20</w:t>
            </w:r>
          </w:p>
        </w:tc>
      </w:tr>
      <w:tr w14:paraId="019C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389D6DA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砷</w:t>
            </w:r>
          </w:p>
        </w:tc>
        <w:tc>
          <w:tcPr>
            <w:tcW w:w="1879" w:type="dxa"/>
            <w:vAlign w:val="center"/>
          </w:tcPr>
          <w:p w14:paraId="758D7ED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μg/L</w:t>
            </w:r>
          </w:p>
        </w:tc>
        <w:tc>
          <w:tcPr>
            <w:tcW w:w="1957" w:type="dxa"/>
            <w:vAlign w:val="center"/>
          </w:tcPr>
          <w:p w14:paraId="327B512B">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14.2</w:t>
            </w:r>
          </w:p>
        </w:tc>
        <w:tc>
          <w:tcPr>
            <w:tcW w:w="1772" w:type="dxa"/>
            <w:vAlign w:val="center"/>
          </w:tcPr>
          <w:p w14:paraId="3893CD3F">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14.1</w:t>
            </w:r>
          </w:p>
        </w:tc>
      </w:tr>
      <w:tr w14:paraId="3C418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7B23000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六价铬</w:t>
            </w:r>
          </w:p>
        </w:tc>
        <w:tc>
          <w:tcPr>
            <w:tcW w:w="1879" w:type="dxa"/>
            <w:vAlign w:val="center"/>
          </w:tcPr>
          <w:p w14:paraId="0C1CDBA9">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6745A663">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＜0.004</w:t>
            </w:r>
          </w:p>
        </w:tc>
        <w:tc>
          <w:tcPr>
            <w:tcW w:w="1772" w:type="dxa"/>
            <w:vAlign w:val="center"/>
          </w:tcPr>
          <w:p w14:paraId="436E0F22">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＜0.004</w:t>
            </w:r>
          </w:p>
        </w:tc>
      </w:tr>
      <w:tr w14:paraId="0032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371" w:type="dxa"/>
            <w:vAlign w:val="center"/>
          </w:tcPr>
          <w:p w14:paraId="6278C9BD">
            <w:pPr>
              <w:keepNext w:val="0"/>
              <w:keepLines w:val="0"/>
              <w:pageBreakBefore w:val="0"/>
              <w:widowControl w:val="0"/>
              <w:kinsoku/>
              <w:wordWrap/>
              <w:overflowPunct/>
              <w:topLinePunct w:val="0"/>
              <w:autoSpaceDE/>
              <w:autoSpaceDN/>
              <w:bidi w:val="0"/>
              <w:adjustRightInd/>
              <w:snapToGrid w:val="0"/>
              <w:spacing w:line="560" w:lineRule="exact"/>
              <w:ind w:left="74" w:left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氨氮</w:t>
            </w:r>
          </w:p>
        </w:tc>
        <w:tc>
          <w:tcPr>
            <w:tcW w:w="1879" w:type="dxa"/>
            <w:vAlign w:val="center"/>
          </w:tcPr>
          <w:p w14:paraId="50DC9F08">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mg/L</w:t>
            </w:r>
          </w:p>
        </w:tc>
        <w:tc>
          <w:tcPr>
            <w:tcW w:w="1957" w:type="dxa"/>
            <w:vAlign w:val="center"/>
          </w:tcPr>
          <w:p w14:paraId="0F591629">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&lt;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0.025</w:t>
            </w:r>
          </w:p>
        </w:tc>
        <w:tc>
          <w:tcPr>
            <w:tcW w:w="1772" w:type="dxa"/>
            <w:vAlign w:val="center"/>
          </w:tcPr>
          <w:p w14:paraId="1C7FE0F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&lt;</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0.025</w:t>
            </w:r>
          </w:p>
        </w:tc>
      </w:tr>
    </w:tbl>
    <w:p w14:paraId="71083D64">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w:t>
      </w:r>
      <w:r>
        <w:rPr>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2</w:t>
      </w:r>
      <w:r>
        <w:rPr>
          <w:b/>
          <w:bCs/>
          <w:color w:val="000000" w:themeColor="text1"/>
          <w:highlight w:val="none"/>
          <w14:textFill>
            <w14:solidFill>
              <w14:schemeClr w14:val="tx1"/>
            </w14:solidFill>
          </w14:textFill>
        </w:rPr>
        <w:t>.2地下水环境质量现状评价</w:t>
      </w:r>
    </w:p>
    <w:p w14:paraId="50A572D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1、评价因子</w:t>
      </w:r>
    </w:p>
    <w:p w14:paraId="15B78BA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选择有环境质量标准的地下水现状监测项目作为现状评价因子，未检出污染因子不进行评价。</w:t>
      </w:r>
    </w:p>
    <w:p w14:paraId="5CF5318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2、评价标准</w:t>
      </w:r>
    </w:p>
    <w:p w14:paraId="6A35370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地下水环境质量评价执行《地下水质量标准》（GB/T14848-2017）中的Ⅲ类标准。评价标准详见表</w:t>
      </w:r>
      <w:r>
        <w:rPr>
          <w:rFonts w:hint="eastAsia"/>
          <w:color w:val="000000" w:themeColor="text1"/>
          <w:highlight w:val="none"/>
          <w14:textFill>
            <w14:solidFill>
              <w14:schemeClr w14:val="tx1"/>
            </w14:solidFill>
          </w14:textFill>
        </w:rPr>
        <w:t>2.5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p>
    <w:p w14:paraId="1477676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3、评价方法</w:t>
      </w:r>
    </w:p>
    <w:p w14:paraId="190C1FC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评价方法采用对标法，公式如下：</w:t>
      </w:r>
    </w:p>
    <w:p w14:paraId="12231723">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      </w:t>
      </w:r>
      <w:r>
        <w:rPr>
          <w:rFonts w:cs="Times New Roman"/>
          <w:color w:val="000000" w:themeColor="text1"/>
          <w:position w:val="-30"/>
          <w:highlight w:val="none"/>
          <w14:textFill>
            <w14:solidFill>
              <w14:schemeClr w14:val="tx1"/>
            </w14:solidFill>
          </w14:textFill>
        </w:rPr>
        <w:object>
          <v:shape id="_x0000_i1025" o:spt="75" type="#_x0000_t75" style="height:33.75pt;width:39pt;" o:ole="t" filled="f" coordsize="21600,21600">
            <v:path/>
            <v:fill on="f" focussize="0,0"/>
            <v:stroke/>
            <v:imagedata r:id="rId38" o:title=""/>
            <o:lock v:ext="edit" aspectratio="t"/>
            <w10:wrap type="none"/>
            <w10:anchorlock/>
          </v:shape>
          <o:OLEObject Type="Embed" ProgID="Equation.3" ShapeID="_x0000_i1025" DrawAspect="Content" ObjectID="_1468075725" r:id="rId37">
            <o:LockedField>false</o:LockedField>
          </o:OLEObject>
        </w:object>
      </w:r>
    </w:p>
    <w:p w14:paraId="4D1B8AD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式中：Pi—第i种污染物的占标率(pH除外)；</w:t>
      </w:r>
    </w:p>
    <w:p w14:paraId="552EBFE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Ci—i污染物的实测浓度，mg/L；</w:t>
      </w:r>
    </w:p>
    <w:p w14:paraId="0C0752C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Si—i污染物评价标准，mg/L。</w:t>
      </w:r>
    </w:p>
    <w:p w14:paraId="2B007A7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对于pH，其标准指数按下式计算：</w:t>
      </w:r>
    </w:p>
    <w:p w14:paraId="7D8CAD38">
      <w:pPr>
        <w:ind w:firstLine="480" w:firstLineChars="200"/>
        <w:rPr>
          <w:color w:val="000000" w:themeColor="text1"/>
          <w:highlight w:val="none"/>
          <w14:textFill>
            <w14:solidFill>
              <w14:schemeClr w14:val="tx1"/>
            </w14:solidFill>
          </w14:textFill>
        </w:rPr>
      </w:pPr>
      <w:r>
        <w:rPr>
          <w:rFonts w:cs="Times New Roman"/>
          <w:color w:val="000000" w:themeColor="text1"/>
          <w:position w:val="-34"/>
          <w:highlight w:val="none"/>
          <w14:textFill>
            <w14:solidFill>
              <w14:schemeClr w14:val="tx1"/>
            </w14:solidFill>
          </w14:textFill>
        </w:rPr>
        <w:object>
          <v:shape id="_x0000_i1026" o:spt="75" type="#_x0000_t75" style="height:38.25pt;width:92.3pt;" o:ole="t" filled="f" coordsize="21600,21600">
            <v:path/>
            <v:fill on="f" focussize="0,0"/>
            <v:stroke/>
            <v:imagedata r:id="rId40" o:title=""/>
            <o:lock v:ext="edit" aspectratio="t"/>
            <w10:wrap type="none"/>
            <w10:anchorlock/>
          </v:shape>
          <o:OLEObject Type="Embed" ProgID="Equation.3" ShapeID="_x0000_i1026" DrawAspect="Content" ObjectID="_1468075726" r:id="rId39">
            <o:LockedField>false</o:LockedField>
          </o:OLEObject>
        </w:object>
      </w:r>
      <w:r>
        <w:rPr>
          <w:color w:val="000000" w:themeColor="text1"/>
          <w:highlight w:val="none"/>
          <w14:textFill>
            <w14:solidFill>
              <w14:schemeClr w14:val="tx1"/>
            </w14:solidFill>
          </w14:textFill>
        </w:rPr>
        <w:t xml:space="preserve">   (pHCi≤7.0)</w:t>
      </w:r>
    </w:p>
    <w:p w14:paraId="33D2963B">
      <w:pPr>
        <w:ind w:firstLine="480" w:firstLineChars="200"/>
        <w:rPr>
          <w:color w:val="000000" w:themeColor="text1"/>
          <w:highlight w:val="none"/>
          <w14:textFill>
            <w14:solidFill>
              <w14:schemeClr w14:val="tx1"/>
            </w14:solidFill>
          </w14:textFill>
        </w:rPr>
      </w:pPr>
      <w:r>
        <w:rPr>
          <w:rFonts w:cs="Times New Roman"/>
          <w:color w:val="000000" w:themeColor="text1"/>
          <w:position w:val="-30"/>
          <w:highlight w:val="none"/>
          <w14:textFill>
            <w14:solidFill>
              <w14:schemeClr w14:val="tx1"/>
            </w14:solidFill>
          </w14:textFill>
        </w:rPr>
        <w:object>
          <v:shape id="_x0000_i1027" o:spt="75" type="#_x0000_t75" style="height:36pt;width:87pt;" o:ole="t" filled="f" coordsize="21600,21600">
            <v:path/>
            <v:fill on="f" focussize="0,0"/>
            <v:stroke/>
            <v:imagedata r:id="rId42" o:title=""/>
            <o:lock v:ext="edit" aspectratio="t"/>
            <w10:wrap type="none"/>
            <w10:anchorlock/>
          </v:shape>
          <o:OLEObject Type="Embed" ProgID="Equation.3" ShapeID="_x0000_i1027" DrawAspect="Content" ObjectID="_1468075727" r:id="rId41">
            <o:LockedField>false</o:LockedField>
          </o:OLEObject>
        </w:object>
      </w:r>
      <w:r>
        <w:rPr>
          <w:color w:val="000000" w:themeColor="text1"/>
          <w:highlight w:val="none"/>
          <w14:textFill>
            <w14:solidFill>
              <w14:schemeClr w14:val="tx1"/>
            </w14:solidFill>
          </w14:textFill>
        </w:rPr>
        <w:t xml:space="preserve">    (pHCi＞7.0)</w:t>
      </w:r>
    </w:p>
    <w:p w14:paraId="553E8E3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式中：PpH—pH的标准指数；</w:t>
      </w:r>
    </w:p>
    <w:p w14:paraId="37D60CD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pHci—pH的现状监测结果；</w:t>
      </w:r>
    </w:p>
    <w:p w14:paraId="713640D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pHsd—pH采用标准的下限值；</w:t>
      </w:r>
    </w:p>
    <w:p w14:paraId="2C32D36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pHsu—pH采用标准的上限值。</w:t>
      </w:r>
    </w:p>
    <w:p w14:paraId="470DE8B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当占标率＞1时，说明该指标已超过规定标准，数值越大表示超标越严重。当占标率≤1时，说明该指标符合标准要求。</w:t>
      </w:r>
    </w:p>
    <w:p w14:paraId="70C2515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4、评价结果</w:t>
      </w:r>
    </w:p>
    <w:p w14:paraId="755FA8C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地下水各评价因子的评价结果见表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w:t>
      </w:r>
    </w:p>
    <w:p w14:paraId="60B9593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 xml:space="preserve">2 </w:t>
      </w:r>
      <w:r>
        <w:rPr>
          <w:b/>
          <w:bCs/>
          <w:color w:val="000000" w:themeColor="text1"/>
          <w:sz w:val="21"/>
          <w:szCs w:val="21"/>
          <w:highlight w:val="none"/>
          <w14:textFill>
            <w14:solidFill>
              <w14:schemeClr w14:val="tx1"/>
            </w14:solidFill>
          </w14:textFill>
        </w:rPr>
        <w:t xml:space="preserve"> 地下水质量评价结果一览表</w:t>
      </w:r>
    </w:p>
    <w:tbl>
      <w:tblPr>
        <w:tblStyle w:val="33"/>
        <w:tblW w:w="4832" w:type="pct"/>
        <w:jc w:val="center"/>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9"/>
        <w:gridCol w:w="1193"/>
        <w:gridCol w:w="1193"/>
        <w:gridCol w:w="1052"/>
        <w:gridCol w:w="948"/>
        <w:gridCol w:w="1140"/>
        <w:gridCol w:w="1021"/>
      </w:tblGrid>
      <w:tr w14:paraId="40912083">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vMerge w:val="restart"/>
            <w:noWrap w:val="0"/>
            <w:vAlign w:val="center"/>
          </w:tcPr>
          <w:p w14:paraId="68A8FCBF">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监测项目</w:t>
            </w:r>
          </w:p>
        </w:tc>
        <w:tc>
          <w:tcPr>
            <w:tcW w:w="724" w:type="pct"/>
            <w:vMerge w:val="restart"/>
            <w:noWrap w:val="0"/>
            <w:vAlign w:val="center"/>
          </w:tcPr>
          <w:p w14:paraId="2B5033BE">
            <w:pPr>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单位</w:t>
            </w:r>
          </w:p>
        </w:tc>
        <w:tc>
          <w:tcPr>
            <w:tcW w:w="724" w:type="pct"/>
            <w:vMerge w:val="restart"/>
            <w:noWrap w:val="0"/>
            <w:vAlign w:val="center"/>
          </w:tcPr>
          <w:p w14:paraId="54E2A286">
            <w:pPr>
              <w:kinsoku/>
              <w:autoSpaceDE/>
              <w:autoSpaceDN/>
              <w:bidi w:val="0"/>
              <w:spacing w:line="240" w:lineRule="auto"/>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评价</w:t>
            </w:r>
          </w:p>
          <w:p w14:paraId="52FC2577">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标准</w:t>
            </w:r>
          </w:p>
        </w:tc>
        <w:tc>
          <w:tcPr>
            <w:tcW w:w="1214" w:type="pct"/>
            <w:gridSpan w:val="2"/>
            <w:noWrap w:val="0"/>
            <w:vAlign w:val="center"/>
          </w:tcPr>
          <w:p w14:paraId="43F9BE87">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1</w:t>
            </w:r>
          </w:p>
        </w:tc>
        <w:tc>
          <w:tcPr>
            <w:tcW w:w="1311" w:type="pct"/>
            <w:gridSpan w:val="2"/>
            <w:noWrap w:val="0"/>
            <w:vAlign w:val="center"/>
          </w:tcPr>
          <w:p w14:paraId="1B182523">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2</w:t>
            </w:r>
          </w:p>
        </w:tc>
      </w:tr>
      <w:tr w14:paraId="71262A6C">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vMerge w:val="continue"/>
            <w:noWrap w:val="0"/>
            <w:vAlign w:val="center"/>
          </w:tcPr>
          <w:p w14:paraId="66D9FD50">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724" w:type="pct"/>
            <w:vMerge w:val="continue"/>
            <w:noWrap w:val="0"/>
            <w:vAlign w:val="center"/>
          </w:tcPr>
          <w:p w14:paraId="4BE308F2">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724" w:type="pct"/>
            <w:vMerge w:val="continue"/>
            <w:noWrap w:val="0"/>
            <w:vAlign w:val="center"/>
          </w:tcPr>
          <w:p w14:paraId="2E703FEE">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638" w:type="pct"/>
            <w:noWrap w:val="0"/>
            <w:vAlign w:val="center"/>
          </w:tcPr>
          <w:p w14:paraId="756D4F93">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对标率</w:t>
            </w:r>
          </w:p>
        </w:tc>
        <w:tc>
          <w:tcPr>
            <w:tcW w:w="575" w:type="pct"/>
            <w:noWrap w:val="0"/>
            <w:vAlign w:val="center"/>
          </w:tcPr>
          <w:p w14:paraId="028F6521">
            <w:pPr>
              <w:kinsoku/>
              <w:autoSpaceDE/>
              <w:autoSpaceDN/>
              <w:bidi w:val="0"/>
              <w:spacing w:line="240" w:lineRule="auto"/>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达标</w:t>
            </w:r>
          </w:p>
          <w:p w14:paraId="66F590C5">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情况</w:t>
            </w:r>
          </w:p>
        </w:tc>
        <w:tc>
          <w:tcPr>
            <w:tcW w:w="692" w:type="pct"/>
            <w:noWrap w:val="0"/>
            <w:vAlign w:val="center"/>
          </w:tcPr>
          <w:p w14:paraId="6BA77197">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对标率</w:t>
            </w:r>
          </w:p>
        </w:tc>
        <w:tc>
          <w:tcPr>
            <w:tcW w:w="619" w:type="pct"/>
            <w:noWrap w:val="0"/>
            <w:vAlign w:val="center"/>
          </w:tcPr>
          <w:p w14:paraId="661B61F1">
            <w:pPr>
              <w:kinsoku/>
              <w:autoSpaceDE/>
              <w:autoSpaceDN/>
              <w:bidi w:val="0"/>
              <w:spacing w:line="240" w:lineRule="auto"/>
              <w:jc w:val="cente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达标</w:t>
            </w:r>
          </w:p>
          <w:p w14:paraId="4A3A0716">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情况</w:t>
            </w:r>
          </w:p>
        </w:tc>
      </w:tr>
      <w:tr w14:paraId="33C23D4B">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13ED670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pH</w:t>
            </w:r>
          </w:p>
        </w:tc>
        <w:tc>
          <w:tcPr>
            <w:tcW w:w="724" w:type="pct"/>
            <w:noWrap w:val="0"/>
            <w:vAlign w:val="center"/>
          </w:tcPr>
          <w:p w14:paraId="256CF746">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无量纲</w:t>
            </w:r>
          </w:p>
        </w:tc>
        <w:tc>
          <w:tcPr>
            <w:tcW w:w="724" w:type="pct"/>
            <w:noWrap w:val="0"/>
            <w:vAlign w:val="center"/>
          </w:tcPr>
          <w:p w14:paraId="607A5615">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6.5-8.5</w:t>
            </w:r>
          </w:p>
        </w:tc>
        <w:tc>
          <w:tcPr>
            <w:tcW w:w="638" w:type="pct"/>
            <w:noWrap w:val="0"/>
            <w:vAlign w:val="center"/>
          </w:tcPr>
          <w:p w14:paraId="36917F1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0.2</w:t>
            </w:r>
          </w:p>
        </w:tc>
        <w:tc>
          <w:tcPr>
            <w:tcW w:w="575" w:type="pct"/>
            <w:noWrap w:val="0"/>
            <w:vAlign w:val="center"/>
          </w:tcPr>
          <w:p w14:paraId="587FE03C">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14502F25">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0.267</w:t>
            </w:r>
          </w:p>
        </w:tc>
        <w:tc>
          <w:tcPr>
            <w:tcW w:w="619" w:type="pct"/>
            <w:noWrap w:val="0"/>
            <w:vAlign w:val="center"/>
          </w:tcPr>
          <w:p w14:paraId="2D0BDB0C">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52156661">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6D33704A">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溶解性总固体</w:t>
            </w:r>
          </w:p>
        </w:tc>
        <w:tc>
          <w:tcPr>
            <w:tcW w:w="724" w:type="pct"/>
            <w:noWrap w:val="0"/>
            <w:vAlign w:val="center"/>
          </w:tcPr>
          <w:p w14:paraId="71C74E45">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2E8E3DA2">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1000</w:t>
            </w:r>
          </w:p>
        </w:tc>
        <w:tc>
          <w:tcPr>
            <w:tcW w:w="638" w:type="pct"/>
            <w:noWrap w:val="0"/>
            <w:vAlign w:val="center"/>
          </w:tcPr>
          <w:p w14:paraId="23D6CF5B">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0.134</w:t>
            </w:r>
          </w:p>
        </w:tc>
        <w:tc>
          <w:tcPr>
            <w:tcW w:w="575" w:type="pct"/>
            <w:noWrap w:val="0"/>
            <w:vAlign w:val="center"/>
          </w:tcPr>
          <w:p w14:paraId="204287F6">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243CCF9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0.148</w:t>
            </w:r>
          </w:p>
        </w:tc>
        <w:tc>
          <w:tcPr>
            <w:tcW w:w="619" w:type="pct"/>
            <w:noWrap w:val="0"/>
            <w:vAlign w:val="center"/>
          </w:tcPr>
          <w:p w14:paraId="5D2BD25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21250A71">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0329857A">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总硬度</w:t>
            </w:r>
          </w:p>
        </w:tc>
        <w:tc>
          <w:tcPr>
            <w:tcW w:w="724" w:type="pct"/>
            <w:noWrap w:val="0"/>
            <w:vAlign w:val="center"/>
          </w:tcPr>
          <w:p w14:paraId="71BDC883">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3699E3B1">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450</w:t>
            </w:r>
          </w:p>
        </w:tc>
        <w:tc>
          <w:tcPr>
            <w:tcW w:w="638" w:type="pct"/>
            <w:noWrap w:val="0"/>
            <w:vAlign w:val="center"/>
          </w:tcPr>
          <w:p w14:paraId="66A5B45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0.08</w:t>
            </w:r>
          </w:p>
        </w:tc>
        <w:tc>
          <w:tcPr>
            <w:tcW w:w="575" w:type="pct"/>
            <w:noWrap w:val="0"/>
            <w:vAlign w:val="center"/>
          </w:tcPr>
          <w:p w14:paraId="3612288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37D85D5A">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0.096</w:t>
            </w:r>
          </w:p>
        </w:tc>
        <w:tc>
          <w:tcPr>
            <w:tcW w:w="619" w:type="pct"/>
            <w:noWrap w:val="0"/>
            <w:vAlign w:val="center"/>
          </w:tcPr>
          <w:p w14:paraId="22AF5123">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363E96D8">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733CAF5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氟化物</w:t>
            </w:r>
          </w:p>
        </w:tc>
        <w:tc>
          <w:tcPr>
            <w:tcW w:w="724" w:type="pct"/>
            <w:noWrap w:val="0"/>
            <w:vAlign w:val="center"/>
          </w:tcPr>
          <w:p w14:paraId="1455A9BF">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2ACB56E1">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1.0</w:t>
            </w:r>
          </w:p>
        </w:tc>
        <w:tc>
          <w:tcPr>
            <w:tcW w:w="638" w:type="pct"/>
            <w:noWrap w:val="0"/>
            <w:vAlign w:val="center"/>
          </w:tcPr>
          <w:p w14:paraId="601E668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575" w:type="pct"/>
            <w:noWrap w:val="0"/>
            <w:vAlign w:val="center"/>
          </w:tcPr>
          <w:p w14:paraId="19497C4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15F64512">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19" w:type="pct"/>
            <w:noWrap w:val="0"/>
            <w:vAlign w:val="center"/>
          </w:tcPr>
          <w:p w14:paraId="160E9929">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1580EDFB">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12591AE2">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氯化物</w:t>
            </w:r>
          </w:p>
        </w:tc>
        <w:tc>
          <w:tcPr>
            <w:tcW w:w="724" w:type="pct"/>
            <w:noWrap w:val="0"/>
            <w:vAlign w:val="center"/>
          </w:tcPr>
          <w:p w14:paraId="779FA041">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0B0CFDF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250</w:t>
            </w:r>
          </w:p>
        </w:tc>
        <w:tc>
          <w:tcPr>
            <w:tcW w:w="638" w:type="pct"/>
            <w:noWrap w:val="0"/>
            <w:vAlign w:val="center"/>
          </w:tcPr>
          <w:p w14:paraId="1D83C63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0.044</w:t>
            </w:r>
          </w:p>
        </w:tc>
        <w:tc>
          <w:tcPr>
            <w:tcW w:w="575" w:type="pct"/>
            <w:noWrap w:val="0"/>
            <w:vAlign w:val="center"/>
          </w:tcPr>
          <w:p w14:paraId="4037037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46E5DEA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0.043</w:t>
            </w:r>
          </w:p>
        </w:tc>
        <w:tc>
          <w:tcPr>
            <w:tcW w:w="619" w:type="pct"/>
            <w:noWrap w:val="0"/>
            <w:vAlign w:val="center"/>
          </w:tcPr>
          <w:p w14:paraId="0B0D49F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07B969A0">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3442B87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（总）氰化物</w:t>
            </w:r>
          </w:p>
        </w:tc>
        <w:tc>
          <w:tcPr>
            <w:tcW w:w="724" w:type="pct"/>
            <w:noWrap w:val="0"/>
            <w:vAlign w:val="center"/>
          </w:tcPr>
          <w:p w14:paraId="2FE7D10D">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0CFDB3D9">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0.05</w:t>
            </w:r>
          </w:p>
        </w:tc>
        <w:tc>
          <w:tcPr>
            <w:tcW w:w="638" w:type="pct"/>
            <w:noWrap w:val="0"/>
            <w:vAlign w:val="center"/>
          </w:tcPr>
          <w:p w14:paraId="73117F62">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575" w:type="pct"/>
            <w:noWrap w:val="0"/>
            <w:vAlign w:val="center"/>
          </w:tcPr>
          <w:p w14:paraId="1EAFAA0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4ACE6F4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19" w:type="pct"/>
            <w:noWrap w:val="0"/>
            <w:vAlign w:val="center"/>
          </w:tcPr>
          <w:p w14:paraId="3721CF0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1C56D5A0">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7E55E17C">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耗氧量</w:t>
            </w:r>
          </w:p>
        </w:tc>
        <w:tc>
          <w:tcPr>
            <w:tcW w:w="724" w:type="pct"/>
            <w:noWrap w:val="0"/>
            <w:vAlign w:val="center"/>
          </w:tcPr>
          <w:p w14:paraId="6EF9AC15">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44914D19">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3</w:t>
            </w:r>
          </w:p>
        </w:tc>
        <w:tc>
          <w:tcPr>
            <w:tcW w:w="638" w:type="pct"/>
            <w:noWrap w:val="0"/>
            <w:vAlign w:val="center"/>
          </w:tcPr>
          <w:p w14:paraId="1433B19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0.48</w:t>
            </w:r>
          </w:p>
        </w:tc>
        <w:tc>
          <w:tcPr>
            <w:tcW w:w="575" w:type="pct"/>
            <w:noWrap w:val="0"/>
            <w:vAlign w:val="center"/>
          </w:tcPr>
          <w:p w14:paraId="30615FE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2A2240FF">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0.51</w:t>
            </w:r>
          </w:p>
        </w:tc>
        <w:tc>
          <w:tcPr>
            <w:tcW w:w="619" w:type="pct"/>
            <w:noWrap w:val="0"/>
            <w:vAlign w:val="center"/>
          </w:tcPr>
          <w:p w14:paraId="3CBB90CA">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1695082A">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0187E81B">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挥发酚</w:t>
            </w:r>
          </w:p>
        </w:tc>
        <w:tc>
          <w:tcPr>
            <w:tcW w:w="724" w:type="pct"/>
            <w:noWrap w:val="0"/>
            <w:vAlign w:val="center"/>
          </w:tcPr>
          <w:p w14:paraId="302064AF">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113AFB75">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0.002</w:t>
            </w:r>
          </w:p>
        </w:tc>
        <w:tc>
          <w:tcPr>
            <w:tcW w:w="638" w:type="pct"/>
            <w:noWrap w:val="0"/>
            <w:vAlign w:val="center"/>
          </w:tcPr>
          <w:p w14:paraId="304DC6F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575" w:type="pct"/>
            <w:noWrap w:val="0"/>
            <w:vAlign w:val="center"/>
          </w:tcPr>
          <w:p w14:paraId="7FBB386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0CB74A10">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19" w:type="pct"/>
            <w:noWrap w:val="0"/>
            <w:vAlign w:val="center"/>
          </w:tcPr>
          <w:p w14:paraId="04EB32E1">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5E047043">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512EA0E1">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总大肠菌群</w:t>
            </w:r>
          </w:p>
        </w:tc>
        <w:tc>
          <w:tcPr>
            <w:tcW w:w="724" w:type="pct"/>
            <w:noWrap w:val="0"/>
            <w:vAlign w:val="center"/>
          </w:tcPr>
          <w:p w14:paraId="0724FE7C">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MPN/100mL</w:t>
            </w:r>
          </w:p>
        </w:tc>
        <w:tc>
          <w:tcPr>
            <w:tcW w:w="724" w:type="pct"/>
            <w:noWrap w:val="0"/>
            <w:vAlign w:val="center"/>
          </w:tcPr>
          <w:p w14:paraId="64DD78C4">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3</w:t>
            </w:r>
          </w:p>
        </w:tc>
        <w:tc>
          <w:tcPr>
            <w:tcW w:w="638" w:type="pct"/>
            <w:noWrap w:val="0"/>
            <w:vAlign w:val="center"/>
          </w:tcPr>
          <w:p w14:paraId="1C99A58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575" w:type="pct"/>
            <w:noWrap w:val="0"/>
            <w:vAlign w:val="center"/>
          </w:tcPr>
          <w:p w14:paraId="45D9F0FC">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16B1D89A">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19" w:type="pct"/>
            <w:noWrap w:val="0"/>
            <w:vAlign w:val="center"/>
          </w:tcPr>
          <w:p w14:paraId="75A0C89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0E6B47B5">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16B33A6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细菌总数</w:t>
            </w:r>
          </w:p>
        </w:tc>
        <w:tc>
          <w:tcPr>
            <w:tcW w:w="724" w:type="pct"/>
            <w:noWrap w:val="0"/>
            <w:vAlign w:val="center"/>
          </w:tcPr>
          <w:p w14:paraId="6A167E86">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CFU/</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mL</w:t>
            </w:r>
          </w:p>
        </w:tc>
        <w:tc>
          <w:tcPr>
            <w:tcW w:w="724" w:type="pct"/>
            <w:noWrap w:val="0"/>
            <w:vAlign w:val="center"/>
          </w:tcPr>
          <w:p w14:paraId="625A27D4">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100</w:t>
            </w:r>
          </w:p>
        </w:tc>
        <w:tc>
          <w:tcPr>
            <w:tcW w:w="638" w:type="pct"/>
            <w:noWrap w:val="0"/>
            <w:vAlign w:val="center"/>
          </w:tcPr>
          <w:p w14:paraId="0F448025">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0.3</w:t>
            </w:r>
          </w:p>
        </w:tc>
        <w:tc>
          <w:tcPr>
            <w:tcW w:w="575" w:type="pct"/>
            <w:noWrap w:val="0"/>
            <w:vAlign w:val="center"/>
          </w:tcPr>
          <w:p w14:paraId="36E9EA3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22EBC8E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0.4</w:t>
            </w:r>
          </w:p>
        </w:tc>
        <w:tc>
          <w:tcPr>
            <w:tcW w:w="619" w:type="pct"/>
            <w:noWrap w:val="0"/>
            <w:vAlign w:val="center"/>
          </w:tcPr>
          <w:p w14:paraId="0E44632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1EB5045F">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77A97574">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碳酸根离子</w:t>
            </w:r>
          </w:p>
        </w:tc>
        <w:tc>
          <w:tcPr>
            <w:tcW w:w="724" w:type="pct"/>
            <w:noWrap w:val="0"/>
            <w:vAlign w:val="center"/>
          </w:tcPr>
          <w:p w14:paraId="28A6922A">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38F2F4B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638" w:type="pct"/>
            <w:noWrap w:val="0"/>
            <w:vAlign w:val="center"/>
          </w:tcPr>
          <w:p w14:paraId="0543E69A">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575" w:type="pct"/>
            <w:noWrap w:val="0"/>
            <w:vAlign w:val="center"/>
          </w:tcPr>
          <w:p w14:paraId="2397434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692" w:type="pct"/>
            <w:noWrap w:val="0"/>
            <w:vAlign w:val="center"/>
          </w:tcPr>
          <w:p w14:paraId="38504AE7">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619" w:type="pct"/>
            <w:noWrap w:val="0"/>
            <w:vAlign w:val="center"/>
          </w:tcPr>
          <w:p w14:paraId="210ED991">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r>
      <w:tr w14:paraId="4D8FA815">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36EF9E6A">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碳酸氢根离子</w:t>
            </w:r>
          </w:p>
        </w:tc>
        <w:tc>
          <w:tcPr>
            <w:tcW w:w="724" w:type="pct"/>
            <w:noWrap w:val="0"/>
            <w:vAlign w:val="center"/>
          </w:tcPr>
          <w:p w14:paraId="33F289DE">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442687A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638" w:type="pct"/>
            <w:noWrap w:val="0"/>
            <w:vAlign w:val="center"/>
          </w:tcPr>
          <w:p w14:paraId="006FC22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575" w:type="pct"/>
            <w:noWrap w:val="0"/>
            <w:vAlign w:val="center"/>
          </w:tcPr>
          <w:p w14:paraId="5DEB402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692" w:type="pct"/>
            <w:noWrap w:val="0"/>
            <w:vAlign w:val="center"/>
          </w:tcPr>
          <w:p w14:paraId="418D4FBB">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619" w:type="pct"/>
            <w:noWrap w:val="0"/>
            <w:vAlign w:val="center"/>
          </w:tcPr>
          <w:p w14:paraId="36FC58A3">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r>
      <w:tr w14:paraId="7F1746DD">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7FAFDEE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钾离子</w:t>
            </w:r>
          </w:p>
        </w:tc>
        <w:tc>
          <w:tcPr>
            <w:tcW w:w="724" w:type="pct"/>
            <w:noWrap w:val="0"/>
            <w:vAlign w:val="center"/>
          </w:tcPr>
          <w:p w14:paraId="33A0BC2F">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629B49C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638" w:type="pct"/>
            <w:noWrap w:val="0"/>
            <w:vAlign w:val="center"/>
          </w:tcPr>
          <w:p w14:paraId="605B69E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575" w:type="pct"/>
            <w:noWrap w:val="0"/>
            <w:vAlign w:val="center"/>
          </w:tcPr>
          <w:p w14:paraId="6129517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692" w:type="pct"/>
            <w:noWrap w:val="0"/>
            <w:vAlign w:val="center"/>
          </w:tcPr>
          <w:p w14:paraId="22F92158">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619" w:type="pct"/>
            <w:noWrap w:val="0"/>
            <w:vAlign w:val="center"/>
          </w:tcPr>
          <w:p w14:paraId="0847D9C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r>
      <w:tr w14:paraId="303BFF41">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67D78786">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钠离子</w:t>
            </w:r>
          </w:p>
        </w:tc>
        <w:tc>
          <w:tcPr>
            <w:tcW w:w="724" w:type="pct"/>
            <w:noWrap w:val="0"/>
            <w:vAlign w:val="center"/>
          </w:tcPr>
          <w:p w14:paraId="5D5C4C66">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03902DAB">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200</w:t>
            </w:r>
          </w:p>
        </w:tc>
        <w:tc>
          <w:tcPr>
            <w:tcW w:w="638" w:type="pct"/>
            <w:noWrap w:val="0"/>
            <w:vAlign w:val="center"/>
          </w:tcPr>
          <w:p w14:paraId="0D6298BE">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0.182</w:t>
            </w:r>
          </w:p>
        </w:tc>
        <w:tc>
          <w:tcPr>
            <w:tcW w:w="575" w:type="pct"/>
            <w:noWrap w:val="0"/>
            <w:vAlign w:val="center"/>
          </w:tcPr>
          <w:p w14:paraId="43BC92E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65FD373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0.194</w:t>
            </w:r>
          </w:p>
        </w:tc>
        <w:tc>
          <w:tcPr>
            <w:tcW w:w="619" w:type="pct"/>
            <w:noWrap w:val="0"/>
            <w:vAlign w:val="center"/>
          </w:tcPr>
          <w:p w14:paraId="52F93F14">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0760C20B">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7FD130C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钙离子</w:t>
            </w:r>
          </w:p>
        </w:tc>
        <w:tc>
          <w:tcPr>
            <w:tcW w:w="724" w:type="pct"/>
            <w:noWrap w:val="0"/>
            <w:vAlign w:val="center"/>
          </w:tcPr>
          <w:p w14:paraId="39CF5F49">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1193" w:type="dxa"/>
            <w:noWrap w:val="0"/>
            <w:vAlign w:val="center"/>
          </w:tcPr>
          <w:p w14:paraId="5731AC7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1052" w:type="dxa"/>
            <w:noWrap w:val="0"/>
            <w:vAlign w:val="center"/>
          </w:tcPr>
          <w:p w14:paraId="030C2C79">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948" w:type="dxa"/>
            <w:noWrap w:val="0"/>
            <w:vAlign w:val="center"/>
          </w:tcPr>
          <w:p w14:paraId="6E0C8A19">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1140" w:type="dxa"/>
            <w:noWrap w:val="0"/>
            <w:vAlign w:val="center"/>
          </w:tcPr>
          <w:p w14:paraId="17F3F1AC">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1021" w:type="dxa"/>
            <w:noWrap w:val="0"/>
            <w:vAlign w:val="center"/>
          </w:tcPr>
          <w:p w14:paraId="79A9163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r>
      <w:tr w14:paraId="034DAC48">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5BD883A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镁离子</w:t>
            </w:r>
          </w:p>
        </w:tc>
        <w:tc>
          <w:tcPr>
            <w:tcW w:w="724" w:type="pct"/>
            <w:noWrap w:val="0"/>
            <w:vAlign w:val="center"/>
          </w:tcPr>
          <w:p w14:paraId="12B4CE3E">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1193" w:type="dxa"/>
            <w:noWrap w:val="0"/>
            <w:vAlign w:val="center"/>
          </w:tcPr>
          <w:p w14:paraId="38196222">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1052" w:type="dxa"/>
            <w:noWrap w:val="0"/>
            <w:vAlign w:val="center"/>
          </w:tcPr>
          <w:p w14:paraId="7BAD80D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948" w:type="dxa"/>
            <w:noWrap w:val="0"/>
            <w:vAlign w:val="center"/>
          </w:tcPr>
          <w:p w14:paraId="4F3A4A3A">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1140" w:type="dxa"/>
            <w:noWrap w:val="0"/>
            <w:vAlign w:val="center"/>
          </w:tcPr>
          <w:p w14:paraId="60676FD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c>
          <w:tcPr>
            <w:tcW w:w="1021" w:type="dxa"/>
            <w:noWrap w:val="0"/>
            <w:vAlign w:val="center"/>
          </w:tcPr>
          <w:p w14:paraId="79B7441D">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w:t>
            </w:r>
          </w:p>
        </w:tc>
      </w:tr>
      <w:tr w14:paraId="5DFF966F">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183FA1ED">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硝酸盐（以氮计）</w:t>
            </w:r>
          </w:p>
        </w:tc>
        <w:tc>
          <w:tcPr>
            <w:tcW w:w="724" w:type="pct"/>
            <w:noWrap w:val="0"/>
            <w:vAlign w:val="center"/>
          </w:tcPr>
          <w:p w14:paraId="5873EA4F">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6FA3EE9D">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20</w:t>
            </w:r>
          </w:p>
        </w:tc>
        <w:tc>
          <w:tcPr>
            <w:tcW w:w="638" w:type="pct"/>
            <w:noWrap w:val="0"/>
            <w:vAlign w:val="center"/>
          </w:tcPr>
          <w:p w14:paraId="3809D908">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575" w:type="pct"/>
            <w:noWrap w:val="0"/>
            <w:vAlign w:val="center"/>
          </w:tcPr>
          <w:p w14:paraId="51D0F6C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0E19C9F2">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19" w:type="pct"/>
            <w:noWrap w:val="0"/>
            <w:vAlign w:val="center"/>
          </w:tcPr>
          <w:p w14:paraId="23A243B9">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79847408">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48F8B5FB">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亚硝酸盐</w:t>
            </w:r>
          </w:p>
          <w:p w14:paraId="7D83C5E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（以氮计）</w:t>
            </w:r>
          </w:p>
        </w:tc>
        <w:tc>
          <w:tcPr>
            <w:tcW w:w="724" w:type="pct"/>
            <w:noWrap w:val="0"/>
            <w:vAlign w:val="center"/>
          </w:tcPr>
          <w:p w14:paraId="6B90D79A">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06C2D319">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w:t>
            </w:r>
          </w:p>
        </w:tc>
        <w:tc>
          <w:tcPr>
            <w:tcW w:w="638" w:type="pct"/>
            <w:noWrap w:val="0"/>
            <w:vAlign w:val="center"/>
          </w:tcPr>
          <w:p w14:paraId="425A4A1E">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0.002</w:t>
            </w:r>
          </w:p>
        </w:tc>
        <w:tc>
          <w:tcPr>
            <w:tcW w:w="575" w:type="pct"/>
            <w:noWrap w:val="0"/>
            <w:vAlign w:val="center"/>
          </w:tcPr>
          <w:p w14:paraId="179F34C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62E8DCE1">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0.003</w:t>
            </w:r>
          </w:p>
        </w:tc>
        <w:tc>
          <w:tcPr>
            <w:tcW w:w="619" w:type="pct"/>
            <w:noWrap w:val="0"/>
            <w:vAlign w:val="center"/>
          </w:tcPr>
          <w:p w14:paraId="7F39FD7D">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383BC5E6">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21B145F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硫酸盐</w:t>
            </w:r>
          </w:p>
        </w:tc>
        <w:tc>
          <w:tcPr>
            <w:tcW w:w="724" w:type="pct"/>
            <w:noWrap w:val="0"/>
            <w:vAlign w:val="center"/>
          </w:tcPr>
          <w:p w14:paraId="6CEAA019">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75F3273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250</w:t>
            </w:r>
          </w:p>
        </w:tc>
        <w:tc>
          <w:tcPr>
            <w:tcW w:w="638" w:type="pct"/>
            <w:noWrap w:val="0"/>
            <w:vAlign w:val="center"/>
          </w:tcPr>
          <w:p w14:paraId="277BC75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0.16</w:t>
            </w:r>
          </w:p>
        </w:tc>
        <w:tc>
          <w:tcPr>
            <w:tcW w:w="575" w:type="pct"/>
            <w:noWrap w:val="0"/>
            <w:vAlign w:val="center"/>
          </w:tcPr>
          <w:p w14:paraId="17702F1A">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1DF61B9A">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0.16</w:t>
            </w:r>
          </w:p>
        </w:tc>
        <w:tc>
          <w:tcPr>
            <w:tcW w:w="619" w:type="pct"/>
            <w:noWrap w:val="0"/>
            <w:vAlign w:val="center"/>
          </w:tcPr>
          <w:p w14:paraId="01903251">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r>
      <w:tr w14:paraId="65F06223">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258B6E6B">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镉</w:t>
            </w:r>
          </w:p>
        </w:tc>
        <w:tc>
          <w:tcPr>
            <w:tcW w:w="724" w:type="pct"/>
            <w:noWrap w:val="0"/>
            <w:vAlign w:val="center"/>
          </w:tcPr>
          <w:p w14:paraId="6CAA215A">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5B365104">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0.005</w:t>
            </w:r>
          </w:p>
        </w:tc>
        <w:tc>
          <w:tcPr>
            <w:tcW w:w="638" w:type="pct"/>
            <w:noWrap w:val="0"/>
            <w:vAlign w:val="center"/>
          </w:tcPr>
          <w:p w14:paraId="7B893AB7">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575" w:type="pct"/>
            <w:noWrap w:val="0"/>
            <w:vAlign w:val="center"/>
          </w:tcPr>
          <w:p w14:paraId="69656401">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616F0C2A">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19" w:type="pct"/>
            <w:noWrap w:val="0"/>
            <w:vAlign w:val="center"/>
          </w:tcPr>
          <w:p w14:paraId="6057E412">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r>
      <w:tr w14:paraId="32A1CDFD">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7DE9AAA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铅</w:t>
            </w:r>
          </w:p>
        </w:tc>
        <w:tc>
          <w:tcPr>
            <w:tcW w:w="724" w:type="pct"/>
            <w:noWrap w:val="0"/>
            <w:vAlign w:val="center"/>
          </w:tcPr>
          <w:p w14:paraId="65CBFD39">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μg/L</w:t>
            </w:r>
          </w:p>
        </w:tc>
        <w:tc>
          <w:tcPr>
            <w:tcW w:w="724" w:type="pct"/>
            <w:noWrap w:val="0"/>
            <w:vAlign w:val="center"/>
          </w:tcPr>
          <w:p w14:paraId="638E06B2">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10</w:t>
            </w:r>
          </w:p>
        </w:tc>
        <w:tc>
          <w:tcPr>
            <w:tcW w:w="638" w:type="pct"/>
            <w:noWrap w:val="0"/>
            <w:vAlign w:val="center"/>
          </w:tcPr>
          <w:p w14:paraId="38EF204E">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575" w:type="pct"/>
            <w:noWrap w:val="0"/>
            <w:vAlign w:val="center"/>
          </w:tcPr>
          <w:p w14:paraId="332AA163">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76A960A6">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19" w:type="pct"/>
            <w:noWrap w:val="0"/>
            <w:vAlign w:val="center"/>
          </w:tcPr>
          <w:p w14:paraId="33C7B67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r>
      <w:tr w14:paraId="7B8B81BF">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72E8DE3A">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铁</w:t>
            </w:r>
          </w:p>
        </w:tc>
        <w:tc>
          <w:tcPr>
            <w:tcW w:w="724" w:type="pct"/>
            <w:noWrap w:val="0"/>
            <w:vAlign w:val="center"/>
          </w:tcPr>
          <w:p w14:paraId="2A049AA5">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375B7A0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0.3</w:t>
            </w:r>
          </w:p>
        </w:tc>
        <w:tc>
          <w:tcPr>
            <w:tcW w:w="638" w:type="pct"/>
            <w:noWrap w:val="0"/>
            <w:vAlign w:val="center"/>
          </w:tcPr>
          <w:p w14:paraId="16FD3D9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0.067</w:t>
            </w:r>
          </w:p>
        </w:tc>
        <w:tc>
          <w:tcPr>
            <w:tcW w:w="575" w:type="pct"/>
            <w:noWrap w:val="0"/>
            <w:vAlign w:val="center"/>
          </w:tcPr>
          <w:p w14:paraId="7D52981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17D2228A">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w:t>
            </w:r>
            <w:r>
              <w:rPr>
                <w:rFonts w:hint="eastAsia" w:cs="Times New Roman"/>
                <w:color w:val="000000" w:themeColor="text1"/>
                <w:kern w:val="2"/>
                <w:sz w:val="21"/>
                <w:szCs w:val="21"/>
                <w:highlight w:val="none"/>
                <w:lang w:val="en-US" w:eastAsia="zh-CN" w:bidi="ar-SA"/>
                <w14:textFill>
                  <w14:solidFill>
                    <w14:schemeClr w14:val="tx1"/>
                  </w14:solidFill>
                </w14:textFill>
              </w:rPr>
              <w:t>069</w:t>
            </w:r>
          </w:p>
        </w:tc>
        <w:tc>
          <w:tcPr>
            <w:tcW w:w="619" w:type="pct"/>
            <w:noWrap w:val="0"/>
            <w:vAlign w:val="center"/>
          </w:tcPr>
          <w:p w14:paraId="1D12DBB6">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r>
      <w:tr w14:paraId="3010F2E4">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47A5368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锰</w:t>
            </w:r>
          </w:p>
        </w:tc>
        <w:tc>
          <w:tcPr>
            <w:tcW w:w="724" w:type="pct"/>
            <w:noWrap w:val="0"/>
            <w:vAlign w:val="center"/>
          </w:tcPr>
          <w:p w14:paraId="089FF596">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1FF07DB5">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0.1</w:t>
            </w:r>
          </w:p>
        </w:tc>
        <w:tc>
          <w:tcPr>
            <w:tcW w:w="638" w:type="pct"/>
            <w:noWrap w:val="0"/>
            <w:vAlign w:val="center"/>
          </w:tcPr>
          <w:p w14:paraId="41673FED">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w:t>
            </w:r>
            <w:r>
              <w:rPr>
                <w:rFonts w:hint="eastAsia" w:cs="Times New Roman"/>
                <w:color w:val="000000" w:themeColor="text1"/>
                <w:kern w:val="2"/>
                <w:sz w:val="21"/>
                <w:szCs w:val="21"/>
                <w:highlight w:val="none"/>
                <w:lang w:val="en-US" w:eastAsia="zh-CN" w:bidi="ar-SA"/>
                <w14:textFill>
                  <w14:solidFill>
                    <w14:schemeClr w14:val="tx1"/>
                  </w14:solidFill>
                </w14:textFill>
              </w:rPr>
              <w:t>0</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125</w:t>
            </w:r>
          </w:p>
        </w:tc>
        <w:tc>
          <w:tcPr>
            <w:tcW w:w="575" w:type="pct"/>
            <w:noWrap w:val="0"/>
            <w:vAlign w:val="center"/>
          </w:tcPr>
          <w:p w14:paraId="24A0EC7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7B935D74">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0.0</w:t>
            </w:r>
            <w:r>
              <w:rPr>
                <w:rFonts w:hint="eastAsia" w:cs="Times New Roman"/>
                <w:color w:val="000000" w:themeColor="text1"/>
                <w:kern w:val="2"/>
                <w:sz w:val="21"/>
                <w:szCs w:val="21"/>
                <w:highlight w:val="none"/>
                <w:lang w:val="en-US" w:eastAsia="zh-CN" w:bidi="ar-SA"/>
                <w14:textFill>
                  <w14:solidFill>
                    <w14:schemeClr w14:val="tx1"/>
                  </w14:solidFill>
                </w14:textFill>
              </w:rPr>
              <w:t>0</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207</w:t>
            </w:r>
          </w:p>
        </w:tc>
        <w:tc>
          <w:tcPr>
            <w:tcW w:w="619" w:type="pct"/>
            <w:noWrap w:val="0"/>
            <w:vAlign w:val="center"/>
          </w:tcPr>
          <w:p w14:paraId="01991783">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r>
      <w:tr w14:paraId="3AFD63F7">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49D85E91">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汞</w:t>
            </w:r>
          </w:p>
        </w:tc>
        <w:tc>
          <w:tcPr>
            <w:tcW w:w="724" w:type="pct"/>
            <w:noWrap w:val="0"/>
            <w:vAlign w:val="center"/>
          </w:tcPr>
          <w:p w14:paraId="614CF139">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μg/L</w:t>
            </w:r>
          </w:p>
        </w:tc>
        <w:tc>
          <w:tcPr>
            <w:tcW w:w="724" w:type="pct"/>
            <w:noWrap w:val="0"/>
            <w:vAlign w:val="center"/>
          </w:tcPr>
          <w:p w14:paraId="327119E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w:t>
            </w:r>
          </w:p>
        </w:tc>
        <w:tc>
          <w:tcPr>
            <w:tcW w:w="638" w:type="pct"/>
            <w:noWrap w:val="0"/>
            <w:vAlign w:val="center"/>
          </w:tcPr>
          <w:p w14:paraId="7DB499E2">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0.34</w:t>
            </w:r>
          </w:p>
        </w:tc>
        <w:tc>
          <w:tcPr>
            <w:tcW w:w="575" w:type="pct"/>
            <w:noWrap w:val="0"/>
            <w:vAlign w:val="center"/>
          </w:tcPr>
          <w:p w14:paraId="04FC36B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2EC24F3A">
            <w:pPr>
              <w:keepNext w:val="0"/>
              <w:keepLines w:val="0"/>
              <w:pageBreakBefore w:val="0"/>
              <w:widowControl w:val="0"/>
              <w:kinsoku/>
              <w:wordWrap/>
              <w:overflowPunct/>
              <w:topLinePunct w:val="0"/>
              <w:autoSpaceDE/>
              <w:autoSpaceDN/>
              <w:bidi w:val="0"/>
              <w:adjustRightInd/>
              <w:snapToGrid w:val="0"/>
              <w:spacing w:line="560" w:lineRule="exact"/>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0.20</w:t>
            </w:r>
          </w:p>
        </w:tc>
        <w:tc>
          <w:tcPr>
            <w:tcW w:w="619" w:type="pct"/>
            <w:noWrap w:val="0"/>
            <w:vAlign w:val="center"/>
          </w:tcPr>
          <w:p w14:paraId="6BD1804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r>
      <w:tr w14:paraId="1E0A7CC5">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2BD3888B">
            <w:pPr>
              <w:kinsoku/>
              <w:autoSpaceDE/>
              <w:autoSpaceDN/>
              <w:bidi w:val="0"/>
              <w:spacing w:line="240" w:lineRule="auto"/>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砷</w:t>
            </w:r>
          </w:p>
        </w:tc>
        <w:tc>
          <w:tcPr>
            <w:tcW w:w="724" w:type="pct"/>
            <w:noWrap w:val="0"/>
            <w:vAlign w:val="center"/>
          </w:tcPr>
          <w:p w14:paraId="5A3DBD53">
            <w:pPr>
              <w:kinsoku/>
              <w:autoSpaceDE/>
              <w:autoSpaceDN/>
              <w:bidi w:val="0"/>
              <w:spacing w:line="240" w:lineRule="auto"/>
              <w:jc w:val="center"/>
              <w:rPr>
                <w:rFonts w:hint="eastAsia" w:cs="Times New Roman"/>
                <w:b w:val="0"/>
                <w:bCs w:val="0"/>
                <w:color w:val="000000" w:themeColor="text1"/>
                <w:kern w:val="0"/>
                <w:sz w:val="21"/>
                <w:szCs w:val="21"/>
                <w:highlight w:val="none"/>
                <w:lang w:val="en-US" w:eastAsia="zh-CN"/>
                <w14:textFill>
                  <w14:solidFill>
                    <w14:schemeClr w14:val="tx1"/>
                  </w14:solidFill>
                </w14:textFill>
              </w:rPr>
            </w:pPr>
            <w:r>
              <w:rPr>
                <w:rFonts w:hint="default" w:cs="Times New Roman"/>
                <w:b w:val="0"/>
                <w:bCs w:val="0"/>
                <w:color w:val="000000" w:themeColor="text1"/>
                <w:kern w:val="0"/>
                <w:sz w:val="21"/>
                <w:szCs w:val="21"/>
                <w:highlight w:val="none"/>
                <w:lang w:val="en-US" w:eastAsia="zh-CN"/>
                <w14:textFill>
                  <w14:solidFill>
                    <w14:schemeClr w14:val="tx1"/>
                  </w14:solidFill>
                </w14:textFill>
              </w:rPr>
              <w:t>μg/L</w:t>
            </w:r>
          </w:p>
        </w:tc>
        <w:tc>
          <w:tcPr>
            <w:tcW w:w="724" w:type="pct"/>
            <w:noWrap w:val="0"/>
            <w:vAlign w:val="center"/>
          </w:tcPr>
          <w:p w14:paraId="0CA03AE8">
            <w:pPr>
              <w:kinsoku/>
              <w:autoSpaceDE/>
              <w:autoSpaceDN/>
              <w:bidi w:val="0"/>
              <w:spacing w:line="240" w:lineRule="auto"/>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10</w:t>
            </w:r>
          </w:p>
        </w:tc>
        <w:tc>
          <w:tcPr>
            <w:tcW w:w="638" w:type="pct"/>
            <w:noWrap w:val="0"/>
            <w:vAlign w:val="center"/>
          </w:tcPr>
          <w:p w14:paraId="55220FD7">
            <w:pPr>
              <w:kinsoku/>
              <w:autoSpaceDE/>
              <w:autoSpaceDN/>
              <w:bidi w:val="0"/>
              <w:spacing w:line="240" w:lineRule="auto"/>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1.42</w:t>
            </w:r>
          </w:p>
        </w:tc>
        <w:tc>
          <w:tcPr>
            <w:tcW w:w="575" w:type="pct"/>
            <w:noWrap w:val="0"/>
            <w:vAlign w:val="center"/>
          </w:tcPr>
          <w:p w14:paraId="0BB1461A">
            <w:pPr>
              <w:kinsoku/>
              <w:autoSpaceDE/>
              <w:autoSpaceDN/>
              <w:bidi w:val="0"/>
              <w:spacing w:line="240" w:lineRule="auto"/>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超</w:t>
            </w:r>
            <w:r>
              <w:rPr>
                <w:rFonts w:hint="default" w:cs="Times New Roman"/>
                <w:b w:val="0"/>
                <w:bCs w:val="0"/>
                <w:color w:val="000000" w:themeColor="text1"/>
                <w:kern w:val="0"/>
                <w:sz w:val="21"/>
                <w:szCs w:val="21"/>
                <w:highlight w:val="none"/>
                <w:lang w:val="en-US" w:eastAsia="zh-CN"/>
                <w14:textFill>
                  <w14:solidFill>
                    <w14:schemeClr w14:val="tx1"/>
                  </w14:solidFill>
                </w14:textFill>
              </w:rPr>
              <w:t>标</w:t>
            </w:r>
          </w:p>
        </w:tc>
        <w:tc>
          <w:tcPr>
            <w:tcW w:w="692" w:type="pct"/>
            <w:noWrap w:val="0"/>
            <w:vAlign w:val="center"/>
          </w:tcPr>
          <w:p w14:paraId="6283FAAD">
            <w:pPr>
              <w:kinsoku/>
              <w:autoSpaceDE/>
              <w:autoSpaceDN/>
              <w:bidi w:val="0"/>
              <w:spacing w:line="240" w:lineRule="auto"/>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1.41</w:t>
            </w:r>
          </w:p>
        </w:tc>
        <w:tc>
          <w:tcPr>
            <w:tcW w:w="619" w:type="pct"/>
            <w:noWrap w:val="0"/>
            <w:vAlign w:val="center"/>
          </w:tcPr>
          <w:p w14:paraId="264ED992">
            <w:pPr>
              <w:kinsoku/>
              <w:autoSpaceDE/>
              <w:autoSpaceDN/>
              <w:bidi w:val="0"/>
              <w:spacing w:line="240" w:lineRule="auto"/>
              <w:jc w:val="center"/>
              <w:rPr>
                <w:rFonts w:hint="default"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超</w:t>
            </w:r>
            <w:r>
              <w:rPr>
                <w:rFonts w:hint="default" w:cs="Times New Roman"/>
                <w:b w:val="0"/>
                <w:bCs w:val="0"/>
                <w:color w:val="000000" w:themeColor="text1"/>
                <w:kern w:val="0"/>
                <w:sz w:val="21"/>
                <w:szCs w:val="21"/>
                <w:highlight w:val="none"/>
                <w:lang w:val="en-US" w:eastAsia="zh-CN"/>
                <w14:textFill>
                  <w14:solidFill>
                    <w14:schemeClr w14:val="tx1"/>
                  </w14:solidFill>
                </w14:textFill>
              </w:rPr>
              <w:t>标</w:t>
            </w:r>
          </w:p>
        </w:tc>
      </w:tr>
      <w:tr w14:paraId="323FCA2E">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1025" w:type="pct"/>
            <w:noWrap w:val="0"/>
            <w:vAlign w:val="center"/>
          </w:tcPr>
          <w:p w14:paraId="21FF78E6">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六价铬</w:t>
            </w:r>
          </w:p>
        </w:tc>
        <w:tc>
          <w:tcPr>
            <w:tcW w:w="724" w:type="pct"/>
            <w:noWrap w:val="0"/>
            <w:vAlign w:val="center"/>
          </w:tcPr>
          <w:p w14:paraId="560EEB7F">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noWrap w:val="0"/>
            <w:vAlign w:val="center"/>
          </w:tcPr>
          <w:p w14:paraId="02A0C40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0.05</w:t>
            </w:r>
          </w:p>
        </w:tc>
        <w:tc>
          <w:tcPr>
            <w:tcW w:w="638" w:type="pct"/>
            <w:noWrap w:val="0"/>
            <w:vAlign w:val="center"/>
          </w:tcPr>
          <w:p w14:paraId="14AFA061">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575" w:type="pct"/>
            <w:noWrap w:val="0"/>
            <w:vAlign w:val="center"/>
          </w:tcPr>
          <w:p w14:paraId="4A32B2B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692" w:type="pct"/>
            <w:noWrap w:val="0"/>
            <w:vAlign w:val="center"/>
          </w:tcPr>
          <w:p w14:paraId="7245E812">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619" w:type="pct"/>
            <w:noWrap w:val="0"/>
            <w:vAlign w:val="center"/>
          </w:tcPr>
          <w:p w14:paraId="7D287834">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r>
      <w:tr w14:paraId="0C322B1B">
        <w:tblPrEx>
          <w:tblBorders>
            <w:top w:val="single" w:color="auto" w:sz="4" w:space="0"/>
            <w:left w:val="single" w:color="auto" w:sz="6" w:space="0"/>
            <w:bottom w:val="single" w:color="auto" w:sz="6"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54" w:hRule="atLeast"/>
          <w:jc w:val="center"/>
        </w:trPr>
        <w:tc>
          <w:tcPr>
            <w:tcW w:w="0" w:type="auto"/>
          </w:tcPr>
          <w:p w14:paraId="2ADAA944">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氨氮</w:t>
            </w:r>
          </w:p>
        </w:tc>
        <w:tc>
          <w:tcPr>
            <w:tcW w:w="0" w:type="auto"/>
            <w:vAlign w:val="center"/>
          </w:tcPr>
          <w:p w14:paraId="7308BAE7">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mg/L</w:t>
            </w:r>
          </w:p>
        </w:tc>
        <w:tc>
          <w:tcPr>
            <w:tcW w:w="724" w:type="pct"/>
          </w:tcPr>
          <w:p w14:paraId="16D8F379">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0.5</w:t>
            </w:r>
          </w:p>
        </w:tc>
        <w:tc>
          <w:tcPr>
            <w:tcW w:w="638" w:type="pct"/>
            <w:vAlign w:val="center"/>
          </w:tcPr>
          <w:p w14:paraId="3274F372">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0" w:type="auto"/>
          </w:tcPr>
          <w:p w14:paraId="035ED6D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c>
          <w:tcPr>
            <w:tcW w:w="0" w:type="auto"/>
            <w:vAlign w:val="center"/>
          </w:tcPr>
          <w:p w14:paraId="06E4B20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color w:val="000000" w:themeColor="text1"/>
                <w:kern w:val="2"/>
                <w:sz w:val="21"/>
                <w:szCs w:val="21"/>
                <w:highlight w:val="none"/>
                <w:lang w:val="en-US" w:eastAsia="zh-CN" w:bidi="ar-SA"/>
                <w14:textFill>
                  <w14:solidFill>
                    <w14:schemeClr w14:val="tx1"/>
                  </w14:solidFill>
                </w14:textFill>
              </w:rPr>
              <w:t>/</w:t>
            </w:r>
          </w:p>
        </w:tc>
        <w:tc>
          <w:tcPr>
            <w:tcW w:w="0" w:type="auto"/>
          </w:tcPr>
          <w:p w14:paraId="31CB8D4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达标</w:t>
            </w:r>
          </w:p>
        </w:tc>
      </w:tr>
    </w:tbl>
    <w:p w14:paraId="51573B2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由上表可以看出，该评价区地下水水质</w:t>
      </w:r>
      <w:r>
        <w:rPr>
          <w:rFonts w:hint="eastAsia"/>
          <w:color w:val="000000" w:themeColor="text1"/>
          <w:highlight w:val="none"/>
          <w:lang w:val="en-US" w:eastAsia="zh-CN"/>
          <w14:textFill>
            <w14:solidFill>
              <w14:schemeClr w14:val="tx1"/>
            </w14:solidFill>
          </w14:textFill>
        </w:rPr>
        <w:t>除砷离子都</w:t>
      </w:r>
      <w:r>
        <w:rPr>
          <w:color w:val="000000" w:themeColor="text1"/>
          <w:highlight w:val="none"/>
          <w14:textFill>
            <w14:solidFill>
              <w14:schemeClr w14:val="tx1"/>
            </w14:solidFill>
          </w14:textFill>
        </w:rPr>
        <w:t>达到</w:t>
      </w:r>
      <w:r>
        <w:rPr>
          <w:rFonts w:hint="eastAsia"/>
          <w:color w:val="000000" w:themeColor="text1"/>
          <w:highlight w:val="none"/>
          <w:lang w:eastAsia="zh-CN"/>
          <w14:textFill>
            <w14:solidFill>
              <w14:schemeClr w14:val="tx1"/>
            </w14:solidFill>
          </w14:textFill>
        </w:rPr>
        <w:t>了</w:t>
      </w:r>
      <w:r>
        <w:rPr>
          <w:color w:val="000000" w:themeColor="text1"/>
          <w:highlight w:val="none"/>
          <w14:textFill>
            <w14:solidFill>
              <w14:schemeClr w14:val="tx1"/>
            </w14:solidFill>
          </w14:textFill>
        </w:rPr>
        <w:t>《地下水质量标准》（GB/T14848-2017）中Ⅲ类标准的要求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砷离子超过</w:t>
      </w:r>
      <w:r>
        <w:rPr>
          <w:color w:val="000000" w:themeColor="text1"/>
          <w:highlight w:val="none"/>
          <w14:textFill>
            <w14:solidFill>
              <w14:schemeClr w14:val="tx1"/>
            </w14:solidFill>
          </w14:textFill>
        </w:rPr>
        <w:t>《地下水质量标准》（GB/T14848-2017）中Ⅲ类标准的要求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μg/L</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但为超过</w:t>
      </w:r>
      <w:r>
        <w:rPr>
          <w:color w:val="000000" w:themeColor="text1"/>
          <w:highlight w:val="none"/>
          <w14:textFill>
            <w14:solidFill>
              <w14:schemeClr w14:val="tx1"/>
            </w14:solidFill>
          </w14:textFill>
        </w:rPr>
        <w:t>《地下水质量标准》（GB/T14848-2017）中</w:t>
      </w:r>
      <w:r>
        <w:rPr>
          <w:rFonts w:hint="eastAsia"/>
          <w:color w:val="000000" w:themeColor="text1"/>
          <w:highlight w:val="none"/>
          <w:lang w:eastAsia="zh-CN"/>
          <w14:textFill>
            <w14:solidFill>
              <w14:schemeClr w14:val="tx1"/>
            </w14:solidFill>
          </w14:textFill>
        </w:rPr>
        <w:t>Ⅳ类</w:t>
      </w:r>
      <w:r>
        <w:rPr>
          <w:color w:val="000000" w:themeColor="text1"/>
          <w:highlight w:val="none"/>
          <w14:textFill>
            <w14:solidFill>
              <w14:schemeClr w14:val="tx1"/>
            </w14:solidFill>
          </w14:textFill>
        </w:rPr>
        <w:t>标准的要求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μg/L</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奎屯河流域</w:t>
      </w:r>
      <w:r>
        <w:rPr>
          <w:rFonts w:hint="eastAsia"/>
          <w:color w:val="000000" w:themeColor="text1"/>
          <w:highlight w:val="none"/>
          <w14:textFill>
            <w14:solidFill>
              <w14:schemeClr w14:val="tx1"/>
            </w14:solidFill>
          </w14:textFill>
        </w:rPr>
        <w:t>周边山区分布的菱铁矿、砷酸钙、砷酸锰等矿物</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为地下水砷含量超标提供了物质来源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强烈的蒸发浓缩作用与岩石风化作用使得地下水中的砷浓度进一步升高</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高pH值、低Eh的地下水化学环境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造成砷酸盐从矿物表面解吸附聚集在地下水中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沉积物中Fe、Mn氧化物矿物和黏土矿物的还原过程使与之共存的砷被释放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也是</w:t>
      </w:r>
      <w:r>
        <w:rPr>
          <w:rFonts w:hint="eastAsia"/>
          <w:color w:val="000000" w:themeColor="text1"/>
          <w:highlight w:val="none"/>
          <w:lang w:val="en-US" w:eastAsia="zh-CN"/>
          <w14:textFill>
            <w14:solidFill>
              <w14:schemeClr w14:val="tx1"/>
            </w14:solidFill>
          </w14:textFill>
        </w:rPr>
        <w:t>本</w:t>
      </w:r>
      <w:r>
        <w:rPr>
          <w:rFonts w:hint="eastAsia"/>
          <w:color w:val="000000" w:themeColor="text1"/>
          <w:highlight w:val="none"/>
          <w14:textFill>
            <w14:solidFill>
              <w14:schemeClr w14:val="tx1"/>
            </w14:solidFill>
          </w14:textFill>
        </w:rPr>
        <w:t>区地下水中</w:t>
      </w:r>
      <w:r>
        <w:rPr>
          <w:rFonts w:hint="eastAsia"/>
          <w:color w:val="000000" w:themeColor="text1"/>
          <w:highlight w:val="none"/>
          <w:lang w:val="en-US" w:eastAsia="zh-CN"/>
          <w14:textFill>
            <w14:solidFill>
              <w14:schemeClr w14:val="tx1"/>
            </w14:solidFill>
          </w14:textFill>
        </w:rPr>
        <w:t>砷离子</w:t>
      </w:r>
      <w:r>
        <w:rPr>
          <w:rFonts w:hint="eastAsia"/>
          <w:color w:val="000000" w:themeColor="text1"/>
          <w:highlight w:val="none"/>
          <w14:textFill>
            <w14:solidFill>
              <w14:schemeClr w14:val="tx1"/>
            </w14:solidFill>
          </w14:textFill>
        </w:rPr>
        <w:t>超标的原因。</w:t>
      </w:r>
    </w:p>
    <w:p w14:paraId="6112E068">
      <w:pPr>
        <w:pStyle w:val="4"/>
        <w:rPr>
          <w:color w:val="000000" w:themeColor="text1"/>
          <w:highlight w:val="none"/>
          <w14:textFill>
            <w14:solidFill>
              <w14:schemeClr w14:val="tx1"/>
            </w14:solidFill>
          </w14:textFill>
        </w:rPr>
      </w:pPr>
      <w:bookmarkStart w:id="202" w:name="_Toc5926"/>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声环境质量现状监测与评价</w:t>
      </w:r>
      <w:bookmarkEnd w:id="202"/>
    </w:p>
    <w:p w14:paraId="1DFA26D6">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w:t>
      </w:r>
      <w:r>
        <w:rPr>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3</w:t>
      </w:r>
      <w:r>
        <w:rPr>
          <w:b/>
          <w:bCs/>
          <w:color w:val="000000" w:themeColor="text1"/>
          <w:highlight w:val="none"/>
          <w14:textFill>
            <w14:solidFill>
              <w14:schemeClr w14:val="tx1"/>
            </w14:solidFill>
          </w14:textFill>
        </w:rPr>
        <w:t>.1声环境质量现状监测</w:t>
      </w:r>
    </w:p>
    <w:p w14:paraId="4B845A8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1、监测布点</w:t>
      </w:r>
    </w:p>
    <w:p w14:paraId="490AE61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参照厂区总平面布置及周边的环境状况，在</w:t>
      </w: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周边共布设4个监测点进行声环境现状监测。布点情况见表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和</w:t>
      </w:r>
      <w:r>
        <w:rPr>
          <w:rFonts w:hint="eastAsia"/>
          <w:color w:val="000000" w:themeColor="text1"/>
          <w:highlight w:val="none"/>
          <w:lang w:val="en-US" w:eastAsia="zh-CN"/>
          <w14:textFill>
            <w14:solidFill>
              <w14:schemeClr w14:val="tx1"/>
            </w14:solidFill>
          </w14:textFill>
        </w:rPr>
        <w:t>附</w:t>
      </w:r>
      <w:r>
        <w:rPr>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w:t>
      </w:r>
    </w:p>
    <w:p w14:paraId="1318C62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3</w:t>
      </w:r>
      <w:r>
        <w:rPr>
          <w:b/>
          <w:bCs/>
          <w:color w:val="000000" w:themeColor="text1"/>
          <w:sz w:val="21"/>
          <w:szCs w:val="21"/>
          <w:highlight w:val="none"/>
          <w14:textFill>
            <w14:solidFill>
              <w14:schemeClr w14:val="tx1"/>
            </w14:solidFill>
          </w14:textFill>
        </w:rPr>
        <w:t xml:space="preserve">  声环境质量现状监测布点一览表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3122"/>
        <w:gridCol w:w="1661"/>
        <w:gridCol w:w="1980"/>
      </w:tblGrid>
      <w:tr w14:paraId="7DF00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14:paraId="07C3FAA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测点</w:t>
            </w:r>
          </w:p>
        </w:tc>
        <w:tc>
          <w:tcPr>
            <w:tcW w:w="3122" w:type="dxa"/>
            <w:vAlign w:val="center"/>
          </w:tcPr>
          <w:p w14:paraId="3A3FBB0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名称</w:t>
            </w:r>
          </w:p>
        </w:tc>
        <w:tc>
          <w:tcPr>
            <w:tcW w:w="1661" w:type="dxa"/>
          </w:tcPr>
          <w:p w14:paraId="20F2CF6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方位</w:t>
            </w:r>
          </w:p>
        </w:tc>
        <w:tc>
          <w:tcPr>
            <w:tcW w:w="1980" w:type="dxa"/>
            <w:vAlign w:val="center"/>
          </w:tcPr>
          <w:p w14:paraId="52D07F1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相对厂界距离</w:t>
            </w:r>
          </w:p>
        </w:tc>
      </w:tr>
      <w:tr w14:paraId="577B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14:paraId="4C4146A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3122" w:type="dxa"/>
            <w:vAlign w:val="center"/>
          </w:tcPr>
          <w:p w14:paraId="3783329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东厂界</w:t>
            </w:r>
          </w:p>
        </w:tc>
        <w:tc>
          <w:tcPr>
            <w:tcW w:w="1661" w:type="dxa"/>
            <w:vAlign w:val="center"/>
          </w:tcPr>
          <w:p w14:paraId="591F249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东</w:t>
            </w:r>
          </w:p>
        </w:tc>
        <w:tc>
          <w:tcPr>
            <w:tcW w:w="1980" w:type="dxa"/>
            <w:vAlign w:val="center"/>
          </w:tcPr>
          <w:p w14:paraId="1BFB13A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厂界外1m</w:t>
            </w:r>
          </w:p>
        </w:tc>
      </w:tr>
      <w:tr w14:paraId="14D65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14:paraId="1B172AD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3122" w:type="dxa"/>
            <w:vAlign w:val="center"/>
          </w:tcPr>
          <w:p w14:paraId="7212581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南厂界</w:t>
            </w:r>
          </w:p>
        </w:tc>
        <w:tc>
          <w:tcPr>
            <w:tcW w:w="1661" w:type="dxa"/>
            <w:vAlign w:val="center"/>
          </w:tcPr>
          <w:p w14:paraId="35ED6C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南</w:t>
            </w:r>
          </w:p>
        </w:tc>
        <w:tc>
          <w:tcPr>
            <w:tcW w:w="1980" w:type="dxa"/>
            <w:vAlign w:val="center"/>
          </w:tcPr>
          <w:p w14:paraId="4A3C15E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厂界外1m</w:t>
            </w:r>
          </w:p>
        </w:tc>
      </w:tr>
      <w:tr w14:paraId="05BE8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14:paraId="596DD7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3122" w:type="dxa"/>
            <w:vAlign w:val="center"/>
          </w:tcPr>
          <w:p w14:paraId="75BA856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西厂界</w:t>
            </w:r>
          </w:p>
        </w:tc>
        <w:tc>
          <w:tcPr>
            <w:tcW w:w="1661" w:type="dxa"/>
            <w:vAlign w:val="center"/>
          </w:tcPr>
          <w:p w14:paraId="21506AA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西</w:t>
            </w:r>
          </w:p>
        </w:tc>
        <w:tc>
          <w:tcPr>
            <w:tcW w:w="1980" w:type="dxa"/>
            <w:vAlign w:val="center"/>
          </w:tcPr>
          <w:p w14:paraId="2831F94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厂界外1m</w:t>
            </w:r>
          </w:p>
        </w:tc>
      </w:tr>
      <w:tr w14:paraId="6C682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vAlign w:val="center"/>
          </w:tcPr>
          <w:p w14:paraId="3EA270A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3122" w:type="dxa"/>
            <w:vAlign w:val="center"/>
          </w:tcPr>
          <w:p w14:paraId="6A141AC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北厂界</w:t>
            </w:r>
          </w:p>
        </w:tc>
        <w:tc>
          <w:tcPr>
            <w:tcW w:w="1661" w:type="dxa"/>
            <w:vAlign w:val="center"/>
          </w:tcPr>
          <w:p w14:paraId="701253D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北</w:t>
            </w:r>
          </w:p>
        </w:tc>
        <w:tc>
          <w:tcPr>
            <w:tcW w:w="1980" w:type="dxa"/>
            <w:vAlign w:val="center"/>
          </w:tcPr>
          <w:p w14:paraId="57B04C0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厂界外1m</w:t>
            </w:r>
          </w:p>
        </w:tc>
      </w:tr>
    </w:tbl>
    <w:p w14:paraId="31A6A55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2、监测项目</w:t>
      </w:r>
    </w:p>
    <w:p w14:paraId="51F0467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Leq(A)。</w:t>
      </w:r>
    </w:p>
    <w:p w14:paraId="5746767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3、监测单位、时间和频率</w:t>
      </w:r>
    </w:p>
    <w:p w14:paraId="5863CF8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监测单位：</w:t>
      </w:r>
      <w:r>
        <w:rPr>
          <w:rFonts w:hint="eastAsia" w:cs="Times New Roman"/>
          <w:color w:val="000000" w:themeColor="text1"/>
          <w:highlight w:val="none"/>
          <w:lang w:eastAsia="zh-CN"/>
          <w14:textFill>
            <w14:solidFill>
              <w14:schemeClr w14:val="tx1"/>
            </w14:solidFill>
          </w14:textFill>
        </w:rPr>
        <w:t>新疆齐新环境服务有限公司</w:t>
      </w:r>
      <w:r>
        <w:rPr>
          <w:color w:val="000000" w:themeColor="text1"/>
          <w:highlight w:val="none"/>
          <w14:textFill>
            <w14:solidFill>
              <w14:schemeClr w14:val="tx1"/>
            </w14:solidFill>
          </w14:textFill>
        </w:rPr>
        <w:t>。</w:t>
      </w:r>
    </w:p>
    <w:p w14:paraId="77AB5F2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监测时间：</w:t>
      </w:r>
      <w:r>
        <w:rPr>
          <w:rFonts w:hint="eastAsia"/>
          <w:color w:val="000000" w:themeColor="text1"/>
          <w:szCs w:val="21"/>
          <w:highlight w:val="none"/>
          <w14:textFill>
            <w14:solidFill>
              <w14:schemeClr w14:val="tx1"/>
            </w14:solidFill>
          </w14:textFill>
        </w:rPr>
        <w:t>2024</w:t>
      </w:r>
      <w:r>
        <w:rPr>
          <w:rFonts w:hint="eastAsia"/>
          <w:color w:val="000000" w:themeColor="text1"/>
          <w:szCs w:val="21"/>
          <w:highlight w:val="none"/>
          <w:lang w:val="en-US" w:eastAsia="zh-CN"/>
          <w14:textFill>
            <w14:solidFill>
              <w14:schemeClr w14:val="tx1"/>
            </w14:solidFill>
          </w14:textFill>
        </w:rPr>
        <w:t>年</w:t>
      </w:r>
      <w:r>
        <w:rPr>
          <w:rFonts w:hint="eastAsia"/>
          <w:color w:val="000000" w:themeColor="text1"/>
          <w:szCs w:val="21"/>
          <w:highlight w:val="none"/>
          <w14:textFill>
            <w14:solidFill>
              <w14:schemeClr w14:val="tx1"/>
            </w14:solidFill>
          </w14:textFill>
        </w:rPr>
        <w:t>4</w:t>
      </w:r>
      <w:r>
        <w:rPr>
          <w:rFonts w:hint="eastAsia"/>
          <w:color w:val="000000" w:themeColor="text1"/>
          <w:szCs w:val="21"/>
          <w:highlight w:val="none"/>
          <w:lang w:val="en-US" w:eastAsia="zh-CN"/>
          <w14:textFill>
            <w14:solidFill>
              <w14:schemeClr w14:val="tx1"/>
            </w14:solidFill>
          </w14:textFill>
        </w:rPr>
        <w:t>月27日～</w:t>
      </w:r>
      <w:r>
        <w:rPr>
          <w:rFonts w:hint="eastAsia"/>
          <w:color w:val="000000" w:themeColor="text1"/>
          <w:szCs w:val="21"/>
          <w:highlight w:val="none"/>
          <w14:textFill>
            <w14:solidFill>
              <w14:schemeClr w14:val="tx1"/>
            </w14:solidFill>
          </w14:textFill>
        </w:rPr>
        <w:t>2024</w:t>
      </w:r>
      <w:r>
        <w:rPr>
          <w:rFonts w:hint="eastAsia"/>
          <w:color w:val="000000" w:themeColor="text1"/>
          <w:szCs w:val="21"/>
          <w:highlight w:val="none"/>
          <w:lang w:val="en-US" w:eastAsia="zh-CN"/>
          <w14:textFill>
            <w14:solidFill>
              <w14:schemeClr w14:val="tx1"/>
            </w14:solidFill>
          </w14:textFill>
        </w:rPr>
        <w:t>年4月28日</w:t>
      </w:r>
      <w:r>
        <w:rPr>
          <w:color w:val="000000" w:themeColor="text1"/>
          <w:highlight w:val="none"/>
          <w14:textFill>
            <w14:solidFill>
              <w14:schemeClr w14:val="tx1"/>
            </w14:solidFill>
          </w14:textFill>
        </w:rPr>
        <w:t>。</w:t>
      </w:r>
    </w:p>
    <w:p w14:paraId="6E6203A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采样频率：监测1天，分别在白天（6:00-22:00）和夜间（22:00-6:00）各点位监测1次。</w:t>
      </w:r>
    </w:p>
    <w:p w14:paraId="332A309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4、监测分析方法</w:t>
      </w:r>
    </w:p>
    <w:p w14:paraId="4EE6D3F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采用《工业企业厂界环境噪声排放标准》(GB12348-2008)和《声环境质量标准》(GB3096-2008)中的有关规定。监测仪器采用多功能声级计，所用的监测仪器均经过计量部门的检定。监测时无雨，风力小于4级。</w:t>
      </w:r>
    </w:p>
    <w:p w14:paraId="1E11FA3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5、监测结果</w:t>
      </w:r>
    </w:p>
    <w:p w14:paraId="19D40AB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厂界噪声现状监测结果见表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w:t>
      </w:r>
    </w:p>
    <w:p w14:paraId="1CC4E58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4</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噪声现状监测结果</w:t>
      </w:r>
    </w:p>
    <w:tbl>
      <w:tblPr>
        <w:tblStyle w:val="33"/>
        <w:tblW w:w="8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9"/>
        <w:gridCol w:w="3368"/>
        <w:gridCol w:w="3682"/>
      </w:tblGrid>
      <w:tr w14:paraId="7E0F7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09" w:type="dxa"/>
            <w:vAlign w:val="center"/>
          </w:tcPr>
          <w:p w14:paraId="1204ABB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7050" w:type="dxa"/>
            <w:gridSpan w:val="2"/>
            <w:vAlign w:val="center"/>
          </w:tcPr>
          <w:p w14:paraId="664AE7E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等效连续A声级（dB（A））</w:t>
            </w:r>
          </w:p>
        </w:tc>
      </w:tr>
      <w:tr w14:paraId="14574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09" w:type="dxa"/>
            <w:vAlign w:val="center"/>
          </w:tcPr>
          <w:p w14:paraId="7FF4CF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8720" behindDoc="0" locked="0" layoutInCell="1" allowOverlap="1">
                      <wp:simplePos x="0" y="0"/>
                      <wp:positionH relativeFrom="column">
                        <wp:posOffset>256540</wp:posOffset>
                      </wp:positionH>
                      <wp:positionV relativeFrom="paragraph">
                        <wp:posOffset>360045</wp:posOffset>
                      </wp:positionV>
                      <wp:extent cx="876300" cy="33337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876300" cy="333375"/>
                              </a:xfrm>
                              <a:prstGeom prst="rect">
                                <a:avLst/>
                              </a:prstGeom>
                              <a:noFill/>
                              <a:ln w="15875">
                                <a:noFill/>
                              </a:ln>
                            </wps:spPr>
                            <wps:txbx>
                              <w:txbxContent>
                                <w:p w14:paraId="4229CFAE">
                                  <w:pPr>
                                    <w:spacing w:line="240" w:lineRule="auto"/>
                                    <w:rPr>
                                      <w:rFonts w:ascii="Calibri" w:hAnsi="Calibri" w:cs="Times New Roman"/>
                                      <w:sz w:val="21"/>
                                    </w:rPr>
                                  </w:pPr>
                                  <w:r>
                                    <w:rPr>
                                      <w:rFonts w:hint="eastAsia" w:ascii="Calibri" w:hAnsi="Calibri" w:cs="Times New Roman"/>
                                      <w:sz w:val="21"/>
                                    </w:rPr>
                                    <w:t>采样时间</w:t>
                                  </w:r>
                                </w:p>
                              </w:txbxContent>
                            </wps:txbx>
                            <wps:bodyPr upright="1"/>
                          </wps:wsp>
                        </a:graphicData>
                      </a:graphic>
                    </wp:anchor>
                  </w:drawing>
                </mc:Choice>
                <mc:Fallback>
                  <w:pict>
                    <v:shape id="_x0000_s1026" o:spid="_x0000_s1026" o:spt="202" type="#_x0000_t202" style="position:absolute;left:0pt;margin-left:20.2pt;margin-top:28.35pt;height:26.25pt;width:69pt;z-index:251678720;mso-width-relative:page;mso-height-relative:page;" filled="f" stroked="f" coordsize="21600,21600" o:gfxdata="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KvXaPbAAAACQEAAA8AAAAAAAAAAQAgAAAAIgAAAGRycy9kb3ducmV2LnhtbFBLAQIUABQA&#10;AAAIAIdO4kDoWeDRtAEAAFsDAAAOAAAAAAAAAAEAIAAAACoBAABkcnMvZTJvRG9jLnhtbFBLBQYA&#10;AAAABgAGAFkBAABQBQAAAAA=&#10;">
                      <v:fill on="f" focussize="0,0"/>
                      <v:stroke on="f" weight="1.25pt"/>
                      <v:imagedata o:title=""/>
                      <o:lock v:ext="edit" aspectratio="f"/>
                      <v:textbox>
                        <w:txbxContent>
                          <w:p w14:paraId="4229CFAE">
                            <w:pPr>
                              <w:spacing w:line="240" w:lineRule="auto"/>
                              <w:rPr>
                                <w:rFonts w:ascii="Calibri" w:hAnsi="Calibri" w:cs="Times New Roman"/>
                                <w:sz w:val="21"/>
                              </w:rPr>
                            </w:pPr>
                            <w:r>
                              <w:rPr>
                                <w:rFonts w:hint="eastAsia" w:ascii="Calibri" w:hAnsi="Calibri" w:cs="Times New Roman"/>
                                <w:sz w:val="21"/>
                              </w:rPr>
                              <w:t>采样时间</w:t>
                            </w:r>
                          </w:p>
                        </w:txbxContent>
                      </v:textbox>
                    </v:shape>
                  </w:pict>
                </mc:Fallback>
              </mc:AlternateContent>
            </w:r>
            <w:r>
              <w:rPr>
                <w:color w:val="000000" w:themeColor="text1"/>
                <w:sz w:val="21"/>
                <w:szCs w:val="21"/>
                <w:highlight w:val="none"/>
                <w14:textFill>
                  <w14:solidFill>
                    <w14:schemeClr w14:val="tx1"/>
                  </w14:solidFill>
                </w14:textFill>
              </w:rPr>
              <w:t>校准</w:t>
            </w:r>
          </w:p>
        </w:tc>
        <w:tc>
          <w:tcPr>
            <w:tcW w:w="7050" w:type="dxa"/>
            <w:gridSpan w:val="2"/>
          </w:tcPr>
          <w:p w14:paraId="5194AA9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多功能声级计测量前校准值：93.</w:t>
            </w:r>
            <w:r>
              <w:rPr>
                <w:rFonts w:hint="eastAsia"/>
                <w:color w:val="000000" w:themeColor="text1"/>
                <w:sz w:val="21"/>
                <w:szCs w:val="21"/>
                <w:highlight w:val="none"/>
                <w:lang w:val="en-US" w:eastAsia="zh-CN"/>
                <w14:textFill>
                  <w14:solidFill>
                    <w14:schemeClr w14:val="tx1"/>
                  </w14:solidFill>
                </w14:textFill>
              </w:rPr>
              <w:t>9</w:t>
            </w:r>
            <w:r>
              <w:rPr>
                <w:rFonts w:hint="eastAsia"/>
                <w:color w:val="000000" w:themeColor="text1"/>
                <w:sz w:val="21"/>
                <w:szCs w:val="21"/>
                <w:highlight w:val="none"/>
                <w14:textFill>
                  <w14:solidFill>
                    <w14:schemeClr w14:val="tx1"/>
                  </w14:solidFill>
                </w14:textFill>
              </w:rPr>
              <w:t>/93.8</w:t>
            </w:r>
            <w:r>
              <w:rPr>
                <w:color w:val="000000" w:themeColor="text1"/>
                <w:sz w:val="21"/>
                <w:szCs w:val="21"/>
                <w:highlight w:val="none"/>
                <w14:textFill>
                  <w14:solidFill>
                    <w14:schemeClr w14:val="tx1"/>
                  </w14:solidFill>
                </w14:textFill>
              </w:rPr>
              <w:t>dB(A)</w:t>
            </w:r>
          </w:p>
          <w:p w14:paraId="2E906B6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测量后校准值：93.</w:t>
            </w:r>
            <w:r>
              <w:rPr>
                <w:rFonts w:hint="eastAsia"/>
                <w:color w:val="000000" w:themeColor="text1"/>
                <w:sz w:val="21"/>
                <w:szCs w:val="21"/>
                <w:highlight w:val="none"/>
                <w:lang w:val="en-US" w:eastAsia="zh-CN"/>
                <w14:textFill>
                  <w14:solidFill>
                    <w14:schemeClr w14:val="tx1"/>
                  </w14:solidFill>
                </w14:textFill>
              </w:rPr>
              <w:t>8</w:t>
            </w:r>
            <w:r>
              <w:rPr>
                <w:rFonts w:hint="eastAsia"/>
                <w:color w:val="000000" w:themeColor="text1"/>
                <w:sz w:val="21"/>
                <w:szCs w:val="21"/>
                <w:highlight w:val="none"/>
                <w14:textFill>
                  <w14:solidFill>
                    <w14:schemeClr w14:val="tx1"/>
                  </w14:solidFill>
                </w14:textFill>
              </w:rPr>
              <w:t>/93.8</w:t>
            </w:r>
            <w:r>
              <w:rPr>
                <w:color w:val="000000" w:themeColor="text1"/>
                <w:sz w:val="21"/>
                <w:szCs w:val="21"/>
                <w:highlight w:val="none"/>
                <w14:textFill>
                  <w14:solidFill>
                    <w14:schemeClr w14:val="tx1"/>
                  </w14:solidFill>
                </w14:textFill>
              </w:rPr>
              <w:t>dB(A)；</w:t>
            </w:r>
          </w:p>
        </w:tc>
      </w:tr>
      <w:tr w14:paraId="30321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9" w:type="dxa"/>
            <w:vMerge w:val="restart"/>
          </w:tcPr>
          <w:p w14:paraId="36218E3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9744" behindDoc="0" locked="0" layoutInCell="1" allowOverlap="1">
                      <wp:simplePos x="0" y="0"/>
                      <wp:positionH relativeFrom="column">
                        <wp:posOffset>-102235</wp:posOffset>
                      </wp:positionH>
                      <wp:positionV relativeFrom="paragraph">
                        <wp:posOffset>140335</wp:posOffset>
                      </wp:positionV>
                      <wp:extent cx="876300" cy="333375"/>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876300" cy="333375"/>
                              </a:xfrm>
                              <a:prstGeom prst="rect">
                                <a:avLst/>
                              </a:prstGeom>
                              <a:noFill/>
                              <a:ln w="15875">
                                <a:noFill/>
                              </a:ln>
                            </wps:spPr>
                            <wps:txbx>
                              <w:txbxContent>
                                <w:p w14:paraId="23211612">
                                  <w:pPr>
                                    <w:spacing w:line="240" w:lineRule="auto"/>
                                    <w:rPr>
                                      <w:rFonts w:ascii="Calibri" w:hAnsi="Calibri" w:cs="Times New Roman"/>
                                      <w:sz w:val="21"/>
                                    </w:rPr>
                                  </w:pPr>
                                  <w:r>
                                    <w:rPr>
                                      <w:rFonts w:hint="eastAsia" w:ascii="Calibri" w:hAnsi="Calibri" w:cs="Times New Roman"/>
                                      <w:sz w:val="21"/>
                                    </w:rPr>
                                    <w:t>采样点位</w:t>
                                  </w:r>
                                </w:p>
                              </w:txbxContent>
                            </wps:txbx>
                            <wps:bodyPr upright="1"/>
                          </wps:wsp>
                        </a:graphicData>
                      </a:graphic>
                    </wp:anchor>
                  </w:drawing>
                </mc:Choice>
                <mc:Fallback>
                  <w:pict>
                    <v:shape id="_x0000_s1026" o:spid="_x0000_s1026" o:spt="202" type="#_x0000_t202" style="position:absolute;left:0pt;margin-left:-8.05pt;margin-top:11.05pt;height:26.25pt;width:69pt;z-index:251679744;mso-width-relative:page;mso-height-relative:page;" filled="f" stroked="f" coordsize="21600,21600" o:gfxdata="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DnJ3o2wAAAAkBAAAPAAAAAAAAAAEAIAAAACIAAABkcnMvZG93bnJldi54bWxQSwECFAAUAAAA&#10;CACHTuJAobcywLIBAABbAwAADgAAAAAAAAABACAAAAAqAQAAZHJzL2Uyb0RvYy54bWxQSwUGAAAA&#10;AAYABgBZAQAATgUAAAAA&#10;">
                      <v:fill on="f" focussize="0,0"/>
                      <v:stroke on="f" weight="1.25pt"/>
                      <v:imagedata o:title=""/>
                      <o:lock v:ext="edit" aspectratio="f"/>
                      <v:textbox>
                        <w:txbxContent>
                          <w:p w14:paraId="23211612">
                            <w:pPr>
                              <w:spacing w:line="240" w:lineRule="auto"/>
                              <w:rPr>
                                <w:rFonts w:ascii="Calibri" w:hAnsi="Calibri" w:cs="Times New Roman"/>
                                <w:sz w:val="21"/>
                              </w:rPr>
                            </w:pPr>
                            <w:r>
                              <w:rPr>
                                <w:rFonts w:hint="eastAsia" w:ascii="Calibri" w:hAnsi="Calibri" w:cs="Times New Roman"/>
                                <w:sz w:val="21"/>
                              </w:rPr>
                              <w:t>采样点位</w:t>
                            </w:r>
                          </w:p>
                        </w:txbxContent>
                      </v:textbox>
                    </v:shape>
                  </w:pict>
                </mc:Fallback>
              </mc:AlternateContent>
            </w:r>
            <w:r>
              <w:rPr>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-48895</wp:posOffset>
                      </wp:positionH>
                      <wp:positionV relativeFrom="paragraph">
                        <wp:posOffset>15240</wp:posOffset>
                      </wp:positionV>
                      <wp:extent cx="1010920" cy="406400"/>
                      <wp:effectExtent l="1905" t="4445" r="15875" b="8255"/>
                      <wp:wrapNone/>
                      <wp:docPr id="148" name="直接连接符 148"/>
                      <wp:cNvGraphicFramePr/>
                      <a:graphic xmlns:a="http://schemas.openxmlformats.org/drawingml/2006/main">
                        <a:graphicData uri="http://schemas.microsoft.com/office/word/2010/wordprocessingShape">
                          <wps:wsp>
                            <wps:cNvCnPr/>
                            <wps:spPr>
                              <a:xfrm>
                                <a:off x="0" y="0"/>
                                <a:ext cx="1010920" cy="4064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85pt;margin-top:1.2pt;height:32pt;width:79.6pt;z-index:251677696;mso-width-relative:page;mso-height-relative:page;" filled="f" stroked="t" coordsize="21600,21600" o:gfxdata="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3hQfx1gAAAAcBAAAPAAAAAAAAAAEAIAAAACIAAABkcnMvZG93bnJldi54bWxQSwECFAAU&#10;AAAACACHTuJApPEGHfMBAADhAwAADgAAAAAAAAABACAAAAAlAQAAZHJzL2Uyb0RvYy54bWxQSwUG&#10;AAAAAAYABgBZAQAAigUAAAAA&#10;">
                      <v:fill on="f" focussize="0,0"/>
                      <v:stroke color="#000000" joinstyle="round"/>
                      <v:imagedata o:title=""/>
                      <o:lock v:ext="edit" aspectratio="f"/>
                    </v:line>
                  </w:pict>
                </mc:Fallback>
              </mc:AlternateContent>
            </w:r>
          </w:p>
        </w:tc>
        <w:tc>
          <w:tcPr>
            <w:tcW w:w="7050" w:type="dxa"/>
            <w:gridSpan w:val="2"/>
            <w:vAlign w:val="center"/>
          </w:tcPr>
          <w:p w14:paraId="5C61AE3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2024</w:t>
            </w:r>
            <w:r>
              <w:rPr>
                <w:rFonts w:hint="eastAsia"/>
                <w:color w:val="000000" w:themeColor="text1"/>
                <w:sz w:val="21"/>
                <w:szCs w:val="21"/>
                <w:highlight w:val="none"/>
                <w:lang w:val="en-US" w:eastAsia="zh-CN"/>
                <w14:textFill>
                  <w14:solidFill>
                    <w14:schemeClr w14:val="tx1"/>
                  </w14:solidFill>
                </w14:textFill>
              </w:rPr>
              <w:t>年</w:t>
            </w:r>
            <w:r>
              <w:rPr>
                <w:rFonts w:hint="eastAsia"/>
                <w:color w:val="000000" w:themeColor="text1"/>
                <w:sz w:val="21"/>
                <w:szCs w:val="21"/>
                <w:highlight w:val="none"/>
                <w14:textFill>
                  <w14:solidFill>
                    <w14:schemeClr w14:val="tx1"/>
                  </w14:solidFill>
                </w14:textFill>
              </w:rPr>
              <w:t>4</w:t>
            </w:r>
            <w:r>
              <w:rPr>
                <w:rFonts w:hint="eastAsia"/>
                <w:color w:val="000000" w:themeColor="text1"/>
                <w:sz w:val="21"/>
                <w:szCs w:val="21"/>
                <w:highlight w:val="none"/>
                <w:lang w:val="en-US" w:eastAsia="zh-CN"/>
                <w14:textFill>
                  <w14:solidFill>
                    <w14:schemeClr w14:val="tx1"/>
                  </w14:solidFill>
                </w14:textFill>
              </w:rPr>
              <w:t>月27日～</w:t>
            </w:r>
            <w:r>
              <w:rPr>
                <w:rFonts w:hint="eastAsia"/>
                <w:color w:val="000000" w:themeColor="text1"/>
                <w:sz w:val="21"/>
                <w:szCs w:val="21"/>
                <w:highlight w:val="none"/>
                <w14:textFill>
                  <w14:solidFill>
                    <w14:schemeClr w14:val="tx1"/>
                  </w14:solidFill>
                </w14:textFill>
              </w:rPr>
              <w:t>2024</w:t>
            </w:r>
            <w:r>
              <w:rPr>
                <w:rFonts w:hint="eastAsia"/>
                <w:color w:val="000000" w:themeColor="text1"/>
                <w:sz w:val="21"/>
                <w:szCs w:val="21"/>
                <w:highlight w:val="none"/>
                <w:lang w:val="en-US" w:eastAsia="zh-CN"/>
                <w14:textFill>
                  <w14:solidFill>
                    <w14:schemeClr w14:val="tx1"/>
                  </w14:solidFill>
                </w14:textFill>
              </w:rPr>
              <w:t>年4月28日</w:t>
            </w:r>
          </w:p>
        </w:tc>
      </w:tr>
      <w:tr w14:paraId="2035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9" w:type="dxa"/>
            <w:vMerge w:val="continue"/>
          </w:tcPr>
          <w:p w14:paraId="46462804">
            <w:pPr>
              <w:spacing w:line="240" w:lineRule="auto"/>
              <w:jc w:val="center"/>
              <w:rPr>
                <w:color w:val="000000" w:themeColor="text1"/>
                <w:sz w:val="21"/>
                <w:szCs w:val="21"/>
                <w:highlight w:val="none"/>
                <w14:textFill>
                  <w14:solidFill>
                    <w14:schemeClr w14:val="tx1"/>
                  </w14:solidFill>
                </w14:textFill>
              </w:rPr>
            </w:pPr>
          </w:p>
        </w:tc>
        <w:tc>
          <w:tcPr>
            <w:tcW w:w="3368" w:type="dxa"/>
            <w:vAlign w:val="center"/>
          </w:tcPr>
          <w:p w14:paraId="609042F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昼间</w:t>
            </w:r>
          </w:p>
        </w:tc>
        <w:tc>
          <w:tcPr>
            <w:tcW w:w="3682" w:type="dxa"/>
            <w:vAlign w:val="center"/>
          </w:tcPr>
          <w:p w14:paraId="438A49F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夜间</w:t>
            </w:r>
          </w:p>
        </w:tc>
      </w:tr>
      <w:tr w14:paraId="3DF7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9" w:type="dxa"/>
            <w:vAlign w:val="center"/>
          </w:tcPr>
          <w:p w14:paraId="16C4458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3368" w:type="dxa"/>
            <w:vAlign w:val="center"/>
          </w:tcPr>
          <w:p w14:paraId="6AE80C5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42</w:t>
            </w:r>
          </w:p>
        </w:tc>
        <w:tc>
          <w:tcPr>
            <w:tcW w:w="3682" w:type="dxa"/>
            <w:vAlign w:val="center"/>
          </w:tcPr>
          <w:p w14:paraId="1D2C2DD4">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r>
              <w:rPr>
                <w:rFonts w:hint="eastAsia"/>
                <w:color w:val="000000" w:themeColor="text1"/>
                <w:sz w:val="21"/>
                <w:szCs w:val="21"/>
                <w:highlight w:val="none"/>
                <w:lang w:val="en-US" w:eastAsia="zh-CN"/>
                <w14:textFill>
                  <w14:solidFill>
                    <w14:schemeClr w14:val="tx1"/>
                  </w14:solidFill>
                </w14:textFill>
              </w:rPr>
              <w:t>1</w:t>
            </w:r>
          </w:p>
        </w:tc>
      </w:tr>
      <w:tr w14:paraId="4DAB1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9" w:type="dxa"/>
            <w:vAlign w:val="center"/>
          </w:tcPr>
          <w:p w14:paraId="2510668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3368" w:type="dxa"/>
            <w:vAlign w:val="center"/>
          </w:tcPr>
          <w:p w14:paraId="3DD5BBFC">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r>
              <w:rPr>
                <w:rFonts w:hint="eastAsia"/>
                <w:color w:val="000000" w:themeColor="text1"/>
                <w:sz w:val="21"/>
                <w:szCs w:val="21"/>
                <w:highlight w:val="none"/>
                <w:lang w:val="en-US" w:eastAsia="zh-CN"/>
                <w14:textFill>
                  <w14:solidFill>
                    <w14:schemeClr w14:val="tx1"/>
                  </w14:solidFill>
                </w14:textFill>
              </w:rPr>
              <w:t>3</w:t>
            </w:r>
          </w:p>
        </w:tc>
        <w:tc>
          <w:tcPr>
            <w:tcW w:w="3682" w:type="dxa"/>
            <w:vAlign w:val="center"/>
          </w:tcPr>
          <w:p w14:paraId="3C989385">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w:t>
            </w:r>
          </w:p>
        </w:tc>
      </w:tr>
      <w:tr w14:paraId="08EF3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9" w:type="dxa"/>
            <w:vAlign w:val="center"/>
          </w:tcPr>
          <w:p w14:paraId="5114C92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3368" w:type="dxa"/>
            <w:vAlign w:val="center"/>
          </w:tcPr>
          <w:p w14:paraId="08501B3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w:t>
            </w:r>
          </w:p>
        </w:tc>
        <w:tc>
          <w:tcPr>
            <w:tcW w:w="3682" w:type="dxa"/>
            <w:vAlign w:val="center"/>
          </w:tcPr>
          <w:p w14:paraId="6A8116D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w:t>
            </w:r>
          </w:p>
        </w:tc>
      </w:tr>
      <w:tr w14:paraId="739D9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609" w:type="dxa"/>
            <w:vAlign w:val="center"/>
          </w:tcPr>
          <w:p w14:paraId="4751045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3368" w:type="dxa"/>
            <w:vAlign w:val="center"/>
          </w:tcPr>
          <w:p w14:paraId="05D45372">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w:t>
            </w:r>
          </w:p>
        </w:tc>
        <w:tc>
          <w:tcPr>
            <w:tcW w:w="3682" w:type="dxa"/>
            <w:vAlign w:val="center"/>
          </w:tcPr>
          <w:p w14:paraId="34A96ECD">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w:t>
            </w:r>
          </w:p>
        </w:tc>
      </w:tr>
      <w:tr w14:paraId="3BC2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659" w:type="dxa"/>
            <w:gridSpan w:val="3"/>
            <w:vAlign w:val="center"/>
          </w:tcPr>
          <w:p w14:paraId="384D9EF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备注</w:t>
            </w:r>
            <w:r>
              <w:rPr>
                <w:rFonts w:hint="eastAsia"/>
                <w:color w:val="000000" w:themeColor="text1"/>
                <w:sz w:val="21"/>
                <w:szCs w:val="21"/>
                <w:highlight w:val="none"/>
                <w14:textFill>
                  <w14:solidFill>
                    <w14:schemeClr w14:val="tx1"/>
                  </w14:solidFill>
                </w14:textFill>
              </w:rPr>
              <w:t>：</w:t>
            </w:r>
          </w:p>
        </w:tc>
      </w:tr>
    </w:tbl>
    <w:p w14:paraId="108D35F3">
      <w:pP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4.2.</w:t>
      </w:r>
      <w:r>
        <w:rPr>
          <w:rFonts w:hint="eastAsia"/>
          <w:b/>
          <w:bCs/>
          <w:color w:val="000000" w:themeColor="text1"/>
          <w:highlight w:val="none"/>
          <w14:textFill>
            <w14:solidFill>
              <w14:schemeClr w14:val="tx1"/>
            </w14:solidFill>
          </w14:textFill>
        </w:rPr>
        <w:t>3</w:t>
      </w:r>
      <w:r>
        <w:rPr>
          <w:b/>
          <w:bCs/>
          <w:color w:val="000000" w:themeColor="text1"/>
          <w:highlight w:val="none"/>
          <w14:textFill>
            <w14:solidFill>
              <w14:schemeClr w14:val="tx1"/>
            </w14:solidFill>
          </w14:textFill>
        </w:rPr>
        <w:t>.2 声环境质量现状评价</w:t>
      </w:r>
    </w:p>
    <w:p w14:paraId="6E2190F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1、评价标准</w:t>
      </w:r>
    </w:p>
    <w:p w14:paraId="7589E47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厂界执行《声环境质量标准》（GB3096－2008）2类标准。</w:t>
      </w:r>
    </w:p>
    <w:p w14:paraId="7F83157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2、评价方法</w:t>
      </w:r>
    </w:p>
    <w:p w14:paraId="67AB52F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根据监测结果统计出的各点昼间和夜间的等效连续A声级Leq(A)，采用超标值法进行噪声环境现状评价。计算公式为：</w:t>
      </w:r>
    </w:p>
    <w:p w14:paraId="039A3FB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P=Leq-Lb</w:t>
      </w:r>
    </w:p>
    <w:p w14:paraId="45487A1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式中：P—超标值，dB(A)；</w:t>
      </w:r>
    </w:p>
    <w:p w14:paraId="413690A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Leq—测点等效连续A声级，dB(A)；</w:t>
      </w:r>
    </w:p>
    <w:p w14:paraId="6B787E7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Lb—评价标准，dB(A)。</w:t>
      </w:r>
    </w:p>
    <w:p w14:paraId="2AF1F2D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3、评价结果</w:t>
      </w:r>
    </w:p>
    <w:p w14:paraId="0B78B66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声环境现状评价结果见表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w:t>
      </w:r>
    </w:p>
    <w:p w14:paraId="7B7AE66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5</w:t>
      </w:r>
      <w:r>
        <w:rPr>
          <w:b/>
          <w:bCs/>
          <w:color w:val="000000" w:themeColor="text1"/>
          <w:sz w:val="21"/>
          <w:szCs w:val="21"/>
          <w:highlight w:val="none"/>
          <w14:textFill>
            <w14:solidFill>
              <w14:schemeClr w14:val="tx1"/>
            </w14:solidFill>
          </w14:textFill>
        </w:rPr>
        <w:t xml:space="preserve">  噪声现状评价结果(单位：dB(A))</w:t>
      </w:r>
    </w:p>
    <w:tbl>
      <w:tblPr>
        <w:tblStyle w:val="33"/>
        <w:tblW w:w="495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902"/>
        <w:gridCol w:w="1093"/>
        <w:gridCol w:w="1068"/>
        <w:gridCol w:w="1172"/>
        <w:gridCol w:w="1096"/>
        <w:gridCol w:w="890"/>
        <w:gridCol w:w="1017"/>
      </w:tblGrid>
      <w:tr w14:paraId="2D5C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55" w:type="pct"/>
            <w:vMerge w:val="restart"/>
            <w:noWrap w:val="0"/>
            <w:vAlign w:val="center"/>
          </w:tcPr>
          <w:p w14:paraId="40E6AD7C">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监测点</w:t>
            </w:r>
            <w:r>
              <w:rPr>
                <w:rFonts w:hint="default" w:ascii="Times New Roman" w:hAnsi="Times New Roman" w:eastAsia="宋体" w:cs="Times New Roman"/>
                <w:b/>
                <w:bCs/>
                <w:color w:val="000000" w:themeColor="text1"/>
                <w:kern w:val="0"/>
                <w:sz w:val="21"/>
                <w:szCs w:val="21"/>
                <w:highlight w:val="none"/>
                <w:lang w:eastAsia="zh-CN"/>
                <w14:textFill>
                  <w14:solidFill>
                    <w14:schemeClr w14:val="tx1"/>
                  </w14:solidFill>
                </w14:textFill>
              </w:rPr>
              <w:t>及</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编号</w:t>
            </w:r>
          </w:p>
        </w:tc>
        <w:tc>
          <w:tcPr>
            <w:tcW w:w="2022" w:type="pct"/>
            <w:gridSpan w:val="3"/>
            <w:noWrap w:val="0"/>
            <w:vAlign w:val="center"/>
          </w:tcPr>
          <w:p w14:paraId="5CEE5FE5">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昼间</w:t>
            </w:r>
          </w:p>
        </w:tc>
        <w:tc>
          <w:tcPr>
            <w:tcW w:w="1822" w:type="pct"/>
            <w:gridSpan w:val="3"/>
            <w:noWrap w:val="0"/>
            <w:vAlign w:val="center"/>
          </w:tcPr>
          <w:p w14:paraId="58423085">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夜间</w:t>
            </w:r>
          </w:p>
        </w:tc>
      </w:tr>
      <w:tr w14:paraId="5D10D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55" w:type="pct"/>
            <w:vMerge w:val="continue"/>
            <w:noWrap w:val="0"/>
            <w:vAlign w:val="center"/>
          </w:tcPr>
          <w:p w14:paraId="31CC0CF7">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p>
        </w:tc>
        <w:tc>
          <w:tcPr>
            <w:tcW w:w="663" w:type="pct"/>
            <w:noWrap w:val="0"/>
            <w:vAlign w:val="center"/>
          </w:tcPr>
          <w:p w14:paraId="2D668040">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现状值</w:t>
            </w:r>
          </w:p>
        </w:tc>
        <w:tc>
          <w:tcPr>
            <w:tcW w:w="648" w:type="pct"/>
            <w:noWrap w:val="0"/>
            <w:vAlign w:val="center"/>
          </w:tcPr>
          <w:p w14:paraId="2EEECD2C">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标准值</w:t>
            </w:r>
          </w:p>
        </w:tc>
        <w:tc>
          <w:tcPr>
            <w:tcW w:w="709" w:type="pct"/>
            <w:noWrap w:val="0"/>
            <w:vAlign w:val="center"/>
          </w:tcPr>
          <w:p w14:paraId="6D61E1F1">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达标情况</w:t>
            </w:r>
          </w:p>
        </w:tc>
        <w:tc>
          <w:tcPr>
            <w:tcW w:w="665" w:type="pct"/>
            <w:noWrap w:val="0"/>
            <w:vAlign w:val="center"/>
          </w:tcPr>
          <w:p w14:paraId="71E39EF2">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现状值</w:t>
            </w:r>
          </w:p>
        </w:tc>
        <w:tc>
          <w:tcPr>
            <w:tcW w:w="540" w:type="pct"/>
            <w:noWrap w:val="0"/>
            <w:vAlign w:val="center"/>
          </w:tcPr>
          <w:p w14:paraId="5E076ED1">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标准值</w:t>
            </w:r>
          </w:p>
        </w:tc>
        <w:tc>
          <w:tcPr>
            <w:tcW w:w="616" w:type="pct"/>
            <w:noWrap w:val="0"/>
            <w:vAlign w:val="center"/>
          </w:tcPr>
          <w:p w14:paraId="2579EA00">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达标情况</w:t>
            </w:r>
          </w:p>
        </w:tc>
      </w:tr>
      <w:tr w14:paraId="3B86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55" w:type="pct"/>
            <w:noWrap w:val="0"/>
            <w:vAlign w:val="center"/>
          </w:tcPr>
          <w:p w14:paraId="64466AF5">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1东厂界</w:t>
            </w:r>
          </w:p>
        </w:tc>
        <w:tc>
          <w:tcPr>
            <w:tcW w:w="1093" w:type="dxa"/>
            <w:noWrap w:val="0"/>
            <w:vAlign w:val="center"/>
          </w:tcPr>
          <w:p w14:paraId="79D5F1A7">
            <w:pPr>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42</w:t>
            </w:r>
          </w:p>
        </w:tc>
        <w:tc>
          <w:tcPr>
            <w:tcW w:w="648" w:type="pct"/>
            <w:vMerge w:val="restart"/>
            <w:noWrap w:val="0"/>
            <w:vAlign w:val="center"/>
          </w:tcPr>
          <w:p w14:paraId="3974FD24">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60</w:t>
            </w:r>
          </w:p>
        </w:tc>
        <w:tc>
          <w:tcPr>
            <w:tcW w:w="709" w:type="pct"/>
            <w:noWrap w:val="0"/>
            <w:vAlign w:val="center"/>
          </w:tcPr>
          <w:p w14:paraId="50844C2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c>
          <w:tcPr>
            <w:tcW w:w="1096" w:type="dxa"/>
            <w:noWrap w:val="0"/>
            <w:vAlign w:val="center"/>
          </w:tcPr>
          <w:p w14:paraId="3EE77817">
            <w:pPr>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r>
              <w:rPr>
                <w:rFonts w:hint="eastAsia"/>
                <w:color w:val="000000" w:themeColor="text1"/>
                <w:sz w:val="21"/>
                <w:szCs w:val="21"/>
                <w:highlight w:val="none"/>
                <w:lang w:val="en-US" w:eastAsia="zh-CN"/>
                <w14:textFill>
                  <w14:solidFill>
                    <w14:schemeClr w14:val="tx1"/>
                  </w14:solidFill>
                </w14:textFill>
              </w:rPr>
              <w:t>1</w:t>
            </w:r>
          </w:p>
        </w:tc>
        <w:tc>
          <w:tcPr>
            <w:tcW w:w="540" w:type="pct"/>
            <w:vMerge w:val="restart"/>
            <w:noWrap w:val="0"/>
            <w:vAlign w:val="center"/>
          </w:tcPr>
          <w:p w14:paraId="2ECECE9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50</w:t>
            </w:r>
          </w:p>
        </w:tc>
        <w:tc>
          <w:tcPr>
            <w:tcW w:w="616" w:type="pct"/>
            <w:noWrap w:val="0"/>
            <w:vAlign w:val="center"/>
          </w:tcPr>
          <w:p w14:paraId="0A8A10A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7028A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55" w:type="pct"/>
            <w:noWrap w:val="0"/>
            <w:vAlign w:val="center"/>
          </w:tcPr>
          <w:p w14:paraId="34FC608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2南厂界</w:t>
            </w:r>
          </w:p>
        </w:tc>
        <w:tc>
          <w:tcPr>
            <w:tcW w:w="1093" w:type="dxa"/>
            <w:noWrap w:val="0"/>
            <w:vAlign w:val="center"/>
          </w:tcPr>
          <w:p w14:paraId="27465A62">
            <w:pPr>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r>
              <w:rPr>
                <w:rFonts w:hint="eastAsia"/>
                <w:color w:val="000000" w:themeColor="text1"/>
                <w:sz w:val="21"/>
                <w:szCs w:val="21"/>
                <w:highlight w:val="none"/>
                <w:lang w:val="en-US" w:eastAsia="zh-CN"/>
                <w14:textFill>
                  <w14:solidFill>
                    <w14:schemeClr w14:val="tx1"/>
                  </w14:solidFill>
                </w14:textFill>
              </w:rPr>
              <w:t>3</w:t>
            </w:r>
          </w:p>
        </w:tc>
        <w:tc>
          <w:tcPr>
            <w:tcW w:w="648" w:type="pct"/>
            <w:vMerge w:val="continue"/>
            <w:noWrap w:val="0"/>
            <w:vAlign w:val="center"/>
          </w:tcPr>
          <w:p w14:paraId="3678315C">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709" w:type="pct"/>
            <w:noWrap w:val="0"/>
            <w:vAlign w:val="center"/>
          </w:tcPr>
          <w:p w14:paraId="635950D9">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c>
          <w:tcPr>
            <w:tcW w:w="1096" w:type="dxa"/>
            <w:noWrap w:val="0"/>
            <w:vAlign w:val="center"/>
          </w:tcPr>
          <w:p w14:paraId="5BB6B88B">
            <w:pPr>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w:t>
            </w:r>
          </w:p>
        </w:tc>
        <w:tc>
          <w:tcPr>
            <w:tcW w:w="540" w:type="pct"/>
            <w:vMerge w:val="continue"/>
            <w:noWrap w:val="0"/>
            <w:vAlign w:val="center"/>
          </w:tcPr>
          <w:p w14:paraId="0F38FE12">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616" w:type="pct"/>
            <w:noWrap w:val="0"/>
            <w:vAlign w:val="center"/>
          </w:tcPr>
          <w:p w14:paraId="4FEC5310">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05A8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55" w:type="pct"/>
            <w:noWrap w:val="0"/>
            <w:vAlign w:val="center"/>
          </w:tcPr>
          <w:p w14:paraId="564B12A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3西厂界</w:t>
            </w:r>
          </w:p>
        </w:tc>
        <w:tc>
          <w:tcPr>
            <w:tcW w:w="1093" w:type="dxa"/>
            <w:noWrap w:val="0"/>
            <w:vAlign w:val="center"/>
          </w:tcPr>
          <w:p w14:paraId="586F3E01">
            <w:pPr>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w:t>
            </w:r>
          </w:p>
        </w:tc>
        <w:tc>
          <w:tcPr>
            <w:tcW w:w="648" w:type="pct"/>
            <w:vMerge w:val="continue"/>
            <w:noWrap w:val="0"/>
            <w:vAlign w:val="center"/>
          </w:tcPr>
          <w:p w14:paraId="4A32063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709" w:type="pct"/>
            <w:noWrap w:val="0"/>
            <w:vAlign w:val="center"/>
          </w:tcPr>
          <w:p w14:paraId="152E8514">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c>
          <w:tcPr>
            <w:tcW w:w="1096" w:type="dxa"/>
            <w:noWrap w:val="0"/>
            <w:vAlign w:val="center"/>
          </w:tcPr>
          <w:p w14:paraId="2BF91D50">
            <w:pPr>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w:t>
            </w:r>
          </w:p>
        </w:tc>
        <w:tc>
          <w:tcPr>
            <w:tcW w:w="540" w:type="pct"/>
            <w:vMerge w:val="continue"/>
            <w:noWrap w:val="0"/>
            <w:vAlign w:val="center"/>
          </w:tcPr>
          <w:p w14:paraId="0D0A7BA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616" w:type="pct"/>
            <w:noWrap w:val="0"/>
            <w:vAlign w:val="center"/>
          </w:tcPr>
          <w:p w14:paraId="33DA78B8">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r w14:paraId="1F8F5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1155" w:type="pct"/>
            <w:noWrap w:val="0"/>
            <w:vAlign w:val="center"/>
          </w:tcPr>
          <w:p w14:paraId="0CB0EE74">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4北厂界</w:t>
            </w:r>
          </w:p>
        </w:tc>
        <w:tc>
          <w:tcPr>
            <w:tcW w:w="1093" w:type="dxa"/>
            <w:noWrap w:val="0"/>
            <w:vAlign w:val="center"/>
          </w:tcPr>
          <w:p w14:paraId="3FE21F66">
            <w:pPr>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w:t>
            </w:r>
          </w:p>
        </w:tc>
        <w:tc>
          <w:tcPr>
            <w:tcW w:w="648" w:type="pct"/>
            <w:vMerge w:val="continue"/>
            <w:noWrap w:val="0"/>
            <w:vAlign w:val="center"/>
          </w:tcPr>
          <w:p w14:paraId="3B7E059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709" w:type="pct"/>
            <w:noWrap w:val="0"/>
            <w:vAlign w:val="center"/>
          </w:tcPr>
          <w:p w14:paraId="32ADD84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c>
          <w:tcPr>
            <w:tcW w:w="1096" w:type="dxa"/>
            <w:noWrap w:val="0"/>
            <w:vAlign w:val="center"/>
          </w:tcPr>
          <w:p w14:paraId="6A243BE0">
            <w:pPr>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45</w:t>
            </w:r>
          </w:p>
        </w:tc>
        <w:tc>
          <w:tcPr>
            <w:tcW w:w="540" w:type="pct"/>
            <w:vMerge w:val="continue"/>
            <w:noWrap w:val="0"/>
            <w:vAlign w:val="center"/>
          </w:tcPr>
          <w:p w14:paraId="5EEEB967">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p>
        </w:tc>
        <w:tc>
          <w:tcPr>
            <w:tcW w:w="616" w:type="pct"/>
            <w:noWrap w:val="0"/>
            <w:vAlign w:val="center"/>
          </w:tcPr>
          <w:p w14:paraId="759158CD">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达标</w:t>
            </w:r>
          </w:p>
        </w:tc>
      </w:tr>
    </w:tbl>
    <w:p w14:paraId="7F56C66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由上表可知，东厂界、南厂界、西厂界、北厂界</w:t>
      </w:r>
      <w:r>
        <w:rPr>
          <w:rFonts w:hint="eastAsia"/>
          <w:color w:val="000000" w:themeColor="text1"/>
          <w:highlight w:val="none"/>
          <w14:textFill>
            <w14:solidFill>
              <w14:schemeClr w14:val="tx1"/>
            </w14:solidFill>
          </w14:textFill>
        </w:rPr>
        <w:t>昼间、</w:t>
      </w:r>
      <w:r>
        <w:rPr>
          <w:color w:val="000000" w:themeColor="text1"/>
          <w:highlight w:val="none"/>
          <w14:textFill>
            <w14:solidFill>
              <w14:schemeClr w14:val="tx1"/>
            </w14:solidFill>
          </w14:textFill>
        </w:rPr>
        <w:t>夜间噪声监测值均满足《声环境质量标准》（GB3096－2008）2类标准。</w:t>
      </w:r>
    </w:p>
    <w:p w14:paraId="4626F67E">
      <w:pPr>
        <w:pStyle w:val="4"/>
        <w:rPr>
          <w:color w:val="000000" w:themeColor="text1"/>
          <w:highlight w:val="none"/>
          <w14:textFill>
            <w14:solidFill>
              <w14:schemeClr w14:val="tx1"/>
            </w14:solidFill>
          </w14:textFill>
        </w:rPr>
      </w:pPr>
      <w:bookmarkStart w:id="203" w:name="_Toc29404"/>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土壤环境质量现状监测与评价</w:t>
      </w:r>
      <w:bookmarkEnd w:id="203"/>
    </w:p>
    <w:p w14:paraId="22C0BAA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.1土壤环境质量现状监测</w:t>
      </w:r>
    </w:p>
    <w:p w14:paraId="3A62867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1、监测布点</w:t>
      </w:r>
    </w:p>
    <w:p w14:paraId="0C1F530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本次土壤现状监测共设3个取样点。取样点情况见表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和</w:t>
      </w:r>
      <w:r>
        <w:rPr>
          <w:rFonts w:hint="eastAsia"/>
          <w:color w:val="000000" w:themeColor="text1"/>
          <w:highlight w:val="none"/>
          <w14:textFill>
            <w14:solidFill>
              <w14:schemeClr w14:val="tx1"/>
            </w14:solidFill>
          </w14:textFill>
        </w:rPr>
        <w:t>附</w:t>
      </w:r>
      <w:r>
        <w:rPr>
          <w:color w:val="000000" w:themeColor="text1"/>
          <w:highlight w:val="none"/>
          <w14:textFill>
            <w14:solidFill>
              <w14:schemeClr w14:val="tx1"/>
            </w14:solidFill>
          </w14:textFill>
        </w:rPr>
        <w:t>图</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w:t>
      </w:r>
    </w:p>
    <w:p w14:paraId="404ADAB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6</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土壤现状监测点一览表</w:t>
      </w:r>
    </w:p>
    <w:tbl>
      <w:tblPr>
        <w:tblStyle w:val="33"/>
        <w:tblW w:w="809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728"/>
        <w:gridCol w:w="1178"/>
        <w:gridCol w:w="879"/>
        <w:gridCol w:w="2036"/>
        <w:gridCol w:w="3278"/>
      </w:tblGrid>
      <w:tr w14:paraId="78AD8A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728" w:type="dxa"/>
            <w:tcBorders>
              <w:right w:val="single" w:color="auto" w:sz="4" w:space="0"/>
            </w:tcBorders>
            <w:vAlign w:val="center"/>
          </w:tcPr>
          <w:p w14:paraId="136F12A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1178" w:type="dxa"/>
            <w:tcBorders>
              <w:left w:val="single" w:color="auto" w:sz="4" w:space="0"/>
              <w:right w:val="single" w:color="auto" w:sz="4" w:space="0"/>
            </w:tcBorders>
            <w:vAlign w:val="center"/>
          </w:tcPr>
          <w:p w14:paraId="4CFC992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监测点</w:t>
            </w:r>
          </w:p>
        </w:tc>
        <w:tc>
          <w:tcPr>
            <w:tcW w:w="879" w:type="dxa"/>
            <w:tcBorders>
              <w:left w:val="single" w:color="auto" w:sz="4" w:space="0"/>
              <w:right w:val="single" w:color="auto" w:sz="4" w:space="0"/>
            </w:tcBorders>
            <w:vAlign w:val="center"/>
          </w:tcPr>
          <w:p w14:paraId="0588FBC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方位</w:t>
            </w:r>
          </w:p>
        </w:tc>
        <w:tc>
          <w:tcPr>
            <w:tcW w:w="2036" w:type="dxa"/>
            <w:tcBorders>
              <w:left w:val="single" w:color="auto" w:sz="4" w:space="0"/>
              <w:right w:val="single" w:color="auto" w:sz="4" w:space="0"/>
            </w:tcBorders>
            <w:vAlign w:val="center"/>
          </w:tcPr>
          <w:p w14:paraId="30BA3ED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距厂址距离（m）</w:t>
            </w:r>
          </w:p>
        </w:tc>
        <w:tc>
          <w:tcPr>
            <w:tcW w:w="3278" w:type="dxa"/>
            <w:tcBorders>
              <w:left w:val="single" w:color="auto" w:sz="4" w:space="0"/>
              <w:right w:val="single" w:color="auto" w:sz="4" w:space="0"/>
            </w:tcBorders>
            <w:vAlign w:val="center"/>
          </w:tcPr>
          <w:p w14:paraId="4BB12CE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设置意义</w:t>
            </w:r>
          </w:p>
        </w:tc>
      </w:tr>
      <w:tr w14:paraId="71A3BE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728" w:type="dxa"/>
            <w:tcBorders>
              <w:right w:val="single" w:color="auto" w:sz="4" w:space="0"/>
            </w:tcBorders>
            <w:vAlign w:val="center"/>
          </w:tcPr>
          <w:p w14:paraId="3F7AD7F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178" w:type="dxa"/>
            <w:tcBorders>
              <w:left w:val="single" w:color="auto" w:sz="4" w:space="0"/>
              <w:right w:val="single" w:color="auto" w:sz="4" w:space="0"/>
            </w:tcBorders>
            <w:vAlign w:val="center"/>
          </w:tcPr>
          <w:p w14:paraId="7D7177D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厂区</w:t>
            </w:r>
            <w:r>
              <w:rPr>
                <w:rFonts w:hint="eastAsia"/>
                <w:color w:val="000000" w:themeColor="text1"/>
                <w:sz w:val="21"/>
                <w:szCs w:val="21"/>
                <w:highlight w:val="none"/>
                <w14:textFill>
                  <w14:solidFill>
                    <w14:schemeClr w14:val="tx1"/>
                  </w14:solidFill>
                </w14:textFill>
              </w:rPr>
              <w:t>北</w:t>
            </w:r>
            <w:r>
              <w:rPr>
                <w:color w:val="000000" w:themeColor="text1"/>
                <w:sz w:val="21"/>
                <w:szCs w:val="21"/>
                <w:highlight w:val="none"/>
                <w14:textFill>
                  <w14:solidFill>
                    <w14:schemeClr w14:val="tx1"/>
                  </w14:solidFill>
                </w14:textFill>
              </w:rPr>
              <w:t>部</w:t>
            </w:r>
          </w:p>
        </w:tc>
        <w:tc>
          <w:tcPr>
            <w:tcW w:w="879" w:type="dxa"/>
            <w:vMerge w:val="restart"/>
            <w:tcBorders>
              <w:left w:val="single" w:color="auto" w:sz="4" w:space="0"/>
              <w:right w:val="single" w:color="auto" w:sz="4" w:space="0"/>
            </w:tcBorders>
            <w:vAlign w:val="center"/>
          </w:tcPr>
          <w:p w14:paraId="6AFC74E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厂区内</w:t>
            </w:r>
          </w:p>
        </w:tc>
        <w:tc>
          <w:tcPr>
            <w:tcW w:w="2036" w:type="dxa"/>
            <w:tcBorders>
              <w:left w:val="single" w:color="auto" w:sz="4" w:space="0"/>
              <w:right w:val="single" w:color="auto" w:sz="4" w:space="0"/>
            </w:tcBorders>
            <w:vAlign w:val="center"/>
          </w:tcPr>
          <w:p w14:paraId="298C7EB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3278" w:type="dxa"/>
            <w:tcBorders>
              <w:left w:val="single" w:color="auto" w:sz="4" w:space="0"/>
              <w:right w:val="single" w:color="auto" w:sz="4" w:space="0"/>
            </w:tcBorders>
            <w:vAlign w:val="center"/>
          </w:tcPr>
          <w:p w14:paraId="44365D3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表层样，了解厂区土壤本底值</w:t>
            </w:r>
          </w:p>
        </w:tc>
      </w:tr>
      <w:tr w14:paraId="1538C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728" w:type="dxa"/>
            <w:tcBorders>
              <w:right w:val="single" w:color="auto" w:sz="4" w:space="0"/>
            </w:tcBorders>
            <w:vAlign w:val="center"/>
          </w:tcPr>
          <w:p w14:paraId="33B7580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1178" w:type="dxa"/>
            <w:tcBorders>
              <w:left w:val="single" w:color="auto" w:sz="4" w:space="0"/>
              <w:right w:val="single" w:color="auto" w:sz="4" w:space="0"/>
            </w:tcBorders>
            <w:vAlign w:val="center"/>
          </w:tcPr>
          <w:p w14:paraId="5A32BFC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厂区中部</w:t>
            </w:r>
          </w:p>
        </w:tc>
        <w:tc>
          <w:tcPr>
            <w:tcW w:w="879" w:type="dxa"/>
            <w:vMerge w:val="continue"/>
            <w:tcBorders>
              <w:left w:val="single" w:color="auto" w:sz="4" w:space="0"/>
              <w:right w:val="single" w:color="auto" w:sz="4" w:space="0"/>
            </w:tcBorders>
            <w:vAlign w:val="center"/>
          </w:tcPr>
          <w:p w14:paraId="1C66B1B5">
            <w:pPr>
              <w:spacing w:line="240" w:lineRule="auto"/>
              <w:jc w:val="center"/>
              <w:rPr>
                <w:color w:val="000000" w:themeColor="text1"/>
                <w:sz w:val="21"/>
                <w:szCs w:val="21"/>
                <w:highlight w:val="none"/>
                <w14:textFill>
                  <w14:solidFill>
                    <w14:schemeClr w14:val="tx1"/>
                  </w14:solidFill>
                </w14:textFill>
              </w:rPr>
            </w:pPr>
          </w:p>
        </w:tc>
        <w:tc>
          <w:tcPr>
            <w:tcW w:w="2036" w:type="dxa"/>
            <w:tcBorders>
              <w:left w:val="single" w:color="auto" w:sz="4" w:space="0"/>
              <w:right w:val="single" w:color="auto" w:sz="4" w:space="0"/>
            </w:tcBorders>
            <w:vAlign w:val="center"/>
          </w:tcPr>
          <w:p w14:paraId="4AF950F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3278" w:type="dxa"/>
            <w:tcBorders>
              <w:left w:val="single" w:color="auto" w:sz="4" w:space="0"/>
              <w:right w:val="single" w:color="auto" w:sz="4" w:space="0"/>
            </w:tcBorders>
            <w:vAlign w:val="center"/>
          </w:tcPr>
          <w:p w14:paraId="2CFDEFF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表层样，了解厂区土壤本底值</w:t>
            </w:r>
          </w:p>
        </w:tc>
      </w:tr>
      <w:tr w14:paraId="4BBE9F4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jc w:val="center"/>
        </w:trPr>
        <w:tc>
          <w:tcPr>
            <w:tcW w:w="728" w:type="dxa"/>
            <w:tcBorders>
              <w:right w:val="single" w:color="auto" w:sz="4" w:space="0"/>
            </w:tcBorders>
            <w:vAlign w:val="center"/>
          </w:tcPr>
          <w:p w14:paraId="758F4F2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1178" w:type="dxa"/>
            <w:tcBorders>
              <w:left w:val="single" w:color="auto" w:sz="4" w:space="0"/>
              <w:right w:val="single" w:color="auto" w:sz="4" w:space="0"/>
            </w:tcBorders>
            <w:vAlign w:val="center"/>
          </w:tcPr>
          <w:p w14:paraId="4FB6116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厂区南部</w:t>
            </w:r>
          </w:p>
        </w:tc>
        <w:tc>
          <w:tcPr>
            <w:tcW w:w="879" w:type="dxa"/>
            <w:vMerge w:val="continue"/>
            <w:tcBorders>
              <w:left w:val="single" w:color="auto" w:sz="4" w:space="0"/>
              <w:bottom w:val="single" w:color="auto" w:sz="4" w:space="0"/>
              <w:right w:val="single" w:color="auto" w:sz="4" w:space="0"/>
            </w:tcBorders>
            <w:vAlign w:val="center"/>
          </w:tcPr>
          <w:p w14:paraId="44C46395">
            <w:pPr>
              <w:spacing w:line="240" w:lineRule="auto"/>
              <w:jc w:val="center"/>
              <w:rPr>
                <w:color w:val="000000" w:themeColor="text1"/>
                <w:sz w:val="21"/>
                <w:szCs w:val="21"/>
                <w:highlight w:val="none"/>
                <w14:textFill>
                  <w14:solidFill>
                    <w14:schemeClr w14:val="tx1"/>
                  </w14:solidFill>
                </w14:textFill>
              </w:rPr>
            </w:pPr>
          </w:p>
        </w:tc>
        <w:tc>
          <w:tcPr>
            <w:tcW w:w="2036" w:type="dxa"/>
            <w:tcBorders>
              <w:left w:val="single" w:color="auto" w:sz="4" w:space="0"/>
              <w:bottom w:val="single" w:color="auto" w:sz="4" w:space="0"/>
              <w:right w:val="single" w:color="auto" w:sz="4" w:space="0"/>
            </w:tcBorders>
            <w:vAlign w:val="center"/>
          </w:tcPr>
          <w:p w14:paraId="20CD086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3278" w:type="dxa"/>
            <w:tcBorders>
              <w:left w:val="single" w:color="auto" w:sz="4" w:space="0"/>
              <w:right w:val="single" w:color="auto" w:sz="4" w:space="0"/>
            </w:tcBorders>
            <w:vAlign w:val="center"/>
          </w:tcPr>
          <w:p w14:paraId="44C4F26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表层样，了解厂区土壤本底值</w:t>
            </w:r>
          </w:p>
        </w:tc>
      </w:tr>
    </w:tbl>
    <w:p w14:paraId="44FF799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2、监测项目</w:t>
      </w:r>
    </w:p>
    <w:p w14:paraId="2905713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pH、镉、汞、砷、铅、铬、铜、镍、锌。</w:t>
      </w:r>
    </w:p>
    <w:p w14:paraId="73DA348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3、监测单位、时间和频率</w:t>
      </w:r>
    </w:p>
    <w:p w14:paraId="1563DF7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监测单位：</w:t>
      </w:r>
      <w:r>
        <w:rPr>
          <w:rFonts w:hint="eastAsia"/>
          <w:color w:val="000000" w:themeColor="text1"/>
          <w:highlight w:val="none"/>
          <w:lang w:eastAsia="zh-CN"/>
          <w14:textFill>
            <w14:solidFill>
              <w14:schemeClr w14:val="tx1"/>
            </w14:solidFill>
          </w14:textFill>
        </w:rPr>
        <w:t>新疆齐新环境服务有限公司</w:t>
      </w:r>
    </w:p>
    <w:p w14:paraId="1558B86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监测时间：</w:t>
      </w:r>
      <w:r>
        <w:rPr>
          <w:rFonts w:hint="eastAsia"/>
          <w:color w:val="000000" w:themeColor="text1"/>
          <w:szCs w:val="21"/>
          <w:highlight w:val="none"/>
          <w14:textFill>
            <w14:solidFill>
              <w14:schemeClr w14:val="tx1"/>
            </w14:solidFill>
          </w14:textFill>
        </w:rPr>
        <w:t>2024</w:t>
      </w:r>
      <w:r>
        <w:rPr>
          <w:rFonts w:hint="eastAsia"/>
          <w:color w:val="000000" w:themeColor="text1"/>
          <w:szCs w:val="21"/>
          <w:highlight w:val="none"/>
          <w:lang w:val="en-US" w:eastAsia="zh-CN"/>
          <w14:textFill>
            <w14:solidFill>
              <w14:schemeClr w14:val="tx1"/>
            </w14:solidFill>
          </w14:textFill>
        </w:rPr>
        <w:t>年</w:t>
      </w:r>
      <w:r>
        <w:rPr>
          <w:rFonts w:hint="eastAsia"/>
          <w:color w:val="000000" w:themeColor="text1"/>
          <w:szCs w:val="21"/>
          <w:highlight w:val="none"/>
          <w14:textFill>
            <w14:solidFill>
              <w14:schemeClr w14:val="tx1"/>
            </w14:solidFill>
          </w14:textFill>
        </w:rPr>
        <w:t>4</w:t>
      </w:r>
      <w:r>
        <w:rPr>
          <w:rFonts w:hint="eastAsia"/>
          <w:color w:val="000000" w:themeColor="text1"/>
          <w:szCs w:val="21"/>
          <w:highlight w:val="none"/>
          <w:lang w:val="en-US" w:eastAsia="zh-CN"/>
          <w14:textFill>
            <w14:solidFill>
              <w14:schemeClr w14:val="tx1"/>
            </w14:solidFill>
          </w14:textFill>
        </w:rPr>
        <w:t>月27日</w:t>
      </w:r>
      <w:r>
        <w:rPr>
          <w:color w:val="000000" w:themeColor="text1"/>
          <w:highlight w:val="none"/>
          <w14:textFill>
            <w14:solidFill>
              <w14:schemeClr w14:val="tx1"/>
            </w14:solidFill>
          </w14:textFill>
        </w:rPr>
        <w:t>。</w:t>
      </w:r>
    </w:p>
    <w:p w14:paraId="1B7543B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采样频率：监测一天，取样一次。</w:t>
      </w:r>
    </w:p>
    <w:p w14:paraId="007BEA7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4、监测分析方法</w:t>
      </w:r>
    </w:p>
    <w:p w14:paraId="5F99A75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土壤监测分析方法按照国家环保总局《土壤元素的近代分析方法</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土壤环境质量 建设用地土壤污染风险管控标准（试行）</w:t>
      </w:r>
      <w:r>
        <w:rPr>
          <w:color w:val="000000" w:themeColor="text1"/>
          <w:highlight w:val="none"/>
          <w14:textFill>
            <w14:solidFill>
              <w14:schemeClr w14:val="tx1"/>
            </w14:solidFill>
          </w14:textFill>
        </w:rPr>
        <w:t>》(GB36600-2018)中有关规定执行，具体见表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w:t>
      </w:r>
    </w:p>
    <w:p w14:paraId="28023D0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7</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lang w:val="en-US" w:eastAsia="zh-CN"/>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土壤质量监测分析方法一览表</w:t>
      </w:r>
    </w:p>
    <w:tbl>
      <w:tblPr>
        <w:tblStyle w:val="3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001"/>
        <w:gridCol w:w="1189"/>
        <w:gridCol w:w="1897"/>
        <w:gridCol w:w="3039"/>
        <w:gridCol w:w="1228"/>
      </w:tblGrid>
      <w:tr w14:paraId="306EA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1" w:hRule="atLeast"/>
          <w:jc w:val="center"/>
        </w:trPr>
        <w:tc>
          <w:tcPr>
            <w:tcW w:w="599" w:type="pct"/>
            <w:vAlign w:val="center"/>
          </w:tcPr>
          <w:p w14:paraId="79FB11C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项目名称</w:t>
            </w:r>
          </w:p>
        </w:tc>
        <w:tc>
          <w:tcPr>
            <w:tcW w:w="711" w:type="pct"/>
            <w:vAlign w:val="center"/>
          </w:tcPr>
          <w:p w14:paraId="62E10A9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分析方法</w:t>
            </w:r>
          </w:p>
        </w:tc>
        <w:tc>
          <w:tcPr>
            <w:tcW w:w="1135" w:type="pct"/>
            <w:vAlign w:val="center"/>
          </w:tcPr>
          <w:p w14:paraId="74B6749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方法依据</w:t>
            </w:r>
          </w:p>
        </w:tc>
        <w:tc>
          <w:tcPr>
            <w:tcW w:w="1818" w:type="pct"/>
            <w:vAlign w:val="center"/>
          </w:tcPr>
          <w:p w14:paraId="0D6DC60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仪器设备、型号及编号</w:t>
            </w:r>
          </w:p>
        </w:tc>
        <w:tc>
          <w:tcPr>
            <w:tcW w:w="734" w:type="pct"/>
            <w:vAlign w:val="center"/>
          </w:tcPr>
          <w:p w14:paraId="46ECA08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检出限</w:t>
            </w:r>
          </w:p>
        </w:tc>
      </w:tr>
      <w:tr w14:paraId="78DF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9" w:type="pct"/>
            <w:vAlign w:val="center"/>
          </w:tcPr>
          <w:p w14:paraId="54B6276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w:t>
            </w:r>
          </w:p>
        </w:tc>
        <w:tc>
          <w:tcPr>
            <w:tcW w:w="711" w:type="pct"/>
            <w:vAlign w:val="center"/>
          </w:tcPr>
          <w:p w14:paraId="1F41B0D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电位法</w:t>
            </w:r>
          </w:p>
        </w:tc>
        <w:tc>
          <w:tcPr>
            <w:tcW w:w="1135" w:type="pct"/>
            <w:vAlign w:val="center"/>
          </w:tcPr>
          <w:p w14:paraId="6387FC8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 962-2018</w:t>
            </w:r>
          </w:p>
        </w:tc>
        <w:tc>
          <w:tcPr>
            <w:tcW w:w="1818" w:type="pct"/>
            <w:vAlign w:val="center"/>
          </w:tcPr>
          <w:p w14:paraId="1716736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PHS-25型pH计PHS-25</w:t>
            </w:r>
          </w:p>
          <w:p w14:paraId="31560E3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KDJC-YQ-127</w:t>
            </w:r>
          </w:p>
        </w:tc>
        <w:tc>
          <w:tcPr>
            <w:tcW w:w="734" w:type="pct"/>
            <w:vAlign w:val="center"/>
          </w:tcPr>
          <w:p w14:paraId="132419C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0.01（pH值）</w:t>
            </w:r>
          </w:p>
        </w:tc>
      </w:tr>
      <w:tr w14:paraId="5609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9" w:type="pct"/>
            <w:vAlign w:val="center"/>
          </w:tcPr>
          <w:p w14:paraId="35E9E48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铜</w:t>
            </w:r>
          </w:p>
        </w:tc>
        <w:tc>
          <w:tcPr>
            <w:tcW w:w="711" w:type="pct"/>
            <w:vMerge w:val="restart"/>
            <w:vAlign w:val="center"/>
          </w:tcPr>
          <w:p w14:paraId="1B1B47D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原子吸收分光光度法</w:t>
            </w:r>
          </w:p>
        </w:tc>
        <w:tc>
          <w:tcPr>
            <w:tcW w:w="1135" w:type="pct"/>
            <w:vMerge w:val="restart"/>
            <w:vAlign w:val="center"/>
          </w:tcPr>
          <w:p w14:paraId="398D055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 491-2019</w:t>
            </w:r>
          </w:p>
        </w:tc>
        <w:tc>
          <w:tcPr>
            <w:tcW w:w="1818" w:type="pct"/>
            <w:vMerge w:val="restart"/>
            <w:vAlign w:val="center"/>
          </w:tcPr>
          <w:p w14:paraId="45C9394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原子吸收分光光度计SP-3805AA</w:t>
            </w:r>
          </w:p>
          <w:p w14:paraId="01E7D5B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KDJC-YQ-076</w:t>
            </w:r>
          </w:p>
        </w:tc>
        <w:tc>
          <w:tcPr>
            <w:tcW w:w="734" w:type="pct"/>
            <w:vAlign w:val="center"/>
          </w:tcPr>
          <w:p w14:paraId="7017752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1mg/kg</w:t>
            </w:r>
          </w:p>
        </w:tc>
      </w:tr>
      <w:tr w14:paraId="2638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9" w:type="pct"/>
            <w:vAlign w:val="center"/>
          </w:tcPr>
          <w:p w14:paraId="62474FD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镍</w:t>
            </w:r>
          </w:p>
        </w:tc>
        <w:tc>
          <w:tcPr>
            <w:tcW w:w="711" w:type="pct"/>
            <w:vMerge w:val="continue"/>
            <w:vAlign w:val="center"/>
          </w:tcPr>
          <w:p w14:paraId="4229E83E">
            <w:pPr>
              <w:spacing w:line="240" w:lineRule="auto"/>
              <w:jc w:val="center"/>
              <w:rPr>
                <w:color w:val="000000" w:themeColor="text1"/>
                <w:sz w:val="21"/>
                <w:szCs w:val="21"/>
                <w:highlight w:val="none"/>
                <w14:textFill>
                  <w14:solidFill>
                    <w14:schemeClr w14:val="tx1"/>
                  </w14:solidFill>
                </w14:textFill>
              </w:rPr>
            </w:pPr>
          </w:p>
        </w:tc>
        <w:tc>
          <w:tcPr>
            <w:tcW w:w="1135" w:type="pct"/>
            <w:vMerge w:val="continue"/>
            <w:vAlign w:val="center"/>
          </w:tcPr>
          <w:p w14:paraId="69C8C751">
            <w:pPr>
              <w:spacing w:line="240" w:lineRule="auto"/>
              <w:jc w:val="center"/>
              <w:rPr>
                <w:color w:val="000000" w:themeColor="text1"/>
                <w:sz w:val="21"/>
                <w:szCs w:val="21"/>
                <w:highlight w:val="none"/>
                <w14:textFill>
                  <w14:solidFill>
                    <w14:schemeClr w14:val="tx1"/>
                  </w14:solidFill>
                </w14:textFill>
              </w:rPr>
            </w:pPr>
          </w:p>
        </w:tc>
        <w:tc>
          <w:tcPr>
            <w:tcW w:w="1818" w:type="pct"/>
            <w:vMerge w:val="continue"/>
            <w:vAlign w:val="center"/>
          </w:tcPr>
          <w:p w14:paraId="2DFBC566">
            <w:pPr>
              <w:spacing w:line="240" w:lineRule="auto"/>
              <w:jc w:val="center"/>
              <w:rPr>
                <w:color w:val="000000" w:themeColor="text1"/>
                <w:sz w:val="21"/>
                <w:szCs w:val="21"/>
                <w:highlight w:val="none"/>
                <w14:textFill>
                  <w14:solidFill>
                    <w14:schemeClr w14:val="tx1"/>
                  </w14:solidFill>
                </w14:textFill>
              </w:rPr>
            </w:pPr>
          </w:p>
        </w:tc>
        <w:tc>
          <w:tcPr>
            <w:tcW w:w="734" w:type="pct"/>
            <w:vAlign w:val="center"/>
          </w:tcPr>
          <w:p w14:paraId="65F8939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3mg/kg</w:t>
            </w:r>
          </w:p>
        </w:tc>
      </w:tr>
      <w:tr w14:paraId="4E3A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9" w:type="pct"/>
            <w:vAlign w:val="center"/>
          </w:tcPr>
          <w:p w14:paraId="5A963F6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铅</w:t>
            </w:r>
          </w:p>
        </w:tc>
        <w:tc>
          <w:tcPr>
            <w:tcW w:w="711" w:type="pct"/>
            <w:vMerge w:val="continue"/>
            <w:vAlign w:val="center"/>
          </w:tcPr>
          <w:p w14:paraId="789C7E86">
            <w:pPr>
              <w:spacing w:line="240" w:lineRule="auto"/>
              <w:jc w:val="center"/>
              <w:rPr>
                <w:color w:val="000000" w:themeColor="text1"/>
                <w:sz w:val="21"/>
                <w:szCs w:val="21"/>
                <w:highlight w:val="none"/>
                <w14:textFill>
                  <w14:solidFill>
                    <w14:schemeClr w14:val="tx1"/>
                  </w14:solidFill>
                </w14:textFill>
              </w:rPr>
            </w:pPr>
          </w:p>
        </w:tc>
        <w:tc>
          <w:tcPr>
            <w:tcW w:w="1135" w:type="pct"/>
            <w:vMerge w:val="continue"/>
            <w:vAlign w:val="center"/>
          </w:tcPr>
          <w:p w14:paraId="70A90ADE">
            <w:pPr>
              <w:spacing w:line="240" w:lineRule="auto"/>
              <w:jc w:val="center"/>
              <w:rPr>
                <w:color w:val="000000" w:themeColor="text1"/>
                <w:sz w:val="21"/>
                <w:szCs w:val="21"/>
                <w:highlight w:val="none"/>
                <w14:textFill>
                  <w14:solidFill>
                    <w14:schemeClr w14:val="tx1"/>
                  </w14:solidFill>
                </w14:textFill>
              </w:rPr>
            </w:pPr>
          </w:p>
        </w:tc>
        <w:tc>
          <w:tcPr>
            <w:tcW w:w="1818" w:type="pct"/>
            <w:vMerge w:val="continue"/>
            <w:vAlign w:val="center"/>
          </w:tcPr>
          <w:p w14:paraId="27742F8F">
            <w:pPr>
              <w:spacing w:line="240" w:lineRule="auto"/>
              <w:jc w:val="center"/>
              <w:rPr>
                <w:color w:val="000000" w:themeColor="text1"/>
                <w:sz w:val="21"/>
                <w:szCs w:val="21"/>
                <w:highlight w:val="none"/>
                <w14:textFill>
                  <w14:solidFill>
                    <w14:schemeClr w14:val="tx1"/>
                  </w14:solidFill>
                </w14:textFill>
              </w:rPr>
            </w:pPr>
          </w:p>
        </w:tc>
        <w:tc>
          <w:tcPr>
            <w:tcW w:w="734" w:type="pct"/>
            <w:vAlign w:val="center"/>
          </w:tcPr>
          <w:p w14:paraId="345B9DC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10mg/kg</w:t>
            </w:r>
          </w:p>
        </w:tc>
      </w:tr>
      <w:tr w14:paraId="6BC7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9" w:type="pct"/>
            <w:vAlign w:val="center"/>
          </w:tcPr>
          <w:p w14:paraId="5E6288B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铬</w:t>
            </w:r>
          </w:p>
        </w:tc>
        <w:tc>
          <w:tcPr>
            <w:tcW w:w="711" w:type="pct"/>
            <w:vMerge w:val="continue"/>
            <w:vAlign w:val="center"/>
          </w:tcPr>
          <w:p w14:paraId="40847642">
            <w:pPr>
              <w:spacing w:line="240" w:lineRule="auto"/>
              <w:jc w:val="center"/>
              <w:rPr>
                <w:color w:val="000000" w:themeColor="text1"/>
                <w:sz w:val="21"/>
                <w:szCs w:val="21"/>
                <w:highlight w:val="none"/>
                <w14:textFill>
                  <w14:solidFill>
                    <w14:schemeClr w14:val="tx1"/>
                  </w14:solidFill>
                </w14:textFill>
              </w:rPr>
            </w:pPr>
          </w:p>
        </w:tc>
        <w:tc>
          <w:tcPr>
            <w:tcW w:w="1135" w:type="pct"/>
            <w:vMerge w:val="continue"/>
            <w:vAlign w:val="center"/>
          </w:tcPr>
          <w:p w14:paraId="0E751DA5">
            <w:pPr>
              <w:spacing w:line="240" w:lineRule="auto"/>
              <w:jc w:val="center"/>
              <w:rPr>
                <w:color w:val="000000" w:themeColor="text1"/>
                <w:sz w:val="21"/>
                <w:szCs w:val="21"/>
                <w:highlight w:val="none"/>
                <w14:textFill>
                  <w14:solidFill>
                    <w14:schemeClr w14:val="tx1"/>
                  </w14:solidFill>
                </w14:textFill>
              </w:rPr>
            </w:pPr>
          </w:p>
        </w:tc>
        <w:tc>
          <w:tcPr>
            <w:tcW w:w="1818" w:type="pct"/>
            <w:vMerge w:val="continue"/>
            <w:vAlign w:val="center"/>
          </w:tcPr>
          <w:p w14:paraId="67DE2881">
            <w:pPr>
              <w:spacing w:line="240" w:lineRule="auto"/>
              <w:jc w:val="center"/>
              <w:rPr>
                <w:color w:val="000000" w:themeColor="text1"/>
                <w:sz w:val="21"/>
                <w:szCs w:val="21"/>
                <w:highlight w:val="none"/>
                <w14:textFill>
                  <w14:solidFill>
                    <w14:schemeClr w14:val="tx1"/>
                  </w14:solidFill>
                </w14:textFill>
              </w:rPr>
            </w:pPr>
          </w:p>
        </w:tc>
        <w:tc>
          <w:tcPr>
            <w:tcW w:w="734" w:type="pct"/>
            <w:vAlign w:val="center"/>
          </w:tcPr>
          <w:p w14:paraId="00681C8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4mg/kg</w:t>
            </w:r>
          </w:p>
        </w:tc>
      </w:tr>
      <w:tr w14:paraId="03140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9" w:type="pct"/>
            <w:vAlign w:val="center"/>
          </w:tcPr>
          <w:p w14:paraId="07DC301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镉</w:t>
            </w:r>
          </w:p>
        </w:tc>
        <w:tc>
          <w:tcPr>
            <w:tcW w:w="711" w:type="pct"/>
            <w:vAlign w:val="center"/>
          </w:tcPr>
          <w:p w14:paraId="70487DC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原子吸收分光光度法</w:t>
            </w:r>
          </w:p>
        </w:tc>
        <w:tc>
          <w:tcPr>
            <w:tcW w:w="1135" w:type="pct"/>
            <w:vAlign w:val="center"/>
          </w:tcPr>
          <w:p w14:paraId="0924ADF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GB/T 17141-1997</w:t>
            </w:r>
          </w:p>
        </w:tc>
        <w:tc>
          <w:tcPr>
            <w:tcW w:w="1818" w:type="pct"/>
            <w:vAlign w:val="center"/>
          </w:tcPr>
          <w:p w14:paraId="5602AE0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原子吸收分光光度计SP-3805AA</w:t>
            </w:r>
          </w:p>
          <w:p w14:paraId="48DC15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KDJC-YQ-076</w:t>
            </w:r>
          </w:p>
        </w:tc>
        <w:tc>
          <w:tcPr>
            <w:tcW w:w="734" w:type="pct"/>
            <w:vAlign w:val="center"/>
          </w:tcPr>
          <w:p w14:paraId="76BAFB5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0.01mg/kg</w:t>
            </w:r>
          </w:p>
        </w:tc>
      </w:tr>
      <w:tr w14:paraId="52DE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9" w:type="pct"/>
            <w:vAlign w:val="center"/>
          </w:tcPr>
          <w:p w14:paraId="055C765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砷</w:t>
            </w:r>
          </w:p>
        </w:tc>
        <w:tc>
          <w:tcPr>
            <w:tcW w:w="711" w:type="pct"/>
            <w:vMerge w:val="restart"/>
            <w:vAlign w:val="center"/>
          </w:tcPr>
          <w:p w14:paraId="2D3059B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原子荧光法</w:t>
            </w:r>
          </w:p>
        </w:tc>
        <w:tc>
          <w:tcPr>
            <w:tcW w:w="1135" w:type="pct"/>
            <w:vAlign w:val="center"/>
          </w:tcPr>
          <w:p w14:paraId="2A7647A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GB/T 22105.2-2008</w:t>
            </w:r>
          </w:p>
        </w:tc>
        <w:tc>
          <w:tcPr>
            <w:tcW w:w="1818" w:type="pct"/>
            <w:vMerge w:val="restart"/>
            <w:vAlign w:val="center"/>
          </w:tcPr>
          <w:p w14:paraId="1349357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原子荧光光度计AFS-8220</w:t>
            </w:r>
          </w:p>
          <w:p w14:paraId="3322B20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KDJC-YQ-063</w:t>
            </w:r>
          </w:p>
        </w:tc>
        <w:tc>
          <w:tcPr>
            <w:tcW w:w="734" w:type="pct"/>
            <w:vAlign w:val="center"/>
          </w:tcPr>
          <w:p w14:paraId="0A8F2C6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0.01mg/kg</w:t>
            </w:r>
          </w:p>
        </w:tc>
      </w:tr>
      <w:tr w14:paraId="79255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9" w:type="pct"/>
            <w:vAlign w:val="center"/>
          </w:tcPr>
          <w:p w14:paraId="51A0A02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汞</w:t>
            </w:r>
          </w:p>
        </w:tc>
        <w:tc>
          <w:tcPr>
            <w:tcW w:w="711" w:type="pct"/>
            <w:vMerge w:val="continue"/>
            <w:vAlign w:val="center"/>
          </w:tcPr>
          <w:p w14:paraId="61FD9BE6">
            <w:pPr>
              <w:spacing w:line="240" w:lineRule="auto"/>
              <w:jc w:val="center"/>
              <w:rPr>
                <w:color w:val="000000" w:themeColor="text1"/>
                <w:sz w:val="21"/>
                <w:szCs w:val="21"/>
                <w:highlight w:val="none"/>
                <w14:textFill>
                  <w14:solidFill>
                    <w14:schemeClr w14:val="tx1"/>
                  </w14:solidFill>
                </w14:textFill>
              </w:rPr>
            </w:pPr>
          </w:p>
        </w:tc>
        <w:tc>
          <w:tcPr>
            <w:tcW w:w="1135" w:type="pct"/>
            <w:vAlign w:val="center"/>
          </w:tcPr>
          <w:p w14:paraId="0245544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GB/T 22105.1-2008</w:t>
            </w:r>
          </w:p>
        </w:tc>
        <w:tc>
          <w:tcPr>
            <w:tcW w:w="1818" w:type="pct"/>
            <w:vMerge w:val="continue"/>
            <w:vAlign w:val="center"/>
          </w:tcPr>
          <w:p w14:paraId="2C1213F2">
            <w:pPr>
              <w:spacing w:line="240" w:lineRule="auto"/>
              <w:jc w:val="center"/>
              <w:rPr>
                <w:color w:val="000000" w:themeColor="text1"/>
                <w:sz w:val="21"/>
                <w:szCs w:val="21"/>
                <w:highlight w:val="none"/>
                <w14:textFill>
                  <w14:solidFill>
                    <w14:schemeClr w14:val="tx1"/>
                  </w14:solidFill>
                </w14:textFill>
              </w:rPr>
            </w:pPr>
          </w:p>
        </w:tc>
        <w:tc>
          <w:tcPr>
            <w:tcW w:w="734" w:type="pct"/>
            <w:vAlign w:val="center"/>
          </w:tcPr>
          <w:p w14:paraId="205AA21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0.002mg/kg</w:t>
            </w:r>
          </w:p>
        </w:tc>
      </w:tr>
      <w:tr w14:paraId="0EF75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599" w:type="pct"/>
            <w:vAlign w:val="center"/>
          </w:tcPr>
          <w:p w14:paraId="738D6AD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锌</w:t>
            </w:r>
          </w:p>
        </w:tc>
        <w:tc>
          <w:tcPr>
            <w:tcW w:w="711" w:type="pct"/>
            <w:vAlign w:val="center"/>
          </w:tcPr>
          <w:p w14:paraId="71778AA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原子吸收分光光度法</w:t>
            </w:r>
          </w:p>
        </w:tc>
        <w:tc>
          <w:tcPr>
            <w:tcW w:w="1135" w:type="pct"/>
            <w:vAlign w:val="center"/>
          </w:tcPr>
          <w:p w14:paraId="4F0DAE9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 491-2019</w:t>
            </w:r>
          </w:p>
        </w:tc>
        <w:tc>
          <w:tcPr>
            <w:tcW w:w="1818" w:type="pct"/>
            <w:vAlign w:val="center"/>
          </w:tcPr>
          <w:p w14:paraId="1D74237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原子吸收分光光度计SP-3805AA</w:t>
            </w:r>
          </w:p>
          <w:p w14:paraId="5BA5458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KDJC-YQ-076</w:t>
            </w:r>
          </w:p>
        </w:tc>
        <w:tc>
          <w:tcPr>
            <w:tcW w:w="734" w:type="pct"/>
            <w:vAlign w:val="center"/>
          </w:tcPr>
          <w:p w14:paraId="061DF9B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1mg/kg</w:t>
            </w:r>
          </w:p>
        </w:tc>
      </w:tr>
    </w:tbl>
    <w:p w14:paraId="66DB927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5、监测结果</w:t>
      </w:r>
    </w:p>
    <w:p w14:paraId="4D25D5E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本次土壤现状监测结果见表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color w:val="000000" w:themeColor="text1"/>
          <w:highlight w:val="none"/>
          <w14:textFill>
            <w14:solidFill>
              <w14:schemeClr w14:val="tx1"/>
            </w14:solidFill>
          </w14:textFill>
        </w:rPr>
        <w:t xml:space="preserve">。 </w:t>
      </w:r>
    </w:p>
    <w:p w14:paraId="37B71B6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1</w:t>
      </w:r>
      <w:r>
        <w:rPr>
          <w:rFonts w:hint="eastAsia"/>
          <w:b/>
          <w:bCs/>
          <w:color w:val="000000" w:themeColor="text1"/>
          <w:sz w:val="21"/>
          <w:szCs w:val="21"/>
          <w:highlight w:val="none"/>
          <w:lang w:val="en-US" w:eastAsia="zh-CN"/>
          <w14:textFill>
            <w14:solidFill>
              <w14:schemeClr w14:val="tx1"/>
            </w14:solidFill>
          </w14:textFill>
        </w:rPr>
        <w:t>8</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土壤监测</w:t>
      </w:r>
      <w:r>
        <w:rPr>
          <w:rFonts w:hint="eastAsia"/>
          <w:b/>
          <w:bCs/>
          <w:color w:val="000000" w:themeColor="text1"/>
          <w:sz w:val="21"/>
          <w:szCs w:val="21"/>
          <w:highlight w:val="none"/>
          <w:lang w:val="en-US" w:eastAsia="zh-CN"/>
          <w14:textFill>
            <w14:solidFill>
              <w14:schemeClr w14:val="tx1"/>
            </w14:solidFill>
          </w14:textFill>
        </w:rPr>
        <w:t>现状监测</w:t>
      </w:r>
      <w:r>
        <w:rPr>
          <w:b/>
          <w:bCs/>
          <w:color w:val="000000" w:themeColor="text1"/>
          <w:sz w:val="21"/>
          <w:szCs w:val="21"/>
          <w:highlight w:val="none"/>
          <w14:textFill>
            <w14:solidFill>
              <w14:schemeClr w14:val="tx1"/>
            </w14:solidFill>
          </w14:textFill>
        </w:rPr>
        <w:t>结果</w:t>
      </w:r>
    </w:p>
    <w:tbl>
      <w:tblPr>
        <w:tblStyle w:val="33"/>
        <w:tblW w:w="8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gridCol w:w="2314"/>
        <w:gridCol w:w="2434"/>
        <w:gridCol w:w="2077"/>
      </w:tblGrid>
      <w:tr w14:paraId="7972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Align w:val="center"/>
          </w:tcPr>
          <w:p w14:paraId="28B3D3A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采样时间</w:t>
            </w:r>
          </w:p>
        </w:tc>
        <w:tc>
          <w:tcPr>
            <w:tcW w:w="6825" w:type="dxa"/>
            <w:gridSpan w:val="3"/>
            <w:vAlign w:val="center"/>
          </w:tcPr>
          <w:p w14:paraId="1024EC3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点位</w:t>
            </w:r>
          </w:p>
        </w:tc>
      </w:tr>
      <w:tr w14:paraId="4C15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Align w:val="center"/>
          </w:tcPr>
          <w:p w14:paraId="72F243E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202</w:t>
            </w: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.0</w:t>
            </w:r>
            <w:r>
              <w:rPr>
                <w:rFonts w:hint="eastAsia"/>
                <w:b/>
                <w:bCs/>
                <w:color w:val="000000" w:themeColor="text1"/>
                <w:sz w:val="21"/>
                <w:szCs w:val="21"/>
                <w:highlight w:val="none"/>
                <w14:textFill>
                  <w14:solidFill>
                    <w14:schemeClr w14:val="tx1"/>
                  </w14:solidFill>
                </w14:textFill>
              </w:rPr>
              <w:t>6</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30</w:t>
            </w:r>
          </w:p>
        </w:tc>
        <w:tc>
          <w:tcPr>
            <w:tcW w:w="2314" w:type="dxa"/>
            <w:vAlign w:val="center"/>
          </w:tcPr>
          <w:p w14:paraId="630B6B9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1厂区北部（0-0.2m）</w:t>
            </w:r>
          </w:p>
        </w:tc>
        <w:tc>
          <w:tcPr>
            <w:tcW w:w="2434" w:type="dxa"/>
            <w:vAlign w:val="center"/>
          </w:tcPr>
          <w:p w14:paraId="474408BD">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2</w:t>
            </w:r>
            <w:r>
              <w:rPr>
                <w:b/>
                <w:bCs/>
                <w:color w:val="000000" w:themeColor="text1"/>
                <w:sz w:val="21"/>
                <w:szCs w:val="21"/>
                <w:highlight w:val="none"/>
                <w14:textFill>
                  <w14:solidFill>
                    <w14:schemeClr w14:val="tx1"/>
                  </w14:solidFill>
                </w14:textFill>
              </w:rPr>
              <w:t>厂区</w:t>
            </w:r>
            <w:r>
              <w:rPr>
                <w:rFonts w:hint="eastAsia"/>
                <w:b/>
                <w:bCs/>
                <w:color w:val="000000" w:themeColor="text1"/>
                <w:sz w:val="21"/>
                <w:szCs w:val="21"/>
                <w:highlight w:val="none"/>
                <w14:textFill>
                  <w14:solidFill>
                    <w14:schemeClr w14:val="tx1"/>
                  </w14:solidFill>
                </w14:textFill>
              </w:rPr>
              <w:t>中</w:t>
            </w:r>
            <w:r>
              <w:rPr>
                <w:b/>
                <w:bCs/>
                <w:color w:val="000000" w:themeColor="text1"/>
                <w:sz w:val="21"/>
                <w:szCs w:val="21"/>
                <w:highlight w:val="none"/>
                <w14:textFill>
                  <w14:solidFill>
                    <w14:schemeClr w14:val="tx1"/>
                  </w14:solidFill>
                </w14:textFill>
              </w:rPr>
              <w:t>部（0-0.2m）</w:t>
            </w:r>
          </w:p>
        </w:tc>
        <w:tc>
          <w:tcPr>
            <w:tcW w:w="2077" w:type="dxa"/>
            <w:vAlign w:val="center"/>
          </w:tcPr>
          <w:p w14:paraId="188E0AE7">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3</w:t>
            </w:r>
            <w:r>
              <w:rPr>
                <w:b/>
                <w:bCs/>
                <w:color w:val="000000" w:themeColor="text1"/>
                <w:sz w:val="21"/>
                <w:szCs w:val="21"/>
                <w:highlight w:val="none"/>
                <w14:textFill>
                  <w14:solidFill>
                    <w14:schemeClr w14:val="tx1"/>
                  </w14:solidFill>
                </w14:textFill>
              </w:rPr>
              <w:t>厂区南部（0-0.2m）</w:t>
            </w:r>
          </w:p>
        </w:tc>
      </w:tr>
      <w:tr w14:paraId="5F418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Merge w:val="restart"/>
            <w:vAlign w:val="center"/>
          </w:tcPr>
          <w:p w14:paraId="2896863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287655</wp:posOffset>
                      </wp:positionH>
                      <wp:positionV relativeFrom="paragraph">
                        <wp:posOffset>-5715</wp:posOffset>
                      </wp:positionV>
                      <wp:extent cx="781050" cy="35242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15875">
                                <a:noFill/>
                              </a:ln>
                            </wps:spPr>
                            <wps:txbx>
                              <w:txbxContent>
                                <w:p w14:paraId="1D08659D">
                                  <w:pPr>
                                    <w:spacing w:line="240" w:lineRule="auto"/>
                                    <w:rPr>
                                      <w:rFonts w:ascii="Calibri" w:hAnsi="Calibri" w:cs="Times New Roman"/>
                                      <w:sz w:val="21"/>
                                    </w:rPr>
                                  </w:pPr>
                                  <w:r>
                                    <w:rPr>
                                      <w:rFonts w:hint="eastAsia" w:ascii="Calibri" w:hAnsi="Calibri" w:cs="Times New Roman"/>
                                      <w:sz w:val="21"/>
                                    </w:rPr>
                                    <w:t>检测结果</w:t>
                                  </w:r>
                                </w:p>
                              </w:txbxContent>
                            </wps:txbx>
                            <wps:bodyPr upright="1"/>
                          </wps:wsp>
                        </a:graphicData>
                      </a:graphic>
                    </wp:anchor>
                  </w:drawing>
                </mc:Choice>
                <mc:Fallback>
                  <w:pict>
                    <v:shape id="_x0000_s1026" o:spid="_x0000_s1026" o:spt="202" type="#_x0000_t202" style="position:absolute;left:0pt;margin-left:22.65pt;margin-top:-0.45pt;height:27.75pt;width:61.5pt;z-index:251681792;mso-width-relative:page;mso-height-relative:page;" filled="f" stroked="f" coordsize="21600,21600" o:gfxdata="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DuYxrYAAAABwEAAA8AAAAAAAAAAQAgAAAAIgAAAGRycy9kb3ducmV2LnhtbFBLAQIUABQA&#10;AAAIAIdO4kDNGPAwtwEAAFsDAAAOAAAAAAAAAAEAIAAAACcBAABkcnMvZTJvRG9jLnhtbFBLBQYA&#10;AAAABgAGAFkBAABQBQAAAAA=&#10;">
                      <v:fill on="f" focussize="0,0"/>
                      <v:stroke on="f" weight="1.25pt"/>
                      <v:imagedata o:title=""/>
                      <o:lock v:ext="edit" aspectratio="f"/>
                      <v:textbox>
                        <w:txbxContent>
                          <w:p w14:paraId="1D08659D">
                            <w:pPr>
                              <w:spacing w:line="240" w:lineRule="auto"/>
                              <w:rPr>
                                <w:rFonts w:ascii="Calibri" w:hAnsi="Calibri" w:cs="Times New Roman"/>
                                <w:sz w:val="21"/>
                              </w:rPr>
                            </w:pPr>
                            <w:r>
                              <w:rPr>
                                <w:rFonts w:hint="eastAsia" w:ascii="Calibri" w:hAnsi="Calibri" w:cs="Times New Roman"/>
                                <w:sz w:val="21"/>
                              </w:rPr>
                              <w:t>检测结果</w:t>
                            </w:r>
                          </w:p>
                        </w:txbxContent>
                      </v:textbox>
                    </v:shape>
                  </w:pict>
                </mc:Fallback>
              </mc:AlternateContent>
            </w:r>
            <w:r>
              <w:rPr>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2816" behindDoc="0" locked="0" layoutInCell="1" allowOverlap="1">
                      <wp:simplePos x="0" y="0"/>
                      <wp:positionH relativeFrom="column">
                        <wp:posOffset>-156845</wp:posOffset>
                      </wp:positionH>
                      <wp:positionV relativeFrom="paragraph">
                        <wp:posOffset>313055</wp:posOffset>
                      </wp:positionV>
                      <wp:extent cx="781050" cy="352425"/>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781050" cy="352425"/>
                              </a:xfrm>
                              <a:prstGeom prst="rect">
                                <a:avLst/>
                              </a:prstGeom>
                              <a:noFill/>
                              <a:ln w="15875">
                                <a:noFill/>
                              </a:ln>
                            </wps:spPr>
                            <wps:txbx>
                              <w:txbxContent>
                                <w:p w14:paraId="16ADAB70">
                                  <w:pPr>
                                    <w:spacing w:line="240" w:lineRule="auto"/>
                                    <w:rPr>
                                      <w:rFonts w:ascii="Calibri" w:hAnsi="Calibri" w:cs="Times New Roman"/>
                                      <w:sz w:val="21"/>
                                    </w:rPr>
                                  </w:pPr>
                                  <w:r>
                                    <w:rPr>
                                      <w:rFonts w:hint="eastAsia" w:ascii="Calibri" w:hAnsi="Calibri" w:cs="Times New Roman"/>
                                      <w:sz w:val="21"/>
                                    </w:rPr>
                                    <w:t>项目</w:t>
                                  </w:r>
                                </w:p>
                              </w:txbxContent>
                            </wps:txbx>
                            <wps:bodyPr upright="1"/>
                          </wps:wsp>
                        </a:graphicData>
                      </a:graphic>
                    </wp:anchor>
                  </w:drawing>
                </mc:Choice>
                <mc:Fallback>
                  <w:pict>
                    <v:shape id="_x0000_s1026" o:spid="_x0000_s1026" o:spt="202" type="#_x0000_t202" style="position:absolute;left:0pt;margin-left:-12.35pt;margin-top:24.65pt;height:27.75pt;width:61.5pt;z-index:251682816;mso-width-relative:page;mso-height-relative:page;" filled="f" stroked="f" coordsize="21600,21600" o:gfxdata="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FuFBtsAAAAJAQAADwAAAAAAAAABACAAAAAiAAAAZHJzL2Rvd25yZXYueG1sUEsBAhQA&#10;FAAAAAgAh07iQAZsEsS2AQAAWwMAAA4AAAAAAAAAAQAgAAAAKgEAAGRycy9lMm9Eb2MueG1sUEsF&#10;BgAAAAAGAAYAWQEAAFIFAAAAAA==&#10;">
                      <v:fill on="f" focussize="0,0"/>
                      <v:stroke on="f" weight="1.25pt"/>
                      <v:imagedata o:title=""/>
                      <o:lock v:ext="edit" aspectratio="f"/>
                      <v:textbox>
                        <w:txbxContent>
                          <w:p w14:paraId="16ADAB70">
                            <w:pPr>
                              <w:spacing w:line="240" w:lineRule="auto"/>
                              <w:rPr>
                                <w:rFonts w:ascii="Calibri" w:hAnsi="Calibri" w:cs="Times New Roman"/>
                                <w:sz w:val="21"/>
                              </w:rPr>
                            </w:pPr>
                            <w:r>
                              <w:rPr>
                                <w:rFonts w:hint="eastAsia" w:ascii="Calibri" w:hAnsi="Calibri" w:cs="Times New Roman"/>
                                <w:sz w:val="21"/>
                              </w:rPr>
                              <w:t>项目</w:t>
                            </w:r>
                          </w:p>
                        </w:txbxContent>
                      </v:textbox>
                    </v:shape>
                  </w:pict>
                </mc:Fallback>
              </mc:AlternateContent>
            </w:r>
            <w:r>
              <w:rPr>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80768" behindDoc="0" locked="0" layoutInCell="1" allowOverlap="1">
                      <wp:simplePos x="0" y="0"/>
                      <wp:positionH relativeFrom="column">
                        <wp:posOffset>-45085</wp:posOffset>
                      </wp:positionH>
                      <wp:positionV relativeFrom="paragraph">
                        <wp:posOffset>24130</wp:posOffset>
                      </wp:positionV>
                      <wp:extent cx="955675" cy="592455"/>
                      <wp:effectExtent l="4445" t="6985" r="11430" b="10160"/>
                      <wp:wrapNone/>
                      <wp:docPr id="144" name="直接连接符 144"/>
                      <wp:cNvGraphicFramePr/>
                      <a:graphic xmlns:a="http://schemas.openxmlformats.org/drawingml/2006/main">
                        <a:graphicData uri="http://schemas.microsoft.com/office/word/2010/wordprocessingShape">
                          <wps:wsp>
                            <wps:cNvCnPr/>
                            <wps:spPr>
                              <a:xfrm>
                                <a:off x="0" y="0"/>
                                <a:ext cx="955675" cy="592455"/>
                              </a:xfrm>
                              <a:prstGeom prst="line">
                                <a:avLst/>
                              </a:prstGeom>
                              <a:ln w="1587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55pt;margin-top:1.9pt;height:46.65pt;width:75.25pt;z-index:251680768;mso-width-relative:page;mso-height-relative:page;" filled="f" stroked="t" coordsize="21600,21600" o:gfxdata="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tRMAp1gAAAAcBAAAPAAAAAAAAAAEAIAAAACIAAABkcnMvZG93bnJldi54bWxQSwECFAAUAAAA&#10;CACHTuJACKCc8fABAADhAwAADgAAAAAAAAABACAAAAAlAQAAZHJzL2Uyb0RvYy54bWxQSwUGAAAA&#10;AAYABgBZAQAAhwUAAAAA&#10;">
                      <v:fill on="f" focussize="0,0"/>
                      <v:stroke weight="1.25pt" color="#000000" joinstyle="round"/>
                      <v:imagedata o:title=""/>
                      <o:lock v:ext="edit" aspectratio="f"/>
                    </v:line>
                  </w:pict>
                </mc:Fallback>
              </mc:AlternateContent>
            </w:r>
          </w:p>
        </w:tc>
        <w:tc>
          <w:tcPr>
            <w:tcW w:w="6825" w:type="dxa"/>
            <w:gridSpan w:val="3"/>
            <w:vAlign w:val="center"/>
          </w:tcPr>
          <w:p w14:paraId="48A9D73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样品编号</w:t>
            </w:r>
          </w:p>
        </w:tc>
      </w:tr>
      <w:tr w14:paraId="34A2C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Merge w:val="continue"/>
            <w:vAlign w:val="center"/>
          </w:tcPr>
          <w:p w14:paraId="57C2CBFB">
            <w:pPr>
              <w:spacing w:line="240" w:lineRule="auto"/>
              <w:jc w:val="center"/>
              <w:rPr>
                <w:color w:val="000000" w:themeColor="text1"/>
                <w:sz w:val="21"/>
                <w:szCs w:val="21"/>
                <w:highlight w:val="none"/>
                <w14:textFill>
                  <w14:solidFill>
                    <w14:schemeClr w14:val="tx1"/>
                  </w14:solidFill>
                </w14:textFill>
              </w:rPr>
            </w:pPr>
          </w:p>
        </w:tc>
        <w:tc>
          <w:tcPr>
            <w:tcW w:w="2314" w:type="dxa"/>
            <w:vAlign w:val="center"/>
          </w:tcPr>
          <w:p w14:paraId="7B84100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w:t>
            </w:r>
            <w:r>
              <w:rPr>
                <w:rFonts w:hint="eastAsia"/>
                <w:color w:val="000000" w:themeColor="text1"/>
                <w:sz w:val="21"/>
                <w:szCs w:val="21"/>
                <w:highlight w:val="none"/>
                <w:lang w:val="en-US" w:eastAsia="zh-CN"/>
                <w14:textFill>
                  <w14:solidFill>
                    <w14:schemeClr w14:val="tx1"/>
                  </w14:solidFill>
                </w14:textFill>
              </w:rPr>
              <w:t>1</w:t>
            </w:r>
            <w:r>
              <w:rPr>
                <w:rFonts w:hint="eastAsia"/>
                <w:color w:val="000000" w:themeColor="text1"/>
                <w:sz w:val="21"/>
                <w:szCs w:val="21"/>
                <w:highlight w:val="none"/>
                <w14:textFill>
                  <w14:solidFill>
                    <w14:schemeClr w14:val="tx1"/>
                  </w14:solidFill>
                </w14:textFill>
              </w:rPr>
              <w:t>-1-1</w:t>
            </w:r>
          </w:p>
        </w:tc>
        <w:tc>
          <w:tcPr>
            <w:tcW w:w="2434" w:type="dxa"/>
            <w:vAlign w:val="center"/>
          </w:tcPr>
          <w:p w14:paraId="5C00636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w:t>
            </w:r>
            <w:r>
              <w:rPr>
                <w:rFonts w:hint="eastAsia"/>
                <w:color w:val="000000" w:themeColor="text1"/>
                <w:sz w:val="21"/>
                <w:szCs w:val="21"/>
                <w:highlight w:val="none"/>
                <w:lang w:val="en-US" w:eastAsia="zh-CN"/>
                <w14:textFill>
                  <w14:solidFill>
                    <w14:schemeClr w14:val="tx1"/>
                  </w14:solidFill>
                </w14:textFill>
              </w:rPr>
              <w:t>2</w:t>
            </w: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-1</w:t>
            </w:r>
          </w:p>
        </w:tc>
        <w:tc>
          <w:tcPr>
            <w:tcW w:w="2077" w:type="dxa"/>
            <w:vAlign w:val="center"/>
          </w:tcPr>
          <w:p w14:paraId="0EA1E4F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T</w:t>
            </w:r>
            <w:r>
              <w:rPr>
                <w:rFonts w:hint="eastAsia"/>
                <w:color w:val="000000" w:themeColor="text1"/>
                <w:sz w:val="21"/>
                <w:szCs w:val="21"/>
                <w:highlight w:val="none"/>
                <w:lang w:val="en-US" w:eastAsia="zh-CN"/>
                <w14:textFill>
                  <w14:solidFill>
                    <w14:schemeClr w14:val="tx1"/>
                  </w14:solidFill>
                </w14:textFill>
              </w:rPr>
              <w:t>3-1-1</w:t>
            </w:r>
          </w:p>
        </w:tc>
      </w:tr>
      <w:tr w14:paraId="589A9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Align w:val="center"/>
          </w:tcPr>
          <w:p w14:paraId="20DAE78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w:t>
            </w:r>
            <w:r>
              <w:rPr>
                <w:rFonts w:hint="eastAsia"/>
                <w:color w:val="000000" w:themeColor="text1"/>
                <w:sz w:val="21"/>
                <w:szCs w:val="21"/>
                <w:highlight w:val="none"/>
                <w14:textFill>
                  <w14:solidFill>
                    <w14:schemeClr w14:val="tx1"/>
                  </w14:solidFill>
                </w14:textFill>
              </w:rPr>
              <w:t>无量纲</w:t>
            </w:r>
            <w:r>
              <w:rPr>
                <w:color w:val="000000" w:themeColor="text1"/>
                <w:sz w:val="21"/>
                <w:szCs w:val="21"/>
                <w:highlight w:val="none"/>
                <w14:textFill>
                  <w14:solidFill>
                    <w14:schemeClr w14:val="tx1"/>
                  </w14:solidFill>
                </w14:textFill>
              </w:rPr>
              <w:t>）</w:t>
            </w:r>
          </w:p>
        </w:tc>
        <w:tc>
          <w:tcPr>
            <w:tcW w:w="2314" w:type="dxa"/>
            <w:vAlign w:val="center"/>
          </w:tcPr>
          <w:p w14:paraId="0AA10AF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7.96</w:t>
            </w:r>
          </w:p>
        </w:tc>
        <w:tc>
          <w:tcPr>
            <w:tcW w:w="2434" w:type="dxa"/>
            <w:vAlign w:val="center"/>
          </w:tcPr>
          <w:p w14:paraId="23139E2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7.72</w:t>
            </w:r>
          </w:p>
        </w:tc>
        <w:tc>
          <w:tcPr>
            <w:tcW w:w="2077" w:type="dxa"/>
            <w:vAlign w:val="center"/>
          </w:tcPr>
          <w:p w14:paraId="36A71E9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8.24</w:t>
            </w:r>
          </w:p>
        </w:tc>
      </w:tr>
      <w:tr w14:paraId="1277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518" w:type="dxa"/>
            <w:vAlign w:val="center"/>
          </w:tcPr>
          <w:p w14:paraId="60AF239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镉（mg/kg）</w:t>
            </w:r>
          </w:p>
        </w:tc>
        <w:tc>
          <w:tcPr>
            <w:tcW w:w="2314" w:type="dxa"/>
            <w:vAlign w:val="center"/>
          </w:tcPr>
          <w:p w14:paraId="332254D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w:t>
            </w:r>
          </w:p>
        </w:tc>
        <w:tc>
          <w:tcPr>
            <w:tcW w:w="2434" w:type="dxa"/>
            <w:vAlign w:val="center"/>
          </w:tcPr>
          <w:p w14:paraId="1B32D0A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0.09</w:t>
            </w:r>
          </w:p>
        </w:tc>
        <w:tc>
          <w:tcPr>
            <w:tcW w:w="2077" w:type="dxa"/>
            <w:vAlign w:val="center"/>
          </w:tcPr>
          <w:p w14:paraId="6468BB0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0.10</w:t>
            </w:r>
          </w:p>
        </w:tc>
      </w:tr>
      <w:tr w14:paraId="6570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Align w:val="center"/>
          </w:tcPr>
          <w:p w14:paraId="50B45B7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汞（mg/kg）</w:t>
            </w:r>
          </w:p>
        </w:tc>
        <w:tc>
          <w:tcPr>
            <w:tcW w:w="2314" w:type="dxa"/>
            <w:vAlign w:val="center"/>
          </w:tcPr>
          <w:p w14:paraId="2D21550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0.208</w:t>
            </w:r>
          </w:p>
        </w:tc>
        <w:tc>
          <w:tcPr>
            <w:tcW w:w="2434" w:type="dxa"/>
            <w:vAlign w:val="center"/>
          </w:tcPr>
          <w:p w14:paraId="23D7FA4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0.031</w:t>
            </w:r>
          </w:p>
        </w:tc>
        <w:tc>
          <w:tcPr>
            <w:tcW w:w="2077" w:type="dxa"/>
            <w:vAlign w:val="center"/>
          </w:tcPr>
          <w:p w14:paraId="70DF011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0.084</w:t>
            </w:r>
          </w:p>
        </w:tc>
      </w:tr>
      <w:tr w14:paraId="0870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Align w:val="center"/>
          </w:tcPr>
          <w:p w14:paraId="7926859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砷（mg/kg）</w:t>
            </w:r>
          </w:p>
        </w:tc>
        <w:tc>
          <w:tcPr>
            <w:tcW w:w="2314" w:type="dxa"/>
            <w:vAlign w:val="center"/>
          </w:tcPr>
          <w:p w14:paraId="396BF43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11.0</w:t>
            </w:r>
          </w:p>
        </w:tc>
        <w:tc>
          <w:tcPr>
            <w:tcW w:w="2434" w:type="dxa"/>
            <w:vAlign w:val="center"/>
          </w:tcPr>
          <w:p w14:paraId="6B5B14A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10.4</w:t>
            </w:r>
          </w:p>
        </w:tc>
        <w:tc>
          <w:tcPr>
            <w:tcW w:w="2077" w:type="dxa"/>
            <w:vAlign w:val="center"/>
          </w:tcPr>
          <w:p w14:paraId="4C62448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9.54</w:t>
            </w:r>
          </w:p>
        </w:tc>
      </w:tr>
      <w:tr w14:paraId="2A3E6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Align w:val="center"/>
          </w:tcPr>
          <w:p w14:paraId="7858DC2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铜（mg/kg）</w:t>
            </w:r>
          </w:p>
        </w:tc>
        <w:tc>
          <w:tcPr>
            <w:tcW w:w="2314" w:type="dxa"/>
            <w:vAlign w:val="center"/>
          </w:tcPr>
          <w:p w14:paraId="06FF9AA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w:t>
            </w:r>
          </w:p>
        </w:tc>
        <w:tc>
          <w:tcPr>
            <w:tcW w:w="2434" w:type="dxa"/>
            <w:vAlign w:val="center"/>
          </w:tcPr>
          <w:p w14:paraId="059F62E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2077" w:type="dxa"/>
            <w:vAlign w:val="center"/>
          </w:tcPr>
          <w:p w14:paraId="762434B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r>
      <w:tr w14:paraId="35296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Align w:val="center"/>
          </w:tcPr>
          <w:p w14:paraId="2FECB31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铅（mg/kg）</w:t>
            </w:r>
          </w:p>
        </w:tc>
        <w:tc>
          <w:tcPr>
            <w:tcW w:w="2314" w:type="dxa"/>
            <w:vAlign w:val="center"/>
          </w:tcPr>
          <w:p w14:paraId="3F0C8C6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8.4</w:t>
            </w:r>
          </w:p>
        </w:tc>
        <w:tc>
          <w:tcPr>
            <w:tcW w:w="2434" w:type="dxa"/>
            <w:vAlign w:val="center"/>
          </w:tcPr>
          <w:p w14:paraId="327E5131">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8.5</w:t>
            </w:r>
          </w:p>
        </w:tc>
        <w:tc>
          <w:tcPr>
            <w:tcW w:w="2077" w:type="dxa"/>
            <w:vAlign w:val="center"/>
          </w:tcPr>
          <w:p w14:paraId="6F648D2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6.9</w:t>
            </w:r>
          </w:p>
        </w:tc>
      </w:tr>
      <w:tr w14:paraId="2079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Align w:val="center"/>
          </w:tcPr>
          <w:p w14:paraId="32BFB78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铬（mg/kg）</w:t>
            </w:r>
          </w:p>
        </w:tc>
        <w:tc>
          <w:tcPr>
            <w:tcW w:w="2314" w:type="dxa"/>
            <w:vAlign w:val="center"/>
          </w:tcPr>
          <w:p w14:paraId="7DD06F8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76</w:t>
            </w:r>
          </w:p>
        </w:tc>
        <w:tc>
          <w:tcPr>
            <w:tcW w:w="2434" w:type="dxa"/>
            <w:vAlign w:val="center"/>
          </w:tcPr>
          <w:p w14:paraId="1ADDC6C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66</w:t>
            </w:r>
          </w:p>
        </w:tc>
        <w:tc>
          <w:tcPr>
            <w:tcW w:w="2077" w:type="dxa"/>
            <w:vAlign w:val="center"/>
          </w:tcPr>
          <w:p w14:paraId="301AA74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65</w:t>
            </w:r>
          </w:p>
        </w:tc>
      </w:tr>
      <w:tr w14:paraId="7E94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Align w:val="center"/>
          </w:tcPr>
          <w:p w14:paraId="0DA8FDA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锌（mg/kg）</w:t>
            </w:r>
          </w:p>
        </w:tc>
        <w:tc>
          <w:tcPr>
            <w:tcW w:w="2314" w:type="dxa"/>
            <w:vAlign w:val="center"/>
          </w:tcPr>
          <w:p w14:paraId="5DB2468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56</w:t>
            </w:r>
          </w:p>
        </w:tc>
        <w:tc>
          <w:tcPr>
            <w:tcW w:w="2434" w:type="dxa"/>
            <w:vAlign w:val="center"/>
          </w:tcPr>
          <w:p w14:paraId="32AC7A6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56</w:t>
            </w:r>
          </w:p>
        </w:tc>
        <w:tc>
          <w:tcPr>
            <w:tcW w:w="2077" w:type="dxa"/>
            <w:vAlign w:val="center"/>
          </w:tcPr>
          <w:p w14:paraId="2503747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53</w:t>
            </w:r>
          </w:p>
        </w:tc>
      </w:tr>
      <w:tr w14:paraId="1383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518" w:type="dxa"/>
            <w:vAlign w:val="center"/>
          </w:tcPr>
          <w:p w14:paraId="4252B2F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镍（mg/kg）</w:t>
            </w:r>
          </w:p>
        </w:tc>
        <w:tc>
          <w:tcPr>
            <w:tcW w:w="2314" w:type="dxa"/>
            <w:vAlign w:val="center"/>
          </w:tcPr>
          <w:p w14:paraId="4B3858D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w:t>
            </w:r>
          </w:p>
        </w:tc>
        <w:tc>
          <w:tcPr>
            <w:tcW w:w="2434" w:type="dxa"/>
            <w:vAlign w:val="center"/>
          </w:tcPr>
          <w:p w14:paraId="7BB520B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w:t>
            </w:r>
          </w:p>
        </w:tc>
        <w:tc>
          <w:tcPr>
            <w:tcW w:w="2077" w:type="dxa"/>
            <w:vAlign w:val="center"/>
          </w:tcPr>
          <w:p w14:paraId="011AA66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w:t>
            </w:r>
          </w:p>
        </w:tc>
      </w:tr>
      <w:tr w14:paraId="7BFD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343" w:type="dxa"/>
            <w:gridSpan w:val="4"/>
            <w:vAlign w:val="center"/>
          </w:tcPr>
          <w:p w14:paraId="5C5B32A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备注</w:t>
            </w:r>
            <w:r>
              <w:rPr>
                <w:rFonts w:hint="eastAsia"/>
                <w:color w:val="000000" w:themeColor="text1"/>
                <w:sz w:val="21"/>
                <w:szCs w:val="21"/>
                <w:highlight w:val="none"/>
                <w14:textFill>
                  <w14:solidFill>
                    <w14:schemeClr w14:val="tx1"/>
                  </w14:solidFill>
                </w14:textFill>
              </w:rPr>
              <w:t>：</w:t>
            </w:r>
          </w:p>
        </w:tc>
      </w:tr>
    </w:tbl>
    <w:p w14:paraId="765EF335">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w:t>
      </w:r>
      <w:r>
        <w:rPr>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t>4</w:t>
      </w:r>
      <w:r>
        <w:rPr>
          <w:b/>
          <w:bCs/>
          <w:color w:val="000000" w:themeColor="text1"/>
          <w:highlight w:val="none"/>
          <w14:textFill>
            <w14:solidFill>
              <w14:schemeClr w14:val="tx1"/>
            </w14:solidFill>
          </w14:textFill>
        </w:rPr>
        <w:t>.2土壤环境质量现状评价</w:t>
      </w:r>
    </w:p>
    <w:p w14:paraId="57F7186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1、评价因子</w:t>
      </w:r>
    </w:p>
    <w:p w14:paraId="2DBCCE2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选择有环境质量标准的土壤现状监测项目作为现状评价因子，未检出的项目不做评价。</w:t>
      </w:r>
    </w:p>
    <w:p w14:paraId="6C19BDB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2、评价标准</w:t>
      </w:r>
    </w:p>
    <w:p w14:paraId="2589F5D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用地分类标准，设施农用地不属于建设用地，不适用于《土壤环境质量建设用地土壤污染风险管控标准（试行）》（GB36600-2018）。部长信箱回复，养殖项目的土壤质量执行《畜禽养殖产地环境评价规范》（HJ568-2010）中的表4放牧区和畜禽养殖场、养殖小区土壤环境质量评价指标限值，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w:t>
      </w:r>
    </w:p>
    <w:p w14:paraId="41F5595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4.2-1</w:t>
      </w:r>
      <w:r>
        <w:rPr>
          <w:rFonts w:hint="eastAsia"/>
          <w:b/>
          <w:bCs/>
          <w:color w:val="000000" w:themeColor="text1"/>
          <w:sz w:val="21"/>
          <w:szCs w:val="21"/>
          <w:highlight w:val="none"/>
          <w:lang w:val="en-US" w:eastAsia="zh-CN"/>
          <w14:textFill>
            <w14:solidFill>
              <w14:schemeClr w14:val="tx1"/>
            </w14:solidFill>
          </w14:textFill>
        </w:rPr>
        <w:t>9</w:t>
      </w:r>
      <w:r>
        <w:rPr>
          <w:b/>
          <w:bCs/>
          <w:color w:val="000000" w:themeColor="text1"/>
          <w:sz w:val="21"/>
          <w:szCs w:val="21"/>
          <w:highlight w:val="none"/>
          <w14:textFill>
            <w14:solidFill>
              <w14:schemeClr w14:val="tx1"/>
            </w14:solidFill>
          </w14:textFill>
        </w:rPr>
        <w:t xml:space="preserve">  放牧区和畜禽养殖场、养殖小区土壤环境质量评价指标限值  单位：mg/kg</w:t>
      </w:r>
    </w:p>
    <w:tbl>
      <w:tblPr>
        <w:tblStyle w:val="58"/>
        <w:tblW w:w="833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37"/>
        <w:gridCol w:w="2423"/>
        <w:gridCol w:w="4178"/>
      </w:tblGrid>
      <w:tr w14:paraId="1340F5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 w:hRule="atLeast"/>
          <w:jc w:val="center"/>
        </w:trPr>
        <w:tc>
          <w:tcPr>
            <w:tcW w:w="1737" w:type="dxa"/>
            <w:vAlign w:val="center"/>
          </w:tcPr>
          <w:p w14:paraId="0D84EC3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423" w:type="dxa"/>
            <w:vAlign w:val="center"/>
          </w:tcPr>
          <w:p w14:paraId="698A7B7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监测项目</w:t>
            </w:r>
          </w:p>
        </w:tc>
        <w:tc>
          <w:tcPr>
            <w:tcW w:w="4178" w:type="dxa"/>
            <w:vAlign w:val="center"/>
          </w:tcPr>
          <w:p w14:paraId="0C7D2C2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养殖场、养殖小区</w:t>
            </w:r>
          </w:p>
        </w:tc>
      </w:tr>
      <w:tr w14:paraId="07F9F4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vAlign w:val="center"/>
          </w:tcPr>
          <w:p w14:paraId="1776808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423" w:type="dxa"/>
            <w:vAlign w:val="center"/>
          </w:tcPr>
          <w:p w14:paraId="72D49CD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镉</w:t>
            </w:r>
          </w:p>
        </w:tc>
        <w:tc>
          <w:tcPr>
            <w:tcW w:w="4178" w:type="dxa"/>
            <w:vAlign w:val="center"/>
          </w:tcPr>
          <w:p w14:paraId="50507B3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r>
      <w:tr w14:paraId="6E2F37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vAlign w:val="center"/>
          </w:tcPr>
          <w:p w14:paraId="0E88D96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423" w:type="dxa"/>
            <w:vAlign w:val="center"/>
          </w:tcPr>
          <w:p w14:paraId="0D07F36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汞</w:t>
            </w:r>
          </w:p>
        </w:tc>
        <w:tc>
          <w:tcPr>
            <w:tcW w:w="4178" w:type="dxa"/>
            <w:vAlign w:val="center"/>
          </w:tcPr>
          <w:p w14:paraId="52A17A8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w:t>
            </w:r>
          </w:p>
        </w:tc>
      </w:tr>
      <w:tr w14:paraId="64D57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vAlign w:val="center"/>
          </w:tcPr>
          <w:p w14:paraId="12E804A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423" w:type="dxa"/>
            <w:vAlign w:val="center"/>
          </w:tcPr>
          <w:p w14:paraId="35530F0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砷</w:t>
            </w:r>
          </w:p>
        </w:tc>
        <w:tc>
          <w:tcPr>
            <w:tcW w:w="4178" w:type="dxa"/>
            <w:vAlign w:val="center"/>
          </w:tcPr>
          <w:p w14:paraId="77EEA18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w:t>
            </w:r>
          </w:p>
        </w:tc>
      </w:tr>
      <w:tr w14:paraId="025C21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1737" w:type="dxa"/>
            <w:vAlign w:val="center"/>
          </w:tcPr>
          <w:p w14:paraId="544C121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423" w:type="dxa"/>
            <w:vAlign w:val="center"/>
          </w:tcPr>
          <w:p w14:paraId="2996594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铜</w:t>
            </w:r>
          </w:p>
        </w:tc>
        <w:tc>
          <w:tcPr>
            <w:tcW w:w="4178" w:type="dxa"/>
            <w:vAlign w:val="center"/>
          </w:tcPr>
          <w:p w14:paraId="473F0DB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r>
      <w:tr w14:paraId="68EEF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737" w:type="dxa"/>
            <w:vAlign w:val="center"/>
          </w:tcPr>
          <w:p w14:paraId="16F384E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2423" w:type="dxa"/>
            <w:vAlign w:val="center"/>
          </w:tcPr>
          <w:p w14:paraId="4FB8992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铅</w:t>
            </w:r>
          </w:p>
        </w:tc>
        <w:tc>
          <w:tcPr>
            <w:tcW w:w="4178" w:type="dxa"/>
            <w:vAlign w:val="center"/>
          </w:tcPr>
          <w:p w14:paraId="7BD7B9D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500</w:t>
            </w:r>
          </w:p>
        </w:tc>
      </w:tr>
      <w:tr w14:paraId="219B4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737" w:type="dxa"/>
            <w:vAlign w:val="center"/>
          </w:tcPr>
          <w:p w14:paraId="4EE52D6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2423" w:type="dxa"/>
            <w:vAlign w:val="center"/>
          </w:tcPr>
          <w:p w14:paraId="1DC75F4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铬</w:t>
            </w:r>
          </w:p>
        </w:tc>
        <w:tc>
          <w:tcPr>
            <w:tcW w:w="4178" w:type="dxa"/>
            <w:vAlign w:val="center"/>
          </w:tcPr>
          <w:p w14:paraId="4D1C27E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300</w:t>
            </w:r>
          </w:p>
        </w:tc>
      </w:tr>
      <w:tr w14:paraId="3F4C5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1737" w:type="dxa"/>
            <w:vAlign w:val="center"/>
          </w:tcPr>
          <w:p w14:paraId="531F94D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2423" w:type="dxa"/>
            <w:vAlign w:val="center"/>
          </w:tcPr>
          <w:p w14:paraId="342C527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锌</w:t>
            </w:r>
          </w:p>
        </w:tc>
        <w:tc>
          <w:tcPr>
            <w:tcW w:w="4178" w:type="dxa"/>
            <w:vAlign w:val="center"/>
          </w:tcPr>
          <w:p w14:paraId="22D48D8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500</w:t>
            </w:r>
          </w:p>
        </w:tc>
      </w:tr>
      <w:tr w14:paraId="54087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vAlign w:val="center"/>
          </w:tcPr>
          <w:p w14:paraId="777C16B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2423" w:type="dxa"/>
            <w:vAlign w:val="center"/>
          </w:tcPr>
          <w:p w14:paraId="3CF5FD4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镍</w:t>
            </w:r>
          </w:p>
        </w:tc>
        <w:tc>
          <w:tcPr>
            <w:tcW w:w="4178" w:type="dxa"/>
            <w:vAlign w:val="center"/>
          </w:tcPr>
          <w:p w14:paraId="65C3350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w:t>
            </w:r>
          </w:p>
        </w:tc>
      </w:tr>
      <w:tr w14:paraId="3A403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vAlign w:val="center"/>
          </w:tcPr>
          <w:p w14:paraId="76B91B0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w:t>
            </w:r>
          </w:p>
        </w:tc>
        <w:tc>
          <w:tcPr>
            <w:tcW w:w="2423" w:type="dxa"/>
            <w:vAlign w:val="center"/>
          </w:tcPr>
          <w:p w14:paraId="45444EF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六六六</w:t>
            </w:r>
          </w:p>
        </w:tc>
        <w:tc>
          <w:tcPr>
            <w:tcW w:w="4178" w:type="dxa"/>
            <w:vAlign w:val="center"/>
          </w:tcPr>
          <w:p w14:paraId="10C914C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r>
      <w:tr w14:paraId="578E26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vAlign w:val="center"/>
          </w:tcPr>
          <w:p w14:paraId="5A18392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2423" w:type="dxa"/>
            <w:vAlign w:val="center"/>
          </w:tcPr>
          <w:p w14:paraId="74B2F7D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滴滴涕</w:t>
            </w:r>
          </w:p>
        </w:tc>
        <w:tc>
          <w:tcPr>
            <w:tcW w:w="4178" w:type="dxa"/>
            <w:vAlign w:val="center"/>
          </w:tcPr>
          <w:p w14:paraId="525CD89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r>
      <w:tr w14:paraId="0721FD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jc w:val="center"/>
        </w:trPr>
        <w:tc>
          <w:tcPr>
            <w:tcW w:w="1737" w:type="dxa"/>
            <w:vAlign w:val="center"/>
          </w:tcPr>
          <w:p w14:paraId="563CC65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w:t>
            </w:r>
          </w:p>
        </w:tc>
        <w:tc>
          <w:tcPr>
            <w:tcW w:w="2423" w:type="dxa"/>
            <w:vAlign w:val="center"/>
          </w:tcPr>
          <w:p w14:paraId="3425D95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寄生虫卵数（个/kg 土）</w:t>
            </w:r>
          </w:p>
        </w:tc>
        <w:tc>
          <w:tcPr>
            <w:tcW w:w="4178" w:type="dxa"/>
            <w:vAlign w:val="center"/>
          </w:tcPr>
          <w:p w14:paraId="579EEBC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r>
      <w:tr w14:paraId="60B926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8338" w:type="dxa"/>
            <w:gridSpan w:val="3"/>
            <w:vAlign w:val="center"/>
          </w:tcPr>
          <w:p w14:paraId="017C07E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注：（1）重金属（铬主要是三价）和砷均按元素量计，适用于阳离子交换量＞5cmol（+）/kg的土壤。若≤5cmol（+）/kg，其标准值为表内数值的半数。</w:t>
            </w:r>
          </w:p>
          <w:p w14:paraId="3FC81092">
            <w:pPr>
              <w:spacing w:line="240" w:lineRule="auto"/>
              <w:ind w:firstLine="420" w:firstLineChars="200"/>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（2）六六六为四种异构体总量，滴滴涕为四种衍生物总量</w:t>
            </w:r>
          </w:p>
        </w:tc>
      </w:tr>
    </w:tbl>
    <w:p w14:paraId="382FD86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3、评价方法</w:t>
      </w:r>
    </w:p>
    <w:p w14:paraId="2704A63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评价方法采用单因子指数法，公式如下：</w:t>
      </w:r>
    </w:p>
    <w:p w14:paraId="7D0D420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Si＝Ci/Csi</w:t>
      </w:r>
    </w:p>
    <w:p w14:paraId="06F9F43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式中：Si——污染物单因子指数；</w:t>
      </w:r>
    </w:p>
    <w:p w14:paraId="4D0EDDC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Ci——i污染物的浓度值，mg/kg；</w:t>
      </w:r>
    </w:p>
    <w:p w14:paraId="4C05794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Csi——i污染物的评价标准值，mg/kg。</w:t>
      </w:r>
    </w:p>
    <w:p w14:paraId="51A27AE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当单因子指数＞1时，说明该指标已超过规定标准，数值越大表示超标越严重</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当单因子指数≤1时，说明该指标符合标准要求。</w:t>
      </w:r>
    </w:p>
    <w:p w14:paraId="346FF01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4、评价结果</w:t>
      </w:r>
    </w:p>
    <w:p w14:paraId="5BCFFDD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土壤环境质量各评价因子的评价结果见表</w:t>
      </w:r>
      <w:r>
        <w:rPr>
          <w:rFonts w:hint="eastAsia"/>
          <w:color w:val="000000" w:themeColor="text1"/>
          <w:highlight w:val="none"/>
          <w14:textFill>
            <w14:solidFill>
              <w14:schemeClr w14:val="tx1"/>
            </w14:solidFill>
          </w14:textFill>
        </w:rPr>
        <w:t>4.2</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20</w:t>
      </w:r>
      <w:r>
        <w:rPr>
          <w:color w:val="000000" w:themeColor="text1"/>
          <w:highlight w:val="none"/>
          <w14:textFill>
            <w14:solidFill>
              <w14:schemeClr w14:val="tx1"/>
            </w14:solidFill>
          </w14:textFill>
        </w:rPr>
        <w:t>。</w:t>
      </w:r>
    </w:p>
    <w:p w14:paraId="32432AB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w:t>
      </w:r>
      <w:r>
        <w:rPr>
          <w:rFonts w:hint="eastAsia"/>
          <w:b/>
          <w:bCs/>
          <w:color w:val="000000" w:themeColor="text1"/>
          <w:sz w:val="21"/>
          <w:szCs w:val="21"/>
          <w:highlight w:val="none"/>
          <w14:textFill>
            <w14:solidFill>
              <w14:schemeClr w14:val="tx1"/>
            </w14:solidFill>
          </w14:textFill>
        </w:rPr>
        <w:t>4.2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lang w:val="en-US" w:eastAsia="zh-CN"/>
          <w14:textFill>
            <w14:solidFill>
              <w14:schemeClr w14:val="tx1"/>
            </w14:solidFill>
          </w14:textFill>
        </w:rPr>
        <w:t>20</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 xml:space="preserve"> </w:t>
      </w:r>
      <w:r>
        <w:rPr>
          <w:b/>
          <w:bCs/>
          <w:color w:val="000000" w:themeColor="text1"/>
          <w:sz w:val="21"/>
          <w:szCs w:val="21"/>
          <w:highlight w:val="none"/>
          <w14:textFill>
            <w14:solidFill>
              <w14:schemeClr w14:val="tx1"/>
            </w14:solidFill>
          </w14:textFill>
        </w:rPr>
        <w:t>土壤环境质量现状评价结果</w:t>
      </w:r>
    </w:p>
    <w:tbl>
      <w:tblPr>
        <w:tblStyle w:val="33"/>
        <w:tblW w:w="49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131"/>
        <w:gridCol w:w="1242"/>
        <w:gridCol w:w="1227"/>
        <w:gridCol w:w="1165"/>
        <w:gridCol w:w="1193"/>
        <w:gridCol w:w="1167"/>
      </w:tblGrid>
      <w:tr w14:paraId="2ECC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pct"/>
            <w:vMerge w:val="restart"/>
            <w:vAlign w:val="center"/>
          </w:tcPr>
          <w:p w14:paraId="7F195DE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检测参数</w:t>
            </w:r>
          </w:p>
        </w:tc>
        <w:tc>
          <w:tcPr>
            <w:tcW w:w="4187" w:type="pct"/>
            <w:gridSpan w:val="6"/>
            <w:vAlign w:val="center"/>
          </w:tcPr>
          <w:p w14:paraId="476A833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点位</w:t>
            </w:r>
          </w:p>
        </w:tc>
      </w:tr>
      <w:tr w14:paraId="2062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pct"/>
            <w:vMerge w:val="continue"/>
            <w:vAlign w:val="center"/>
          </w:tcPr>
          <w:p w14:paraId="0F7847DD">
            <w:pPr>
              <w:spacing w:line="240" w:lineRule="auto"/>
              <w:jc w:val="center"/>
              <w:rPr>
                <w:b/>
                <w:bCs/>
                <w:color w:val="000000" w:themeColor="text1"/>
                <w:sz w:val="21"/>
                <w:szCs w:val="21"/>
                <w:highlight w:val="none"/>
                <w14:textFill>
                  <w14:solidFill>
                    <w14:schemeClr w14:val="tx1"/>
                  </w14:solidFill>
                </w14:textFill>
              </w:rPr>
            </w:pPr>
          </w:p>
        </w:tc>
        <w:tc>
          <w:tcPr>
            <w:tcW w:w="1395" w:type="pct"/>
            <w:gridSpan w:val="2"/>
            <w:vAlign w:val="center"/>
          </w:tcPr>
          <w:p w14:paraId="5E3EC1D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1厂区</w:t>
            </w:r>
            <w:r>
              <w:rPr>
                <w:rFonts w:hint="eastAsia"/>
                <w:b/>
                <w:bCs/>
                <w:color w:val="000000" w:themeColor="text1"/>
                <w:sz w:val="21"/>
                <w:szCs w:val="21"/>
                <w:highlight w:val="none"/>
                <w14:textFill>
                  <w14:solidFill>
                    <w14:schemeClr w14:val="tx1"/>
                  </w14:solidFill>
                </w14:textFill>
              </w:rPr>
              <w:t>北</w:t>
            </w:r>
            <w:r>
              <w:rPr>
                <w:b/>
                <w:bCs/>
                <w:color w:val="000000" w:themeColor="text1"/>
                <w:sz w:val="21"/>
                <w:szCs w:val="21"/>
                <w:highlight w:val="none"/>
                <w14:textFill>
                  <w14:solidFill>
                    <w14:schemeClr w14:val="tx1"/>
                  </w14:solidFill>
                </w14:textFill>
              </w:rPr>
              <w:t>部</w:t>
            </w:r>
          </w:p>
        </w:tc>
        <w:tc>
          <w:tcPr>
            <w:tcW w:w="1406" w:type="pct"/>
            <w:gridSpan w:val="2"/>
            <w:vAlign w:val="center"/>
          </w:tcPr>
          <w:p w14:paraId="1333E10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2厂区</w:t>
            </w:r>
            <w:r>
              <w:rPr>
                <w:rFonts w:hint="eastAsia"/>
                <w:b/>
                <w:bCs/>
                <w:color w:val="000000" w:themeColor="text1"/>
                <w:sz w:val="21"/>
                <w:szCs w:val="21"/>
                <w:highlight w:val="none"/>
                <w14:textFill>
                  <w14:solidFill>
                    <w14:schemeClr w14:val="tx1"/>
                  </w14:solidFill>
                </w14:textFill>
              </w:rPr>
              <w:t>中</w:t>
            </w:r>
            <w:r>
              <w:rPr>
                <w:b/>
                <w:bCs/>
                <w:color w:val="000000" w:themeColor="text1"/>
                <w:sz w:val="21"/>
                <w:szCs w:val="21"/>
                <w:highlight w:val="none"/>
                <w14:textFill>
                  <w14:solidFill>
                    <w14:schemeClr w14:val="tx1"/>
                  </w14:solidFill>
                </w14:textFill>
              </w:rPr>
              <w:t>部</w:t>
            </w:r>
          </w:p>
        </w:tc>
        <w:tc>
          <w:tcPr>
            <w:tcW w:w="1384" w:type="pct"/>
            <w:gridSpan w:val="2"/>
            <w:vAlign w:val="center"/>
          </w:tcPr>
          <w:p w14:paraId="67577A6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3厂区南部</w:t>
            </w:r>
          </w:p>
        </w:tc>
      </w:tr>
      <w:tr w14:paraId="44943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2" w:type="pct"/>
            <w:vMerge w:val="continue"/>
            <w:vAlign w:val="center"/>
          </w:tcPr>
          <w:p w14:paraId="013A2369">
            <w:pPr>
              <w:spacing w:line="240" w:lineRule="auto"/>
              <w:jc w:val="center"/>
              <w:rPr>
                <w:b/>
                <w:bCs/>
                <w:color w:val="000000" w:themeColor="text1"/>
                <w:sz w:val="21"/>
                <w:szCs w:val="21"/>
                <w:highlight w:val="none"/>
                <w14:textFill>
                  <w14:solidFill>
                    <w14:schemeClr w14:val="tx1"/>
                  </w14:solidFill>
                </w14:textFill>
              </w:rPr>
            </w:pPr>
          </w:p>
        </w:tc>
        <w:tc>
          <w:tcPr>
            <w:tcW w:w="665" w:type="pct"/>
            <w:vAlign w:val="center"/>
          </w:tcPr>
          <w:p w14:paraId="1F40275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对标率</w:t>
            </w:r>
          </w:p>
        </w:tc>
        <w:tc>
          <w:tcPr>
            <w:tcW w:w="729" w:type="pct"/>
            <w:vAlign w:val="center"/>
          </w:tcPr>
          <w:p w14:paraId="5B55509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最大超</w:t>
            </w:r>
          </w:p>
          <w:p w14:paraId="4B6169F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标倍数</w:t>
            </w:r>
          </w:p>
        </w:tc>
        <w:tc>
          <w:tcPr>
            <w:tcW w:w="721" w:type="pct"/>
            <w:vAlign w:val="center"/>
          </w:tcPr>
          <w:p w14:paraId="7A23114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对标率</w:t>
            </w:r>
          </w:p>
        </w:tc>
        <w:tc>
          <w:tcPr>
            <w:tcW w:w="684" w:type="pct"/>
            <w:vAlign w:val="center"/>
          </w:tcPr>
          <w:p w14:paraId="4DF14E7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最大超</w:t>
            </w:r>
          </w:p>
          <w:p w14:paraId="15D09A8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标倍数</w:t>
            </w:r>
          </w:p>
        </w:tc>
        <w:tc>
          <w:tcPr>
            <w:tcW w:w="701" w:type="pct"/>
            <w:vAlign w:val="center"/>
          </w:tcPr>
          <w:p w14:paraId="77D5A31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对标率</w:t>
            </w:r>
          </w:p>
        </w:tc>
        <w:tc>
          <w:tcPr>
            <w:tcW w:w="683" w:type="pct"/>
            <w:vAlign w:val="center"/>
          </w:tcPr>
          <w:p w14:paraId="141F41D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最大超</w:t>
            </w:r>
          </w:p>
          <w:p w14:paraId="65878B3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标倍数</w:t>
            </w:r>
          </w:p>
        </w:tc>
      </w:tr>
      <w:tr w14:paraId="6064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2" w:type="dxa"/>
            <w:vAlign w:val="center"/>
          </w:tcPr>
          <w:p w14:paraId="66D4B41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镉（mg/kg）</w:t>
            </w:r>
          </w:p>
        </w:tc>
        <w:tc>
          <w:tcPr>
            <w:tcW w:w="1131" w:type="dxa"/>
            <w:vAlign w:val="center"/>
          </w:tcPr>
          <w:p w14:paraId="1BC26E8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w:t>
            </w:r>
          </w:p>
        </w:tc>
        <w:tc>
          <w:tcPr>
            <w:tcW w:w="729" w:type="pct"/>
            <w:vAlign w:val="center"/>
          </w:tcPr>
          <w:p w14:paraId="6FCD0A7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227" w:type="dxa"/>
            <w:vAlign w:val="center"/>
          </w:tcPr>
          <w:p w14:paraId="5A43FED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0.09</w:t>
            </w:r>
          </w:p>
        </w:tc>
        <w:tc>
          <w:tcPr>
            <w:tcW w:w="684" w:type="pct"/>
            <w:vAlign w:val="center"/>
          </w:tcPr>
          <w:p w14:paraId="0B121F9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193" w:type="dxa"/>
            <w:vAlign w:val="center"/>
          </w:tcPr>
          <w:p w14:paraId="71DBFA4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0.10</w:t>
            </w:r>
          </w:p>
        </w:tc>
        <w:tc>
          <w:tcPr>
            <w:tcW w:w="683" w:type="pct"/>
            <w:vAlign w:val="center"/>
          </w:tcPr>
          <w:p w14:paraId="0B85483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14:paraId="1ABCA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2" w:type="dxa"/>
            <w:vAlign w:val="center"/>
          </w:tcPr>
          <w:p w14:paraId="7ECEEE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汞（mg/kg）</w:t>
            </w:r>
          </w:p>
        </w:tc>
        <w:tc>
          <w:tcPr>
            <w:tcW w:w="1131" w:type="dxa"/>
            <w:vAlign w:val="center"/>
          </w:tcPr>
          <w:p w14:paraId="37C2029E">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0.139</w:t>
            </w:r>
          </w:p>
        </w:tc>
        <w:tc>
          <w:tcPr>
            <w:tcW w:w="729" w:type="pct"/>
            <w:vAlign w:val="center"/>
          </w:tcPr>
          <w:p w14:paraId="4BE5D1F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227" w:type="dxa"/>
            <w:vAlign w:val="center"/>
          </w:tcPr>
          <w:p w14:paraId="76A0A797">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0.021</w:t>
            </w:r>
          </w:p>
        </w:tc>
        <w:tc>
          <w:tcPr>
            <w:tcW w:w="684" w:type="pct"/>
            <w:vAlign w:val="center"/>
          </w:tcPr>
          <w:p w14:paraId="6B45BE7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193" w:type="dxa"/>
            <w:vAlign w:val="center"/>
          </w:tcPr>
          <w:p w14:paraId="056D392E">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0.056</w:t>
            </w:r>
          </w:p>
        </w:tc>
        <w:tc>
          <w:tcPr>
            <w:tcW w:w="683" w:type="pct"/>
            <w:vAlign w:val="center"/>
          </w:tcPr>
          <w:p w14:paraId="47F1EE2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14:paraId="639F2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382" w:type="dxa"/>
            <w:vAlign w:val="center"/>
          </w:tcPr>
          <w:p w14:paraId="1D9BFD7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砷（mg/kg）</w:t>
            </w:r>
          </w:p>
        </w:tc>
        <w:tc>
          <w:tcPr>
            <w:tcW w:w="1131" w:type="dxa"/>
            <w:vAlign w:val="center"/>
          </w:tcPr>
          <w:p w14:paraId="11091A7A">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0.275</w:t>
            </w:r>
          </w:p>
        </w:tc>
        <w:tc>
          <w:tcPr>
            <w:tcW w:w="729" w:type="pct"/>
            <w:vAlign w:val="center"/>
          </w:tcPr>
          <w:p w14:paraId="49AC658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227" w:type="dxa"/>
            <w:vAlign w:val="center"/>
          </w:tcPr>
          <w:p w14:paraId="1CB68EB3">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0.26</w:t>
            </w:r>
          </w:p>
        </w:tc>
        <w:tc>
          <w:tcPr>
            <w:tcW w:w="684" w:type="pct"/>
            <w:vAlign w:val="center"/>
          </w:tcPr>
          <w:p w14:paraId="42602E4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193" w:type="dxa"/>
            <w:vAlign w:val="center"/>
          </w:tcPr>
          <w:p w14:paraId="0C158A82">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0.24</w:t>
            </w:r>
          </w:p>
        </w:tc>
        <w:tc>
          <w:tcPr>
            <w:tcW w:w="683" w:type="pct"/>
            <w:vAlign w:val="center"/>
          </w:tcPr>
          <w:p w14:paraId="1C80607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14:paraId="07136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2" w:type="dxa"/>
            <w:vAlign w:val="center"/>
          </w:tcPr>
          <w:p w14:paraId="40D18D4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铜（mg/kg）</w:t>
            </w:r>
          </w:p>
        </w:tc>
        <w:tc>
          <w:tcPr>
            <w:tcW w:w="1131" w:type="dxa"/>
            <w:vAlign w:val="center"/>
          </w:tcPr>
          <w:p w14:paraId="1F9119F2">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0.045</w:t>
            </w:r>
          </w:p>
        </w:tc>
        <w:tc>
          <w:tcPr>
            <w:tcW w:w="729" w:type="pct"/>
            <w:vAlign w:val="center"/>
          </w:tcPr>
          <w:p w14:paraId="453923E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227" w:type="dxa"/>
            <w:vAlign w:val="center"/>
          </w:tcPr>
          <w:p w14:paraId="73AECF2B">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w:t>
            </w:r>
          </w:p>
        </w:tc>
        <w:tc>
          <w:tcPr>
            <w:tcW w:w="684" w:type="pct"/>
            <w:vAlign w:val="center"/>
          </w:tcPr>
          <w:p w14:paraId="2CC085D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193" w:type="dxa"/>
            <w:vAlign w:val="center"/>
          </w:tcPr>
          <w:p w14:paraId="033A062F">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w:t>
            </w:r>
          </w:p>
        </w:tc>
        <w:tc>
          <w:tcPr>
            <w:tcW w:w="683" w:type="pct"/>
            <w:vAlign w:val="center"/>
          </w:tcPr>
          <w:p w14:paraId="438EC27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14:paraId="15CF0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2" w:type="dxa"/>
            <w:vAlign w:val="center"/>
          </w:tcPr>
          <w:p w14:paraId="0CBDFEF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铅（mg/kg）</w:t>
            </w:r>
          </w:p>
        </w:tc>
        <w:tc>
          <w:tcPr>
            <w:tcW w:w="1131" w:type="dxa"/>
            <w:vAlign w:val="center"/>
          </w:tcPr>
          <w:p w14:paraId="472F5A43">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0.017</w:t>
            </w:r>
          </w:p>
        </w:tc>
        <w:tc>
          <w:tcPr>
            <w:tcW w:w="729" w:type="pct"/>
            <w:vAlign w:val="center"/>
          </w:tcPr>
          <w:p w14:paraId="4077C23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227" w:type="dxa"/>
            <w:vAlign w:val="center"/>
          </w:tcPr>
          <w:p w14:paraId="362633E6">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0.017</w:t>
            </w:r>
          </w:p>
        </w:tc>
        <w:tc>
          <w:tcPr>
            <w:tcW w:w="684" w:type="pct"/>
            <w:vAlign w:val="center"/>
          </w:tcPr>
          <w:p w14:paraId="7369031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193" w:type="dxa"/>
            <w:vAlign w:val="center"/>
          </w:tcPr>
          <w:p w14:paraId="0B62A710">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0.014</w:t>
            </w:r>
          </w:p>
        </w:tc>
        <w:tc>
          <w:tcPr>
            <w:tcW w:w="683" w:type="pct"/>
            <w:vAlign w:val="center"/>
          </w:tcPr>
          <w:p w14:paraId="2CB2777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14:paraId="1DF00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2" w:type="dxa"/>
            <w:vAlign w:val="center"/>
          </w:tcPr>
          <w:p w14:paraId="1E92AD6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铬（mg/kg）</w:t>
            </w:r>
          </w:p>
        </w:tc>
        <w:tc>
          <w:tcPr>
            <w:tcW w:w="1131" w:type="dxa"/>
            <w:vAlign w:val="center"/>
          </w:tcPr>
          <w:p w14:paraId="3734FA9C">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0.253</w:t>
            </w:r>
          </w:p>
        </w:tc>
        <w:tc>
          <w:tcPr>
            <w:tcW w:w="729" w:type="pct"/>
            <w:vAlign w:val="center"/>
          </w:tcPr>
          <w:p w14:paraId="34E2D9C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227" w:type="dxa"/>
            <w:vAlign w:val="center"/>
          </w:tcPr>
          <w:p w14:paraId="3878C2F9">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0.22</w:t>
            </w:r>
          </w:p>
        </w:tc>
        <w:tc>
          <w:tcPr>
            <w:tcW w:w="684" w:type="pct"/>
            <w:vAlign w:val="center"/>
          </w:tcPr>
          <w:p w14:paraId="298D7CC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193" w:type="dxa"/>
            <w:vAlign w:val="center"/>
          </w:tcPr>
          <w:p w14:paraId="62B6F969">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0.217</w:t>
            </w:r>
          </w:p>
        </w:tc>
        <w:tc>
          <w:tcPr>
            <w:tcW w:w="683" w:type="pct"/>
            <w:vAlign w:val="center"/>
          </w:tcPr>
          <w:p w14:paraId="637945D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14:paraId="1334D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2" w:type="dxa"/>
            <w:vAlign w:val="center"/>
          </w:tcPr>
          <w:p w14:paraId="4EA4CE4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锌（mg/kg）</w:t>
            </w:r>
          </w:p>
        </w:tc>
        <w:tc>
          <w:tcPr>
            <w:tcW w:w="1131" w:type="dxa"/>
            <w:vAlign w:val="center"/>
          </w:tcPr>
          <w:p w14:paraId="450A1274">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0.112</w:t>
            </w:r>
          </w:p>
        </w:tc>
        <w:tc>
          <w:tcPr>
            <w:tcW w:w="729" w:type="pct"/>
            <w:vAlign w:val="center"/>
          </w:tcPr>
          <w:p w14:paraId="2E9FA34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227" w:type="dxa"/>
            <w:vAlign w:val="center"/>
          </w:tcPr>
          <w:p w14:paraId="1C87525F">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0.112</w:t>
            </w:r>
          </w:p>
        </w:tc>
        <w:tc>
          <w:tcPr>
            <w:tcW w:w="684" w:type="pct"/>
            <w:vAlign w:val="center"/>
          </w:tcPr>
          <w:p w14:paraId="4DD3ECF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193" w:type="dxa"/>
            <w:vAlign w:val="center"/>
          </w:tcPr>
          <w:p w14:paraId="3AC0BE1D">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0.106</w:t>
            </w:r>
          </w:p>
        </w:tc>
        <w:tc>
          <w:tcPr>
            <w:tcW w:w="683" w:type="pct"/>
            <w:vAlign w:val="center"/>
          </w:tcPr>
          <w:p w14:paraId="005B65E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r w14:paraId="66CA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2" w:type="dxa"/>
            <w:vAlign w:val="center"/>
          </w:tcPr>
          <w:p w14:paraId="7A91DF8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镍（mg/kg）</w:t>
            </w:r>
          </w:p>
        </w:tc>
        <w:tc>
          <w:tcPr>
            <w:tcW w:w="1131" w:type="dxa"/>
            <w:vAlign w:val="center"/>
          </w:tcPr>
          <w:p w14:paraId="3E3B3A32">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0.12</w:t>
            </w:r>
          </w:p>
        </w:tc>
        <w:tc>
          <w:tcPr>
            <w:tcW w:w="729" w:type="pct"/>
            <w:vAlign w:val="center"/>
          </w:tcPr>
          <w:p w14:paraId="7B65D6F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227" w:type="dxa"/>
            <w:vAlign w:val="center"/>
          </w:tcPr>
          <w:p w14:paraId="384225A7">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0.12</w:t>
            </w:r>
          </w:p>
        </w:tc>
        <w:tc>
          <w:tcPr>
            <w:tcW w:w="684" w:type="pct"/>
            <w:vAlign w:val="center"/>
          </w:tcPr>
          <w:p w14:paraId="1B233C5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193" w:type="dxa"/>
            <w:vAlign w:val="center"/>
          </w:tcPr>
          <w:p w14:paraId="17EBC1D0">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0.115</w:t>
            </w:r>
          </w:p>
        </w:tc>
        <w:tc>
          <w:tcPr>
            <w:tcW w:w="683" w:type="pct"/>
            <w:vAlign w:val="center"/>
          </w:tcPr>
          <w:p w14:paraId="28A29F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r>
    </w:tbl>
    <w:p w14:paraId="7AA0862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由上表可见，各监测点监测因子</w:t>
      </w:r>
      <w:r>
        <w:rPr>
          <w:rFonts w:hint="eastAsia"/>
          <w:color w:val="000000" w:themeColor="text1"/>
          <w:highlight w:val="none"/>
          <w14:textFill>
            <w14:solidFill>
              <w14:schemeClr w14:val="tx1"/>
            </w14:solidFill>
          </w14:textFill>
        </w:rPr>
        <w:t>均能</w:t>
      </w:r>
      <w:r>
        <w:rPr>
          <w:color w:val="000000" w:themeColor="text1"/>
          <w:highlight w:val="none"/>
          <w14:textFill>
            <w14:solidFill>
              <w14:schemeClr w14:val="tx1"/>
            </w14:solidFill>
          </w14:textFill>
        </w:rPr>
        <w:t>满足《畜禽养殖产地环境评价规范》（HJ568-2010）中的表4放牧区和畜禽养殖场、养殖小区土壤环境质量评价标准要求。</w:t>
      </w:r>
    </w:p>
    <w:p w14:paraId="6B6779AE">
      <w:pPr>
        <w:pStyle w:val="4"/>
        <w:bidi w:val="0"/>
        <w:rPr>
          <w:rFonts w:hint="default"/>
          <w:color w:val="000000" w:themeColor="text1"/>
          <w:highlight w:val="none"/>
          <w14:textFill>
            <w14:solidFill>
              <w14:schemeClr w14:val="tx1"/>
            </w14:solidFill>
          </w14:textFill>
        </w:rPr>
      </w:pPr>
      <w:bookmarkStart w:id="204" w:name="_Toc5109"/>
      <w:r>
        <w:rPr>
          <w:rFonts w:hint="eastAsia"/>
          <w:color w:val="000000" w:themeColor="text1"/>
          <w:highlight w:val="none"/>
          <w:lang w:val="en-US" w:eastAsia="zh-CN"/>
          <w14:textFill>
            <w14:solidFill>
              <w14:schemeClr w14:val="tx1"/>
            </w14:solidFill>
          </w14:textFill>
        </w:rPr>
        <w:t>4.2.5</w:t>
      </w:r>
      <w:r>
        <w:rPr>
          <w:rFonts w:hint="default"/>
          <w:color w:val="000000" w:themeColor="text1"/>
          <w:highlight w:val="none"/>
          <w14:textFill>
            <w14:solidFill>
              <w14:schemeClr w14:val="tx1"/>
            </w14:solidFill>
          </w14:textFill>
        </w:rPr>
        <w:t>生态环境现状调查与评价</w:t>
      </w:r>
    </w:p>
    <w:p w14:paraId="36F38745">
      <w:pPr>
        <w:bidi w:val="0"/>
        <w:ind w:firstLine="480" w:firstLineChars="20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根据《新疆生产建设兵团生态功能区划》，本项目评价区域属于</w:t>
      </w:r>
      <w:r>
        <w:rPr>
          <w:rFonts w:hint="default"/>
          <w:color w:val="000000" w:themeColor="text1"/>
          <w:highlight w:val="none"/>
          <w14:textFill>
            <w14:solidFill>
              <w14:schemeClr w14:val="tx1"/>
            </w14:solidFill>
          </w14:textFill>
        </w:rPr>
        <w:t>Ⅱ兵团准噶尔盆地温带干旱荒漠与绿洲生态区，Ⅱ3六、七、八、十二师准噶尔盆地南部灌木、半灌木荒漠、绿洲农业生态亚区，11.六、七、八师奎屯—石河子—</w:t>
      </w:r>
      <w:r>
        <w:rPr>
          <w:rFonts w:hint="eastAsia"/>
          <w:color w:val="000000" w:themeColor="text1"/>
          <w:highlight w:val="none"/>
          <w:lang w:eastAsia="zh-CN"/>
          <w14:textFill>
            <w14:solidFill>
              <w14:schemeClr w14:val="tx1"/>
            </w14:solidFill>
          </w14:textFill>
        </w:rPr>
        <w:t>胡杨河市</w:t>
      </w:r>
      <w:r>
        <w:rPr>
          <w:rFonts w:hint="default"/>
          <w:color w:val="000000" w:themeColor="text1"/>
          <w:highlight w:val="none"/>
          <w14:textFill>
            <w14:solidFill>
              <w14:schemeClr w14:val="tx1"/>
            </w14:solidFill>
          </w14:textFill>
        </w:rPr>
        <w:t>城镇与绿洲生态功能区。</w:t>
      </w:r>
    </w:p>
    <w:p w14:paraId="4336EE82">
      <w:pPr>
        <w:bidi w:val="0"/>
        <w:spacing w:line="240" w:lineRule="auto"/>
        <w:jc w:val="center"/>
        <w:rPr>
          <w:rFonts w:hint="default"/>
          <w:b/>
          <w:bCs/>
          <w:color w:val="000000" w:themeColor="text1"/>
          <w:sz w:val="21"/>
          <w:szCs w:val="21"/>
          <w:highlight w:val="none"/>
          <w:lang w:val="en-US"/>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表4.</w:t>
      </w:r>
      <w:r>
        <w:rPr>
          <w:rFonts w:hint="eastAsia"/>
          <w:b/>
          <w:bCs/>
          <w:color w:val="000000" w:themeColor="text1"/>
          <w:sz w:val="21"/>
          <w:szCs w:val="21"/>
          <w:highlight w:val="none"/>
          <w:lang w:val="en-US" w:eastAsia="zh-CN"/>
          <w14:textFill>
            <w14:solidFill>
              <w14:schemeClr w14:val="tx1"/>
            </w14:solidFill>
          </w14:textFill>
        </w:rPr>
        <w:t>2-21</w:t>
      </w:r>
      <w:r>
        <w:rPr>
          <w:rFonts w:hint="default"/>
          <w:b/>
          <w:bCs/>
          <w:color w:val="000000" w:themeColor="text1"/>
          <w:sz w:val="21"/>
          <w:szCs w:val="21"/>
          <w:highlight w:val="none"/>
          <w14:textFill>
            <w14:solidFill>
              <w14:schemeClr w14:val="tx1"/>
            </w14:solidFill>
          </w14:textFill>
        </w:rPr>
        <w:t xml:space="preserve">  项目</w:t>
      </w:r>
      <w:r>
        <w:rPr>
          <w:rFonts w:hint="eastAsia"/>
          <w:b/>
          <w:bCs/>
          <w:color w:val="000000" w:themeColor="text1"/>
          <w:sz w:val="21"/>
          <w:szCs w:val="21"/>
          <w:highlight w:val="none"/>
          <w:lang w:val="en-US" w:eastAsia="zh-CN"/>
          <w14:textFill>
            <w14:solidFill>
              <w14:schemeClr w14:val="tx1"/>
            </w14:solidFill>
          </w14:textFill>
        </w:rPr>
        <w:t>所在区域在兵团生态功能区划内容表</w:t>
      </w:r>
    </w:p>
    <w:tbl>
      <w:tblPr>
        <w:tblStyle w:val="33"/>
        <w:tblW w:w="50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66"/>
        <w:gridCol w:w="1174"/>
        <w:gridCol w:w="6033"/>
      </w:tblGrid>
      <w:tr w14:paraId="4B16E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7" w:type="pct"/>
            <w:gridSpan w:val="2"/>
            <w:noWrap w:val="0"/>
            <w:vAlign w:val="center"/>
          </w:tcPr>
          <w:p w14:paraId="15450F29">
            <w:pPr>
              <w:bidi w:val="0"/>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项目</w:t>
            </w:r>
          </w:p>
        </w:tc>
        <w:tc>
          <w:tcPr>
            <w:tcW w:w="3602" w:type="pct"/>
            <w:noWrap w:val="0"/>
            <w:vAlign w:val="center"/>
          </w:tcPr>
          <w:p w14:paraId="59118CFD">
            <w:pPr>
              <w:bidi w:val="0"/>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区划</w:t>
            </w:r>
          </w:p>
        </w:tc>
      </w:tr>
      <w:tr w14:paraId="5FF5F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6" w:type="pct"/>
            <w:vMerge w:val="restart"/>
            <w:noWrap w:val="0"/>
            <w:vAlign w:val="center"/>
          </w:tcPr>
          <w:p w14:paraId="5758C0D7">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生态功能分区单元</w:t>
            </w:r>
          </w:p>
        </w:tc>
        <w:tc>
          <w:tcPr>
            <w:tcW w:w="700" w:type="pct"/>
            <w:noWrap w:val="0"/>
            <w:vAlign w:val="center"/>
          </w:tcPr>
          <w:p w14:paraId="45543CDB">
            <w:pPr>
              <w:bidi w:val="0"/>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生态区</w:t>
            </w:r>
          </w:p>
        </w:tc>
        <w:tc>
          <w:tcPr>
            <w:tcW w:w="3602" w:type="pct"/>
            <w:noWrap w:val="0"/>
            <w:vAlign w:val="center"/>
          </w:tcPr>
          <w:p w14:paraId="18B97D72">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II 兵团准噶尔盆地温带干旱荒漠与绿洲生态区</w:t>
            </w:r>
          </w:p>
        </w:tc>
      </w:tr>
      <w:tr w14:paraId="223F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6" w:type="pct"/>
            <w:vMerge w:val="continue"/>
            <w:noWrap w:val="0"/>
            <w:vAlign w:val="center"/>
          </w:tcPr>
          <w:p w14:paraId="539F78DF">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p>
        </w:tc>
        <w:tc>
          <w:tcPr>
            <w:tcW w:w="700" w:type="pct"/>
            <w:noWrap w:val="0"/>
            <w:vAlign w:val="center"/>
          </w:tcPr>
          <w:p w14:paraId="338077D8">
            <w:pPr>
              <w:bidi w:val="0"/>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生态亚区</w:t>
            </w:r>
          </w:p>
        </w:tc>
        <w:tc>
          <w:tcPr>
            <w:tcW w:w="3602" w:type="pct"/>
            <w:noWrap w:val="0"/>
            <w:vAlign w:val="center"/>
          </w:tcPr>
          <w:p w14:paraId="60AE8A06">
            <w:pPr>
              <w:bidi w:val="0"/>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II3 六、七、八、十二师准噶尔盆地南部灌木、半灌木荒漠、绿</w:t>
            </w:r>
          </w:p>
          <w:p w14:paraId="406D80D1">
            <w:pPr>
              <w:bidi w:val="0"/>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洲农业生态亚区</w:t>
            </w:r>
          </w:p>
        </w:tc>
      </w:tr>
      <w:tr w14:paraId="0EA1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696" w:type="pct"/>
            <w:vMerge w:val="continue"/>
            <w:noWrap w:val="0"/>
            <w:vAlign w:val="center"/>
          </w:tcPr>
          <w:p w14:paraId="349F49FD">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p>
        </w:tc>
        <w:tc>
          <w:tcPr>
            <w:tcW w:w="700" w:type="pct"/>
            <w:noWrap w:val="0"/>
            <w:vAlign w:val="center"/>
          </w:tcPr>
          <w:p w14:paraId="074788B9">
            <w:pPr>
              <w:bidi w:val="0"/>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生态功能区</w:t>
            </w:r>
          </w:p>
        </w:tc>
        <w:tc>
          <w:tcPr>
            <w:tcW w:w="3602" w:type="pct"/>
            <w:noWrap w:val="0"/>
            <w:vAlign w:val="center"/>
          </w:tcPr>
          <w:p w14:paraId="5943E775">
            <w:pPr>
              <w:bidi w:val="0"/>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11.六、七、八师奎屯—石河子—</w:t>
            </w:r>
            <w:r>
              <w:rPr>
                <w:rFonts w:hint="eastAsia"/>
                <w:color w:val="000000" w:themeColor="text1"/>
                <w:sz w:val="21"/>
                <w:szCs w:val="21"/>
                <w:highlight w:val="none"/>
                <w:lang w:val="en-US" w:eastAsia="zh-CN"/>
                <w14:textFill>
                  <w14:solidFill>
                    <w14:schemeClr w14:val="tx1"/>
                  </w14:solidFill>
                </w14:textFill>
              </w:rPr>
              <w:t>五家渠</w:t>
            </w:r>
            <w:r>
              <w:rPr>
                <w:rFonts w:hint="eastAsia"/>
                <w:color w:val="000000" w:themeColor="text1"/>
                <w:sz w:val="21"/>
                <w:szCs w:val="21"/>
                <w:highlight w:val="none"/>
                <w14:textFill>
                  <w14:solidFill>
                    <w14:schemeClr w14:val="tx1"/>
                  </w14:solidFill>
                </w14:textFill>
              </w:rPr>
              <w:t>城镇与绿洲生态功能区</w:t>
            </w:r>
          </w:p>
        </w:tc>
      </w:tr>
      <w:tr w14:paraId="0FC9B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7" w:type="pct"/>
            <w:gridSpan w:val="2"/>
            <w:noWrap w:val="0"/>
            <w:vAlign w:val="center"/>
          </w:tcPr>
          <w:p w14:paraId="3178CF2C">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隶属师团场</w:t>
            </w:r>
          </w:p>
        </w:tc>
        <w:tc>
          <w:tcPr>
            <w:tcW w:w="3602" w:type="pct"/>
            <w:noWrap w:val="0"/>
            <w:vAlign w:val="center"/>
          </w:tcPr>
          <w:p w14:paraId="302D1CC9">
            <w:pPr>
              <w:bidi w:val="0"/>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农七师、农八师、农六师西线、中线垦区</w:t>
            </w:r>
          </w:p>
        </w:tc>
      </w:tr>
      <w:tr w14:paraId="67C8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7" w:type="pct"/>
            <w:gridSpan w:val="2"/>
            <w:noWrap w:val="0"/>
            <w:vAlign w:val="center"/>
          </w:tcPr>
          <w:p w14:paraId="3F38C844">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主要生态服务功能</w:t>
            </w:r>
          </w:p>
        </w:tc>
        <w:tc>
          <w:tcPr>
            <w:tcW w:w="3602" w:type="pct"/>
            <w:noWrap w:val="0"/>
            <w:vAlign w:val="center"/>
          </w:tcPr>
          <w:p w14:paraId="2CCE5746">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工农畜产品生产、人居环境、荒漠化控制</w:t>
            </w:r>
          </w:p>
        </w:tc>
      </w:tr>
      <w:tr w14:paraId="5D7E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7" w:type="pct"/>
            <w:gridSpan w:val="2"/>
            <w:noWrap w:val="0"/>
            <w:vAlign w:val="center"/>
          </w:tcPr>
          <w:p w14:paraId="085B26FA">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主要生态环境问题</w:t>
            </w:r>
          </w:p>
        </w:tc>
        <w:tc>
          <w:tcPr>
            <w:tcW w:w="3602" w:type="pct"/>
            <w:noWrap w:val="0"/>
            <w:vAlign w:val="center"/>
          </w:tcPr>
          <w:p w14:paraId="6F4A7C23">
            <w:pPr>
              <w:bidi w:val="0"/>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地下水超采、荒漠植被退化、河流萎缩断流、土地荒漠化与盐</w:t>
            </w:r>
          </w:p>
          <w:p w14:paraId="3E26ABFE">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渍化、工业污染严重、绿洲外围受到沙漠化威胁</w:t>
            </w:r>
          </w:p>
        </w:tc>
      </w:tr>
      <w:tr w14:paraId="057B5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7" w:type="pct"/>
            <w:gridSpan w:val="2"/>
            <w:noWrap w:val="0"/>
            <w:vAlign w:val="center"/>
          </w:tcPr>
          <w:p w14:paraId="2BAD635D">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主要保护目标</w:t>
            </w:r>
          </w:p>
        </w:tc>
        <w:tc>
          <w:tcPr>
            <w:tcW w:w="3602" w:type="pct"/>
            <w:noWrap w:val="0"/>
            <w:vAlign w:val="center"/>
          </w:tcPr>
          <w:p w14:paraId="7C41B6FB">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保护绿洲农田生态系统及农田土壤环境质量、保护城市环境质量、保护荒漠植被</w:t>
            </w:r>
          </w:p>
        </w:tc>
      </w:tr>
      <w:tr w14:paraId="632C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7" w:type="pct"/>
            <w:gridSpan w:val="2"/>
            <w:noWrap w:val="0"/>
            <w:vAlign w:val="center"/>
          </w:tcPr>
          <w:p w14:paraId="13DA08D1">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主要保护措施</w:t>
            </w:r>
          </w:p>
        </w:tc>
        <w:tc>
          <w:tcPr>
            <w:tcW w:w="3602" w:type="pct"/>
            <w:noWrap w:val="0"/>
            <w:vAlign w:val="center"/>
          </w:tcPr>
          <w:p w14:paraId="4CE806FC">
            <w:pPr>
              <w:bidi w:val="0"/>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节水灌溉、合理控制地下水开采，各类污染物达标排放、提高</w:t>
            </w:r>
          </w:p>
          <w:p w14:paraId="73EC64E2">
            <w:pPr>
              <w:bidi w:val="0"/>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城市环境质量，保护绿洲外围荒漠植被、完善防护林体系、加</w:t>
            </w:r>
          </w:p>
          <w:p w14:paraId="54E46A5B">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强农田投入品的使用管理</w:t>
            </w:r>
          </w:p>
        </w:tc>
      </w:tr>
      <w:tr w14:paraId="021B1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1397" w:type="pct"/>
            <w:gridSpan w:val="2"/>
            <w:noWrap w:val="0"/>
            <w:vAlign w:val="center"/>
          </w:tcPr>
          <w:p w14:paraId="24FF53EF">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主要发展方向</w:t>
            </w:r>
          </w:p>
        </w:tc>
        <w:tc>
          <w:tcPr>
            <w:tcW w:w="3602" w:type="pct"/>
            <w:noWrap w:val="0"/>
            <w:vAlign w:val="center"/>
          </w:tcPr>
          <w:p w14:paraId="3248B5DF">
            <w:pPr>
              <w:bidi w:val="0"/>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发展以棉花为主导的优质、高效、特色农业</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加快高标准城镇（市）</w:t>
            </w:r>
          </w:p>
          <w:p w14:paraId="78A42A3E">
            <w:pPr>
              <w:bidi w:val="0"/>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化建设；发展和做强棉纺业、塑化节水器材产业、化工业等重</w:t>
            </w:r>
          </w:p>
          <w:p w14:paraId="25C158D3">
            <w:pPr>
              <w:bidi w:val="0"/>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要工业的建设</w:t>
            </w:r>
          </w:p>
        </w:tc>
      </w:tr>
    </w:tbl>
    <w:p w14:paraId="218D8602">
      <w:pPr>
        <w:bidi w:val="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4.2.5.1植被现状调查</w:t>
      </w:r>
    </w:p>
    <w:p w14:paraId="6A6B662A">
      <w:pPr>
        <w:ind w:firstLine="480"/>
        <w:jc w:val="both"/>
        <w:rPr>
          <w:rFonts w:hint="default"/>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14:textFill>
            <w14:solidFill>
              <w14:schemeClr w14:val="tx1"/>
            </w14:solidFill>
          </w14:textFill>
        </w:rPr>
        <w:t>根据收集资料和现场踏勘，</w:t>
      </w:r>
      <w:r>
        <w:rPr>
          <w:rFonts w:hint="eastAsia" w:ascii="Times New Roman" w:hAnsi="Times New Roman" w:cs="Times New Roman"/>
          <w:color w:val="000000" w:themeColor="text1"/>
          <w:highlight w:val="none"/>
          <w:lang w:val="en-US" w:eastAsia="zh-CN"/>
          <w14:textFill>
            <w14:solidFill>
              <w14:schemeClr w14:val="tx1"/>
            </w14:solidFill>
          </w14:textFill>
        </w:rPr>
        <w:t>项目区为</w:t>
      </w:r>
      <w:r>
        <w:rPr>
          <w:rFonts w:hint="eastAsia" w:cs="Times New Roman"/>
          <w:color w:val="000000" w:themeColor="text1"/>
          <w:highlight w:val="none"/>
          <w:lang w:val="en-US" w:eastAsia="zh-CN"/>
          <w14:textFill>
            <w14:solidFill>
              <w14:schemeClr w14:val="tx1"/>
            </w14:solidFill>
          </w14:textFill>
        </w:rPr>
        <w:t>125团16连</w:t>
      </w:r>
      <w:r>
        <w:rPr>
          <w:rFonts w:hint="eastAsia" w:ascii="Times New Roman" w:hAnsi="Times New Roman" w:cs="Times New Roman"/>
          <w:color w:val="000000" w:themeColor="text1"/>
          <w:highlight w:val="none"/>
          <w:lang w:val="en-US" w:eastAsia="zh-CN"/>
          <w14:textFill>
            <w14:solidFill>
              <w14:schemeClr w14:val="tx1"/>
            </w14:solidFill>
          </w14:textFill>
        </w:rPr>
        <w:t>的农用设施用地，项目区经建设方场内多年运营，自然植被已少见。项目区周四呈现的植被主要是农田作物，项目</w:t>
      </w:r>
      <w:r>
        <w:rPr>
          <w:rFonts w:hint="default" w:ascii="Times New Roman" w:hAnsi="Times New Roman" w:cs="Times New Roman"/>
          <w:color w:val="000000" w:themeColor="text1"/>
          <w:highlight w:val="none"/>
          <w:lang w:val="en-US"/>
          <w14:textFill>
            <w14:solidFill>
              <w14:schemeClr w14:val="tx1"/>
            </w14:solidFill>
          </w14:textFill>
        </w:rPr>
        <w:t>评价区域内的农作物种类主要有冬(春)小麦、玉米、早熟棉花、哈密瓜田</w:t>
      </w:r>
      <w:r>
        <w:rPr>
          <w:rFonts w:hint="eastAsia" w:ascii="Times New Roman" w:hAnsi="Times New Roman"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highlight w:val="none"/>
          <w:lang w:val="en-US"/>
          <w14:textFill>
            <w14:solidFill>
              <w14:schemeClr w14:val="tx1"/>
            </w14:solidFill>
          </w14:textFill>
        </w:rPr>
        <w:t>苹果、葡萄园</w:t>
      </w:r>
      <w:r>
        <w:rPr>
          <w:rFonts w:hint="eastAsia" w:ascii="Times New Roman" w:hAnsi="Times New Roman" w:cs="Times New Roman"/>
          <w:color w:val="000000" w:themeColor="text1"/>
          <w:highlight w:val="none"/>
          <w:lang w:val="en-US" w:eastAsia="zh-CN"/>
          <w14:textFill>
            <w14:solidFill>
              <w14:schemeClr w14:val="tx1"/>
            </w14:solidFill>
          </w14:textFill>
        </w:rPr>
        <w:t>等</w:t>
      </w:r>
      <w:r>
        <w:rPr>
          <w:rFonts w:hint="default" w:ascii="Times New Roman" w:hAnsi="Times New Roman" w:cs="Times New Roman"/>
          <w:color w:val="000000" w:themeColor="text1"/>
          <w:highlight w:val="none"/>
          <w:lang w:val="en-US"/>
          <w14:textFill>
            <w14:solidFill>
              <w14:schemeClr w14:val="tx1"/>
            </w14:solidFill>
          </w14:textFill>
        </w:rPr>
        <w:t>。</w:t>
      </w:r>
    </w:p>
    <w:p w14:paraId="2E981606">
      <w:pPr>
        <w:bidi w:val="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4.2.5.2野生动物现状调查</w:t>
      </w:r>
    </w:p>
    <w:p w14:paraId="2638172E">
      <w:pPr>
        <w:bidi w:val="0"/>
        <w:ind w:firstLine="480" w:firstLineChars="200"/>
        <w:rPr>
          <w:rFonts w:hint="default"/>
          <w:color w:val="000000" w:themeColor="text1"/>
          <w:highlight w:val="none"/>
          <w14:textFill>
            <w14:solidFill>
              <w14:schemeClr w14:val="tx1"/>
            </w14:solidFill>
          </w14:textFill>
        </w:rPr>
      </w:pPr>
      <w:r>
        <w:rPr>
          <w:rFonts w:hint="eastAsia" w:ascii="Times New Roman" w:hAnsi="Times New Roman" w:cs="Times New Roman"/>
          <w:color w:val="000000" w:themeColor="text1"/>
          <w:highlight w:val="none"/>
          <w:lang w:val="en-US" w:eastAsia="zh-CN"/>
          <w14:textFill>
            <w14:solidFill>
              <w14:schemeClr w14:val="tx1"/>
            </w14:solidFill>
          </w14:textFill>
        </w:rPr>
        <w:t>项目区附近由于长期人为活动干扰，已没有大型的动物出没，野生动物有鸟类和啮齿类动物，动物组成简单，数量不多。项目区附近无国家和自治区保护的动物。</w:t>
      </w:r>
    </w:p>
    <w:p w14:paraId="3CBF556C">
      <w:pPr>
        <w:bidi w:val="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4.2.5.3土地利用类型现状调查</w:t>
      </w:r>
    </w:p>
    <w:p w14:paraId="576D4A4D">
      <w:pPr>
        <w:bidi w:val="0"/>
        <w:ind w:firstLine="480" w:firstLineChars="20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本项目位于125团16连，土地性质为</w:t>
      </w:r>
      <w:r>
        <w:rPr>
          <w:rFonts w:hint="eastAsia" w:ascii="Times New Roman" w:hAnsi="Times New Roman" w:eastAsia="宋体" w:cs="宋体"/>
          <w:color w:val="000000" w:themeColor="text1"/>
          <w:highlight w:val="none"/>
          <w14:textFill>
            <w14:solidFill>
              <w14:schemeClr w14:val="tx1"/>
            </w14:solidFill>
          </w14:textFill>
        </w:rPr>
        <w:t>农用地</w:t>
      </w:r>
      <w:r>
        <w:rPr>
          <w:rFonts w:hint="eastAsia" w:ascii="Times New Roman" w:hAnsi="Times New Roman" w:eastAsia="宋体" w:cs="宋体"/>
          <w:color w:val="000000" w:themeColor="text1"/>
          <w:highlight w:val="none"/>
          <w:lang w:val="en-US" w:eastAsia="zh-CN"/>
          <w14:textFill>
            <w14:solidFill>
              <w14:schemeClr w14:val="tx1"/>
            </w14:solidFill>
          </w14:textFill>
        </w:rPr>
        <w:t>及未利用地</w:t>
      </w:r>
      <w:r>
        <w:rPr>
          <w:rFonts w:hint="eastAsia"/>
          <w:color w:val="000000" w:themeColor="text1"/>
          <w:highlight w:val="none"/>
          <w:lang w:val="en-US" w:eastAsia="zh-CN"/>
          <w14:textFill>
            <w14:solidFill>
              <w14:schemeClr w14:val="tx1"/>
            </w14:solidFill>
          </w14:textFill>
        </w:rPr>
        <w:t>，现状为裸土地。</w:t>
      </w:r>
    </w:p>
    <w:p w14:paraId="602A630E">
      <w:pPr>
        <w:pStyle w:val="4"/>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小结</w:t>
      </w:r>
      <w:bookmarkEnd w:id="204"/>
    </w:p>
    <w:p w14:paraId="1023E3F7">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环境空气</w:t>
      </w:r>
    </w:p>
    <w:p w14:paraId="32C5762C">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项目所在区域空气质量达标区判定结果为：</w:t>
      </w:r>
      <w:r>
        <w:rPr>
          <w:rFonts w:hint="eastAsia"/>
          <w:color w:val="000000" w:themeColor="text1"/>
          <w:highlight w:val="none"/>
          <w:lang w:val="en-US" w:eastAsia="zh-CN"/>
          <w14:textFill>
            <w14:solidFill>
              <w14:schemeClr w14:val="tx1"/>
            </w14:solidFill>
          </w14:textFill>
        </w:rPr>
        <w:t>克拉玛依市</w:t>
      </w:r>
      <w:r>
        <w:rPr>
          <w:rFonts w:hint="eastAsia"/>
          <w:color w:val="000000" w:themeColor="text1"/>
          <w:highlight w:val="none"/>
          <w14:textFill>
            <w14:solidFill>
              <w14:schemeClr w14:val="tx1"/>
            </w14:solidFill>
          </w14:textFill>
        </w:rPr>
        <w:t>202</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年SO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、NO</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、PM10、PM2.5年均浓度分别</w:t>
      </w:r>
      <w:r>
        <w:rPr>
          <w:color w:val="000000" w:themeColor="text1"/>
          <w:highlight w:val="none"/>
          <w14:textFill>
            <w14:solidFill>
              <w14:schemeClr w14:val="tx1"/>
            </w14:solidFill>
          </w14:textFill>
        </w:rPr>
        <w:t>为</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28</w:t>
      </w:r>
      <w:r>
        <w:rPr>
          <w:color w:val="000000" w:themeColor="text1"/>
          <w:highlight w:val="none"/>
          <w14:textFill>
            <w14:solidFill>
              <w14:schemeClr w14:val="tx1"/>
            </w14:solidFill>
          </w14:textFill>
        </w:rPr>
        <w:t>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43</w:t>
      </w:r>
      <w:r>
        <w:rPr>
          <w:color w:val="000000" w:themeColor="text1"/>
          <w:highlight w:val="none"/>
          <w14:textFill>
            <w14:solidFill>
              <w14:schemeClr w14:val="tx1"/>
            </w14:solidFill>
          </w14:textFill>
        </w:rPr>
        <w:t>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22</w:t>
      </w:r>
      <w:r>
        <w:rPr>
          <w:color w:val="000000" w:themeColor="text1"/>
          <w:highlight w:val="none"/>
          <w14:textFill>
            <w14:solidFill>
              <w14:schemeClr w14:val="tx1"/>
            </w14:solidFill>
          </w14:textFill>
        </w:rPr>
        <w:t>μg/m3；CO24小时平均第95百分位数为</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，O</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日最大8小时平均第90百分位数为</w:t>
      </w:r>
      <w:r>
        <w:rPr>
          <w:rFonts w:hint="eastAsia"/>
          <w:color w:val="000000" w:themeColor="text1"/>
          <w:highlight w:val="none"/>
          <w:lang w:val="en-US" w:eastAsia="zh-CN"/>
          <w14:textFill>
            <w14:solidFill>
              <w14:schemeClr w14:val="tx1"/>
            </w14:solidFill>
          </w14:textFill>
        </w:rPr>
        <w:t>123</w:t>
      </w:r>
      <w:r>
        <w:rPr>
          <w:color w:val="000000" w:themeColor="text1"/>
          <w:highlight w:val="none"/>
          <w14:textFill>
            <w14:solidFill>
              <w14:schemeClr w14:val="tx1"/>
            </w14:solidFill>
          </w14:textFill>
        </w:rPr>
        <w:t>μg/m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；各项污染物平均浓度均未超过《环境空气质量标准》（GB3095-2012）中二级标准限值。因此，本项目所在区域属于环境空气达标区。</w:t>
      </w:r>
    </w:p>
    <w:p w14:paraId="365E48C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根据监测结果，各监测点NH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S均满足《环境影响评价技术导则大气环境》（HJ2.2-2018）附录D标准</w:t>
      </w:r>
      <w:r>
        <w:rPr>
          <w:rFonts w:hint="eastAsia"/>
          <w:color w:val="000000" w:themeColor="text1"/>
          <w:highlight w:val="none"/>
          <w:lang w:eastAsia="zh-CN"/>
          <w14:textFill>
            <w14:solidFill>
              <w14:schemeClr w14:val="tx1"/>
            </w14:solidFill>
          </w14:textFill>
        </w:rPr>
        <w:t>，</w:t>
      </w:r>
      <w:r>
        <w:rPr>
          <w:rFonts w:hint="eastAsia" w:ascii="宋体" w:hAnsi="宋体"/>
          <w:color w:val="000000" w:themeColor="text1"/>
          <w:highlight w:val="none"/>
          <w:lang w:val="en-US" w:eastAsia="zh-CN" w:bidi="ar"/>
          <w14:textFill>
            <w14:solidFill>
              <w14:schemeClr w14:val="tx1"/>
            </w14:solidFill>
          </w14:textFill>
        </w:rPr>
        <w:t>臭气浓度满足</w:t>
      </w:r>
      <w:r>
        <w:rPr>
          <w:rFonts w:hint="default" w:ascii="宋体" w:hAnsi="宋体"/>
          <w:color w:val="000000" w:themeColor="text1"/>
          <w:highlight w:val="none"/>
          <w:lang w:val="en-US" w:eastAsia="zh-CN" w:bidi="ar"/>
          <w14:textFill>
            <w14:solidFill>
              <w14:schemeClr w14:val="tx1"/>
            </w14:solidFill>
          </w14:textFill>
        </w:rPr>
        <w:t>畜禽养殖产地环境评价规范</w:t>
      </w:r>
      <w:r>
        <w:rPr>
          <w:rFonts w:hint="eastAsia" w:ascii="宋体" w:hAnsi="宋体"/>
          <w:color w:val="000000" w:themeColor="text1"/>
          <w:highlight w:val="none"/>
          <w:lang w:val="en-US" w:eastAsia="zh-CN" w:bidi="ar"/>
          <w14:textFill>
            <w14:solidFill>
              <w14:schemeClr w14:val="tx1"/>
            </w14:solidFill>
          </w14:textFill>
        </w:rPr>
        <w:t>（</w:t>
      </w:r>
      <w:r>
        <w:rPr>
          <w:rFonts w:hint="default" w:ascii="宋体" w:hAnsi="宋体"/>
          <w:color w:val="000000" w:themeColor="text1"/>
          <w:highlight w:val="none"/>
          <w:lang w:val="en-US" w:eastAsia="zh-CN" w:bidi="ar"/>
          <w14:textFill>
            <w14:solidFill>
              <w14:schemeClr w14:val="tx1"/>
            </w14:solidFill>
          </w14:textFill>
        </w:rPr>
        <w:t>HJ568-2010</w:t>
      </w:r>
      <w:r>
        <w:rPr>
          <w:rFonts w:hint="eastAsia" w:ascii="宋体" w:hAnsi="宋体"/>
          <w:color w:val="000000" w:themeColor="text1"/>
          <w:highlight w:val="none"/>
          <w:lang w:val="en-US" w:eastAsia="zh-CN" w:bidi="ar"/>
          <w14:textFill>
            <w14:solidFill>
              <w14:schemeClr w14:val="tx1"/>
            </w14:solidFill>
          </w14:textFill>
        </w:rPr>
        <w:t>）</w:t>
      </w:r>
      <w:r>
        <w:rPr>
          <w:rFonts w:hint="default" w:ascii="宋体" w:hAnsi="宋体"/>
          <w:color w:val="000000" w:themeColor="text1"/>
          <w:highlight w:val="none"/>
          <w:lang w:val="en-US" w:eastAsia="zh-CN" w:bidi="ar"/>
          <w14:textFill>
            <w14:solidFill>
              <w14:schemeClr w14:val="tx1"/>
            </w14:solidFill>
          </w14:textFill>
        </w:rPr>
        <w:t>表</w:t>
      </w:r>
      <w:r>
        <w:rPr>
          <w:rFonts w:hint="default" w:ascii="Times New Roman" w:hAnsi="Times New Roman" w:cs="Times New Roman"/>
          <w:color w:val="000000" w:themeColor="text1"/>
          <w:highlight w:val="none"/>
          <w:lang w:val="en-US" w:eastAsia="zh-CN" w:bidi="ar"/>
          <w14:textFill>
            <w14:solidFill>
              <w14:schemeClr w14:val="tx1"/>
            </w14:solidFill>
          </w14:textFill>
        </w:rPr>
        <w:t>5畜禽</w:t>
      </w:r>
      <w:r>
        <w:rPr>
          <w:rFonts w:hint="default" w:ascii="宋体" w:hAnsi="宋体"/>
          <w:color w:val="000000" w:themeColor="text1"/>
          <w:highlight w:val="none"/>
          <w:lang w:val="en-US" w:eastAsia="zh-CN" w:bidi="ar"/>
          <w14:textFill>
            <w14:solidFill>
              <w14:schemeClr w14:val="tx1"/>
            </w14:solidFill>
          </w14:textFill>
        </w:rPr>
        <w:t>养殖场和养殖小区环境空气质量评价指标限值</w:t>
      </w: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p>
    <w:p w14:paraId="6D25F6F8">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地表水</w:t>
      </w:r>
    </w:p>
    <w:p w14:paraId="0BA35F94">
      <w:pPr>
        <w:ind w:firstLine="480" w:firstLineChars="20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废水经黑膜池处理后，作为种植区灌溉用水，不外排。</w:t>
      </w:r>
    </w:p>
    <w:p w14:paraId="0EF77B6E">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地下水</w:t>
      </w:r>
    </w:p>
    <w:p w14:paraId="21DCF28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根据监测结果，该评价区地下水水质</w:t>
      </w:r>
      <w:r>
        <w:rPr>
          <w:rFonts w:hint="eastAsia"/>
          <w:color w:val="000000" w:themeColor="text1"/>
          <w:highlight w:val="none"/>
          <w:lang w:val="en-US" w:eastAsia="zh-CN"/>
          <w14:textFill>
            <w14:solidFill>
              <w14:schemeClr w14:val="tx1"/>
            </w14:solidFill>
          </w14:textFill>
        </w:rPr>
        <w:t>除砷离子都</w:t>
      </w:r>
      <w:r>
        <w:rPr>
          <w:color w:val="000000" w:themeColor="text1"/>
          <w:highlight w:val="none"/>
          <w14:textFill>
            <w14:solidFill>
              <w14:schemeClr w14:val="tx1"/>
            </w14:solidFill>
          </w14:textFill>
        </w:rPr>
        <w:t>达到</w:t>
      </w:r>
      <w:r>
        <w:rPr>
          <w:rFonts w:hint="eastAsia"/>
          <w:color w:val="000000" w:themeColor="text1"/>
          <w:highlight w:val="none"/>
          <w:lang w:eastAsia="zh-CN"/>
          <w14:textFill>
            <w14:solidFill>
              <w14:schemeClr w14:val="tx1"/>
            </w14:solidFill>
          </w14:textFill>
        </w:rPr>
        <w:t>了</w:t>
      </w:r>
      <w:r>
        <w:rPr>
          <w:color w:val="000000" w:themeColor="text1"/>
          <w:highlight w:val="none"/>
          <w14:textFill>
            <w14:solidFill>
              <w14:schemeClr w14:val="tx1"/>
            </w14:solidFill>
          </w14:textFill>
        </w:rPr>
        <w:t>《地下水质量标准》（GB/T14848-2017）中Ⅲ类标准的要求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砷离子超过</w:t>
      </w:r>
      <w:r>
        <w:rPr>
          <w:color w:val="000000" w:themeColor="text1"/>
          <w:highlight w:val="none"/>
          <w14:textFill>
            <w14:solidFill>
              <w14:schemeClr w14:val="tx1"/>
            </w14:solidFill>
          </w14:textFill>
        </w:rPr>
        <w:t>《地下水质量标准》（GB/T14848-2017）中Ⅲ类标准的要求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μg/L</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但未超过</w:t>
      </w:r>
      <w:r>
        <w:rPr>
          <w:color w:val="000000" w:themeColor="text1"/>
          <w:highlight w:val="none"/>
          <w14:textFill>
            <w14:solidFill>
              <w14:schemeClr w14:val="tx1"/>
            </w14:solidFill>
          </w14:textFill>
        </w:rPr>
        <w:t>《地下水质量标准》（GB/T14848-2017）中</w:t>
      </w:r>
      <w:r>
        <w:rPr>
          <w:rFonts w:hint="eastAsia"/>
          <w:color w:val="000000" w:themeColor="text1"/>
          <w:highlight w:val="none"/>
          <w:lang w:eastAsia="zh-CN"/>
          <w14:textFill>
            <w14:solidFill>
              <w14:schemeClr w14:val="tx1"/>
            </w14:solidFill>
          </w14:textFill>
        </w:rPr>
        <w:t>Ⅳ类</w:t>
      </w:r>
      <w:r>
        <w:rPr>
          <w:color w:val="000000" w:themeColor="text1"/>
          <w:highlight w:val="none"/>
          <w14:textFill>
            <w14:solidFill>
              <w14:schemeClr w14:val="tx1"/>
            </w14:solidFill>
          </w14:textFill>
        </w:rPr>
        <w:t>标准的要求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μg/L</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奎屯河流域</w:t>
      </w:r>
      <w:r>
        <w:rPr>
          <w:rFonts w:hint="eastAsia"/>
          <w:color w:val="000000" w:themeColor="text1"/>
          <w:highlight w:val="none"/>
          <w14:textFill>
            <w14:solidFill>
              <w14:schemeClr w14:val="tx1"/>
            </w14:solidFill>
          </w14:textFill>
        </w:rPr>
        <w:t>周边山区分布的菱铁矿、砷酸钙、砷酸锰等矿物</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为地下水砷含量超标提供了物质来源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强烈的蒸发浓缩作用与岩石风化作用使得地下水中的砷浓度进一步升高</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高pH值、低Eh的地下水化学环境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造成砷酸盐从矿物表面解吸附聚集在地下水中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沉积物中Fe、Mn氧化物矿物和黏土矿物的还原过程使与之共存的砷被释放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也是</w:t>
      </w:r>
      <w:r>
        <w:rPr>
          <w:rFonts w:hint="eastAsia"/>
          <w:color w:val="000000" w:themeColor="text1"/>
          <w:highlight w:val="none"/>
          <w:lang w:val="en-US" w:eastAsia="zh-CN"/>
          <w14:textFill>
            <w14:solidFill>
              <w14:schemeClr w14:val="tx1"/>
            </w14:solidFill>
          </w14:textFill>
        </w:rPr>
        <w:t>本</w:t>
      </w:r>
      <w:r>
        <w:rPr>
          <w:rFonts w:hint="eastAsia"/>
          <w:color w:val="000000" w:themeColor="text1"/>
          <w:highlight w:val="none"/>
          <w14:textFill>
            <w14:solidFill>
              <w14:schemeClr w14:val="tx1"/>
            </w14:solidFill>
          </w14:textFill>
        </w:rPr>
        <w:t>区地下水中</w:t>
      </w:r>
      <w:r>
        <w:rPr>
          <w:rFonts w:hint="eastAsia"/>
          <w:color w:val="000000" w:themeColor="text1"/>
          <w:highlight w:val="none"/>
          <w:lang w:val="en-US" w:eastAsia="zh-CN"/>
          <w14:textFill>
            <w14:solidFill>
              <w14:schemeClr w14:val="tx1"/>
            </w14:solidFill>
          </w14:textFill>
        </w:rPr>
        <w:t>砷离子</w:t>
      </w:r>
      <w:r>
        <w:rPr>
          <w:rFonts w:hint="eastAsia"/>
          <w:color w:val="000000" w:themeColor="text1"/>
          <w:highlight w:val="none"/>
          <w14:textFill>
            <w14:solidFill>
              <w14:schemeClr w14:val="tx1"/>
            </w14:solidFill>
          </w14:textFill>
        </w:rPr>
        <w:t>超标的原因</w:t>
      </w:r>
      <w:r>
        <w:rPr>
          <w:color w:val="000000" w:themeColor="text1"/>
          <w:highlight w:val="none"/>
          <w14:textFill>
            <w14:solidFill>
              <w14:schemeClr w14:val="tx1"/>
            </w14:solidFill>
          </w14:textFill>
        </w:rPr>
        <w:t>。</w:t>
      </w:r>
    </w:p>
    <w:p w14:paraId="39520F2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声环境</w:t>
      </w:r>
    </w:p>
    <w:p w14:paraId="13BBC3D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根据监测结果，</w:t>
      </w: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各厂界昼、夜间监测噪声值均能满足《声环境质量标准》（GB3096－2008）2类标准的要求。</w:t>
      </w:r>
    </w:p>
    <w:p w14:paraId="00ADED2C">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土壤</w:t>
      </w:r>
    </w:p>
    <w:p w14:paraId="4BEB945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根据监测结果，各监测点监测因子</w:t>
      </w:r>
      <w:r>
        <w:rPr>
          <w:rFonts w:hint="eastAsia"/>
          <w:color w:val="000000" w:themeColor="text1"/>
          <w:highlight w:val="none"/>
          <w14:textFill>
            <w14:solidFill>
              <w14:schemeClr w14:val="tx1"/>
            </w14:solidFill>
          </w14:textFill>
        </w:rPr>
        <w:t>均能</w:t>
      </w:r>
      <w:r>
        <w:rPr>
          <w:color w:val="000000" w:themeColor="text1"/>
          <w:highlight w:val="none"/>
          <w14:textFill>
            <w14:solidFill>
              <w14:schemeClr w14:val="tx1"/>
            </w14:solidFill>
          </w14:textFill>
        </w:rPr>
        <w:t>满足《畜禽养殖产地环境评价规范》（HJ568-2010）中的表4放牧区和畜禽养殖场、养殖小区土壤环境质量评价标准要求。</w:t>
      </w:r>
    </w:p>
    <w:p w14:paraId="1E753C25">
      <w:pP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lang w:eastAsia="zh-CN"/>
          <w14:textFill>
            <w14:solidFill>
              <w14:schemeClr w14:val="tx1"/>
            </w14:solidFill>
          </w14:textFill>
        </w:rPr>
        <w:t>）</w:t>
      </w:r>
      <w:r>
        <w:rPr>
          <w:rFonts w:hint="default"/>
          <w:color w:val="000000" w:themeColor="text1"/>
          <w:highlight w:val="none"/>
          <w14:textFill>
            <w14:solidFill>
              <w14:schemeClr w14:val="tx1"/>
            </w14:solidFill>
          </w14:textFill>
        </w:rPr>
        <w:t>生态环境</w:t>
      </w:r>
    </w:p>
    <w:p w14:paraId="38692C52">
      <w:pPr>
        <w:ind w:firstLine="480"/>
        <w:jc w:val="both"/>
        <w:rPr>
          <w:rFonts w:hint="eastAsia"/>
          <w:color w:val="000000" w:themeColor="text1"/>
          <w:highlight w:val="none"/>
          <w:lang w:eastAsia="zh-CN"/>
          <w14:textFill>
            <w14:solidFill>
              <w14:schemeClr w14:val="tx1"/>
            </w14:solidFill>
          </w14:textFill>
        </w:rPr>
      </w:pPr>
      <w:r>
        <w:rPr>
          <w:rFonts w:hint="eastAsia" w:ascii="Times New Roman" w:hAnsi="Times New Roman" w:cs="Times New Roman"/>
          <w:color w:val="000000" w:themeColor="text1"/>
          <w:highlight w:val="none"/>
          <w:lang w:val="en-US"/>
          <w14:textFill>
            <w14:solidFill>
              <w14:schemeClr w14:val="tx1"/>
            </w14:solidFill>
          </w14:textFill>
        </w:rPr>
        <w:t>根据收集资料和现场踏勘，</w:t>
      </w:r>
      <w:r>
        <w:rPr>
          <w:rFonts w:hint="eastAsia" w:ascii="Times New Roman" w:hAnsi="Times New Roman" w:cs="Times New Roman"/>
          <w:color w:val="000000" w:themeColor="text1"/>
          <w:highlight w:val="none"/>
          <w:lang w:val="en-US" w:eastAsia="zh-CN"/>
          <w14:textFill>
            <w14:solidFill>
              <w14:schemeClr w14:val="tx1"/>
            </w14:solidFill>
          </w14:textFill>
        </w:rPr>
        <w:t>项目区为</w:t>
      </w:r>
      <w:r>
        <w:rPr>
          <w:rFonts w:hint="eastAsia" w:cs="Times New Roman"/>
          <w:color w:val="000000" w:themeColor="text1"/>
          <w:highlight w:val="none"/>
          <w:lang w:val="en-US" w:eastAsia="zh-CN"/>
          <w14:textFill>
            <w14:solidFill>
              <w14:schemeClr w14:val="tx1"/>
            </w14:solidFill>
          </w14:textFill>
        </w:rPr>
        <w:t>125</w:t>
      </w:r>
      <w:r>
        <w:rPr>
          <w:rFonts w:hint="eastAsia" w:ascii="Times New Roman" w:hAnsi="Times New Roman" w:cs="Times New Roman"/>
          <w:color w:val="000000" w:themeColor="text1"/>
          <w:highlight w:val="none"/>
          <w:lang w:val="en-US" w:eastAsia="zh-CN"/>
          <w14:textFill>
            <w14:solidFill>
              <w14:schemeClr w14:val="tx1"/>
            </w14:solidFill>
          </w14:textFill>
        </w:rPr>
        <w:t>团</w:t>
      </w:r>
      <w:r>
        <w:rPr>
          <w:rFonts w:hint="eastAsia" w:cs="Times New Roman"/>
          <w:color w:val="000000" w:themeColor="text1"/>
          <w:highlight w:val="none"/>
          <w:lang w:val="en-US" w:eastAsia="zh-CN"/>
          <w14:textFill>
            <w14:solidFill>
              <w14:schemeClr w14:val="tx1"/>
            </w14:solidFill>
          </w14:textFill>
        </w:rPr>
        <w:t>16</w:t>
      </w:r>
      <w:r>
        <w:rPr>
          <w:rFonts w:hint="eastAsia" w:ascii="Times New Roman" w:hAnsi="Times New Roman" w:cs="Times New Roman"/>
          <w:color w:val="000000" w:themeColor="text1"/>
          <w:highlight w:val="none"/>
          <w:lang w:val="en-US" w:eastAsia="zh-CN"/>
          <w14:textFill>
            <w14:solidFill>
              <w14:schemeClr w14:val="tx1"/>
            </w14:solidFill>
          </w14:textFill>
        </w:rPr>
        <w:t>连的农用设施用地，项目区经建设方场内多年运营，自然植被已少见。项目区周四呈现的植被主要是农田作物，项目</w:t>
      </w:r>
      <w:r>
        <w:rPr>
          <w:rFonts w:hint="default" w:ascii="Times New Roman" w:hAnsi="Times New Roman" w:cs="Times New Roman"/>
          <w:color w:val="000000" w:themeColor="text1"/>
          <w:highlight w:val="none"/>
          <w:lang w:val="en-US"/>
          <w14:textFill>
            <w14:solidFill>
              <w14:schemeClr w14:val="tx1"/>
            </w14:solidFill>
          </w14:textFill>
        </w:rPr>
        <w:t>评价区域内的农作物种类主要有冬(春)小麦、玉米、早熟棉花、哈密瓜田</w:t>
      </w:r>
      <w:r>
        <w:rPr>
          <w:rFonts w:hint="eastAsia" w:ascii="Times New Roman" w:hAnsi="Times New Roman"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highlight w:val="none"/>
          <w:lang w:val="en-US"/>
          <w14:textFill>
            <w14:solidFill>
              <w14:schemeClr w14:val="tx1"/>
            </w14:solidFill>
          </w14:textFill>
        </w:rPr>
        <w:t>苹果、葡萄园</w:t>
      </w:r>
      <w:r>
        <w:rPr>
          <w:rFonts w:hint="eastAsia" w:ascii="Times New Roman" w:hAnsi="Times New Roman" w:cs="Times New Roman"/>
          <w:color w:val="000000" w:themeColor="text1"/>
          <w:highlight w:val="none"/>
          <w:lang w:val="en-US" w:eastAsia="zh-CN"/>
          <w14:textFill>
            <w14:solidFill>
              <w14:schemeClr w14:val="tx1"/>
            </w14:solidFill>
          </w14:textFill>
        </w:rPr>
        <w:t>等</w:t>
      </w:r>
      <w:r>
        <w:rPr>
          <w:rFonts w:hint="default" w:ascii="Times New Roman" w:hAnsi="Times New Roman" w:cs="Times New Roman"/>
          <w:color w:val="000000" w:themeColor="text1"/>
          <w:highlight w:val="none"/>
          <w:lang w:val="en-US"/>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项目区附近由于长期人为活动干扰，已没有大型的动物出没，野生动物有鸟类和啮齿类动物，动物组成简单，数量不多。项目区附近无国家和自治区保护的动物。</w:t>
      </w:r>
    </w:p>
    <w:p w14:paraId="7FE693A9">
      <w:pPr>
        <w:pStyle w:val="14"/>
        <w:ind w:firstLine="480" w:firstLineChars="200"/>
        <w:rPr>
          <w:color w:val="000000" w:themeColor="text1"/>
          <w:highlight w:val="none"/>
          <w14:textFill>
            <w14:solidFill>
              <w14:schemeClr w14:val="tx1"/>
            </w14:solidFill>
          </w14:textFill>
        </w:rPr>
      </w:pPr>
    </w:p>
    <w:p w14:paraId="6E06D955">
      <w:pPr>
        <w:rPr>
          <w:color w:val="000000" w:themeColor="text1"/>
          <w:highlight w:val="none"/>
          <w14:textFill>
            <w14:solidFill>
              <w14:schemeClr w14:val="tx1"/>
            </w14:solidFill>
          </w14:textFill>
        </w:rPr>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0990398">
      <w:pPr>
        <w:pStyle w:val="2"/>
        <w:rPr>
          <w:color w:val="000000" w:themeColor="text1"/>
          <w:highlight w:val="none"/>
          <w14:textFill>
            <w14:solidFill>
              <w14:schemeClr w14:val="tx1"/>
            </w14:solidFill>
          </w14:textFill>
        </w:rPr>
      </w:pPr>
      <w:bookmarkStart w:id="205" w:name="_Toc25711"/>
      <w:bookmarkStart w:id="206" w:name="_Toc25138"/>
      <w:r>
        <w:rPr>
          <w:rFonts w:hint="eastAsia"/>
          <w:color w:val="000000" w:themeColor="text1"/>
          <w:highlight w:val="none"/>
          <w14:textFill>
            <w14:solidFill>
              <w14:schemeClr w14:val="tx1"/>
            </w14:solidFill>
          </w14:textFill>
        </w:rPr>
        <w:t>第</w:t>
      </w:r>
      <w:r>
        <w:rPr>
          <w:color w:val="000000" w:themeColor="text1"/>
          <w:highlight w:val="none"/>
          <w14:textFill>
            <w14:solidFill>
              <w14:schemeClr w14:val="tx1"/>
            </w14:solidFill>
          </w14:textFill>
        </w:rPr>
        <w:t>5</w:t>
      </w:r>
      <w:r>
        <w:rPr>
          <w:rFonts w:hint="eastAsia"/>
          <w:color w:val="000000" w:themeColor="text1"/>
          <w:highlight w:val="none"/>
          <w14:textFill>
            <w14:solidFill>
              <w14:schemeClr w14:val="tx1"/>
            </w14:solidFill>
          </w14:textFill>
        </w:rPr>
        <w:t>章</w:t>
      </w:r>
      <w:r>
        <w:rPr>
          <w:color w:val="000000" w:themeColor="text1"/>
          <w:highlight w:val="none"/>
          <w14:textFill>
            <w14:solidFill>
              <w14:schemeClr w14:val="tx1"/>
            </w14:solidFill>
          </w14:textFill>
        </w:rPr>
        <w:t>环境影响预测与评价</w:t>
      </w:r>
      <w:bookmarkEnd w:id="205"/>
      <w:bookmarkEnd w:id="206"/>
    </w:p>
    <w:p w14:paraId="06FD6564">
      <w:pPr>
        <w:ind w:firstLine="480" w:firstLineChars="200"/>
        <w:rPr>
          <w:rFonts w:hint="eastAsia" w:eastAsia="宋体" w:cs="宋体"/>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本养猪场202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月-202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月</w:t>
      </w:r>
      <w:r>
        <w:rPr>
          <w:rFonts w:hint="eastAsia" w:eastAsia="宋体" w:cs="宋体"/>
          <w:color w:val="000000" w:themeColor="text1"/>
          <w:highlight w:val="none"/>
          <w:lang w:val="en-US" w:eastAsia="zh-CN"/>
          <w14:textFill>
            <w14:solidFill>
              <w14:schemeClr w14:val="tx1"/>
            </w14:solidFill>
          </w14:textFill>
        </w:rPr>
        <w:t>已建成圈舍24栋，</w:t>
      </w:r>
      <w:r>
        <w:rPr>
          <w:rFonts w:hint="eastAsia" w:eastAsia="宋体" w:cs="宋体"/>
          <w:color w:val="000000" w:themeColor="text1"/>
          <w:highlight w:val="none"/>
          <w14:textFill>
            <w14:solidFill>
              <w14:schemeClr w14:val="tx1"/>
            </w14:solidFill>
          </w14:textFill>
        </w:rPr>
        <w:t>兽医室和医疗库房，办公室，卫兵室、消毒间，员工宿舍，饲料库房，场地道路</w:t>
      </w:r>
      <w:r>
        <w:rPr>
          <w:rFonts w:hint="eastAsia" w:cs="宋体"/>
          <w:color w:val="000000" w:themeColor="text1"/>
          <w:highlight w:val="none"/>
          <w:lang w:eastAsia="zh-CN"/>
          <w14:textFill>
            <w14:solidFill>
              <w14:schemeClr w14:val="tx1"/>
            </w14:solidFill>
          </w14:textFill>
        </w:rPr>
        <w:t>，</w:t>
      </w:r>
      <w:r>
        <w:rPr>
          <w:rFonts w:hint="eastAsia" w:eastAsia="宋体" w:cs="宋体"/>
          <w:color w:val="000000" w:themeColor="text1"/>
          <w:highlight w:val="none"/>
          <w14:textFill>
            <w14:solidFill>
              <w14:schemeClr w14:val="tx1"/>
            </w14:solidFill>
          </w14:textFill>
        </w:rPr>
        <w:t>绿化，水塔一座及相关配套设施和设备。</w:t>
      </w:r>
      <w:r>
        <w:rPr>
          <w:rFonts w:hint="eastAsia" w:eastAsia="宋体" w:cs="宋体"/>
          <w:color w:val="000000" w:themeColor="text1"/>
          <w:highlight w:val="none"/>
          <w:lang w:val="en-US" w:eastAsia="zh-CN"/>
          <w14:textFill>
            <w14:solidFill>
              <w14:schemeClr w14:val="tx1"/>
            </w14:solidFill>
          </w14:textFill>
        </w:rPr>
        <w:t>这部分</w:t>
      </w:r>
      <w:r>
        <w:rPr>
          <w:color w:val="000000" w:themeColor="text1"/>
          <w:highlight w:val="none"/>
          <w14:textFill>
            <w14:solidFill>
              <w14:schemeClr w14:val="tx1"/>
            </w14:solidFill>
          </w14:textFill>
        </w:rPr>
        <w:t>施工期早已结束，施工影响已不存在，</w:t>
      </w:r>
      <w:r>
        <w:rPr>
          <w:rFonts w:hint="eastAsia"/>
          <w:color w:val="000000" w:themeColor="text1"/>
          <w:highlight w:val="none"/>
          <w:lang w:val="en-US" w:eastAsia="zh-CN"/>
          <w14:textFill>
            <w14:solidFill>
              <w14:schemeClr w14:val="tx1"/>
            </w14:solidFill>
          </w14:textFill>
        </w:rPr>
        <w:t>且施工期未收到投诉，</w:t>
      </w:r>
      <w:r>
        <w:rPr>
          <w:color w:val="000000" w:themeColor="text1"/>
          <w:highlight w:val="none"/>
          <w14:textFill>
            <w14:solidFill>
              <w14:schemeClr w14:val="tx1"/>
            </w14:solidFill>
          </w14:textFill>
        </w:rPr>
        <w:t>本环评不</w:t>
      </w:r>
      <w:r>
        <w:rPr>
          <w:rFonts w:hint="eastAsia"/>
          <w:color w:val="000000" w:themeColor="text1"/>
          <w:highlight w:val="none"/>
          <w:lang w:val="en-US" w:eastAsia="zh-CN"/>
          <w14:textFill>
            <w14:solidFill>
              <w14:schemeClr w14:val="tx1"/>
            </w14:solidFill>
          </w14:textFill>
        </w:rPr>
        <w:t>对此部分建设内容</w:t>
      </w:r>
      <w:r>
        <w:rPr>
          <w:color w:val="000000" w:themeColor="text1"/>
          <w:highlight w:val="none"/>
          <w14:textFill>
            <w14:solidFill>
              <w14:schemeClr w14:val="tx1"/>
            </w14:solidFill>
          </w14:textFill>
        </w:rPr>
        <w:t>进行施工期环评影响评价。</w:t>
      </w:r>
    </w:p>
    <w:p w14:paraId="2D83BA4D">
      <w:pPr>
        <w:pStyle w:val="14"/>
        <w:ind w:firstLine="480" w:firstLineChars="200"/>
        <w:rPr>
          <w:rFonts w:hint="eastAsia" w:eastAsia="宋体" w:cs="宋体"/>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为了更好的养殖种猪、仔猪及提高经济效益，</w:t>
      </w:r>
      <w:r>
        <w:rPr>
          <w:rFonts w:hint="eastAsia"/>
          <w:color w:val="000000" w:themeColor="text1"/>
          <w:highlight w:val="none"/>
          <w:lang w:eastAsia="zh-CN"/>
          <w14:textFill>
            <w14:solidFill>
              <w14:schemeClr w14:val="tx1"/>
            </w14:solidFill>
          </w14:textFill>
        </w:rPr>
        <w:t>胡杨河市宏信种猪养殖基地项目</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预计</w:t>
      </w:r>
      <w:r>
        <w:rPr>
          <w:rFonts w:hint="eastAsia" w:eastAsia="宋体" w:cs="宋体"/>
          <w:color w:val="000000" w:themeColor="text1"/>
          <w:sz w:val="24"/>
          <w:szCs w:val="24"/>
          <w:highlight w:val="none"/>
          <w:lang w:val="en-US" w:eastAsia="zh-CN" w:bidi="ar-SA"/>
          <w14:textFill>
            <w14:solidFill>
              <w14:schemeClr w14:val="tx1"/>
            </w14:solidFill>
          </w14:textFill>
        </w:rPr>
        <w:t>再</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新建</w:t>
      </w:r>
      <w:r>
        <w:rPr>
          <w:rFonts w:hint="eastAsia" w:cs="宋体"/>
          <w:color w:val="000000" w:themeColor="text1"/>
          <w:sz w:val="24"/>
          <w:szCs w:val="24"/>
          <w:highlight w:val="none"/>
          <w:lang w:val="en-US" w:eastAsia="zh-CN" w:bidi="ar-SA"/>
          <w14:textFill>
            <w14:solidFill>
              <w14:schemeClr w14:val="tx1"/>
            </w14:solidFill>
          </w14:textFill>
        </w:rPr>
        <w:t>6</w:t>
      </w:r>
      <w:r>
        <w:rPr>
          <w:rFonts w:hint="eastAsia" w:ascii="Times New Roman" w:hAnsi="Times New Roman" w:eastAsia="宋体" w:cs="宋体"/>
          <w:color w:val="000000" w:themeColor="text1"/>
          <w:sz w:val="24"/>
          <w:szCs w:val="24"/>
          <w:highlight w:val="none"/>
          <w:lang w:val="en-US" w:eastAsia="zh-CN" w:bidi="ar-SA"/>
          <w14:textFill>
            <w14:solidFill>
              <w14:schemeClr w14:val="tx1"/>
            </w14:solidFill>
          </w14:textFill>
        </w:rPr>
        <w:t>栋圈舍，增加干湿分离车间和堆粪场</w:t>
      </w:r>
      <w:r>
        <w:rPr>
          <w:rFonts w:hint="eastAsia" w:eastAsia="宋体" w:cs="宋体"/>
          <w:color w:val="000000" w:themeColor="text1"/>
          <w:sz w:val="24"/>
          <w:szCs w:val="24"/>
          <w:highlight w:val="none"/>
          <w:lang w:val="en-US" w:eastAsia="zh-CN" w:bidi="ar-SA"/>
          <w14:textFill>
            <w14:solidFill>
              <w14:schemeClr w14:val="tx1"/>
            </w14:solidFill>
          </w14:textFill>
        </w:rPr>
        <w:t>。</w:t>
      </w:r>
    </w:p>
    <w:p w14:paraId="4ADC4009">
      <w:pPr>
        <w:pStyle w:val="3"/>
        <w:rPr>
          <w:color w:val="000000" w:themeColor="text1"/>
          <w:highlight w:val="none"/>
          <w14:textFill>
            <w14:solidFill>
              <w14:schemeClr w14:val="tx1"/>
            </w14:solidFill>
          </w14:textFill>
        </w:rPr>
      </w:pPr>
      <w:bookmarkStart w:id="207" w:name="_Toc24988"/>
      <w:bookmarkStart w:id="208" w:name="_Toc9827"/>
      <w:r>
        <w:rPr>
          <w:color w:val="000000" w:themeColor="text1"/>
          <w:highlight w:val="none"/>
          <w14:textFill>
            <w14:solidFill>
              <w14:schemeClr w14:val="tx1"/>
            </w14:solidFill>
          </w14:textFill>
        </w:rPr>
        <w:t>5.1施工期环境影响分析</w:t>
      </w:r>
      <w:bookmarkEnd w:id="207"/>
      <w:bookmarkEnd w:id="208"/>
    </w:p>
    <w:p w14:paraId="24F1ECC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本项目建设期为</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个月，在项目建设的过程中，土地平整、土地开挖、铺设管道、基础处理、建设施工等施工过程会产生扬尘、噪声、污水及水土流失等污染因素，如不妥善处理，对周围环境会产生一定影响。故建设单位在本项目的施工建设中，应严格按照《</w:t>
      </w:r>
      <w:r>
        <w:rPr>
          <w:rFonts w:hint="eastAsia"/>
          <w:color w:val="000000" w:themeColor="text1"/>
          <w:highlight w:val="none"/>
          <w14:textFill>
            <w14:solidFill>
              <w14:schemeClr w14:val="tx1"/>
            </w14:solidFill>
          </w14:textFill>
        </w:rPr>
        <w:t>建设工程施工现场环境与卫生标准</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（JGJ 146-2013）</w:t>
      </w:r>
      <w:r>
        <w:rPr>
          <w:color w:val="000000" w:themeColor="text1"/>
          <w:highlight w:val="none"/>
          <w14:textFill>
            <w14:solidFill>
              <w14:schemeClr w14:val="tx1"/>
            </w14:solidFill>
          </w14:textFill>
        </w:rPr>
        <w:t>行，注意避免或减轻其对周围环境的各种影响。</w:t>
      </w:r>
    </w:p>
    <w:p w14:paraId="6BE77D17">
      <w:pPr>
        <w:pStyle w:val="4"/>
        <w:rPr>
          <w:color w:val="000000" w:themeColor="text1"/>
          <w:highlight w:val="none"/>
          <w14:textFill>
            <w14:solidFill>
              <w14:schemeClr w14:val="tx1"/>
            </w14:solidFill>
          </w14:textFill>
        </w:rPr>
      </w:pPr>
      <w:bookmarkStart w:id="209" w:name="_Toc6730"/>
      <w:r>
        <w:rPr>
          <w:color w:val="000000" w:themeColor="text1"/>
          <w:highlight w:val="none"/>
          <w14:textFill>
            <w14:solidFill>
              <w14:schemeClr w14:val="tx1"/>
            </w14:solidFill>
          </w14:textFill>
        </w:rPr>
        <w:t>5.1.1施工期大气环境影响分析</w:t>
      </w:r>
      <w:bookmarkEnd w:id="209"/>
    </w:p>
    <w:p w14:paraId="732D5E6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施工期的废气主要为扬尘，还有部分施工机械以及运输车辆排放的尾气。</w:t>
      </w:r>
    </w:p>
    <w:p w14:paraId="528BEDB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（1）扬尘环境影响分析</w:t>
      </w:r>
    </w:p>
    <w:p w14:paraId="2F3C271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扬尘的来源包括有：土方挖掘及现场堆放扬尘；建筑材料的堆放、现场搬运、装卸</w:t>
      </w:r>
      <w:r>
        <w:rPr>
          <w:rFonts w:hint="eastAsia"/>
          <w:color w:val="000000" w:themeColor="text1"/>
          <w:highlight w:val="none"/>
          <w14:textFill>
            <w14:solidFill>
              <w14:schemeClr w14:val="tx1"/>
            </w14:solidFill>
          </w14:textFill>
        </w:rPr>
        <w:t>等</w:t>
      </w:r>
      <w:r>
        <w:rPr>
          <w:color w:val="000000" w:themeColor="text1"/>
          <w:highlight w:val="none"/>
          <w14:textFill>
            <w14:solidFill>
              <w14:schemeClr w14:val="tx1"/>
            </w14:solidFill>
          </w14:textFill>
        </w:rPr>
        <w:t>产生扬尘；车来往造成的现场道路扬尘。</w:t>
      </w:r>
    </w:p>
    <w:p w14:paraId="382775A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国内外的有关研究资料，扬尘起尘量与许多因素有关，如挖土机等施工机械在工作时的起尘量决定于挖坑深度、挖土机抓斗与地面的相对高度、风速、土壤的颗粒度、土壤含水量、渣土分散度等条件；而对于渣土堆扬尘而言，起尘量还与堆放方式、起动风速及</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有无防护措施、尘粒和沉降速度等密切相关。不同的粒径的尘粒的沉降速度见表5.1-1。</w:t>
      </w:r>
    </w:p>
    <w:p w14:paraId="4FB6356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表5.1-1  不同粒径尘粒的沉降速度</w:t>
      </w:r>
    </w:p>
    <w:tbl>
      <w:tblPr>
        <w:tblStyle w:val="58"/>
        <w:tblW w:w="85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7"/>
        <w:gridCol w:w="825"/>
        <w:gridCol w:w="879"/>
        <w:gridCol w:w="953"/>
        <w:gridCol w:w="954"/>
        <w:gridCol w:w="964"/>
        <w:gridCol w:w="954"/>
        <w:gridCol w:w="964"/>
      </w:tblGrid>
      <w:tr w14:paraId="799FDF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2077" w:type="dxa"/>
            <w:vAlign w:val="center"/>
          </w:tcPr>
          <w:p w14:paraId="5AD24B4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粒径(μm）</w:t>
            </w:r>
          </w:p>
        </w:tc>
        <w:tc>
          <w:tcPr>
            <w:tcW w:w="825" w:type="dxa"/>
            <w:vAlign w:val="center"/>
          </w:tcPr>
          <w:p w14:paraId="2EBA3F2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10</w:t>
            </w:r>
          </w:p>
        </w:tc>
        <w:tc>
          <w:tcPr>
            <w:tcW w:w="879" w:type="dxa"/>
            <w:vAlign w:val="center"/>
          </w:tcPr>
          <w:p w14:paraId="24AB242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20</w:t>
            </w:r>
          </w:p>
        </w:tc>
        <w:tc>
          <w:tcPr>
            <w:tcW w:w="953" w:type="dxa"/>
            <w:vAlign w:val="center"/>
          </w:tcPr>
          <w:p w14:paraId="7DB31BE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30</w:t>
            </w:r>
          </w:p>
        </w:tc>
        <w:tc>
          <w:tcPr>
            <w:tcW w:w="954" w:type="dxa"/>
            <w:vAlign w:val="center"/>
          </w:tcPr>
          <w:p w14:paraId="3460839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40</w:t>
            </w:r>
          </w:p>
        </w:tc>
        <w:tc>
          <w:tcPr>
            <w:tcW w:w="964" w:type="dxa"/>
            <w:vAlign w:val="center"/>
          </w:tcPr>
          <w:p w14:paraId="6765D0C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50</w:t>
            </w:r>
          </w:p>
        </w:tc>
        <w:tc>
          <w:tcPr>
            <w:tcW w:w="954" w:type="dxa"/>
            <w:vAlign w:val="center"/>
          </w:tcPr>
          <w:p w14:paraId="6A4D387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60</w:t>
            </w:r>
          </w:p>
        </w:tc>
        <w:tc>
          <w:tcPr>
            <w:tcW w:w="964" w:type="dxa"/>
            <w:vAlign w:val="center"/>
          </w:tcPr>
          <w:p w14:paraId="6CAB493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70</w:t>
            </w:r>
          </w:p>
        </w:tc>
      </w:tr>
      <w:tr w14:paraId="03CB1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077" w:type="dxa"/>
            <w:vAlign w:val="center"/>
          </w:tcPr>
          <w:p w14:paraId="25FE0FF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沉降速度（m/s）</w:t>
            </w:r>
          </w:p>
        </w:tc>
        <w:tc>
          <w:tcPr>
            <w:tcW w:w="825" w:type="dxa"/>
            <w:vAlign w:val="center"/>
          </w:tcPr>
          <w:p w14:paraId="5F7D0A0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0.003</w:t>
            </w:r>
          </w:p>
        </w:tc>
        <w:tc>
          <w:tcPr>
            <w:tcW w:w="879" w:type="dxa"/>
            <w:vAlign w:val="center"/>
          </w:tcPr>
          <w:p w14:paraId="368AA44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0.012</w:t>
            </w:r>
          </w:p>
        </w:tc>
        <w:tc>
          <w:tcPr>
            <w:tcW w:w="953" w:type="dxa"/>
            <w:vAlign w:val="center"/>
          </w:tcPr>
          <w:p w14:paraId="09E6BDC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0.027</w:t>
            </w:r>
          </w:p>
        </w:tc>
        <w:tc>
          <w:tcPr>
            <w:tcW w:w="954" w:type="dxa"/>
            <w:vAlign w:val="center"/>
          </w:tcPr>
          <w:p w14:paraId="3ED006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0.048</w:t>
            </w:r>
          </w:p>
        </w:tc>
        <w:tc>
          <w:tcPr>
            <w:tcW w:w="964" w:type="dxa"/>
            <w:vAlign w:val="center"/>
          </w:tcPr>
          <w:p w14:paraId="4C44692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0.075</w:t>
            </w:r>
          </w:p>
        </w:tc>
        <w:tc>
          <w:tcPr>
            <w:tcW w:w="954" w:type="dxa"/>
            <w:vAlign w:val="center"/>
          </w:tcPr>
          <w:p w14:paraId="7F89B04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0.108</w:t>
            </w:r>
          </w:p>
        </w:tc>
        <w:tc>
          <w:tcPr>
            <w:tcW w:w="964" w:type="dxa"/>
            <w:vAlign w:val="center"/>
          </w:tcPr>
          <w:p w14:paraId="2DBED12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0.147</w:t>
            </w:r>
          </w:p>
        </w:tc>
      </w:tr>
      <w:tr w14:paraId="0A7ABF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077" w:type="dxa"/>
            <w:vAlign w:val="center"/>
          </w:tcPr>
          <w:p w14:paraId="5429B5D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粒径(μm）</w:t>
            </w:r>
          </w:p>
        </w:tc>
        <w:tc>
          <w:tcPr>
            <w:tcW w:w="825" w:type="dxa"/>
            <w:vAlign w:val="center"/>
          </w:tcPr>
          <w:p w14:paraId="0412D14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w:t>
            </w:r>
          </w:p>
        </w:tc>
        <w:tc>
          <w:tcPr>
            <w:tcW w:w="879" w:type="dxa"/>
            <w:vAlign w:val="center"/>
          </w:tcPr>
          <w:p w14:paraId="4440A5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90</w:t>
            </w:r>
          </w:p>
        </w:tc>
        <w:tc>
          <w:tcPr>
            <w:tcW w:w="953" w:type="dxa"/>
            <w:vAlign w:val="center"/>
          </w:tcPr>
          <w:p w14:paraId="1C1DF06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w:t>
            </w:r>
          </w:p>
        </w:tc>
        <w:tc>
          <w:tcPr>
            <w:tcW w:w="954" w:type="dxa"/>
            <w:vAlign w:val="center"/>
          </w:tcPr>
          <w:p w14:paraId="391B29D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150</w:t>
            </w:r>
          </w:p>
        </w:tc>
        <w:tc>
          <w:tcPr>
            <w:tcW w:w="964" w:type="dxa"/>
            <w:vAlign w:val="center"/>
          </w:tcPr>
          <w:p w14:paraId="4C7C4F1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w:t>
            </w:r>
          </w:p>
        </w:tc>
        <w:tc>
          <w:tcPr>
            <w:tcW w:w="954" w:type="dxa"/>
            <w:vAlign w:val="center"/>
          </w:tcPr>
          <w:p w14:paraId="73EC03C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250</w:t>
            </w:r>
          </w:p>
        </w:tc>
        <w:tc>
          <w:tcPr>
            <w:tcW w:w="964" w:type="dxa"/>
            <w:vAlign w:val="center"/>
          </w:tcPr>
          <w:p w14:paraId="777D163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350</w:t>
            </w:r>
          </w:p>
        </w:tc>
      </w:tr>
      <w:tr w14:paraId="7B8DA7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077" w:type="dxa"/>
            <w:vAlign w:val="center"/>
          </w:tcPr>
          <w:p w14:paraId="1229BAB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沉降速度（m/s）</w:t>
            </w:r>
          </w:p>
        </w:tc>
        <w:tc>
          <w:tcPr>
            <w:tcW w:w="825" w:type="dxa"/>
            <w:vAlign w:val="center"/>
          </w:tcPr>
          <w:p w14:paraId="4B860E1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0.158</w:t>
            </w:r>
          </w:p>
        </w:tc>
        <w:tc>
          <w:tcPr>
            <w:tcW w:w="879" w:type="dxa"/>
            <w:vAlign w:val="center"/>
          </w:tcPr>
          <w:p w14:paraId="4495EB4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0.170</w:t>
            </w:r>
          </w:p>
        </w:tc>
        <w:tc>
          <w:tcPr>
            <w:tcW w:w="953" w:type="dxa"/>
            <w:vAlign w:val="center"/>
          </w:tcPr>
          <w:p w14:paraId="001D4C9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0.182</w:t>
            </w:r>
          </w:p>
        </w:tc>
        <w:tc>
          <w:tcPr>
            <w:tcW w:w="954" w:type="dxa"/>
            <w:vAlign w:val="center"/>
          </w:tcPr>
          <w:p w14:paraId="77CE9B0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0.239</w:t>
            </w:r>
          </w:p>
        </w:tc>
        <w:tc>
          <w:tcPr>
            <w:tcW w:w="964" w:type="dxa"/>
            <w:vAlign w:val="center"/>
          </w:tcPr>
          <w:p w14:paraId="7646D0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0.804</w:t>
            </w:r>
          </w:p>
        </w:tc>
        <w:tc>
          <w:tcPr>
            <w:tcW w:w="954" w:type="dxa"/>
            <w:vAlign w:val="center"/>
          </w:tcPr>
          <w:p w14:paraId="2276C74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1.005</w:t>
            </w:r>
          </w:p>
        </w:tc>
        <w:tc>
          <w:tcPr>
            <w:tcW w:w="964" w:type="dxa"/>
            <w:vAlign w:val="center"/>
          </w:tcPr>
          <w:p w14:paraId="64E9275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1.829</w:t>
            </w:r>
          </w:p>
        </w:tc>
      </w:tr>
      <w:tr w14:paraId="72F71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077" w:type="dxa"/>
            <w:vAlign w:val="center"/>
          </w:tcPr>
          <w:p w14:paraId="321E89A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粒径(μm）</w:t>
            </w:r>
          </w:p>
        </w:tc>
        <w:tc>
          <w:tcPr>
            <w:tcW w:w="825" w:type="dxa"/>
            <w:vAlign w:val="center"/>
          </w:tcPr>
          <w:p w14:paraId="2428725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450</w:t>
            </w:r>
          </w:p>
        </w:tc>
        <w:tc>
          <w:tcPr>
            <w:tcW w:w="879" w:type="dxa"/>
            <w:vAlign w:val="center"/>
          </w:tcPr>
          <w:p w14:paraId="6D8C74F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550</w:t>
            </w:r>
          </w:p>
        </w:tc>
        <w:tc>
          <w:tcPr>
            <w:tcW w:w="953" w:type="dxa"/>
            <w:vAlign w:val="center"/>
          </w:tcPr>
          <w:p w14:paraId="4EF7911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650</w:t>
            </w:r>
          </w:p>
        </w:tc>
        <w:tc>
          <w:tcPr>
            <w:tcW w:w="954" w:type="dxa"/>
            <w:vAlign w:val="center"/>
          </w:tcPr>
          <w:p w14:paraId="5131C0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750</w:t>
            </w:r>
          </w:p>
        </w:tc>
        <w:tc>
          <w:tcPr>
            <w:tcW w:w="964" w:type="dxa"/>
            <w:vAlign w:val="center"/>
          </w:tcPr>
          <w:p w14:paraId="03181C5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850</w:t>
            </w:r>
          </w:p>
        </w:tc>
        <w:tc>
          <w:tcPr>
            <w:tcW w:w="954" w:type="dxa"/>
            <w:vAlign w:val="center"/>
          </w:tcPr>
          <w:p w14:paraId="71A49AC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950</w:t>
            </w:r>
          </w:p>
        </w:tc>
        <w:tc>
          <w:tcPr>
            <w:tcW w:w="964" w:type="dxa"/>
            <w:vAlign w:val="center"/>
          </w:tcPr>
          <w:p w14:paraId="1914A29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1050</w:t>
            </w:r>
          </w:p>
        </w:tc>
      </w:tr>
      <w:tr w14:paraId="17D1B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2077" w:type="dxa"/>
            <w:vAlign w:val="center"/>
          </w:tcPr>
          <w:p w14:paraId="245C636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沉降速度（m/s）</w:t>
            </w:r>
          </w:p>
        </w:tc>
        <w:tc>
          <w:tcPr>
            <w:tcW w:w="825" w:type="dxa"/>
            <w:vAlign w:val="center"/>
          </w:tcPr>
          <w:p w14:paraId="2DFE4D2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2.211</w:t>
            </w:r>
          </w:p>
        </w:tc>
        <w:tc>
          <w:tcPr>
            <w:tcW w:w="879" w:type="dxa"/>
            <w:vAlign w:val="center"/>
          </w:tcPr>
          <w:p w14:paraId="1EFE3E6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2.614</w:t>
            </w:r>
          </w:p>
        </w:tc>
        <w:tc>
          <w:tcPr>
            <w:tcW w:w="953" w:type="dxa"/>
            <w:vAlign w:val="center"/>
          </w:tcPr>
          <w:p w14:paraId="4521360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3.016</w:t>
            </w:r>
          </w:p>
        </w:tc>
        <w:tc>
          <w:tcPr>
            <w:tcW w:w="954" w:type="dxa"/>
            <w:vAlign w:val="center"/>
          </w:tcPr>
          <w:p w14:paraId="1CAAAC8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3.418</w:t>
            </w:r>
          </w:p>
        </w:tc>
        <w:tc>
          <w:tcPr>
            <w:tcW w:w="964" w:type="dxa"/>
            <w:vAlign w:val="center"/>
          </w:tcPr>
          <w:p w14:paraId="0D2E178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3.820</w:t>
            </w:r>
          </w:p>
        </w:tc>
        <w:tc>
          <w:tcPr>
            <w:tcW w:w="954" w:type="dxa"/>
            <w:vAlign w:val="center"/>
          </w:tcPr>
          <w:p w14:paraId="0CE7F4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4.222</w:t>
            </w:r>
          </w:p>
        </w:tc>
        <w:tc>
          <w:tcPr>
            <w:tcW w:w="964" w:type="dxa"/>
            <w:vAlign w:val="center"/>
          </w:tcPr>
          <w:p w14:paraId="261FC84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4.624</w:t>
            </w:r>
          </w:p>
        </w:tc>
      </w:tr>
    </w:tbl>
    <w:p w14:paraId="7CDFA5D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此外，根据有关市政施工现场实测资料的记录，在一般气象条件下，当风速在2.5m/s的情况下，建筑工地内TSP浓度是上风向对照点的2.0~2.5倍，建筑施工扬尘的影响范围为其下风向150m左右。通过类比调查研究，未采取防护措施和土壤较干燥时，开挖的最大扬尘约为开挖土量的1%。在采取一定防护措施或土壤较湿润时，开挖的扬尘量约为0.1%。在采取适当防护措施后，施工扬尘范围一般在厂界外50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200m左右。</w:t>
      </w:r>
    </w:p>
    <w:p w14:paraId="04CE050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扬尘的大小跟风力及气候有一定的关系，本项目厂址降雨稀少，沙尘天气较多，相应的扬尘影响范围较大，细颗粒的输送距离可以达到几十公里以上。而在洒水和避免大风日的情况下施工，下风向50mTSP浓度会小于0.3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20170A9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以上分析可知，在不采用措施的情况下，施工场地的扬尘会对当地环境产生一定的影响，而在通过采取合理布置施工场地，同时在洒水和避免大风日情况下施工等措施下，扬尘的影响将得到一定程度降低，且扬尘的不良影响将伴随着施工期的结束而结束。</w:t>
      </w:r>
    </w:p>
    <w:p w14:paraId="362350D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运输车辆通过便道行驶产生的扬尘源强大小与污染源的距离、道路路面、行驶速度有关。一般情况，在自然风作用下车辆产生的扬尘所影响的范围在100m以内。如果在施工期间对车辆行驶的路面洒水抑尘，每天洒水4</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5次，扬尘减少70%左右，施工场地洒水试验结果见表5.1-2。</w:t>
      </w:r>
    </w:p>
    <w:p w14:paraId="1A8B9D1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表5.1-2  施工工地大气TSP浓度变化表  单位：mg/m</w:t>
      </w:r>
      <w:r>
        <w:rPr>
          <w:b/>
          <w:bCs/>
          <w:color w:val="000000" w:themeColor="text1"/>
          <w:sz w:val="21"/>
          <w:szCs w:val="21"/>
          <w:highlight w:val="none"/>
          <w:vertAlign w:val="superscript"/>
          <w14:textFill>
            <w14:solidFill>
              <w14:schemeClr w14:val="tx1"/>
            </w14:solidFill>
          </w14:textFill>
        </w:rPr>
        <w:t>3</w:t>
      </w:r>
    </w:p>
    <w:tbl>
      <w:tblPr>
        <w:tblStyle w:val="58"/>
        <w:tblW w:w="857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27"/>
        <w:gridCol w:w="875"/>
        <w:gridCol w:w="868"/>
        <w:gridCol w:w="793"/>
        <w:gridCol w:w="889"/>
        <w:gridCol w:w="857"/>
        <w:gridCol w:w="900"/>
        <w:gridCol w:w="1361"/>
      </w:tblGrid>
      <w:tr w14:paraId="5F9AF5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jc w:val="center"/>
        </w:trPr>
        <w:tc>
          <w:tcPr>
            <w:tcW w:w="2027" w:type="dxa"/>
            <w:vAlign w:val="center"/>
          </w:tcPr>
          <w:p w14:paraId="0C62D641">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距</w:t>
            </w:r>
            <w:r>
              <w:rPr>
                <w:b/>
                <w:bCs/>
                <w:color w:val="000000" w:themeColor="text1"/>
                <w:sz w:val="21"/>
                <w:szCs w:val="21"/>
                <w:highlight w:val="none"/>
                <w14:textFill>
                  <w14:solidFill>
                    <w14:schemeClr w14:val="tx1"/>
                  </w14:solidFill>
                </w14:textFill>
              </w:rPr>
              <w:t>工地距离</w:t>
            </w:r>
          </w:p>
        </w:tc>
        <w:tc>
          <w:tcPr>
            <w:tcW w:w="875" w:type="dxa"/>
            <w:vAlign w:val="center"/>
          </w:tcPr>
          <w:p w14:paraId="2323046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对照点</w:t>
            </w:r>
          </w:p>
        </w:tc>
        <w:tc>
          <w:tcPr>
            <w:tcW w:w="868" w:type="dxa"/>
            <w:vAlign w:val="center"/>
          </w:tcPr>
          <w:p w14:paraId="696E7A0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10m</w:t>
            </w:r>
          </w:p>
        </w:tc>
        <w:tc>
          <w:tcPr>
            <w:tcW w:w="793" w:type="dxa"/>
            <w:vAlign w:val="center"/>
          </w:tcPr>
          <w:p w14:paraId="06A2D1A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30m</w:t>
            </w:r>
          </w:p>
        </w:tc>
        <w:tc>
          <w:tcPr>
            <w:tcW w:w="889" w:type="dxa"/>
            <w:vAlign w:val="center"/>
          </w:tcPr>
          <w:p w14:paraId="6F8CC0A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50m</w:t>
            </w:r>
          </w:p>
        </w:tc>
        <w:tc>
          <w:tcPr>
            <w:tcW w:w="857" w:type="dxa"/>
            <w:vAlign w:val="center"/>
          </w:tcPr>
          <w:p w14:paraId="36390F7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100m</w:t>
            </w:r>
          </w:p>
        </w:tc>
        <w:tc>
          <w:tcPr>
            <w:tcW w:w="900" w:type="dxa"/>
            <w:vAlign w:val="center"/>
          </w:tcPr>
          <w:p w14:paraId="4DBC1E7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200m</w:t>
            </w:r>
          </w:p>
        </w:tc>
        <w:tc>
          <w:tcPr>
            <w:tcW w:w="1361" w:type="dxa"/>
            <w:vAlign w:val="center"/>
          </w:tcPr>
          <w:p w14:paraId="75F0014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备注</w:t>
            </w:r>
          </w:p>
        </w:tc>
      </w:tr>
      <w:tr w14:paraId="3B6836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2027" w:type="dxa"/>
            <w:vAlign w:val="center"/>
          </w:tcPr>
          <w:p w14:paraId="291D73C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场地未洒水TSP浓度</w:t>
            </w:r>
          </w:p>
        </w:tc>
        <w:tc>
          <w:tcPr>
            <w:tcW w:w="875" w:type="dxa"/>
            <w:vAlign w:val="center"/>
          </w:tcPr>
          <w:p w14:paraId="0627AA2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0.541</w:t>
            </w:r>
          </w:p>
        </w:tc>
        <w:tc>
          <w:tcPr>
            <w:tcW w:w="868" w:type="dxa"/>
            <w:vAlign w:val="center"/>
          </w:tcPr>
          <w:p w14:paraId="5AD1F06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1.843</w:t>
            </w:r>
          </w:p>
        </w:tc>
        <w:tc>
          <w:tcPr>
            <w:tcW w:w="793" w:type="dxa"/>
            <w:vAlign w:val="center"/>
          </w:tcPr>
          <w:p w14:paraId="5E00D75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0.987</w:t>
            </w:r>
          </w:p>
        </w:tc>
        <w:tc>
          <w:tcPr>
            <w:tcW w:w="889" w:type="dxa"/>
            <w:vAlign w:val="center"/>
          </w:tcPr>
          <w:p w14:paraId="53DA485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0.542</w:t>
            </w:r>
          </w:p>
        </w:tc>
        <w:tc>
          <w:tcPr>
            <w:tcW w:w="857" w:type="dxa"/>
            <w:vAlign w:val="center"/>
          </w:tcPr>
          <w:p w14:paraId="4217E8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0.398</w:t>
            </w:r>
          </w:p>
        </w:tc>
        <w:tc>
          <w:tcPr>
            <w:tcW w:w="900" w:type="dxa"/>
            <w:vAlign w:val="center"/>
          </w:tcPr>
          <w:p w14:paraId="1DD8739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0.372</w:t>
            </w:r>
          </w:p>
        </w:tc>
        <w:tc>
          <w:tcPr>
            <w:tcW w:w="1361" w:type="dxa"/>
            <w:vAlign w:val="center"/>
          </w:tcPr>
          <w:p w14:paraId="078170B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春季监测</w:t>
            </w:r>
          </w:p>
        </w:tc>
      </w:tr>
    </w:tbl>
    <w:p w14:paraId="5CD32DE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由表5.1-2可见，每天洒水4</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5次，可有效控制车辆扬尘，将TSP污染缩小到20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50m。混凝土浇筑期间，大量混凝土运输车频繁驶入现场，在物料转接口处，每辆车都有不同程度生产物料散落在地面现象。经车辆碾压，在工地周边形成大面积水泥路面或扬尘，破坏了地面道路，施工现场周边形成大量的固废层，景观影响较大。同时，车辆洒落尘土的一次扬尘污染和车辆运行时产生的二次扬尘污染均会对环境产生明显不利影响。运输车辆扬尘的产生量及扬尘污染程度与车辆的运输方式、路面状况、天气条件等因素关系密切，采取合适的防护措施可以有效的避免或大幅降低其污染，在建设项目的施工过程中必须对其加以重视。</w:t>
      </w:r>
    </w:p>
    <w:p w14:paraId="6EB7DCE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（2）车辆尾气</w:t>
      </w:r>
    </w:p>
    <w:p w14:paraId="4A330C3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机械和运输车辆排放尾气主要的污染物有CO、THC、NOX。主要对作业点周围和运输线路两侧局部范围产生一定影响，由于排放量不大，其影响的程度与范围也相对较小，通过采取限制超载、限制车速等措施可以大大降低运输车辆及施工机械废气对周围环境的影响。施工场地应设置洗车平台，完善排水设施，防止泥土粘带。不得在未实施洒水等抑尘措施情况下进行直接清扫。</w:t>
      </w:r>
    </w:p>
    <w:p w14:paraId="4A925302">
      <w:pPr>
        <w:ind w:firstLine="480" w:firstLineChars="200"/>
        <w:rPr>
          <w:rFonts w:ascii="Arial"/>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t>项目施工造成的不利影响是局部的、短期的，项目建设完成之后影响就会消失，因此施工扬尘对周围环境空气和居民的影响可以接受。</w:t>
      </w:r>
    </w:p>
    <w:p w14:paraId="2DC4ACC4">
      <w:pPr>
        <w:pStyle w:val="4"/>
        <w:rPr>
          <w:color w:val="000000" w:themeColor="text1"/>
          <w:highlight w:val="none"/>
          <w14:textFill>
            <w14:solidFill>
              <w14:schemeClr w14:val="tx1"/>
            </w14:solidFill>
          </w14:textFill>
        </w:rPr>
      </w:pPr>
      <w:bookmarkStart w:id="210" w:name="_Toc21884"/>
      <w:r>
        <w:rPr>
          <w:color w:val="000000" w:themeColor="text1"/>
          <w:highlight w:val="none"/>
          <w14:textFill>
            <w14:solidFill>
              <w14:schemeClr w14:val="tx1"/>
            </w14:solidFill>
          </w14:textFill>
        </w:rPr>
        <w:t>5.1.2施工期废水影响分析</w:t>
      </w:r>
      <w:bookmarkEnd w:id="210"/>
    </w:p>
    <w:p w14:paraId="277ADFEA">
      <w:pPr>
        <w:kinsoku/>
        <w:autoSpaceDE/>
        <w:autoSpaceDN/>
        <w:bidi w:val="0"/>
        <w:spacing w:line="360" w:lineRule="auto"/>
        <w:ind w:firstLine="480" w:firstLineChars="200"/>
        <w:jc w:val="left"/>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施工人员</w:t>
      </w:r>
      <w:r>
        <w:rPr>
          <w:rFonts w:hint="eastAsia"/>
          <w:color w:val="000000" w:themeColor="text1"/>
          <w:highlight w:val="none"/>
          <w:lang w:val="en-US" w:eastAsia="zh-CN"/>
          <w14:textFill>
            <w14:solidFill>
              <w14:schemeClr w14:val="tx1"/>
            </w14:solidFill>
          </w14:textFill>
        </w:rPr>
        <w:t>依托本项目宿舍和食堂</w:t>
      </w:r>
      <w:r>
        <w:rPr>
          <w:color w:val="000000" w:themeColor="text1"/>
          <w:highlight w:val="none"/>
          <w14:textFill>
            <w14:solidFill>
              <w14:schemeClr w14:val="tx1"/>
            </w14:solidFill>
          </w14:textFill>
        </w:rPr>
        <w:t>。生活污水主要</w:t>
      </w:r>
      <w:r>
        <w:rPr>
          <w:rFonts w:hint="eastAsia"/>
          <w:color w:val="000000" w:themeColor="text1"/>
          <w:highlight w:val="none"/>
          <w14:textFill>
            <w14:solidFill>
              <w14:schemeClr w14:val="tx1"/>
            </w14:solidFill>
          </w14:textFill>
        </w:rPr>
        <w:t>来自</w:t>
      </w:r>
      <w:r>
        <w:rPr>
          <w:color w:val="000000" w:themeColor="text1"/>
          <w:highlight w:val="none"/>
          <w14:textFill>
            <w14:solidFill>
              <w14:schemeClr w14:val="tx1"/>
            </w14:solidFill>
          </w14:textFill>
        </w:rPr>
        <w:t>施工人员的日常生活，以施工平均</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0人/d，每天耗水量按50L/人·d计，生活用水量为</w:t>
      </w:r>
      <w:r>
        <w:rPr>
          <w:rFonts w:hint="eastAsia"/>
          <w:color w:val="000000" w:themeColor="text1"/>
          <w:highlight w:val="none"/>
          <w:lang w:val="en-US" w:eastAsia="zh-CN"/>
          <w14:textFill>
            <w14:solidFill>
              <w14:schemeClr w14:val="tx1"/>
            </w14:solidFill>
          </w14:textFill>
        </w:rPr>
        <w:t>180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，生活污水排放量按用水量的80%计，则生活污水排放量共</w:t>
      </w:r>
      <w:r>
        <w:rPr>
          <w:rFonts w:hint="eastAsia"/>
          <w:color w:val="000000" w:themeColor="text1"/>
          <w:highlight w:val="none"/>
          <w:lang w:val="en-US" w:eastAsia="zh-CN"/>
          <w14:textFill>
            <w14:solidFill>
              <w14:schemeClr w14:val="tx1"/>
            </w14:solidFill>
          </w14:textFill>
        </w:rPr>
        <w:t>144</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。类比同类型污水水质，工程排放生活污水中主要污染物为CODcr、BOD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-N和SS，各污染物浓度分别为：CODcr：280mg/L、BOD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：160mg/L、NH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-N：30mg/L、SS：200mg/L。生活污水</w:t>
      </w:r>
      <w:r>
        <w:rPr>
          <w:rFonts w:hint="eastAsia"/>
          <w:color w:val="000000" w:themeColor="text1"/>
          <w:highlight w:val="none"/>
          <w:lang w:val="en-US" w:eastAsia="zh-CN"/>
          <w14:textFill>
            <w14:solidFill>
              <w14:schemeClr w14:val="tx1"/>
            </w14:solidFill>
          </w14:textFill>
        </w:rPr>
        <w:t>排入黑膜池处理</w:t>
      </w:r>
      <w:r>
        <w:rPr>
          <w:color w:val="000000" w:themeColor="text1"/>
          <w:highlight w:val="none"/>
          <w14:textFill>
            <w14:solidFill>
              <w14:schemeClr w14:val="tx1"/>
            </w14:solidFill>
          </w14:textFill>
        </w:rPr>
        <w:t>。</w:t>
      </w:r>
    </w:p>
    <w:p w14:paraId="46548F6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施工废水</w:t>
      </w:r>
      <w:r>
        <w:rPr>
          <w:rFonts w:hint="eastAsia"/>
          <w:color w:val="000000" w:themeColor="text1"/>
          <w:highlight w:val="none"/>
          <w14:textFill>
            <w14:solidFill>
              <w14:schemeClr w14:val="tx1"/>
            </w14:solidFill>
          </w14:textFill>
        </w:rPr>
        <w:t>来自</w:t>
      </w:r>
      <w:r>
        <w:rPr>
          <w:color w:val="000000" w:themeColor="text1"/>
          <w:highlight w:val="none"/>
          <w14:textFill>
            <w14:solidFill>
              <w14:schemeClr w14:val="tx1"/>
            </w14:solidFill>
          </w14:textFill>
        </w:rPr>
        <w:t>材料、设备冲洗和水泥养护等过程，废水中主要以悬浮物为主，未经处理的施工废水水质pH：9～12，SS：3000～5000mg/l，考虑项目废水流动性强，废水处理单元简单，处理效果明显的要求，项目施工废水选用沉淀池并进行防渗，沉淀两小时以上后，经沉淀分离后的上清液回用，沉淀泥浆固化后应定期及时清运至建筑垃圾堆放场地。</w:t>
      </w:r>
    </w:p>
    <w:p w14:paraId="6EE4706B">
      <w:pPr>
        <w:pStyle w:val="4"/>
        <w:rPr>
          <w:color w:val="000000" w:themeColor="text1"/>
          <w:highlight w:val="none"/>
          <w14:textFill>
            <w14:solidFill>
              <w14:schemeClr w14:val="tx1"/>
            </w14:solidFill>
          </w14:textFill>
        </w:rPr>
      </w:pPr>
      <w:bookmarkStart w:id="211" w:name="_Toc21157"/>
      <w:r>
        <w:rPr>
          <w:color w:val="000000" w:themeColor="text1"/>
          <w:highlight w:val="none"/>
          <w14:textFill>
            <w14:solidFill>
              <w14:schemeClr w14:val="tx1"/>
            </w14:solidFill>
          </w14:textFill>
        </w:rPr>
        <w:t>5.1.3施工期噪声影响分析</w:t>
      </w:r>
      <w:bookmarkEnd w:id="211"/>
    </w:p>
    <w:p w14:paraId="114252E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（1）施工期的噪声源和振动源</w:t>
      </w:r>
    </w:p>
    <w:p w14:paraId="54B5EF4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建筑施工通常可以分为四个阶段，即土方阶段、打桩阶段、结构阶段和装修阶段。每一阶段所采用的施工机械不同，对环境所造成的噪声水平也不同。</w:t>
      </w:r>
    </w:p>
    <w:p w14:paraId="5FE0353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建筑施工期的噪声源虽然较多，但对环境影响起主要作用的是土石方阶段的推土机和挖掘机，基础阶段的打桩机、结构阶段的混凝土搅拌机和振捣棒，以及装修阶段短时间使用的高噪声设备。</w:t>
      </w:r>
    </w:p>
    <w:p w14:paraId="1CCABDC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（2）施工设备噪声源强及预测强度分析</w:t>
      </w:r>
    </w:p>
    <w:p w14:paraId="3157BD8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施工期的主要噪声源是各类高噪声的施工机械设备，评价采用点声源几何衰减计算公式对主要噪声源进行环境影响预测分析，距声源不同距离处噪声预测值见表5.1-3。</w:t>
      </w:r>
    </w:p>
    <w:p w14:paraId="2D48076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表5.1-3  距声源不同距离处的噪声预测值  单位：dB（A）</w:t>
      </w:r>
    </w:p>
    <w:tbl>
      <w:tblPr>
        <w:tblStyle w:val="58"/>
        <w:tblW w:w="840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50"/>
        <w:gridCol w:w="768"/>
        <w:gridCol w:w="881"/>
        <w:gridCol w:w="880"/>
        <w:gridCol w:w="881"/>
        <w:gridCol w:w="1036"/>
        <w:gridCol w:w="1036"/>
        <w:gridCol w:w="1036"/>
        <w:gridCol w:w="832"/>
      </w:tblGrid>
      <w:tr w14:paraId="77151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1050" w:type="dxa"/>
            <w:vMerge w:val="restart"/>
            <w:tcBorders>
              <w:bottom w:val="nil"/>
            </w:tcBorders>
            <w:vAlign w:val="center"/>
          </w:tcPr>
          <w:p w14:paraId="772328D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声源</w:t>
            </w:r>
          </w:p>
        </w:tc>
        <w:tc>
          <w:tcPr>
            <w:tcW w:w="768" w:type="dxa"/>
            <w:vMerge w:val="restart"/>
            <w:tcBorders>
              <w:bottom w:val="nil"/>
            </w:tcBorders>
            <w:vAlign w:val="center"/>
          </w:tcPr>
          <w:p w14:paraId="098C8DF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源强</w:t>
            </w:r>
          </w:p>
        </w:tc>
        <w:tc>
          <w:tcPr>
            <w:tcW w:w="6582" w:type="dxa"/>
            <w:gridSpan w:val="7"/>
            <w:vAlign w:val="center"/>
          </w:tcPr>
          <w:p w14:paraId="22D44E0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位于声源不同距离处的噪声值</w:t>
            </w:r>
          </w:p>
        </w:tc>
      </w:tr>
      <w:tr w14:paraId="6C42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50" w:type="dxa"/>
            <w:vMerge w:val="continue"/>
            <w:tcBorders>
              <w:top w:val="nil"/>
            </w:tcBorders>
            <w:vAlign w:val="center"/>
          </w:tcPr>
          <w:p w14:paraId="1BEBF913">
            <w:pPr>
              <w:spacing w:line="240" w:lineRule="auto"/>
              <w:jc w:val="center"/>
              <w:rPr>
                <w:b/>
                <w:bCs/>
                <w:color w:val="000000" w:themeColor="text1"/>
                <w:sz w:val="21"/>
                <w:szCs w:val="21"/>
                <w:highlight w:val="none"/>
                <w14:textFill>
                  <w14:solidFill>
                    <w14:schemeClr w14:val="tx1"/>
                  </w14:solidFill>
                </w14:textFill>
              </w:rPr>
            </w:pPr>
          </w:p>
        </w:tc>
        <w:tc>
          <w:tcPr>
            <w:tcW w:w="768" w:type="dxa"/>
            <w:vMerge w:val="continue"/>
            <w:tcBorders>
              <w:top w:val="nil"/>
            </w:tcBorders>
            <w:vAlign w:val="center"/>
          </w:tcPr>
          <w:p w14:paraId="1B21307E">
            <w:pPr>
              <w:spacing w:line="240" w:lineRule="auto"/>
              <w:jc w:val="center"/>
              <w:rPr>
                <w:b/>
                <w:bCs/>
                <w:color w:val="000000" w:themeColor="text1"/>
                <w:sz w:val="21"/>
                <w:szCs w:val="21"/>
                <w:highlight w:val="none"/>
                <w14:textFill>
                  <w14:solidFill>
                    <w14:schemeClr w14:val="tx1"/>
                  </w14:solidFill>
                </w14:textFill>
              </w:rPr>
            </w:pPr>
          </w:p>
        </w:tc>
        <w:tc>
          <w:tcPr>
            <w:tcW w:w="881" w:type="dxa"/>
            <w:vAlign w:val="center"/>
          </w:tcPr>
          <w:p w14:paraId="267849D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10m</w:t>
            </w:r>
          </w:p>
        </w:tc>
        <w:tc>
          <w:tcPr>
            <w:tcW w:w="880" w:type="dxa"/>
            <w:vAlign w:val="center"/>
          </w:tcPr>
          <w:p w14:paraId="1374BB6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30m</w:t>
            </w:r>
          </w:p>
        </w:tc>
        <w:tc>
          <w:tcPr>
            <w:tcW w:w="881" w:type="dxa"/>
            <w:vAlign w:val="center"/>
          </w:tcPr>
          <w:p w14:paraId="2DEA780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50m</w:t>
            </w:r>
          </w:p>
        </w:tc>
        <w:tc>
          <w:tcPr>
            <w:tcW w:w="1036" w:type="dxa"/>
            <w:vAlign w:val="center"/>
          </w:tcPr>
          <w:p w14:paraId="6142FE2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100m</w:t>
            </w:r>
          </w:p>
        </w:tc>
        <w:tc>
          <w:tcPr>
            <w:tcW w:w="1036" w:type="dxa"/>
            <w:vAlign w:val="center"/>
          </w:tcPr>
          <w:p w14:paraId="310C20B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150m</w:t>
            </w:r>
          </w:p>
        </w:tc>
        <w:tc>
          <w:tcPr>
            <w:tcW w:w="1036" w:type="dxa"/>
            <w:vAlign w:val="center"/>
          </w:tcPr>
          <w:p w14:paraId="0AF5AF9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200m</w:t>
            </w:r>
          </w:p>
        </w:tc>
        <w:tc>
          <w:tcPr>
            <w:tcW w:w="832" w:type="dxa"/>
            <w:vAlign w:val="center"/>
          </w:tcPr>
          <w:p w14:paraId="412D63C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500m*</w:t>
            </w:r>
          </w:p>
        </w:tc>
      </w:tr>
      <w:tr w14:paraId="5EF02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50" w:type="dxa"/>
            <w:vAlign w:val="center"/>
          </w:tcPr>
          <w:p w14:paraId="77A5306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挖土机</w:t>
            </w:r>
          </w:p>
        </w:tc>
        <w:tc>
          <w:tcPr>
            <w:tcW w:w="768" w:type="dxa"/>
            <w:vAlign w:val="center"/>
          </w:tcPr>
          <w:p w14:paraId="32B33F2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95</w:t>
            </w:r>
          </w:p>
        </w:tc>
        <w:tc>
          <w:tcPr>
            <w:tcW w:w="881" w:type="dxa"/>
            <w:vAlign w:val="center"/>
          </w:tcPr>
          <w:p w14:paraId="0A2B7F8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75.0</w:t>
            </w:r>
          </w:p>
        </w:tc>
        <w:tc>
          <w:tcPr>
            <w:tcW w:w="880" w:type="dxa"/>
            <w:vAlign w:val="center"/>
          </w:tcPr>
          <w:p w14:paraId="5895166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65.5</w:t>
            </w:r>
          </w:p>
        </w:tc>
        <w:tc>
          <w:tcPr>
            <w:tcW w:w="881" w:type="dxa"/>
            <w:vAlign w:val="center"/>
          </w:tcPr>
          <w:p w14:paraId="3D4A623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61.0</w:t>
            </w:r>
          </w:p>
        </w:tc>
        <w:tc>
          <w:tcPr>
            <w:tcW w:w="1036" w:type="dxa"/>
            <w:vAlign w:val="center"/>
          </w:tcPr>
          <w:p w14:paraId="0F5BFF2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55.0</w:t>
            </w:r>
          </w:p>
        </w:tc>
        <w:tc>
          <w:tcPr>
            <w:tcW w:w="1036" w:type="dxa"/>
            <w:vAlign w:val="center"/>
          </w:tcPr>
          <w:p w14:paraId="79CBFDA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51.5</w:t>
            </w:r>
          </w:p>
        </w:tc>
        <w:tc>
          <w:tcPr>
            <w:tcW w:w="1036" w:type="dxa"/>
            <w:vAlign w:val="center"/>
          </w:tcPr>
          <w:p w14:paraId="3706E03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49.0</w:t>
            </w:r>
          </w:p>
        </w:tc>
        <w:tc>
          <w:tcPr>
            <w:tcW w:w="832" w:type="dxa"/>
            <w:vAlign w:val="center"/>
          </w:tcPr>
          <w:p w14:paraId="241BAA5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26.0</w:t>
            </w:r>
          </w:p>
        </w:tc>
      </w:tr>
      <w:tr w14:paraId="0D81BA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50" w:type="dxa"/>
            <w:vAlign w:val="center"/>
          </w:tcPr>
          <w:p w14:paraId="26B2E6F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推土机</w:t>
            </w:r>
          </w:p>
        </w:tc>
        <w:tc>
          <w:tcPr>
            <w:tcW w:w="768" w:type="dxa"/>
            <w:vAlign w:val="center"/>
          </w:tcPr>
          <w:p w14:paraId="35B5F3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95</w:t>
            </w:r>
          </w:p>
        </w:tc>
        <w:tc>
          <w:tcPr>
            <w:tcW w:w="881" w:type="dxa"/>
            <w:vAlign w:val="center"/>
          </w:tcPr>
          <w:p w14:paraId="61FC395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75.0</w:t>
            </w:r>
          </w:p>
        </w:tc>
        <w:tc>
          <w:tcPr>
            <w:tcW w:w="880" w:type="dxa"/>
            <w:vAlign w:val="center"/>
          </w:tcPr>
          <w:p w14:paraId="75DC609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65.5</w:t>
            </w:r>
          </w:p>
        </w:tc>
        <w:tc>
          <w:tcPr>
            <w:tcW w:w="881" w:type="dxa"/>
            <w:vAlign w:val="center"/>
          </w:tcPr>
          <w:p w14:paraId="610C28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61.0</w:t>
            </w:r>
          </w:p>
        </w:tc>
        <w:tc>
          <w:tcPr>
            <w:tcW w:w="1036" w:type="dxa"/>
            <w:vAlign w:val="center"/>
          </w:tcPr>
          <w:p w14:paraId="27343FD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55.0</w:t>
            </w:r>
          </w:p>
        </w:tc>
        <w:tc>
          <w:tcPr>
            <w:tcW w:w="1036" w:type="dxa"/>
            <w:vAlign w:val="center"/>
          </w:tcPr>
          <w:p w14:paraId="6C87640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51.5</w:t>
            </w:r>
          </w:p>
        </w:tc>
        <w:tc>
          <w:tcPr>
            <w:tcW w:w="1036" w:type="dxa"/>
            <w:vAlign w:val="center"/>
          </w:tcPr>
          <w:p w14:paraId="50959B2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49.0</w:t>
            </w:r>
          </w:p>
        </w:tc>
        <w:tc>
          <w:tcPr>
            <w:tcW w:w="832" w:type="dxa"/>
            <w:vAlign w:val="center"/>
          </w:tcPr>
          <w:p w14:paraId="19E1589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26.0</w:t>
            </w:r>
          </w:p>
        </w:tc>
      </w:tr>
      <w:tr w14:paraId="54D77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50" w:type="dxa"/>
            <w:vAlign w:val="center"/>
          </w:tcPr>
          <w:p w14:paraId="7D62D3A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搅拌机</w:t>
            </w:r>
          </w:p>
        </w:tc>
        <w:tc>
          <w:tcPr>
            <w:tcW w:w="768" w:type="dxa"/>
            <w:vAlign w:val="center"/>
          </w:tcPr>
          <w:p w14:paraId="33799AB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90</w:t>
            </w:r>
          </w:p>
        </w:tc>
        <w:tc>
          <w:tcPr>
            <w:tcW w:w="881" w:type="dxa"/>
            <w:vAlign w:val="center"/>
          </w:tcPr>
          <w:p w14:paraId="0803E24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70.0</w:t>
            </w:r>
          </w:p>
        </w:tc>
        <w:tc>
          <w:tcPr>
            <w:tcW w:w="880" w:type="dxa"/>
            <w:vAlign w:val="center"/>
          </w:tcPr>
          <w:p w14:paraId="540380A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60.5</w:t>
            </w:r>
          </w:p>
        </w:tc>
        <w:tc>
          <w:tcPr>
            <w:tcW w:w="881" w:type="dxa"/>
            <w:vAlign w:val="center"/>
          </w:tcPr>
          <w:p w14:paraId="60F3E2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56.0</w:t>
            </w:r>
          </w:p>
        </w:tc>
        <w:tc>
          <w:tcPr>
            <w:tcW w:w="1036" w:type="dxa"/>
            <w:vAlign w:val="center"/>
          </w:tcPr>
          <w:p w14:paraId="4CA21C7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50.0</w:t>
            </w:r>
          </w:p>
        </w:tc>
        <w:tc>
          <w:tcPr>
            <w:tcW w:w="1036" w:type="dxa"/>
            <w:vAlign w:val="center"/>
          </w:tcPr>
          <w:p w14:paraId="43275C9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46.5</w:t>
            </w:r>
          </w:p>
        </w:tc>
        <w:tc>
          <w:tcPr>
            <w:tcW w:w="1036" w:type="dxa"/>
            <w:vAlign w:val="center"/>
          </w:tcPr>
          <w:p w14:paraId="32FCEB7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44.0</w:t>
            </w:r>
          </w:p>
        </w:tc>
        <w:tc>
          <w:tcPr>
            <w:tcW w:w="832" w:type="dxa"/>
            <w:vAlign w:val="center"/>
          </w:tcPr>
          <w:p w14:paraId="23B7CE9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21.0</w:t>
            </w:r>
          </w:p>
        </w:tc>
      </w:tr>
      <w:tr w14:paraId="782FF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050" w:type="dxa"/>
            <w:vAlign w:val="center"/>
          </w:tcPr>
          <w:p w14:paraId="4AF29A7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压路机</w:t>
            </w:r>
          </w:p>
        </w:tc>
        <w:tc>
          <w:tcPr>
            <w:tcW w:w="768" w:type="dxa"/>
            <w:vAlign w:val="center"/>
          </w:tcPr>
          <w:p w14:paraId="5D355B2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90</w:t>
            </w:r>
          </w:p>
        </w:tc>
        <w:tc>
          <w:tcPr>
            <w:tcW w:w="881" w:type="dxa"/>
            <w:vAlign w:val="center"/>
          </w:tcPr>
          <w:p w14:paraId="7D9BFB7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70.0</w:t>
            </w:r>
          </w:p>
        </w:tc>
        <w:tc>
          <w:tcPr>
            <w:tcW w:w="880" w:type="dxa"/>
            <w:vAlign w:val="center"/>
          </w:tcPr>
          <w:p w14:paraId="38865DF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60.5</w:t>
            </w:r>
          </w:p>
        </w:tc>
        <w:tc>
          <w:tcPr>
            <w:tcW w:w="881" w:type="dxa"/>
            <w:vAlign w:val="center"/>
          </w:tcPr>
          <w:p w14:paraId="22023AE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56.0</w:t>
            </w:r>
          </w:p>
        </w:tc>
        <w:tc>
          <w:tcPr>
            <w:tcW w:w="1036" w:type="dxa"/>
            <w:vAlign w:val="center"/>
          </w:tcPr>
          <w:p w14:paraId="21D5026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50.0</w:t>
            </w:r>
          </w:p>
        </w:tc>
        <w:tc>
          <w:tcPr>
            <w:tcW w:w="1036" w:type="dxa"/>
            <w:vAlign w:val="center"/>
          </w:tcPr>
          <w:p w14:paraId="6C4C720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46.5</w:t>
            </w:r>
          </w:p>
        </w:tc>
        <w:tc>
          <w:tcPr>
            <w:tcW w:w="1036" w:type="dxa"/>
            <w:vAlign w:val="center"/>
          </w:tcPr>
          <w:p w14:paraId="3E505E8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46.0</w:t>
            </w:r>
          </w:p>
        </w:tc>
        <w:tc>
          <w:tcPr>
            <w:tcW w:w="832" w:type="dxa"/>
            <w:vAlign w:val="center"/>
          </w:tcPr>
          <w:p w14:paraId="1FCB74E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21.0</w:t>
            </w:r>
          </w:p>
        </w:tc>
      </w:tr>
      <w:tr w14:paraId="488F4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1050" w:type="dxa"/>
            <w:vAlign w:val="center"/>
          </w:tcPr>
          <w:p w14:paraId="569CD70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振捣棒</w:t>
            </w:r>
          </w:p>
        </w:tc>
        <w:tc>
          <w:tcPr>
            <w:tcW w:w="768" w:type="dxa"/>
            <w:vAlign w:val="center"/>
          </w:tcPr>
          <w:p w14:paraId="2F2B7A9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w:t>
            </w:r>
          </w:p>
        </w:tc>
        <w:tc>
          <w:tcPr>
            <w:tcW w:w="881" w:type="dxa"/>
            <w:vAlign w:val="center"/>
          </w:tcPr>
          <w:p w14:paraId="7D5AC05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60.0</w:t>
            </w:r>
          </w:p>
        </w:tc>
        <w:tc>
          <w:tcPr>
            <w:tcW w:w="880" w:type="dxa"/>
            <w:vAlign w:val="center"/>
          </w:tcPr>
          <w:p w14:paraId="222991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50.5</w:t>
            </w:r>
          </w:p>
        </w:tc>
        <w:tc>
          <w:tcPr>
            <w:tcW w:w="881" w:type="dxa"/>
            <w:vAlign w:val="center"/>
          </w:tcPr>
          <w:p w14:paraId="2740EF5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46.0</w:t>
            </w:r>
          </w:p>
        </w:tc>
        <w:tc>
          <w:tcPr>
            <w:tcW w:w="1036" w:type="dxa"/>
            <w:vAlign w:val="center"/>
          </w:tcPr>
          <w:p w14:paraId="6BBBC16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c>
          <w:tcPr>
            <w:tcW w:w="1036" w:type="dxa"/>
            <w:vAlign w:val="center"/>
          </w:tcPr>
          <w:p w14:paraId="454D187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36.5</w:t>
            </w:r>
          </w:p>
        </w:tc>
        <w:tc>
          <w:tcPr>
            <w:tcW w:w="1036" w:type="dxa"/>
            <w:vAlign w:val="center"/>
          </w:tcPr>
          <w:p w14:paraId="3C2BB4D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34.0</w:t>
            </w:r>
          </w:p>
        </w:tc>
        <w:tc>
          <w:tcPr>
            <w:tcW w:w="832" w:type="dxa"/>
            <w:vAlign w:val="center"/>
          </w:tcPr>
          <w:p w14:paraId="0EF3F7A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11.0</w:t>
            </w:r>
          </w:p>
        </w:tc>
      </w:tr>
    </w:tbl>
    <w:p w14:paraId="31A08A7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由表5.1-3可见，在施工过程中，厂区内施工机械距厂界30m以上就可使厂界噪声符合《建筑施工场界环境噪声排放标准》</w:t>
      </w:r>
      <w:r>
        <w:rPr>
          <w:rFonts w:hint="eastAsia"/>
          <w:color w:val="000000" w:themeColor="text1"/>
          <w:highlight w:val="none"/>
          <w14:textFill>
            <w14:solidFill>
              <w14:schemeClr w14:val="tx1"/>
            </w14:solidFill>
          </w14:textFill>
        </w:rPr>
        <w:t>（GB 12523-2011</w:t>
      </w:r>
      <w:r>
        <w:rPr>
          <w:color w:val="000000" w:themeColor="text1"/>
          <w:highlight w:val="none"/>
          <w14:textFill>
            <w14:solidFill>
              <w14:schemeClr w14:val="tx1"/>
            </w14:solidFill>
          </w14:textFill>
        </w:rPr>
        <w:t>）标准（70dB（A））的要求；本工程主要建构筑物距离厂界都在50m以上，因此，本工程施工期厂界噪声能够满足《建筑施工场界环境噪声排放标准》（GB12523-2011）标准（70dB（A））的要求。</w:t>
      </w:r>
    </w:p>
    <w:p w14:paraId="5F35009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由表5.1-3可见，在施工过程中，厂区外200m完全可以满足《声环境质量标准》（GB3096-2008）中2类声功能区的要求。并且项目区周边1km内并无声环境敏感目标，</w:t>
      </w:r>
      <w:r>
        <w:rPr>
          <w:rFonts w:hint="eastAsia"/>
          <w:color w:val="000000" w:themeColor="text1"/>
          <w:highlight w:val="none"/>
          <w14:textFill>
            <w14:solidFill>
              <w14:schemeClr w14:val="tx1"/>
            </w14:solidFill>
          </w14:textFill>
        </w:rPr>
        <w:t>根据</w:t>
      </w:r>
      <w:r>
        <w:rPr>
          <w:color w:val="000000" w:themeColor="text1"/>
          <w:highlight w:val="none"/>
          <w14:textFill>
            <w14:solidFill>
              <w14:schemeClr w14:val="tx1"/>
            </w14:solidFill>
          </w14:textFill>
        </w:rPr>
        <w:t>预测：本工程施工机械噪声不会降低声环境级别，本项目在设计和建设中，通过对装置噪声源强的控制</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不会对声环境造成不良影响。</w:t>
      </w:r>
    </w:p>
    <w:p w14:paraId="11BE7FA3">
      <w:pPr>
        <w:pStyle w:val="4"/>
        <w:rPr>
          <w:color w:val="000000" w:themeColor="text1"/>
          <w:highlight w:val="none"/>
          <w14:textFill>
            <w14:solidFill>
              <w14:schemeClr w14:val="tx1"/>
            </w14:solidFill>
          </w14:textFill>
        </w:rPr>
      </w:pPr>
      <w:bookmarkStart w:id="212" w:name="_Toc13471"/>
      <w:r>
        <w:rPr>
          <w:color w:val="000000" w:themeColor="text1"/>
          <w:highlight w:val="none"/>
          <w14:textFill>
            <w14:solidFill>
              <w14:schemeClr w14:val="tx1"/>
            </w14:solidFill>
          </w14:textFill>
        </w:rPr>
        <w:t>5.1.4施工期固废环境影响分析</w:t>
      </w:r>
      <w:bookmarkEnd w:id="212"/>
    </w:p>
    <w:p w14:paraId="28ED375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（1）生活垃圾</w:t>
      </w:r>
    </w:p>
    <w:p w14:paraId="2E151B9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施工过程中的生活垃圾，如不及时处理，在气温适宜的条件下则会滋生蚊虫、产生恶臭、传播疾病，对周围环境产生不利影响，必须及时清运，杜绝因乱堆乱放对环境产生的影响。</w:t>
      </w:r>
    </w:p>
    <w:p w14:paraId="4507C15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（2）建筑垃圾</w:t>
      </w:r>
    </w:p>
    <w:p w14:paraId="3F38C53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建筑垃圾主要</w:t>
      </w:r>
      <w:r>
        <w:rPr>
          <w:rFonts w:hint="eastAsia"/>
          <w:color w:val="000000" w:themeColor="text1"/>
          <w:highlight w:val="none"/>
          <w14:textFill>
            <w14:solidFill>
              <w14:schemeClr w14:val="tx1"/>
            </w14:solidFill>
          </w14:textFill>
        </w:rPr>
        <w:t>来自</w:t>
      </w:r>
      <w:r>
        <w:rPr>
          <w:color w:val="000000" w:themeColor="text1"/>
          <w:highlight w:val="none"/>
          <w14:textFill>
            <w14:solidFill>
              <w14:schemeClr w14:val="tx1"/>
            </w14:solidFill>
          </w14:textFill>
        </w:rPr>
        <w:t>施工作业，包括砂石、石块、碎砖瓦、废木料、废金属、废钢筋等。通过在施工现场应设置临时建筑废物堆放场并进行密闭处理，并</w:t>
      </w:r>
      <w:r>
        <w:rPr>
          <w:rFonts w:hint="eastAsia"/>
          <w:color w:val="000000" w:themeColor="text1"/>
          <w:highlight w:val="none"/>
          <w14:textFill>
            <w14:solidFill>
              <w14:schemeClr w14:val="tx1"/>
            </w14:solidFill>
          </w14:textFill>
        </w:rPr>
        <w:t>做好</w:t>
      </w:r>
      <w:r>
        <w:rPr>
          <w:color w:val="000000" w:themeColor="text1"/>
          <w:highlight w:val="none"/>
          <w14:textFill>
            <w14:solidFill>
              <w14:schemeClr w14:val="tx1"/>
            </w14:solidFill>
          </w14:textFill>
        </w:rPr>
        <w:t>地面的防渗漏处理；另外，建筑废料可以回收利用的回收利用，目前技术条件下无法再次利用的运至政府部门指定的建筑垃圾堆放场处置。</w:t>
      </w:r>
    </w:p>
    <w:p w14:paraId="7F68C23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在建设过程中，建设单位应要求施工单位规范运输，不要随意倾倒建筑垃圾，制造新的</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垃圾</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，不然会对周围环境造成影响。</w:t>
      </w:r>
    </w:p>
    <w:p w14:paraId="5899FC1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（3）废弃土石方</w:t>
      </w:r>
    </w:p>
    <w:p w14:paraId="11A4387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现场勘查</w:t>
      </w:r>
      <w:r>
        <w:rPr>
          <w:color w:val="000000" w:themeColor="text1"/>
          <w:highlight w:val="none"/>
          <w14:textFill>
            <w14:solidFill>
              <w14:schemeClr w14:val="tx1"/>
            </w14:solidFill>
          </w14:textFill>
        </w:rPr>
        <w:t>，项目拟建区域地势平坦，项目厂房建设除部分池体、建筑基底需要进行少量开挖外，无其他高填深挖区域，池体开挖土石方可用于场区内道路回填等，实现场内平衡，无弃土产生，不会对周边环境造成不良影响。</w:t>
      </w:r>
    </w:p>
    <w:p w14:paraId="10432A74">
      <w:pPr>
        <w:pStyle w:val="3"/>
        <w:rPr>
          <w:color w:val="000000" w:themeColor="text1"/>
          <w:highlight w:val="none"/>
          <w14:textFill>
            <w14:solidFill>
              <w14:schemeClr w14:val="tx1"/>
            </w14:solidFill>
          </w14:textFill>
        </w:rPr>
      </w:pPr>
      <w:bookmarkStart w:id="213" w:name="bookmark28"/>
      <w:bookmarkEnd w:id="213"/>
      <w:bookmarkStart w:id="214" w:name="_Toc31963"/>
      <w:bookmarkStart w:id="215" w:name="_Toc1781"/>
      <w:r>
        <w:rPr>
          <w:color w:val="000000" w:themeColor="text1"/>
          <w:highlight w:val="none"/>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运营期环境影响分析与评价</w:t>
      </w:r>
      <w:bookmarkEnd w:id="214"/>
      <w:bookmarkEnd w:id="215"/>
    </w:p>
    <w:p w14:paraId="51E18B90">
      <w:pPr>
        <w:pStyle w:val="4"/>
        <w:rPr>
          <w:color w:val="000000" w:themeColor="text1"/>
          <w:highlight w:val="none"/>
          <w14:textFill>
            <w14:solidFill>
              <w14:schemeClr w14:val="tx1"/>
            </w14:solidFill>
          </w14:textFill>
        </w:rPr>
      </w:pPr>
      <w:bookmarkStart w:id="216" w:name="_Toc2445"/>
      <w:r>
        <w:rPr>
          <w:color w:val="000000" w:themeColor="text1"/>
          <w:highlight w:val="none"/>
          <w14:textFill>
            <w14:solidFill>
              <w14:schemeClr w14:val="tx1"/>
            </w14:solidFill>
          </w14:textFill>
        </w:rPr>
        <w:t>5.2.1大气环境影响分析与评价</w:t>
      </w:r>
      <w:bookmarkEnd w:id="216"/>
    </w:p>
    <w:p w14:paraId="40FC7B77">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"5.2.1.1"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5.2.1.1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大气环境影响分析</w:t>
      </w:r>
    </w:p>
    <w:p w14:paraId="211BD2A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根据项目工程分析，本项目养殖恶臭主要来自猪粪、尿发出的臭气，主要恶臭污染物为H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S和NH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。虽然其绝对排放量并不大，但嗅觉阈值非常低，影响范围较大。根据嗅觉对臭味的反应，将恶臭强度分为6级，见表5.2-1。</w:t>
      </w:r>
    </w:p>
    <w:p w14:paraId="24085D1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表5.2-1  臭气强度分级</w:t>
      </w:r>
    </w:p>
    <w:tbl>
      <w:tblPr>
        <w:tblStyle w:val="58"/>
        <w:tblW w:w="8323"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8"/>
        <w:gridCol w:w="1239"/>
        <w:gridCol w:w="6196"/>
      </w:tblGrid>
      <w:tr w14:paraId="2D7FC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88" w:type="dxa"/>
          </w:tcPr>
          <w:p w14:paraId="4AFA535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级别</w:t>
            </w:r>
          </w:p>
        </w:tc>
        <w:tc>
          <w:tcPr>
            <w:tcW w:w="1239" w:type="dxa"/>
          </w:tcPr>
          <w:p w14:paraId="108A310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强度</w:t>
            </w:r>
          </w:p>
        </w:tc>
        <w:tc>
          <w:tcPr>
            <w:tcW w:w="6196" w:type="dxa"/>
          </w:tcPr>
          <w:p w14:paraId="35C26B0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说明</w:t>
            </w:r>
          </w:p>
        </w:tc>
      </w:tr>
      <w:tr w14:paraId="74B601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88" w:type="dxa"/>
          </w:tcPr>
          <w:p w14:paraId="3DF8647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1239" w:type="dxa"/>
          </w:tcPr>
          <w:p w14:paraId="7764D55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无臭气味</w:t>
            </w:r>
          </w:p>
        </w:tc>
        <w:tc>
          <w:tcPr>
            <w:tcW w:w="6196" w:type="dxa"/>
          </w:tcPr>
          <w:p w14:paraId="7780C08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完全嗅不出或感觉不出</w:t>
            </w:r>
          </w:p>
        </w:tc>
      </w:tr>
      <w:tr w14:paraId="0F2B8E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88" w:type="dxa"/>
          </w:tcPr>
          <w:p w14:paraId="3CE07F3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239" w:type="dxa"/>
          </w:tcPr>
          <w:p w14:paraId="025C3D4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极弱</w:t>
            </w:r>
          </w:p>
        </w:tc>
        <w:tc>
          <w:tcPr>
            <w:tcW w:w="6196" w:type="dxa"/>
          </w:tcPr>
          <w:p w14:paraId="43FE585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一般人感受不到，熟练化验员可察出</w:t>
            </w:r>
          </w:p>
        </w:tc>
      </w:tr>
      <w:tr w14:paraId="65760E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88" w:type="dxa"/>
          </w:tcPr>
          <w:p w14:paraId="0166B65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1239" w:type="dxa"/>
          </w:tcPr>
          <w:p w14:paraId="30F1483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弱</w:t>
            </w:r>
          </w:p>
        </w:tc>
        <w:tc>
          <w:tcPr>
            <w:tcW w:w="6196" w:type="dxa"/>
          </w:tcPr>
          <w:p w14:paraId="09EC46A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多数人注意后可感觉到</w:t>
            </w:r>
          </w:p>
        </w:tc>
      </w:tr>
      <w:tr w14:paraId="222D8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88" w:type="dxa"/>
          </w:tcPr>
          <w:p w14:paraId="38B478B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1239" w:type="dxa"/>
          </w:tcPr>
          <w:p w14:paraId="4732EB5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显著</w:t>
            </w:r>
          </w:p>
        </w:tc>
        <w:tc>
          <w:tcPr>
            <w:tcW w:w="6196" w:type="dxa"/>
          </w:tcPr>
          <w:p w14:paraId="37AC709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易于感觉</w:t>
            </w:r>
          </w:p>
        </w:tc>
      </w:tr>
      <w:tr w14:paraId="1EA78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888" w:type="dxa"/>
          </w:tcPr>
          <w:p w14:paraId="114DC2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1239" w:type="dxa"/>
          </w:tcPr>
          <w:p w14:paraId="546A663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强</w:t>
            </w:r>
          </w:p>
        </w:tc>
        <w:tc>
          <w:tcPr>
            <w:tcW w:w="6196" w:type="dxa"/>
          </w:tcPr>
          <w:p w14:paraId="7FE26EA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迅速产生不愉快的感觉</w:t>
            </w:r>
          </w:p>
        </w:tc>
      </w:tr>
      <w:tr w14:paraId="3CE0E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888" w:type="dxa"/>
          </w:tcPr>
          <w:p w14:paraId="592A45A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239" w:type="dxa"/>
          </w:tcPr>
          <w:p w14:paraId="7519B42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极强</w:t>
            </w:r>
          </w:p>
        </w:tc>
        <w:tc>
          <w:tcPr>
            <w:tcW w:w="6196" w:type="dxa"/>
          </w:tcPr>
          <w:p w14:paraId="3D00896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强烈异臭和异味</w:t>
            </w:r>
          </w:p>
        </w:tc>
      </w:tr>
    </w:tbl>
    <w:p w14:paraId="220E0F8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臭气强度与臭味物质浓度的关系见表5.2-2。</w:t>
      </w:r>
    </w:p>
    <w:p w14:paraId="6CB749C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表5.2-2  臭气强度与臭味物质浓度的关系</w:t>
      </w:r>
    </w:p>
    <w:tbl>
      <w:tblPr>
        <w:tblStyle w:val="58"/>
        <w:tblW w:w="8323"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42"/>
        <w:gridCol w:w="829"/>
        <w:gridCol w:w="1016"/>
        <w:gridCol w:w="1016"/>
        <w:gridCol w:w="1009"/>
        <w:gridCol w:w="1000"/>
        <w:gridCol w:w="1003"/>
        <w:gridCol w:w="1008"/>
      </w:tblGrid>
      <w:tr w14:paraId="013CDD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42" w:type="dxa"/>
          </w:tcPr>
          <w:p w14:paraId="0AA24D5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臭气强度</w:t>
            </w:r>
          </w:p>
        </w:tc>
        <w:tc>
          <w:tcPr>
            <w:tcW w:w="829" w:type="dxa"/>
          </w:tcPr>
          <w:p w14:paraId="5E535E1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w:t>
            </w:r>
          </w:p>
        </w:tc>
        <w:tc>
          <w:tcPr>
            <w:tcW w:w="1016" w:type="dxa"/>
          </w:tcPr>
          <w:p w14:paraId="54E7538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w:t>
            </w:r>
          </w:p>
        </w:tc>
        <w:tc>
          <w:tcPr>
            <w:tcW w:w="1016" w:type="dxa"/>
          </w:tcPr>
          <w:p w14:paraId="76E2456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2.5</w:t>
            </w:r>
          </w:p>
        </w:tc>
        <w:tc>
          <w:tcPr>
            <w:tcW w:w="1009" w:type="dxa"/>
          </w:tcPr>
          <w:p w14:paraId="3E4382C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3</w:t>
            </w:r>
          </w:p>
        </w:tc>
        <w:tc>
          <w:tcPr>
            <w:tcW w:w="1000" w:type="dxa"/>
          </w:tcPr>
          <w:p w14:paraId="22B24A6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3.5</w:t>
            </w:r>
          </w:p>
        </w:tc>
        <w:tc>
          <w:tcPr>
            <w:tcW w:w="1003" w:type="dxa"/>
          </w:tcPr>
          <w:p w14:paraId="04122A8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4</w:t>
            </w:r>
          </w:p>
        </w:tc>
        <w:tc>
          <w:tcPr>
            <w:tcW w:w="1008" w:type="dxa"/>
          </w:tcPr>
          <w:p w14:paraId="19A3DD8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5</w:t>
            </w:r>
          </w:p>
        </w:tc>
      </w:tr>
      <w:tr w14:paraId="1AFAB8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42" w:type="dxa"/>
          </w:tcPr>
          <w:p w14:paraId="5E8A948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w:t>
            </w:r>
          </w:p>
        </w:tc>
        <w:tc>
          <w:tcPr>
            <w:tcW w:w="829" w:type="dxa"/>
          </w:tcPr>
          <w:p w14:paraId="6B48A1A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0. 1</w:t>
            </w:r>
          </w:p>
        </w:tc>
        <w:tc>
          <w:tcPr>
            <w:tcW w:w="1016" w:type="dxa"/>
          </w:tcPr>
          <w:p w14:paraId="1A13C34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0.6</w:t>
            </w:r>
          </w:p>
        </w:tc>
        <w:tc>
          <w:tcPr>
            <w:tcW w:w="1016" w:type="dxa"/>
          </w:tcPr>
          <w:p w14:paraId="1688759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1009" w:type="dxa"/>
          </w:tcPr>
          <w:p w14:paraId="592FC43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w:t>
            </w:r>
          </w:p>
        </w:tc>
        <w:tc>
          <w:tcPr>
            <w:tcW w:w="1000" w:type="dxa"/>
          </w:tcPr>
          <w:p w14:paraId="0EC0F1A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w:t>
            </w:r>
          </w:p>
        </w:tc>
        <w:tc>
          <w:tcPr>
            <w:tcW w:w="1003" w:type="dxa"/>
          </w:tcPr>
          <w:p w14:paraId="3E8CA57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10.0</w:t>
            </w:r>
          </w:p>
        </w:tc>
        <w:tc>
          <w:tcPr>
            <w:tcW w:w="1008" w:type="dxa"/>
          </w:tcPr>
          <w:p w14:paraId="185FDA1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r>
      <w:tr w14:paraId="672FC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442" w:type="dxa"/>
          </w:tcPr>
          <w:p w14:paraId="28BF68E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p>
        </w:tc>
        <w:tc>
          <w:tcPr>
            <w:tcW w:w="829" w:type="dxa"/>
          </w:tcPr>
          <w:p w14:paraId="1D94DC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0.0005</w:t>
            </w:r>
          </w:p>
        </w:tc>
        <w:tc>
          <w:tcPr>
            <w:tcW w:w="1016" w:type="dxa"/>
          </w:tcPr>
          <w:p w14:paraId="4A4BAD8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0.006</w:t>
            </w:r>
          </w:p>
        </w:tc>
        <w:tc>
          <w:tcPr>
            <w:tcW w:w="1016" w:type="dxa"/>
          </w:tcPr>
          <w:p w14:paraId="3539BC7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0.02</w:t>
            </w:r>
          </w:p>
        </w:tc>
        <w:tc>
          <w:tcPr>
            <w:tcW w:w="1009" w:type="dxa"/>
          </w:tcPr>
          <w:p w14:paraId="19E6E64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0.06</w:t>
            </w:r>
          </w:p>
        </w:tc>
        <w:tc>
          <w:tcPr>
            <w:tcW w:w="1000" w:type="dxa"/>
          </w:tcPr>
          <w:p w14:paraId="09E6D79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0.2</w:t>
            </w:r>
          </w:p>
        </w:tc>
        <w:tc>
          <w:tcPr>
            <w:tcW w:w="1003" w:type="dxa"/>
          </w:tcPr>
          <w:p w14:paraId="08B8090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0.7</w:t>
            </w:r>
          </w:p>
        </w:tc>
        <w:tc>
          <w:tcPr>
            <w:tcW w:w="1008" w:type="dxa"/>
          </w:tcPr>
          <w:p w14:paraId="725B2F1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3.0</w:t>
            </w:r>
          </w:p>
        </w:tc>
      </w:tr>
    </w:tbl>
    <w:p w14:paraId="0AC5DDE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由表5.2-1、表5.2-2可知，当NH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和H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S厂界满足《恶臭污染物排放标准》</w:t>
      </w:r>
      <w:r>
        <w:rPr>
          <w:rFonts w:hint="eastAsia"/>
          <w:color w:val="000000" w:themeColor="text1"/>
          <w:highlight w:val="none"/>
          <w14:textFill>
            <w14:solidFill>
              <w14:schemeClr w14:val="tx1"/>
            </w14:solidFill>
          </w14:textFill>
        </w:rPr>
        <w:t>（DB12/059-2018）</w:t>
      </w:r>
      <w:r>
        <w:rPr>
          <w:color w:val="000000" w:themeColor="text1"/>
          <w:highlight w:val="none"/>
          <w14:textFill>
            <w14:solidFill>
              <w14:schemeClr w14:val="tx1"/>
            </w14:solidFill>
          </w14:textFill>
        </w:rPr>
        <w:t>分别对应的臭气强度为2~2.5和1，对比之下，NH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的影响比H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S的影响大。</w:t>
      </w:r>
    </w:p>
    <w:p w14:paraId="65DC5EE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同时臭气强度在2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2.5时，说明多数人注意后可感觉到。表5.2-3列出了感觉到主要恶臭物质的浓度</w:t>
      </w:r>
      <w:r>
        <w:rPr>
          <w:rFonts w:hint="eastAsia"/>
          <w:color w:val="000000" w:themeColor="text1"/>
          <w:highlight w:val="none"/>
          <w14:textFill>
            <w14:solidFill>
              <w14:schemeClr w14:val="tx1"/>
            </w14:solidFill>
          </w14:textFill>
        </w:rPr>
        <w:t>阈值</w:t>
      </w:r>
      <w:r>
        <w:rPr>
          <w:color w:val="000000" w:themeColor="text1"/>
          <w:highlight w:val="none"/>
          <w14:textFill>
            <w14:solidFill>
              <w14:schemeClr w14:val="tx1"/>
            </w14:solidFill>
          </w14:textFill>
        </w:rPr>
        <w:t>。</w:t>
      </w:r>
    </w:p>
    <w:p w14:paraId="0942B9D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表5.2-3  主要恶臭物质</w:t>
      </w:r>
      <w:r>
        <w:rPr>
          <w:rFonts w:hint="eastAsia"/>
          <w:b/>
          <w:bCs/>
          <w:color w:val="000000" w:themeColor="text1"/>
          <w:sz w:val="21"/>
          <w:szCs w:val="21"/>
          <w:highlight w:val="none"/>
          <w14:textFill>
            <w14:solidFill>
              <w14:schemeClr w14:val="tx1"/>
            </w14:solidFill>
          </w14:textFill>
        </w:rPr>
        <w:t>的阈值</w:t>
      </w:r>
      <w:r>
        <w:rPr>
          <w:b/>
          <w:bCs/>
          <w:color w:val="000000" w:themeColor="text1"/>
          <w:sz w:val="21"/>
          <w:szCs w:val="21"/>
          <w:highlight w:val="none"/>
          <w14:textFill>
            <w14:solidFill>
              <w14:schemeClr w14:val="tx1"/>
            </w14:solidFill>
          </w14:textFill>
        </w:rPr>
        <w:t>浓度</w:t>
      </w:r>
    </w:p>
    <w:tbl>
      <w:tblPr>
        <w:tblStyle w:val="58"/>
        <w:tblW w:w="83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9"/>
        <w:gridCol w:w="4125"/>
      </w:tblGrid>
      <w:tr w14:paraId="2159D1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99" w:type="dxa"/>
          </w:tcPr>
          <w:p w14:paraId="62ACEC5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物质</w:t>
            </w:r>
          </w:p>
        </w:tc>
        <w:tc>
          <w:tcPr>
            <w:tcW w:w="4125" w:type="dxa"/>
          </w:tcPr>
          <w:p w14:paraId="6C907B7D">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阈值</w:t>
            </w:r>
            <w:r>
              <w:rPr>
                <w:b/>
                <w:bCs/>
                <w:color w:val="000000" w:themeColor="text1"/>
                <w:sz w:val="21"/>
                <w:szCs w:val="21"/>
                <w:highlight w:val="none"/>
                <w14:textFill>
                  <w14:solidFill>
                    <w14:schemeClr w14:val="tx1"/>
                  </w14:solidFill>
                </w14:textFill>
              </w:rPr>
              <w:t>浓度（ppm）</w:t>
            </w:r>
          </w:p>
        </w:tc>
      </w:tr>
      <w:tr w14:paraId="2082C2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99" w:type="dxa"/>
          </w:tcPr>
          <w:p w14:paraId="557B6F8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w:t>
            </w:r>
          </w:p>
        </w:tc>
        <w:tc>
          <w:tcPr>
            <w:tcW w:w="4125" w:type="dxa"/>
          </w:tcPr>
          <w:p w14:paraId="53D5D9F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50</w:t>
            </w:r>
          </w:p>
        </w:tc>
      </w:tr>
      <w:tr w14:paraId="0D6CD0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99" w:type="dxa"/>
          </w:tcPr>
          <w:p w14:paraId="2B1BCA1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硫化氢</w:t>
            </w:r>
          </w:p>
        </w:tc>
        <w:tc>
          <w:tcPr>
            <w:tcW w:w="4125" w:type="dxa"/>
          </w:tcPr>
          <w:p w14:paraId="674286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0.005</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1</w:t>
            </w:r>
          </w:p>
        </w:tc>
      </w:tr>
      <w:tr w14:paraId="2CCD2A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99" w:type="dxa"/>
          </w:tcPr>
          <w:p w14:paraId="7CCE5A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甲硫醇</w:t>
            </w:r>
          </w:p>
        </w:tc>
        <w:tc>
          <w:tcPr>
            <w:tcW w:w="4125" w:type="dxa"/>
          </w:tcPr>
          <w:p w14:paraId="7A71F8D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0.0001</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0.0011</w:t>
            </w:r>
          </w:p>
        </w:tc>
      </w:tr>
      <w:tr w14:paraId="02CF6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jc w:val="center"/>
        </w:trPr>
        <w:tc>
          <w:tcPr>
            <w:tcW w:w="4199" w:type="dxa"/>
          </w:tcPr>
          <w:p w14:paraId="3DF7E05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硫化甲基</w:t>
            </w:r>
          </w:p>
        </w:tc>
        <w:tc>
          <w:tcPr>
            <w:tcW w:w="4125" w:type="dxa"/>
          </w:tcPr>
          <w:p w14:paraId="3147113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w:t>
            </w:r>
          </w:p>
        </w:tc>
      </w:tr>
      <w:tr w14:paraId="61A86A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jc w:val="center"/>
        </w:trPr>
        <w:tc>
          <w:tcPr>
            <w:tcW w:w="4199" w:type="dxa"/>
          </w:tcPr>
          <w:p w14:paraId="3465470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三甲胺</w:t>
            </w:r>
          </w:p>
        </w:tc>
        <w:tc>
          <w:tcPr>
            <w:tcW w:w="4125" w:type="dxa"/>
          </w:tcPr>
          <w:p w14:paraId="6708506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0.00021</w:t>
            </w:r>
          </w:p>
        </w:tc>
      </w:tr>
    </w:tbl>
    <w:p w14:paraId="5EC6850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上述恶臭污染物质的臭味特征见表5.2-4。</w:t>
      </w:r>
    </w:p>
    <w:p w14:paraId="2AA126CE">
      <w:pPr>
        <w:spacing w:line="240" w:lineRule="auto"/>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表5.2-4  主要恶臭物质的臭味特征</w:t>
      </w:r>
    </w:p>
    <w:tbl>
      <w:tblPr>
        <w:tblStyle w:val="58"/>
        <w:tblW w:w="8324"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8"/>
        <w:gridCol w:w="4126"/>
      </w:tblGrid>
      <w:tr w14:paraId="3F44B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9" w:hRule="atLeast"/>
        </w:trPr>
        <w:tc>
          <w:tcPr>
            <w:tcW w:w="4198" w:type="dxa"/>
          </w:tcPr>
          <w:p w14:paraId="1CF0917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物质</w:t>
            </w:r>
          </w:p>
        </w:tc>
        <w:tc>
          <w:tcPr>
            <w:tcW w:w="4126" w:type="dxa"/>
          </w:tcPr>
          <w:p w14:paraId="1724321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臭味</w:t>
            </w:r>
          </w:p>
        </w:tc>
      </w:tr>
      <w:tr w14:paraId="4DE42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98" w:type="dxa"/>
          </w:tcPr>
          <w:p w14:paraId="061B83B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w:t>
            </w:r>
          </w:p>
        </w:tc>
        <w:tc>
          <w:tcPr>
            <w:tcW w:w="4126" w:type="dxa"/>
          </w:tcPr>
          <w:p w14:paraId="396AC61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强刺激臭味</w:t>
            </w:r>
          </w:p>
        </w:tc>
      </w:tr>
      <w:tr w14:paraId="55FE26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98" w:type="dxa"/>
          </w:tcPr>
          <w:p w14:paraId="673BCE2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硫化氢</w:t>
            </w:r>
          </w:p>
        </w:tc>
        <w:tc>
          <w:tcPr>
            <w:tcW w:w="4126" w:type="dxa"/>
          </w:tcPr>
          <w:p w14:paraId="0AF0069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臭鸡蛋味</w:t>
            </w:r>
          </w:p>
        </w:tc>
      </w:tr>
      <w:tr w14:paraId="4DF3C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98" w:type="dxa"/>
          </w:tcPr>
          <w:p w14:paraId="15A5B7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甲硫醇</w:t>
            </w:r>
          </w:p>
        </w:tc>
        <w:tc>
          <w:tcPr>
            <w:tcW w:w="4126" w:type="dxa"/>
          </w:tcPr>
          <w:p w14:paraId="6C60F0D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大蒜、韭菜一类臭味</w:t>
            </w:r>
          </w:p>
        </w:tc>
      </w:tr>
      <w:tr w14:paraId="7821E0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198" w:type="dxa"/>
          </w:tcPr>
          <w:p w14:paraId="78138D9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硫化甲基</w:t>
            </w:r>
          </w:p>
        </w:tc>
        <w:tc>
          <w:tcPr>
            <w:tcW w:w="4126" w:type="dxa"/>
          </w:tcPr>
          <w:p w14:paraId="0EC7506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大蒜、韭菜一类臭味</w:t>
            </w:r>
          </w:p>
        </w:tc>
      </w:tr>
      <w:tr w14:paraId="0B682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198" w:type="dxa"/>
          </w:tcPr>
          <w:p w14:paraId="6301C2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三甲胺</w:t>
            </w:r>
          </w:p>
        </w:tc>
        <w:tc>
          <w:tcPr>
            <w:tcW w:w="4126" w:type="dxa"/>
          </w:tcPr>
          <w:p w14:paraId="5D21344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腐鱼似的臭味</w:t>
            </w:r>
          </w:p>
        </w:tc>
      </w:tr>
    </w:tbl>
    <w:p w14:paraId="3785E1A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恶臭物质气味夏季比冬季强，昼间比夜间强，受气态污染物面源的性质决定，距离源点越近，污染物浓度就越高，造成的影响也就越大，但在距离厂界500m处已基本不能闻到臭味，按照恶臭强度分级，属于1级极弱；臭气强度在2</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2.5时，说明多数人注意后可感觉到，本项目臭气强度远臭气强度2；本项目臭气中NH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的阈值比H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S大，说明NH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的影响比H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S的影响大；从臭气物质的臭味特征分析，H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S有臭鸡蛋味，NH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不仅有臭味而且还有刺激性味道。通过查阅相关资料，类比同类型规模已投产猪场，通过选择优质的环保饲料配方、加化学药品抑制猪粪的氨气挥发、保持猪舍空气流通等方法，可使NH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S的排放量</w:t>
      </w:r>
      <w:r>
        <w:rPr>
          <w:rFonts w:hint="eastAsia"/>
          <w:color w:val="000000" w:themeColor="text1"/>
          <w:highlight w:val="none"/>
          <w14:textFill>
            <w14:solidFill>
              <w14:schemeClr w14:val="tx1"/>
            </w14:solidFill>
          </w14:textFill>
        </w:rPr>
        <w:t>大大减少</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对周边大气环境影响</w:t>
      </w:r>
      <w:r>
        <w:rPr>
          <w:rFonts w:hint="eastAsia"/>
          <w:color w:val="000000" w:themeColor="text1"/>
          <w:highlight w:val="none"/>
          <w:lang w:val="en-US" w:eastAsia="zh-CN"/>
          <w14:textFill>
            <w14:solidFill>
              <w14:schemeClr w14:val="tx1"/>
            </w14:solidFill>
          </w14:textFill>
        </w:rPr>
        <w:t>减</w:t>
      </w:r>
      <w:r>
        <w:rPr>
          <w:color w:val="000000" w:themeColor="text1"/>
          <w:highlight w:val="none"/>
          <w14:textFill>
            <w14:solidFill>
              <w14:schemeClr w14:val="tx1"/>
            </w14:solidFill>
          </w14:textFill>
        </w:rPr>
        <w:t>小。</w:t>
      </w:r>
    </w:p>
    <w:p w14:paraId="00C181E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"5.2.1.2"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5.2.1.2</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大气环境影响预测与评价</w:t>
      </w:r>
    </w:p>
    <w:p w14:paraId="45C2339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根据工程分析，本项目废气污染源主要表现为臭气污染，臭气污染主要来自圈舍、</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黑膜池和干湿分离车间</w:t>
      </w:r>
      <w:r>
        <w:rPr>
          <w:color w:val="000000" w:themeColor="text1"/>
          <w:highlight w:val="none"/>
          <w14:textFill>
            <w14:solidFill>
              <w14:schemeClr w14:val="tx1"/>
            </w14:solidFill>
          </w14:textFill>
        </w:rPr>
        <w:t>产生的恶臭，主要恶臭污染物为H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S和NH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。本评价主要以圈舍、</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黑膜池和干湿分离车间</w:t>
      </w:r>
      <w:r>
        <w:rPr>
          <w:color w:val="000000" w:themeColor="text1"/>
          <w:highlight w:val="none"/>
          <w14:textFill>
            <w14:solidFill>
              <w14:schemeClr w14:val="tx1"/>
            </w14:solidFill>
          </w14:textFill>
        </w:rPr>
        <w:t>中H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的排放量来确定评价工作等级。</w:t>
      </w:r>
    </w:p>
    <w:p w14:paraId="4ACDE62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采用《环境影响评价技术导则 大气环境》（HJ2.2-2018）大气估算模式（ARESCEREEN）计算圈舍、</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产生的恶臭在落实环保措施的情况下，H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的最大占标率，并根据《环境影响评价技术导则 大气环境》（HJ2.2-2018）进行评价等级判断。</w:t>
      </w:r>
    </w:p>
    <w:p w14:paraId="24B747C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（1）判定依据</w:t>
      </w:r>
    </w:p>
    <w:p w14:paraId="778E669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项目根据工程特点和污染特征以及周围环境状况，采用《环境影响评价技 术导则大气环境》（HJ2.2-2018）中规定的方法核算，计算公式及评价工作级别判断表（表5.2-5）如下：</w:t>
      </w:r>
    </w:p>
    <w:p w14:paraId="37E26754">
      <w:pPr>
        <w:ind w:firstLine="960" w:firstLineChars="4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P=C</w:t>
      </w:r>
      <w:r>
        <w:rPr>
          <w:color w:val="000000" w:themeColor="text1"/>
          <w:highlight w:val="none"/>
          <w:vertAlign w:val="subscript"/>
          <w14:textFill>
            <w14:solidFill>
              <w14:schemeClr w14:val="tx1"/>
            </w14:solidFill>
          </w14:textFill>
        </w:rPr>
        <w:t>i</w:t>
      </w:r>
      <w:r>
        <w:rPr>
          <w:rFonts w:hint="eastAsia"/>
          <w:color w:val="000000" w:themeColor="text1"/>
          <w:highlight w:val="none"/>
          <w14:textFill>
            <w14:solidFill>
              <w14:schemeClr w14:val="tx1"/>
            </w14:solidFill>
          </w14:textFill>
        </w:rPr>
        <w:t>/C</w:t>
      </w:r>
      <w:r>
        <w:rPr>
          <w:rFonts w:hint="eastAsia"/>
          <w:color w:val="000000" w:themeColor="text1"/>
          <w:highlight w:val="none"/>
          <w:vertAlign w:val="subscript"/>
          <w14:textFill>
            <w14:solidFill>
              <w14:schemeClr w14:val="tx1"/>
            </w14:solidFill>
          </w14:textFill>
        </w:rPr>
        <w:t>0i</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100%</w:t>
      </w:r>
    </w:p>
    <w:p w14:paraId="4666A20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式中：Pi---第i个污染物的最大地面浓度占标率，%；</w:t>
      </w:r>
    </w:p>
    <w:p w14:paraId="17F9165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w:t>
      </w:r>
      <w:r>
        <w:rPr>
          <w:color w:val="000000" w:themeColor="text1"/>
          <w:highlight w:val="none"/>
          <w:vertAlign w:val="subscript"/>
          <w14:textFill>
            <w14:solidFill>
              <w14:schemeClr w14:val="tx1"/>
            </w14:solidFill>
          </w14:textFill>
        </w:rPr>
        <w:t>i</w:t>
      </w:r>
      <w:r>
        <w:rPr>
          <w:color w:val="000000" w:themeColor="text1"/>
          <w:highlight w:val="none"/>
          <w14:textFill>
            <w14:solidFill>
              <w14:schemeClr w14:val="tx1"/>
            </w14:solidFill>
          </w14:textFill>
        </w:rPr>
        <w:t>---采用估算模式计算出的第i个污染物的最大地面浓度，mg/m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p>
    <w:p w14:paraId="4D91B3D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w:t>
      </w:r>
      <w:r>
        <w:rPr>
          <w:rFonts w:hint="eastAsia"/>
          <w:color w:val="000000" w:themeColor="text1"/>
          <w:highlight w:val="none"/>
          <w:vertAlign w:val="subscript"/>
          <w14:textFill>
            <w14:solidFill>
              <w14:schemeClr w14:val="tx1"/>
            </w14:solidFill>
          </w14:textFill>
        </w:rPr>
        <w:t>0</w:t>
      </w:r>
      <w:r>
        <w:rPr>
          <w:color w:val="000000" w:themeColor="text1"/>
          <w:highlight w:val="none"/>
          <w:vertAlign w:val="subscript"/>
          <w14:textFill>
            <w14:solidFill>
              <w14:schemeClr w14:val="tx1"/>
            </w14:solidFill>
          </w14:textFill>
        </w:rPr>
        <w:t>i</w:t>
      </w:r>
      <w:r>
        <w:rPr>
          <w:color w:val="000000" w:themeColor="text1"/>
          <w:highlight w:val="none"/>
          <w14:textFill>
            <w14:solidFill>
              <w14:schemeClr w14:val="tx1"/>
            </w14:solidFill>
          </w14:textFill>
        </w:rPr>
        <w:t>---第i个污染物的环境空气质量标准，mg/m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。一般选用</w:t>
      </w:r>
      <w:r>
        <w:rPr>
          <w:rFonts w:hint="eastAsia"/>
          <w:color w:val="000000" w:themeColor="text1"/>
          <w:highlight w:val="none"/>
          <w14:textFill>
            <w14:solidFill>
              <w14:schemeClr w14:val="tx1"/>
            </w14:solidFill>
          </w14:textFill>
        </w:rPr>
        <w:t>GB 3095-2012</w:t>
      </w:r>
      <w:r>
        <w:rPr>
          <w:color w:val="000000" w:themeColor="text1"/>
          <w:highlight w:val="none"/>
          <w14:textFill>
            <w14:solidFill>
              <w14:schemeClr w14:val="tx1"/>
            </w14:solidFill>
          </w14:textFill>
        </w:rPr>
        <w:t>中1h平均质量浓度的二级浓度限值，µg/m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；对仅有8h平均质量浓度限值、日平均质量浓度限值或年平均质量浓度限值的，可分别按2倍、3倍、6倍折算为1h平均质量浓度限值。</w:t>
      </w:r>
    </w:p>
    <w:p w14:paraId="5155D60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评价工作等级按表5.2-5的分级判据进行划分。最大地面浓度占标率Pi按公式计算，如污染物i大于1，取P值的最大者（Pmax），和其对应的D10%。</w:t>
      </w:r>
    </w:p>
    <w:p w14:paraId="6F4FA21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表5.2-5  评价工作等级分级判据</w:t>
      </w:r>
    </w:p>
    <w:tbl>
      <w:tblPr>
        <w:tblStyle w:val="58"/>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6"/>
        <w:gridCol w:w="6786"/>
      </w:tblGrid>
      <w:tr w14:paraId="02E1E7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46" w:type="dxa"/>
          </w:tcPr>
          <w:p w14:paraId="0EE8337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评价工作等级</w:t>
            </w:r>
          </w:p>
        </w:tc>
        <w:tc>
          <w:tcPr>
            <w:tcW w:w="6786" w:type="dxa"/>
          </w:tcPr>
          <w:p w14:paraId="4A33FC3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评价工作分级判据</w:t>
            </w:r>
          </w:p>
        </w:tc>
      </w:tr>
      <w:tr w14:paraId="1B36F3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46" w:type="dxa"/>
          </w:tcPr>
          <w:p w14:paraId="504F51F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p>
        </w:tc>
        <w:tc>
          <w:tcPr>
            <w:tcW w:w="6786" w:type="dxa"/>
          </w:tcPr>
          <w:p w14:paraId="3BB75C2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Pmax≥10%</w:t>
            </w:r>
          </w:p>
        </w:tc>
      </w:tr>
      <w:tr w14:paraId="25DBB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746" w:type="dxa"/>
          </w:tcPr>
          <w:p w14:paraId="4E1DAE3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c>
          <w:tcPr>
            <w:tcW w:w="6786" w:type="dxa"/>
          </w:tcPr>
          <w:p w14:paraId="3BC1A7F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1%≤Pmax＜10%</w:t>
            </w:r>
          </w:p>
        </w:tc>
      </w:tr>
      <w:tr w14:paraId="2277F6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1746" w:type="dxa"/>
          </w:tcPr>
          <w:p w14:paraId="11A9153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p>
        </w:tc>
        <w:tc>
          <w:tcPr>
            <w:tcW w:w="6786" w:type="dxa"/>
          </w:tcPr>
          <w:p w14:paraId="2722E65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Pmax＜1%</w:t>
            </w:r>
          </w:p>
        </w:tc>
      </w:tr>
    </w:tbl>
    <w:p w14:paraId="5BDBCB6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环境影响评价技术导则 大气环境</w:t>
      </w:r>
      <w:r>
        <w:rPr>
          <w:color w:val="000000" w:themeColor="text1"/>
          <w:highlight w:val="none"/>
          <w14:textFill>
            <w14:solidFill>
              <w14:schemeClr w14:val="tx1"/>
            </w14:solidFill>
          </w14:textFill>
        </w:rPr>
        <w:t>》（HJ2.2-2018），按照估算模式AERSCREEN模式，依据上述公式进行评价等级确定，其中污染物计算参数如下。本项目评价因子和评价标准</w:t>
      </w:r>
      <w:r>
        <w:rPr>
          <w:rFonts w:hint="eastAsia"/>
          <w:color w:val="000000" w:themeColor="text1"/>
          <w:highlight w:val="none"/>
          <w:lang w:eastAsia="zh-CN"/>
          <w14:textFill>
            <w14:solidFill>
              <w14:schemeClr w14:val="tx1"/>
            </w14:solidFill>
          </w14:textFill>
        </w:rPr>
        <w:t>见</w:t>
      </w:r>
      <w:r>
        <w:rPr>
          <w:color w:val="000000" w:themeColor="text1"/>
          <w:highlight w:val="none"/>
          <w14:textFill>
            <w14:solidFill>
              <w14:schemeClr w14:val="tx1"/>
            </w14:solidFill>
          </w14:textFill>
        </w:rPr>
        <w:t>下表5.2-6。</w:t>
      </w:r>
    </w:p>
    <w:p w14:paraId="1C27FBF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表5.2-6  评价因子和评价标准表  单位：</w:t>
      </w:r>
      <w:r>
        <w:rPr>
          <w:rFonts w:hint="eastAsia"/>
          <w:b/>
          <w:bCs/>
          <w:color w:val="000000" w:themeColor="text1"/>
          <w:sz w:val="21"/>
          <w:szCs w:val="21"/>
          <w:highlight w:val="none"/>
          <w:lang w:eastAsia="zh-CN"/>
          <w14:textFill>
            <w14:solidFill>
              <w14:schemeClr w14:val="tx1"/>
            </w14:solidFill>
          </w14:textFill>
        </w:rPr>
        <w:t>μg/m3</w:t>
      </w:r>
    </w:p>
    <w:tbl>
      <w:tblPr>
        <w:tblStyle w:val="58"/>
        <w:tblW w:w="8529"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77"/>
        <w:gridCol w:w="1578"/>
        <w:gridCol w:w="1846"/>
        <w:gridCol w:w="3428"/>
      </w:tblGrid>
      <w:tr w14:paraId="1CDAA2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1677" w:type="dxa"/>
          </w:tcPr>
          <w:p w14:paraId="5104B3E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评价因子</w:t>
            </w:r>
          </w:p>
        </w:tc>
        <w:tc>
          <w:tcPr>
            <w:tcW w:w="1578" w:type="dxa"/>
          </w:tcPr>
          <w:p w14:paraId="5DF65B2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平均时段</w:t>
            </w:r>
          </w:p>
        </w:tc>
        <w:tc>
          <w:tcPr>
            <w:tcW w:w="1846" w:type="dxa"/>
          </w:tcPr>
          <w:p w14:paraId="69378CE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标准值（</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3428" w:type="dxa"/>
          </w:tcPr>
          <w:p w14:paraId="77E8D9C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标准来源</w:t>
            </w:r>
          </w:p>
        </w:tc>
      </w:tr>
      <w:tr w14:paraId="3A500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tcPr>
          <w:p w14:paraId="2419FE1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氨</w:t>
            </w:r>
          </w:p>
        </w:tc>
        <w:tc>
          <w:tcPr>
            <w:tcW w:w="1578" w:type="dxa"/>
            <w:vMerge w:val="restart"/>
          </w:tcPr>
          <w:p w14:paraId="73B3536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1h平均</w:t>
            </w:r>
          </w:p>
        </w:tc>
        <w:tc>
          <w:tcPr>
            <w:tcW w:w="1846" w:type="dxa"/>
          </w:tcPr>
          <w:p w14:paraId="6BC7024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w:t>
            </w:r>
          </w:p>
        </w:tc>
        <w:tc>
          <w:tcPr>
            <w:tcW w:w="3428" w:type="dxa"/>
          </w:tcPr>
          <w:p w14:paraId="2F91031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《环境影响评价技术导则》</w:t>
            </w:r>
          </w:p>
        </w:tc>
      </w:tr>
      <w:tr w14:paraId="0B56CD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677" w:type="dxa"/>
          </w:tcPr>
          <w:p w14:paraId="6760F77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硫化氢</w:t>
            </w:r>
          </w:p>
        </w:tc>
        <w:tc>
          <w:tcPr>
            <w:tcW w:w="1578" w:type="dxa"/>
            <w:vMerge w:val="continue"/>
          </w:tcPr>
          <w:p w14:paraId="245585EA">
            <w:pPr>
              <w:spacing w:line="240" w:lineRule="auto"/>
              <w:jc w:val="center"/>
              <w:rPr>
                <w:color w:val="000000" w:themeColor="text1"/>
                <w:sz w:val="21"/>
                <w:szCs w:val="21"/>
                <w:highlight w:val="none"/>
                <w14:textFill>
                  <w14:solidFill>
                    <w14:schemeClr w14:val="tx1"/>
                  </w14:solidFill>
                </w14:textFill>
              </w:rPr>
            </w:pPr>
          </w:p>
        </w:tc>
        <w:tc>
          <w:tcPr>
            <w:tcW w:w="1846" w:type="dxa"/>
          </w:tcPr>
          <w:p w14:paraId="4F3292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3428" w:type="dxa"/>
          </w:tcPr>
          <w:p w14:paraId="34F9141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（HJ2.2-2018）附录D</w:t>
            </w:r>
          </w:p>
        </w:tc>
      </w:tr>
    </w:tbl>
    <w:p w14:paraId="7EFB19A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（2）估算模型参数</w:t>
      </w:r>
    </w:p>
    <w:p w14:paraId="61C1192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区域特征，AERSCREEN模型选取的参数见表5.2-</w:t>
      </w:r>
      <w:r>
        <w:rPr>
          <w:rFonts w:hint="eastAsia"/>
          <w:color w:val="000000" w:themeColor="text1"/>
          <w:highlight w:val="none"/>
          <w14:textFill>
            <w14:solidFill>
              <w14:schemeClr w14:val="tx1"/>
            </w14:solidFill>
          </w14:textFill>
        </w:rPr>
        <w:t>7</w:t>
      </w:r>
      <w:r>
        <w:rPr>
          <w:color w:val="000000" w:themeColor="text1"/>
          <w:highlight w:val="none"/>
          <w14:textFill>
            <w14:solidFill>
              <w14:schemeClr w14:val="tx1"/>
            </w14:solidFill>
          </w14:textFill>
        </w:rPr>
        <w:t>。</w:t>
      </w:r>
    </w:p>
    <w:p w14:paraId="39DFE2F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w:t>
      </w:r>
      <w:r>
        <w:rPr>
          <w:rFonts w:hint="eastAsia"/>
          <w:b/>
          <w:bCs/>
          <w:color w:val="000000" w:themeColor="text1"/>
          <w:sz w:val="21"/>
          <w:szCs w:val="21"/>
          <w:highlight w:val="none"/>
          <w14:textFill>
            <w14:solidFill>
              <w14:schemeClr w14:val="tx1"/>
            </w14:solidFill>
          </w14:textFill>
        </w:rPr>
        <w:t>7</w:t>
      </w:r>
      <w:r>
        <w:rPr>
          <w:b/>
          <w:bCs/>
          <w:color w:val="000000" w:themeColor="text1"/>
          <w:sz w:val="21"/>
          <w:szCs w:val="21"/>
          <w:highlight w:val="none"/>
          <w14:textFill>
            <w14:solidFill>
              <w14:schemeClr w14:val="tx1"/>
            </w14:solidFill>
          </w14:textFill>
        </w:rPr>
        <w:t xml:space="preserve">  模型参数表</w:t>
      </w:r>
    </w:p>
    <w:tbl>
      <w:tblPr>
        <w:tblStyle w:val="58"/>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67"/>
        <w:gridCol w:w="2790"/>
        <w:gridCol w:w="3575"/>
      </w:tblGrid>
      <w:tr w14:paraId="099E93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957" w:type="dxa"/>
            <w:gridSpan w:val="2"/>
          </w:tcPr>
          <w:p w14:paraId="43675EA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选项</w:t>
            </w:r>
          </w:p>
        </w:tc>
        <w:tc>
          <w:tcPr>
            <w:tcW w:w="3575" w:type="dxa"/>
          </w:tcPr>
          <w:p w14:paraId="7F178B3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取值</w:t>
            </w:r>
          </w:p>
        </w:tc>
      </w:tr>
      <w:tr w14:paraId="00AFE3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67" w:type="dxa"/>
            <w:vMerge w:val="restart"/>
            <w:tcBorders>
              <w:bottom w:val="nil"/>
            </w:tcBorders>
          </w:tcPr>
          <w:p w14:paraId="28D9E3C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城市农村/选项</w:t>
            </w:r>
          </w:p>
        </w:tc>
        <w:tc>
          <w:tcPr>
            <w:tcW w:w="2790" w:type="dxa"/>
          </w:tcPr>
          <w:p w14:paraId="0A1C52B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城市/农村</w:t>
            </w:r>
          </w:p>
        </w:tc>
        <w:tc>
          <w:tcPr>
            <w:tcW w:w="3575" w:type="dxa"/>
          </w:tcPr>
          <w:p w14:paraId="538E421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农村</w:t>
            </w:r>
          </w:p>
        </w:tc>
      </w:tr>
      <w:tr w14:paraId="6CFB77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167" w:type="dxa"/>
            <w:vMerge w:val="continue"/>
            <w:tcBorders>
              <w:top w:val="nil"/>
            </w:tcBorders>
          </w:tcPr>
          <w:p w14:paraId="463F4230">
            <w:pPr>
              <w:spacing w:line="240" w:lineRule="auto"/>
              <w:jc w:val="center"/>
              <w:rPr>
                <w:color w:val="000000" w:themeColor="text1"/>
                <w:sz w:val="21"/>
                <w:szCs w:val="21"/>
                <w:highlight w:val="none"/>
                <w14:textFill>
                  <w14:solidFill>
                    <w14:schemeClr w14:val="tx1"/>
                  </w14:solidFill>
                </w14:textFill>
              </w:rPr>
            </w:pPr>
          </w:p>
        </w:tc>
        <w:tc>
          <w:tcPr>
            <w:tcW w:w="2790" w:type="dxa"/>
          </w:tcPr>
          <w:p w14:paraId="2BB7876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人口数（城市人口数）</w:t>
            </w:r>
          </w:p>
        </w:tc>
        <w:tc>
          <w:tcPr>
            <w:tcW w:w="3575" w:type="dxa"/>
          </w:tcPr>
          <w:p w14:paraId="447E62E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5CB12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957" w:type="dxa"/>
            <w:gridSpan w:val="2"/>
          </w:tcPr>
          <w:p w14:paraId="2A5A58F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最高环境温度</w:t>
            </w:r>
          </w:p>
        </w:tc>
        <w:tc>
          <w:tcPr>
            <w:tcW w:w="3575" w:type="dxa"/>
            <w:vAlign w:val="center"/>
          </w:tcPr>
          <w:p w14:paraId="35BE2144">
            <w:pPr>
              <w:spacing w:line="240" w:lineRule="auto"/>
              <w:jc w:val="center"/>
              <w:rPr>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44</w:t>
            </w:r>
            <w:r>
              <w:rPr>
                <w:rFonts w:hint="eastAsia" w:ascii="Times New Roman" w:hAnsi="Times New Roman" w:eastAsia="宋体" w:cs="宋体"/>
                <w:color w:val="000000" w:themeColor="text1"/>
                <w:sz w:val="21"/>
                <w:szCs w:val="21"/>
                <w:highlight w:val="none"/>
                <w14:textFill>
                  <w14:solidFill>
                    <w14:schemeClr w14:val="tx1"/>
                  </w14:solidFill>
                </w14:textFill>
              </w:rPr>
              <w:t>℃</w:t>
            </w:r>
          </w:p>
        </w:tc>
      </w:tr>
      <w:tr w14:paraId="49963B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4957" w:type="dxa"/>
            <w:gridSpan w:val="2"/>
          </w:tcPr>
          <w:p w14:paraId="42211F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最低环境温度</w:t>
            </w:r>
          </w:p>
        </w:tc>
        <w:tc>
          <w:tcPr>
            <w:tcW w:w="3575" w:type="dxa"/>
            <w:vAlign w:val="center"/>
          </w:tcPr>
          <w:p w14:paraId="29BDD868">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-3</w:t>
            </w:r>
            <w:r>
              <w:rPr>
                <w:rFonts w:ascii="Times New Roman" w:hAnsi="Times New Roman" w:eastAsia="宋体" w:cs="宋体"/>
                <w:color w:val="000000" w:themeColor="text1"/>
                <w:sz w:val="21"/>
                <w:szCs w:val="21"/>
                <w:highlight w:val="none"/>
                <w14:textFill>
                  <w14:solidFill>
                    <w14:schemeClr w14:val="tx1"/>
                  </w14:solidFill>
                </w14:textFill>
              </w:rPr>
              <w:t>1.7</w:t>
            </w:r>
            <w:r>
              <w:rPr>
                <w:rFonts w:hint="eastAsia" w:ascii="Times New Roman" w:hAnsi="Times New Roman" w:eastAsia="宋体" w:cs="宋体"/>
                <w:color w:val="000000" w:themeColor="text1"/>
                <w:sz w:val="21"/>
                <w:szCs w:val="21"/>
                <w:highlight w:val="none"/>
                <w14:textFill>
                  <w14:solidFill>
                    <w14:schemeClr w14:val="tx1"/>
                  </w14:solidFill>
                </w14:textFill>
              </w:rPr>
              <w:t>℃</w:t>
            </w:r>
          </w:p>
        </w:tc>
      </w:tr>
      <w:tr w14:paraId="07F74F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57" w:type="dxa"/>
            <w:gridSpan w:val="2"/>
          </w:tcPr>
          <w:p w14:paraId="07F9C18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土地利用类型</w:t>
            </w:r>
          </w:p>
        </w:tc>
        <w:tc>
          <w:tcPr>
            <w:tcW w:w="3575" w:type="dxa"/>
          </w:tcPr>
          <w:p w14:paraId="30BEB95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沙漠化荒地</w:t>
            </w:r>
          </w:p>
        </w:tc>
      </w:tr>
      <w:tr w14:paraId="7973F3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4957" w:type="dxa"/>
            <w:gridSpan w:val="2"/>
          </w:tcPr>
          <w:p w14:paraId="3B1F424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区域湿度条件</w:t>
            </w:r>
          </w:p>
        </w:tc>
        <w:tc>
          <w:tcPr>
            <w:tcW w:w="3575" w:type="dxa"/>
          </w:tcPr>
          <w:p w14:paraId="19E37B6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干燥</w:t>
            </w:r>
          </w:p>
        </w:tc>
      </w:tr>
      <w:tr w14:paraId="49652C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67" w:type="dxa"/>
            <w:vMerge w:val="restart"/>
            <w:tcBorders>
              <w:bottom w:val="nil"/>
            </w:tcBorders>
          </w:tcPr>
          <w:p w14:paraId="2D01BB2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是否考虑地形</w:t>
            </w:r>
          </w:p>
        </w:tc>
        <w:tc>
          <w:tcPr>
            <w:tcW w:w="2790" w:type="dxa"/>
          </w:tcPr>
          <w:p w14:paraId="60E2309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考虑地形</w:t>
            </w:r>
          </w:p>
        </w:tc>
        <w:tc>
          <w:tcPr>
            <w:tcW w:w="3575" w:type="dxa"/>
          </w:tcPr>
          <w:p w14:paraId="2B51D7C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是</w:t>
            </w:r>
          </w:p>
        </w:tc>
      </w:tr>
      <w:tr w14:paraId="28C81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67" w:type="dxa"/>
            <w:vMerge w:val="continue"/>
            <w:tcBorders>
              <w:top w:val="nil"/>
            </w:tcBorders>
          </w:tcPr>
          <w:p w14:paraId="3E8BA1DB">
            <w:pPr>
              <w:spacing w:line="240" w:lineRule="auto"/>
              <w:jc w:val="center"/>
              <w:rPr>
                <w:color w:val="000000" w:themeColor="text1"/>
                <w:sz w:val="21"/>
                <w:szCs w:val="21"/>
                <w:highlight w:val="none"/>
                <w14:textFill>
                  <w14:solidFill>
                    <w14:schemeClr w14:val="tx1"/>
                  </w14:solidFill>
                </w14:textFill>
              </w:rPr>
            </w:pPr>
          </w:p>
        </w:tc>
        <w:tc>
          <w:tcPr>
            <w:tcW w:w="2790" w:type="dxa"/>
          </w:tcPr>
          <w:p w14:paraId="694034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地形数据分辨率（m）</w:t>
            </w:r>
          </w:p>
        </w:tc>
        <w:tc>
          <w:tcPr>
            <w:tcW w:w="3575" w:type="dxa"/>
          </w:tcPr>
          <w:p w14:paraId="20D7BAE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90</w:t>
            </w:r>
          </w:p>
        </w:tc>
      </w:tr>
      <w:tr w14:paraId="0F350B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67" w:type="dxa"/>
            <w:vMerge w:val="restart"/>
            <w:tcBorders>
              <w:bottom w:val="nil"/>
            </w:tcBorders>
          </w:tcPr>
          <w:p w14:paraId="44D7BDF8">
            <w:pPr>
              <w:spacing w:line="240" w:lineRule="auto"/>
              <w:jc w:val="center"/>
              <w:rPr>
                <w:color w:val="000000" w:themeColor="text1"/>
                <w:sz w:val="21"/>
                <w:szCs w:val="21"/>
                <w:highlight w:val="none"/>
                <w14:textFill>
                  <w14:solidFill>
                    <w14:schemeClr w14:val="tx1"/>
                  </w14:solidFill>
                </w14:textFill>
              </w:rPr>
            </w:pPr>
          </w:p>
          <w:p w14:paraId="6FF1B18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是否考虑海岸线熏烟</w:t>
            </w:r>
          </w:p>
        </w:tc>
        <w:tc>
          <w:tcPr>
            <w:tcW w:w="2790" w:type="dxa"/>
          </w:tcPr>
          <w:p w14:paraId="5F21663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考虑海岸线熏烟</w:t>
            </w:r>
          </w:p>
        </w:tc>
        <w:tc>
          <w:tcPr>
            <w:tcW w:w="3575" w:type="dxa"/>
          </w:tcPr>
          <w:p w14:paraId="616ECEC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否</w:t>
            </w:r>
          </w:p>
        </w:tc>
      </w:tr>
      <w:tr w14:paraId="69C8F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167" w:type="dxa"/>
            <w:vMerge w:val="continue"/>
            <w:tcBorders>
              <w:top w:val="nil"/>
              <w:bottom w:val="nil"/>
            </w:tcBorders>
          </w:tcPr>
          <w:p w14:paraId="7ACC7372">
            <w:pPr>
              <w:spacing w:line="240" w:lineRule="auto"/>
              <w:jc w:val="center"/>
              <w:rPr>
                <w:color w:val="000000" w:themeColor="text1"/>
                <w:sz w:val="21"/>
                <w:szCs w:val="21"/>
                <w:highlight w:val="none"/>
                <w14:textFill>
                  <w14:solidFill>
                    <w14:schemeClr w14:val="tx1"/>
                  </w14:solidFill>
                </w14:textFill>
              </w:rPr>
            </w:pPr>
          </w:p>
        </w:tc>
        <w:tc>
          <w:tcPr>
            <w:tcW w:w="2790" w:type="dxa"/>
          </w:tcPr>
          <w:p w14:paraId="5F06AF4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海岸线距离/km</w:t>
            </w:r>
          </w:p>
        </w:tc>
        <w:tc>
          <w:tcPr>
            <w:tcW w:w="3575" w:type="dxa"/>
          </w:tcPr>
          <w:p w14:paraId="7088ED8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53F06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167" w:type="dxa"/>
            <w:vMerge w:val="continue"/>
            <w:tcBorders>
              <w:top w:val="nil"/>
            </w:tcBorders>
          </w:tcPr>
          <w:p w14:paraId="23E7229E">
            <w:pPr>
              <w:spacing w:line="240" w:lineRule="auto"/>
              <w:jc w:val="center"/>
              <w:rPr>
                <w:color w:val="000000" w:themeColor="text1"/>
                <w:sz w:val="21"/>
                <w:szCs w:val="21"/>
                <w:highlight w:val="none"/>
                <w14:textFill>
                  <w14:solidFill>
                    <w14:schemeClr w14:val="tx1"/>
                  </w14:solidFill>
                </w14:textFill>
              </w:rPr>
            </w:pPr>
          </w:p>
        </w:tc>
        <w:tc>
          <w:tcPr>
            <w:tcW w:w="2790" w:type="dxa"/>
          </w:tcPr>
          <w:p w14:paraId="6CD74F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海岸线方向/o</w:t>
            </w:r>
          </w:p>
        </w:tc>
        <w:tc>
          <w:tcPr>
            <w:tcW w:w="3575" w:type="dxa"/>
          </w:tcPr>
          <w:p w14:paraId="61251DB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bl>
    <w:p w14:paraId="45EFC35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（3）污染源参数</w:t>
      </w:r>
    </w:p>
    <w:p w14:paraId="0855A41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w:t>
      </w:r>
      <w:r>
        <w:rPr>
          <w:rFonts w:hint="eastAsia"/>
          <w:b/>
          <w:bCs/>
          <w:color w:val="000000" w:themeColor="text1"/>
          <w:sz w:val="21"/>
          <w:szCs w:val="21"/>
          <w:highlight w:val="none"/>
          <w14:textFill>
            <w14:solidFill>
              <w14:schemeClr w14:val="tx1"/>
            </w14:solidFill>
          </w14:textFill>
        </w:rPr>
        <w:t>8</w:t>
      </w:r>
      <w:r>
        <w:rPr>
          <w:b/>
          <w:bCs/>
          <w:color w:val="000000" w:themeColor="text1"/>
          <w:sz w:val="21"/>
          <w:szCs w:val="21"/>
          <w:highlight w:val="none"/>
          <w14:textFill>
            <w14:solidFill>
              <w14:schemeClr w14:val="tx1"/>
            </w14:solidFill>
          </w14:textFill>
        </w:rPr>
        <w:t xml:space="preserve">    本工程矩形面源参数表</w:t>
      </w:r>
    </w:p>
    <w:tbl>
      <w:tblPr>
        <w:tblStyle w:val="58"/>
        <w:tblW w:w="841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8"/>
        <w:gridCol w:w="783"/>
        <w:gridCol w:w="438"/>
        <w:gridCol w:w="392"/>
        <w:gridCol w:w="668"/>
        <w:gridCol w:w="575"/>
        <w:gridCol w:w="483"/>
        <w:gridCol w:w="668"/>
        <w:gridCol w:w="668"/>
        <w:gridCol w:w="621"/>
        <w:gridCol w:w="553"/>
        <w:gridCol w:w="876"/>
        <w:gridCol w:w="823"/>
        <w:gridCol w:w="647"/>
      </w:tblGrid>
      <w:tr w14:paraId="7401F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218" w:type="dxa"/>
            <w:vMerge w:val="restart"/>
            <w:tcBorders>
              <w:bottom w:val="nil"/>
            </w:tcBorders>
            <w:textDirection w:val="tbRlV"/>
            <w:vAlign w:val="center"/>
          </w:tcPr>
          <w:p w14:paraId="51DFB75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编号</w:t>
            </w:r>
          </w:p>
        </w:tc>
        <w:tc>
          <w:tcPr>
            <w:tcW w:w="783" w:type="dxa"/>
            <w:vMerge w:val="restart"/>
            <w:tcBorders>
              <w:bottom w:val="nil"/>
            </w:tcBorders>
            <w:vAlign w:val="center"/>
          </w:tcPr>
          <w:p w14:paraId="40481E3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名称</w:t>
            </w:r>
          </w:p>
        </w:tc>
        <w:tc>
          <w:tcPr>
            <w:tcW w:w="830" w:type="dxa"/>
            <w:gridSpan w:val="2"/>
            <w:vAlign w:val="center"/>
          </w:tcPr>
          <w:p w14:paraId="5E2717F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面源起点坐标/m</w:t>
            </w:r>
          </w:p>
        </w:tc>
        <w:tc>
          <w:tcPr>
            <w:tcW w:w="668" w:type="dxa"/>
            <w:vMerge w:val="restart"/>
            <w:tcBorders>
              <w:bottom w:val="nil"/>
            </w:tcBorders>
            <w:vAlign w:val="center"/>
          </w:tcPr>
          <w:p w14:paraId="445BA34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w:t>
            </w:r>
            <w:r>
              <w:rPr>
                <w:rFonts w:hint="eastAsia"/>
                <w:b/>
                <w:bCs/>
                <w:color w:val="000000" w:themeColor="text1"/>
                <w:sz w:val="21"/>
                <w:szCs w:val="21"/>
                <w:highlight w:val="none"/>
                <w:lang w:eastAsia="zh-CN"/>
                <w14:textFill>
                  <w14:solidFill>
                    <w14:schemeClr w14:val="tx1"/>
                  </w14:solidFill>
                </w14:textFill>
              </w:rPr>
              <w:t>海拔</w:t>
            </w:r>
          </w:p>
          <w:p w14:paraId="4B48AD5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/m</w:t>
            </w:r>
          </w:p>
        </w:tc>
        <w:tc>
          <w:tcPr>
            <w:tcW w:w="575" w:type="dxa"/>
            <w:vMerge w:val="restart"/>
            <w:tcBorders>
              <w:bottom w:val="nil"/>
            </w:tcBorders>
            <w:vAlign w:val="center"/>
          </w:tcPr>
          <w:p w14:paraId="6754B9E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面源长度/m</w:t>
            </w:r>
          </w:p>
        </w:tc>
        <w:tc>
          <w:tcPr>
            <w:tcW w:w="483" w:type="dxa"/>
            <w:vMerge w:val="restart"/>
            <w:tcBorders>
              <w:bottom w:val="nil"/>
            </w:tcBorders>
            <w:vAlign w:val="center"/>
          </w:tcPr>
          <w:p w14:paraId="685B5A6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面源宽度/m</w:t>
            </w:r>
          </w:p>
        </w:tc>
        <w:tc>
          <w:tcPr>
            <w:tcW w:w="668" w:type="dxa"/>
            <w:vMerge w:val="restart"/>
            <w:tcBorders>
              <w:bottom w:val="nil"/>
            </w:tcBorders>
            <w:vAlign w:val="center"/>
          </w:tcPr>
          <w:p w14:paraId="29C2338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与正北向夹角/°</w:t>
            </w:r>
          </w:p>
        </w:tc>
        <w:tc>
          <w:tcPr>
            <w:tcW w:w="668" w:type="dxa"/>
            <w:vMerge w:val="restart"/>
            <w:tcBorders>
              <w:bottom w:val="nil"/>
            </w:tcBorders>
            <w:vAlign w:val="center"/>
          </w:tcPr>
          <w:p w14:paraId="07645E4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有效排放高度/m</w:t>
            </w:r>
          </w:p>
        </w:tc>
        <w:tc>
          <w:tcPr>
            <w:tcW w:w="621" w:type="dxa"/>
            <w:vMerge w:val="restart"/>
            <w:tcBorders>
              <w:bottom w:val="nil"/>
            </w:tcBorders>
            <w:vAlign w:val="center"/>
          </w:tcPr>
          <w:p w14:paraId="1D16A6E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年排放小时数/h</w:t>
            </w:r>
          </w:p>
        </w:tc>
        <w:tc>
          <w:tcPr>
            <w:tcW w:w="553" w:type="dxa"/>
            <w:vMerge w:val="restart"/>
            <w:tcBorders>
              <w:bottom w:val="nil"/>
            </w:tcBorders>
            <w:vAlign w:val="center"/>
          </w:tcPr>
          <w:p w14:paraId="707A37E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排放工况</w:t>
            </w:r>
          </w:p>
        </w:tc>
        <w:tc>
          <w:tcPr>
            <w:tcW w:w="2346" w:type="dxa"/>
            <w:gridSpan w:val="3"/>
            <w:vAlign w:val="center"/>
          </w:tcPr>
          <w:p w14:paraId="3FF5266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污染物排放速率/（kg/h）</w:t>
            </w:r>
          </w:p>
        </w:tc>
      </w:tr>
      <w:tr w14:paraId="00981B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trPr>
        <w:tc>
          <w:tcPr>
            <w:tcW w:w="218" w:type="dxa"/>
            <w:vMerge w:val="continue"/>
            <w:tcBorders>
              <w:top w:val="nil"/>
            </w:tcBorders>
            <w:textDirection w:val="tbRlV"/>
            <w:vAlign w:val="center"/>
          </w:tcPr>
          <w:p w14:paraId="35E196AA">
            <w:pPr>
              <w:spacing w:line="240" w:lineRule="auto"/>
              <w:jc w:val="center"/>
              <w:rPr>
                <w:b/>
                <w:bCs/>
                <w:color w:val="000000" w:themeColor="text1"/>
                <w:sz w:val="21"/>
                <w:szCs w:val="21"/>
                <w:highlight w:val="none"/>
                <w14:textFill>
                  <w14:solidFill>
                    <w14:schemeClr w14:val="tx1"/>
                  </w14:solidFill>
                </w14:textFill>
              </w:rPr>
            </w:pPr>
          </w:p>
        </w:tc>
        <w:tc>
          <w:tcPr>
            <w:tcW w:w="783" w:type="dxa"/>
            <w:vMerge w:val="continue"/>
            <w:tcBorders>
              <w:top w:val="nil"/>
            </w:tcBorders>
            <w:vAlign w:val="center"/>
          </w:tcPr>
          <w:p w14:paraId="6FE9D6C6">
            <w:pPr>
              <w:spacing w:line="240" w:lineRule="auto"/>
              <w:jc w:val="center"/>
              <w:rPr>
                <w:b/>
                <w:bCs/>
                <w:color w:val="000000" w:themeColor="text1"/>
                <w:sz w:val="21"/>
                <w:szCs w:val="21"/>
                <w:highlight w:val="none"/>
                <w14:textFill>
                  <w14:solidFill>
                    <w14:schemeClr w14:val="tx1"/>
                  </w14:solidFill>
                </w14:textFill>
              </w:rPr>
            </w:pPr>
          </w:p>
        </w:tc>
        <w:tc>
          <w:tcPr>
            <w:tcW w:w="438" w:type="dxa"/>
            <w:vAlign w:val="center"/>
          </w:tcPr>
          <w:p w14:paraId="5E2B42A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X</w:t>
            </w:r>
          </w:p>
        </w:tc>
        <w:tc>
          <w:tcPr>
            <w:tcW w:w="392" w:type="dxa"/>
            <w:vAlign w:val="center"/>
          </w:tcPr>
          <w:p w14:paraId="4FE19F7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Y</w:t>
            </w:r>
          </w:p>
        </w:tc>
        <w:tc>
          <w:tcPr>
            <w:tcW w:w="668" w:type="dxa"/>
            <w:vMerge w:val="continue"/>
            <w:tcBorders>
              <w:top w:val="nil"/>
            </w:tcBorders>
            <w:vAlign w:val="center"/>
          </w:tcPr>
          <w:p w14:paraId="3B67D5A9">
            <w:pPr>
              <w:spacing w:line="240" w:lineRule="auto"/>
              <w:jc w:val="center"/>
              <w:rPr>
                <w:b/>
                <w:bCs/>
                <w:color w:val="000000" w:themeColor="text1"/>
                <w:sz w:val="21"/>
                <w:szCs w:val="21"/>
                <w:highlight w:val="none"/>
                <w14:textFill>
                  <w14:solidFill>
                    <w14:schemeClr w14:val="tx1"/>
                  </w14:solidFill>
                </w14:textFill>
              </w:rPr>
            </w:pPr>
          </w:p>
        </w:tc>
        <w:tc>
          <w:tcPr>
            <w:tcW w:w="575" w:type="dxa"/>
            <w:vMerge w:val="continue"/>
            <w:tcBorders>
              <w:top w:val="nil"/>
            </w:tcBorders>
            <w:vAlign w:val="center"/>
          </w:tcPr>
          <w:p w14:paraId="51290F44">
            <w:pPr>
              <w:spacing w:line="240" w:lineRule="auto"/>
              <w:jc w:val="center"/>
              <w:rPr>
                <w:b/>
                <w:bCs/>
                <w:color w:val="000000" w:themeColor="text1"/>
                <w:sz w:val="21"/>
                <w:szCs w:val="21"/>
                <w:highlight w:val="none"/>
                <w14:textFill>
                  <w14:solidFill>
                    <w14:schemeClr w14:val="tx1"/>
                  </w14:solidFill>
                </w14:textFill>
              </w:rPr>
            </w:pPr>
          </w:p>
        </w:tc>
        <w:tc>
          <w:tcPr>
            <w:tcW w:w="483" w:type="dxa"/>
            <w:vMerge w:val="continue"/>
            <w:tcBorders>
              <w:top w:val="nil"/>
            </w:tcBorders>
            <w:vAlign w:val="center"/>
          </w:tcPr>
          <w:p w14:paraId="1EADDEFD">
            <w:pPr>
              <w:spacing w:line="240" w:lineRule="auto"/>
              <w:jc w:val="center"/>
              <w:rPr>
                <w:b/>
                <w:bCs/>
                <w:color w:val="000000" w:themeColor="text1"/>
                <w:sz w:val="21"/>
                <w:szCs w:val="21"/>
                <w:highlight w:val="none"/>
                <w14:textFill>
                  <w14:solidFill>
                    <w14:schemeClr w14:val="tx1"/>
                  </w14:solidFill>
                </w14:textFill>
              </w:rPr>
            </w:pPr>
          </w:p>
        </w:tc>
        <w:tc>
          <w:tcPr>
            <w:tcW w:w="668" w:type="dxa"/>
            <w:vMerge w:val="continue"/>
            <w:tcBorders>
              <w:top w:val="nil"/>
            </w:tcBorders>
            <w:vAlign w:val="center"/>
          </w:tcPr>
          <w:p w14:paraId="0DE29E09">
            <w:pPr>
              <w:spacing w:line="240" w:lineRule="auto"/>
              <w:jc w:val="center"/>
              <w:rPr>
                <w:b/>
                <w:bCs/>
                <w:color w:val="000000" w:themeColor="text1"/>
                <w:sz w:val="21"/>
                <w:szCs w:val="21"/>
                <w:highlight w:val="none"/>
                <w14:textFill>
                  <w14:solidFill>
                    <w14:schemeClr w14:val="tx1"/>
                  </w14:solidFill>
                </w14:textFill>
              </w:rPr>
            </w:pPr>
          </w:p>
        </w:tc>
        <w:tc>
          <w:tcPr>
            <w:tcW w:w="668" w:type="dxa"/>
            <w:vMerge w:val="continue"/>
            <w:tcBorders>
              <w:top w:val="nil"/>
            </w:tcBorders>
            <w:vAlign w:val="center"/>
          </w:tcPr>
          <w:p w14:paraId="195310BF">
            <w:pPr>
              <w:spacing w:line="240" w:lineRule="auto"/>
              <w:jc w:val="center"/>
              <w:rPr>
                <w:b/>
                <w:bCs/>
                <w:color w:val="000000" w:themeColor="text1"/>
                <w:sz w:val="21"/>
                <w:szCs w:val="21"/>
                <w:highlight w:val="none"/>
                <w14:textFill>
                  <w14:solidFill>
                    <w14:schemeClr w14:val="tx1"/>
                  </w14:solidFill>
                </w14:textFill>
              </w:rPr>
            </w:pPr>
          </w:p>
        </w:tc>
        <w:tc>
          <w:tcPr>
            <w:tcW w:w="621" w:type="dxa"/>
            <w:vMerge w:val="continue"/>
            <w:tcBorders>
              <w:top w:val="nil"/>
            </w:tcBorders>
            <w:vAlign w:val="center"/>
          </w:tcPr>
          <w:p w14:paraId="0F7A4D67">
            <w:pPr>
              <w:spacing w:line="240" w:lineRule="auto"/>
              <w:jc w:val="center"/>
              <w:rPr>
                <w:b/>
                <w:bCs/>
                <w:color w:val="000000" w:themeColor="text1"/>
                <w:sz w:val="21"/>
                <w:szCs w:val="21"/>
                <w:highlight w:val="none"/>
                <w14:textFill>
                  <w14:solidFill>
                    <w14:schemeClr w14:val="tx1"/>
                  </w14:solidFill>
                </w14:textFill>
              </w:rPr>
            </w:pPr>
          </w:p>
        </w:tc>
        <w:tc>
          <w:tcPr>
            <w:tcW w:w="553" w:type="dxa"/>
            <w:vMerge w:val="continue"/>
            <w:tcBorders>
              <w:top w:val="nil"/>
            </w:tcBorders>
            <w:vAlign w:val="center"/>
          </w:tcPr>
          <w:p w14:paraId="1C2A042B">
            <w:pPr>
              <w:spacing w:line="240" w:lineRule="auto"/>
              <w:jc w:val="center"/>
              <w:rPr>
                <w:b/>
                <w:bCs/>
                <w:color w:val="000000" w:themeColor="text1"/>
                <w:sz w:val="21"/>
                <w:szCs w:val="21"/>
                <w:highlight w:val="none"/>
                <w14:textFill>
                  <w14:solidFill>
                    <w14:schemeClr w14:val="tx1"/>
                  </w14:solidFill>
                </w14:textFill>
              </w:rPr>
            </w:pPr>
          </w:p>
        </w:tc>
        <w:tc>
          <w:tcPr>
            <w:tcW w:w="876" w:type="dxa"/>
            <w:vAlign w:val="center"/>
          </w:tcPr>
          <w:p w14:paraId="36518E6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NH</w:t>
            </w:r>
            <w:r>
              <w:rPr>
                <w:b/>
                <w:bCs/>
                <w:color w:val="000000" w:themeColor="text1"/>
                <w:sz w:val="21"/>
                <w:szCs w:val="21"/>
                <w:highlight w:val="none"/>
                <w:vertAlign w:val="subscript"/>
                <w14:textFill>
                  <w14:solidFill>
                    <w14:schemeClr w14:val="tx1"/>
                  </w14:solidFill>
                </w14:textFill>
              </w:rPr>
              <w:t>3</w:t>
            </w:r>
          </w:p>
        </w:tc>
        <w:tc>
          <w:tcPr>
            <w:tcW w:w="823" w:type="dxa"/>
            <w:vAlign w:val="center"/>
          </w:tcPr>
          <w:p w14:paraId="5BBB9BF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H</w:t>
            </w:r>
            <w:r>
              <w:rPr>
                <w:b/>
                <w:bCs/>
                <w:color w:val="000000" w:themeColor="text1"/>
                <w:sz w:val="21"/>
                <w:szCs w:val="21"/>
                <w:highlight w:val="none"/>
                <w:vertAlign w:val="subscript"/>
                <w14:textFill>
                  <w14:solidFill>
                    <w14:schemeClr w14:val="tx1"/>
                  </w14:solidFill>
                </w14:textFill>
              </w:rPr>
              <w:t>2</w:t>
            </w:r>
            <w:r>
              <w:rPr>
                <w:b/>
                <w:bCs/>
                <w:color w:val="000000" w:themeColor="text1"/>
                <w:sz w:val="21"/>
                <w:szCs w:val="21"/>
                <w:highlight w:val="none"/>
                <w14:textFill>
                  <w14:solidFill>
                    <w14:schemeClr w14:val="tx1"/>
                  </w14:solidFill>
                </w14:textFill>
              </w:rPr>
              <w:t>S</w:t>
            </w:r>
          </w:p>
        </w:tc>
        <w:tc>
          <w:tcPr>
            <w:tcW w:w="647" w:type="dxa"/>
            <w:vAlign w:val="center"/>
          </w:tcPr>
          <w:p w14:paraId="1F192063">
            <w:pPr>
              <w:spacing w:line="240" w:lineRule="auto"/>
              <w:jc w:val="center"/>
              <w:rPr>
                <w:rFonts w:hint="default" w:eastAsia="宋体"/>
                <w:b/>
                <w:bCs/>
                <w:color w:val="000000" w:themeColor="text1"/>
                <w:sz w:val="21"/>
                <w:szCs w:val="21"/>
                <w:highlight w:val="none"/>
                <w:lang w:val="en-US"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TSP</w:t>
            </w:r>
          </w:p>
        </w:tc>
      </w:tr>
      <w:tr w14:paraId="04511E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218" w:type="dxa"/>
            <w:vAlign w:val="center"/>
          </w:tcPr>
          <w:p w14:paraId="663D8C2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783" w:type="dxa"/>
            <w:vAlign w:val="center"/>
          </w:tcPr>
          <w:p w14:paraId="2D653EA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圈舍（M001）</w:t>
            </w:r>
          </w:p>
        </w:tc>
        <w:tc>
          <w:tcPr>
            <w:tcW w:w="438" w:type="dxa"/>
            <w:vAlign w:val="center"/>
          </w:tcPr>
          <w:p w14:paraId="2A5B6D9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92" w:type="dxa"/>
            <w:vAlign w:val="center"/>
          </w:tcPr>
          <w:p w14:paraId="48BF940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668" w:type="dxa"/>
            <w:vAlign w:val="center"/>
          </w:tcPr>
          <w:p w14:paraId="06C5C13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302</w:t>
            </w:r>
          </w:p>
        </w:tc>
        <w:tc>
          <w:tcPr>
            <w:tcW w:w="575" w:type="dxa"/>
            <w:vAlign w:val="center"/>
          </w:tcPr>
          <w:p w14:paraId="27CC3594">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225</w:t>
            </w:r>
          </w:p>
        </w:tc>
        <w:tc>
          <w:tcPr>
            <w:tcW w:w="483" w:type="dxa"/>
            <w:vAlign w:val="center"/>
          </w:tcPr>
          <w:p w14:paraId="58512A49">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240</w:t>
            </w:r>
          </w:p>
        </w:tc>
        <w:tc>
          <w:tcPr>
            <w:tcW w:w="668" w:type="dxa"/>
            <w:vAlign w:val="center"/>
          </w:tcPr>
          <w:p w14:paraId="5AD5AAA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68" w:type="dxa"/>
            <w:vAlign w:val="center"/>
          </w:tcPr>
          <w:p w14:paraId="3C89230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621" w:type="dxa"/>
            <w:vAlign w:val="center"/>
          </w:tcPr>
          <w:p w14:paraId="2613FF46">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c>
          <w:tcPr>
            <w:tcW w:w="553" w:type="dxa"/>
            <w:vAlign w:val="center"/>
          </w:tcPr>
          <w:p w14:paraId="0853283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w:t>
            </w:r>
          </w:p>
        </w:tc>
        <w:tc>
          <w:tcPr>
            <w:tcW w:w="876" w:type="dxa"/>
            <w:vAlign w:val="center"/>
          </w:tcPr>
          <w:p w14:paraId="0556FF0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0.344</w:t>
            </w:r>
          </w:p>
        </w:tc>
        <w:tc>
          <w:tcPr>
            <w:tcW w:w="823" w:type="dxa"/>
            <w:vAlign w:val="center"/>
          </w:tcPr>
          <w:p w14:paraId="071172C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0.054</w:t>
            </w:r>
          </w:p>
        </w:tc>
        <w:tc>
          <w:tcPr>
            <w:tcW w:w="647" w:type="dxa"/>
            <w:vAlign w:val="center"/>
          </w:tcPr>
          <w:p w14:paraId="6F217AE6">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73A1AD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218" w:type="dxa"/>
            <w:vAlign w:val="center"/>
          </w:tcPr>
          <w:p w14:paraId="4DAAC2E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783" w:type="dxa"/>
            <w:vAlign w:val="center"/>
          </w:tcPr>
          <w:p w14:paraId="50B8B77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（M002）</w:t>
            </w:r>
          </w:p>
        </w:tc>
        <w:tc>
          <w:tcPr>
            <w:tcW w:w="438" w:type="dxa"/>
            <w:vAlign w:val="center"/>
          </w:tcPr>
          <w:p w14:paraId="10924A9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92" w:type="dxa"/>
            <w:vAlign w:val="center"/>
          </w:tcPr>
          <w:p w14:paraId="533809B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668" w:type="dxa"/>
            <w:vAlign w:val="center"/>
          </w:tcPr>
          <w:p w14:paraId="24E40F0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302</w:t>
            </w:r>
          </w:p>
        </w:tc>
        <w:tc>
          <w:tcPr>
            <w:tcW w:w="575" w:type="dxa"/>
            <w:vAlign w:val="center"/>
          </w:tcPr>
          <w:p w14:paraId="10270A6D">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483" w:type="dxa"/>
            <w:vAlign w:val="center"/>
          </w:tcPr>
          <w:p w14:paraId="36E0F0AA">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668" w:type="dxa"/>
            <w:vAlign w:val="center"/>
          </w:tcPr>
          <w:p w14:paraId="6E1AEF0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68" w:type="dxa"/>
            <w:vAlign w:val="center"/>
          </w:tcPr>
          <w:p w14:paraId="22CE9A4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621" w:type="dxa"/>
            <w:vAlign w:val="center"/>
          </w:tcPr>
          <w:p w14:paraId="2D2E141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c>
          <w:tcPr>
            <w:tcW w:w="553" w:type="dxa"/>
            <w:vAlign w:val="center"/>
          </w:tcPr>
          <w:p w14:paraId="6D650DA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w:t>
            </w:r>
          </w:p>
        </w:tc>
        <w:tc>
          <w:tcPr>
            <w:tcW w:w="876" w:type="dxa"/>
            <w:vAlign w:val="center"/>
          </w:tcPr>
          <w:p w14:paraId="5531E68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0.0075</w:t>
            </w:r>
          </w:p>
        </w:tc>
        <w:tc>
          <w:tcPr>
            <w:tcW w:w="823" w:type="dxa"/>
            <w:vAlign w:val="center"/>
          </w:tcPr>
          <w:p w14:paraId="11FE42BD">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0.00</w:t>
            </w:r>
            <w:r>
              <w:rPr>
                <w:rFonts w:hint="eastAsia"/>
                <w:color w:val="000000" w:themeColor="text1"/>
                <w:sz w:val="21"/>
                <w:szCs w:val="21"/>
                <w:highlight w:val="none"/>
                <w:lang w:val="en-US" w:eastAsia="zh-CN"/>
                <w14:textFill>
                  <w14:solidFill>
                    <w14:schemeClr w14:val="tx1"/>
                  </w14:solidFill>
                </w14:textFill>
              </w:rPr>
              <w:t>08</w:t>
            </w:r>
          </w:p>
        </w:tc>
        <w:tc>
          <w:tcPr>
            <w:tcW w:w="647" w:type="dxa"/>
            <w:vAlign w:val="center"/>
          </w:tcPr>
          <w:p w14:paraId="67CA38E0">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52D0A8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0" w:hRule="atLeast"/>
        </w:trPr>
        <w:tc>
          <w:tcPr>
            <w:tcW w:w="218" w:type="dxa"/>
            <w:vAlign w:val="center"/>
          </w:tcPr>
          <w:p w14:paraId="00A7AF4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783" w:type="dxa"/>
            <w:vAlign w:val="center"/>
          </w:tcPr>
          <w:p w14:paraId="560F7E3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（M003）</w:t>
            </w:r>
          </w:p>
        </w:tc>
        <w:tc>
          <w:tcPr>
            <w:tcW w:w="438" w:type="dxa"/>
            <w:vAlign w:val="center"/>
          </w:tcPr>
          <w:p w14:paraId="6EAA71B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92" w:type="dxa"/>
            <w:vAlign w:val="center"/>
          </w:tcPr>
          <w:p w14:paraId="57059D8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668" w:type="dxa"/>
            <w:vAlign w:val="center"/>
          </w:tcPr>
          <w:p w14:paraId="7DF9706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302</w:t>
            </w:r>
          </w:p>
        </w:tc>
        <w:tc>
          <w:tcPr>
            <w:tcW w:w="575" w:type="dxa"/>
            <w:shd w:val="clear" w:color="auto" w:fill="auto"/>
            <w:vAlign w:val="center"/>
          </w:tcPr>
          <w:p w14:paraId="1E65D9D4">
            <w:pPr>
              <w:spacing w:line="240" w:lineRule="auto"/>
              <w:jc w:val="center"/>
              <w:rPr>
                <w:rFonts w:hint="default"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w:t>
            </w:r>
          </w:p>
        </w:tc>
        <w:tc>
          <w:tcPr>
            <w:tcW w:w="483" w:type="dxa"/>
            <w:shd w:val="clear" w:color="auto" w:fill="auto"/>
            <w:vAlign w:val="center"/>
          </w:tcPr>
          <w:p w14:paraId="5DED6B24">
            <w:pPr>
              <w:spacing w:line="240" w:lineRule="auto"/>
              <w:jc w:val="center"/>
              <w:rPr>
                <w:rFonts w:hint="default"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35</w:t>
            </w:r>
          </w:p>
        </w:tc>
        <w:tc>
          <w:tcPr>
            <w:tcW w:w="668" w:type="dxa"/>
            <w:vAlign w:val="center"/>
          </w:tcPr>
          <w:p w14:paraId="199D53B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68" w:type="dxa"/>
            <w:vAlign w:val="center"/>
          </w:tcPr>
          <w:p w14:paraId="63D5971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621" w:type="dxa"/>
            <w:vAlign w:val="center"/>
          </w:tcPr>
          <w:p w14:paraId="1E84E89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c>
          <w:tcPr>
            <w:tcW w:w="553" w:type="dxa"/>
            <w:vAlign w:val="center"/>
          </w:tcPr>
          <w:p w14:paraId="1958996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w:t>
            </w:r>
          </w:p>
        </w:tc>
        <w:tc>
          <w:tcPr>
            <w:tcW w:w="876" w:type="dxa"/>
            <w:vAlign w:val="center"/>
          </w:tcPr>
          <w:p w14:paraId="6BB2F483">
            <w:pPr>
              <w:spacing w:line="240" w:lineRule="auto"/>
              <w:jc w:val="center"/>
              <w:rPr>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0.002</w:t>
            </w:r>
          </w:p>
        </w:tc>
        <w:tc>
          <w:tcPr>
            <w:tcW w:w="823" w:type="dxa"/>
            <w:vAlign w:val="center"/>
          </w:tcPr>
          <w:p w14:paraId="3758C471">
            <w:pPr>
              <w:spacing w:line="240" w:lineRule="auto"/>
              <w:jc w:val="center"/>
              <w:rPr>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0.00007</w:t>
            </w:r>
          </w:p>
        </w:tc>
        <w:tc>
          <w:tcPr>
            <w:tcW w:w="647" w:type="dxa"/>
            <w:vAlign w:val="center"/>
          </w:tcPr>
          <w:p w14:paraId="1CB01A08">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r>
      <w:tr w14:paraId="5A715B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1" w:hRule="atLeast"/>
        </w:trPr>
        <w:tc>
          <w:tcPr>
            <w:tcW w:w="218" w:type="dxa"/>
            <w:vAlign w:val="center"/>
          </w:tcPr>
          <w:p w14:paraId="030A91F2">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783" w:type="dxa"/>
            <w:vAlign w:val="center"/>
          </w:tcPr>
          <w:p w14:paraId="1962437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干湿分离车间（</w:t>
            </w:r>
            <w:r>
              <w:rPr>
                <w:color w:val="000000" w:themeColor="text1"/>
                <w:sz w:val="21"/>
                <w:szCs w:val="21"/>
                <w:highlight w:val="none"/>
                <w14:textFill>
                  <w14:solidFill>
                    <w14:schemeClr w14:val="tx1"/>
                  </w14:solidFill>
                </w14:textFill>
              </w:rPr>
              <w:t>M00</w:t>
            </w:r>
            <w:r>
              <w:rPr>
                <w:rFonts w:hint="eastAsia"/>
                <w:color w:val="000000" w:themeColor="text1"/>
                <w:sz w:val="21"/>
                <w:szCs w:val="21"/>
                <w:highlight w:val="none"/>
                <w14:textFill>
                  <w14:solidFill>
                    <w14:schemeClr w14:val="tx1"/>
                  </w14:solidFill>
                </w14:textFill>
              </w:rPr>
              <w:t>4）</w:t>
            </w:r>
          </w:p>
        </w:tc>
        <w:tc>
          <w:tcPr>
            <w:tcW w:w="438" w:type="dxa"/>
            <w:vAlign w:val="center"/>
          </w:tcPr>
          <w:p w14:paraId="14434D4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392" w:type="dxa"/>
            <w:vAlign w:val="center"/>
          </w:tcPr>
          <w:p w14:paraId="4B71488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668" w:type="dxa"/>
            <w:vAlign w:val="center"/>
          </w:tcPr>
          <w:p w14:paraId="31B4A07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302</w:t>
            </w:r>
          </w:p>
        </w:tc>
        <w:tc>
          <w:tcPr>
            <w:tcW w:w="575" w:type="dxa"/>
            <w:shd w:val="clear" w:color="auto" w:fill="auto"/>
            <w:vAlign w:val="center"/>
          </w:tcPr>
          <w:p w14:paraId="7606D604">
            <w:pPr>
              <w:spacing w:line="240" w:lineRule="auto"/>
              <w:jc w:val="center"/>
              <w:rPr>
                <w:rFonts w:hint="default"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483" w:type="dxa"/>
            <w:shd w:val="clear" w:color="auto" w:fill="auto"/>
            <w:vAlign w:val="center"/>
          </w:tcPr>
          <w:p w14:paraId="4DA2FCBA">
            <w:pPr>
              <w:spacing w:line="240" w:lineRule="auto"/>
              <w:jc w:val="center"/>
              <w:rPr>
                <w:rFonts w:hint="default" w:ascii="Times New Roman" w:hAnsi="Times New Roman" w:eastAsia="宋体" w:cs="宋体"/>
                <w:color w:val="000000" w:themeColor="text1"/>
                <w:sz w:val="21"/>
                <w:szCs w:val="21"/>
                <w:highlight w:val="none"/>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w:t>
            </w:r>
          </w:p>
        </w:tc>
        <w:tc>
          <w:tcPr>
            <w:tcW w:w="668" w:type="dxa"/>
            <w:vAlign w:val="center"/>
          </w:tcPr>
          <w:p w14:paraId="54A7030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w:t>
            </w:r>
          </w:p>
        </w:tc>
        <w:tc>
          <w:tcPr>
            <w:tcW w:w="668" w:type="dxa"/>
            <w:vAlign w:val="center"/>
          </w:tcPr>
          <w:p w14:paraId="2B8D8FF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621" w:type="dxa"/>
            <w:vAlign w:val="center"/>
          </w:tcPr>
          <w:p w14:paraId="320B3B6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c>
          <w:tcPr>
            <w:tcW w:w="553" w:type="dxa"/>
            <w:vAlign w:val="center"/>
          </w:tcPr>
          <w:p w14:paraId="6F67D35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w:t>
            </w:r>
          </w:p>
        </w:tc>
        <w:tc>
          <w:tcPr>
            <w:tcW w:w="876" w:type="dxa"/>
            <w:vAlign w:val="center"/>
          </w:tcPr>
          <w:p w14:paraId="0B3770E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w:t>
            </w:r>
          </w:p>
        </w:tc>
        <w:tc>
          <w:tcPr>
            <w:tcW w:w="823" w:type="dxa"/>
            <w:vAlign w:val="center"/>
          </w:tcPr>
          <w:p w14:paraId="7D649C5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0.0003</w:t>
            </w:r>
          </w:p>
        </w:tc>
        <w:tc>
          <w:tcPr>
            <w:tcW w:w="647" w:type="dxa"/>
            <w:vAlign w:val="center"/>
          </w:tcPr>
          <w:p w14:paraId="1D37636D">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r>
      <w:tr w14:paraId="1FC20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6" w:hRule="atLeast"/>
        </w:trPr>
        <w:tc>
          <w:tcPr>
            <w:tcW w:w="218" w:type="dxa"/>
            <w:vAlign w:val="center"/>
          </w:tcPr>
          <w:p w14:paraId="6D56241E">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w:t>
            </w:r>
          </w:p>
        </w:tc>
        <w:tc>
          <w:tcPr>
            <w:tcW w:w="783" w:type="dxa"/>
            <w:vAlign w:val="center"/>
          </w:tcPr>
          <w:p w14:paraId="5E443BD9">
            <w:pPr>
              <w:spacing w:line="240" w:lineRule="auto"/>
              <w:jc w:val="center"/>
              <w:rPr>
                <w:rFonts w:hint="eastAsia"/>
                <w:color w:val="000000" w:themeColor="text1"/>
                <w:sz w:val="21"/>
                <w:szCs w:val="21"/>
                <w:highlight w:val="none"/>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饲料加工车间（</w:t>
            </w:r>
            <w:r>
              <w:rPr>
                <w:color w:val="000000" w:themeColor="text1"/>
                <w:sz w:val="21"/>
                <w:szCs w:val="21"/>
                <w:highlight w:val="none"/>
                <w14:textFill>
                  <w14:solidFill>
                    <w14:schemeClr w14:val="tx1"/>
                  </w14:solidFill>
                </w14:textFill>
              </w:rPr>
              <w:t>M00</w:t>
            </w:r>
            <w:r>
              <w:rPr>
                <w:rFonts w:hint="eastAsia"/>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438" w:type="dxa"/>
            <w:vAlign w:val="center"/>
          </w:tcPr>
          <w:p w14:paraId="565D4B97">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392" w:type="dxa"/>
            <w:vAlign w:val="center"/>
          </w:tcPr>
          <w:p w14:paraId="33E14D40">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68" w:type="dxa"/>
            <w:vAlign w:val="center"/>
          </w:tcPr>
          <w:p w14:paraId="53A17DE0">
            <w:pPr>
              <w:spacing w:line="240" w:lineRule="auto"/>
              <w:jc w:val="center"/>
              <w:rPr>
                <w:rFonts w:hint="eastAsia" w:ascii="Times New Roman" w:hAnsi="Times New Roman" w:cs="Times New Roman"/>
                <w:color w:val="000000" w:themeColor="text1"/>
                <w:sz w:val="21"/>
                <w:szCs w:val="21"/>
                <w:highlight w:val="none"/>
                <w:shd w:val="clear" w:color="auto" w:fill="auto"/>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302</w:t>
            </w:r>
          </w:p>
        </w:tc>
        <w:tc>
          <w:tcPr>
            <w:tcW w:w="575" w:type="dxa"/>
            <w:vAlign w:val="center"/>
          </w:tcPr>
          <w:p w14:paraId="7958F3EE">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w:t>
            </w:r>
          </w:p>
        </w:tc>
        <w:tc>
          <w:tcPr>
            <w:tcW w:w="483" w:type="dxa"/>
            <w:vAlign w:val="center"/>
          </w:tcPr>
          <w:p w14:paraId="353934D2">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w:t>
            </w:r>
          </w:p>
        </w:tc>
        <w:tc>
          <w:tcPr>
            <w:tcW w:w="668" w:type="dxa"/>
            <w:vAlign w:val="center"/>
          </w:tcPr>
          <w:p w14:paraId="60884833">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w:t>
            </w:r>
          </w:p>
        </w:tc>
        <w:tc>
          <w:tcPr>
            <w:tcW w:w="668" w:type="dxa"/>
            <w:vAlign w:val="center"/>
          </w:tcPr>
          <w:p w14:paraId="77421DB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621" w:type="dxa"/>
            <w:vAlign w:val="center"/>
          </w:tcPr>
          <w:p w14:paraId="14BE201A">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8760</w:t>
            </w:r>
          </w:p>
        </w:tc>
        <w:tc>
          <w:tcPr>
            <w:tcW w:w="553" w:type="dxa"/>
            <w:vAlign w:val="center"/>
          </w:tcPr>
          <w:p w14:paraId="438566D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w:t>
            </w:r>
          </w:p>
        </w:tc>
        <w:tc>
          <w:tcPr>
            <w:tcW w:w="876" w:type="dxa"/>
            <w:vAlign w:val="center"/>
          </w:tcPr>
          <w:p w14:paraId="67AE2839">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823" w:type="dxa"/>
            <w:vAlign w:val="center"/>
          </w:tcPr>
          <w:p w14:paraId="1650BB10">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647" w:type="dxa"/>
            <w:vAlign w:val="center"/>
          </w:tcPr>
          <w:p w14:paraId="0B42E6B1">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0.014</w:t>
            </w:r>
          </w:p>
        </w:tc>
      </w:tr>
    </w:tbl>
    <w:p w14:paraId="057FA69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（4）估算结果</w:t>
      </w:r>
    </w:p>
    <w:p w14:paraId="4F7793D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①圈舍（M001）</w:t>
      </w:r>
    </w:p>
    <w:p w14:paraId="5AB05B1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圈舍（M001）面源无组织废气预测结果，具体结果见表5.2-9。</w:t>
      </w:r>
    </w:p>
    <w:p w14:paraId="344FEEA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表5.2-9  圈舍污染源估算模型计算结果表</w:t>
      </w:r>
    </w:p>
    <w:tbl>
      <w:tblPr>
        <w:tblStyle w:val="58"/>
        <w:tblW w:w="83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73"/>
        <w:gridCol w:w="1896"/>
        <w:gridCol w:w="1465"/>
        <w:gridCol w:w="1982"/>
        <w:gridCol w:w="1056"/>
      </w:tblGrid>
      <w:tr w14:paraId="176C41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73" w:type="dxa"/>
            <w:vMerge w:val="restart"/>
            <w:tcBorders>
              <w:bottom w:val="nil"/>
            </w:tcBorders>
            <w:vAlign w:val="center"/>
          </w:tcPr>
          <w:p w14:paraId="3940393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下风向距离（m）</w:t>
            </w:r>
          </w:p>
        </w:tc>
        <w:tc>
          <w:tcPr>
            <w:tcW w:w="6399" w:type="dxa"/>
            <w:gridSpan w:val="4"/>
            <w:vAlign w:val="center"/>
          </w:tcPr>
          <w:p w14:paraId="0A34527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面源（圈舍 M001）</w:t>
            </w:r>
          </w:p>
        </w:tc>
      </w:tr>
      <w:tr w14:paraId="51043A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73" w:type="dxa"/>
            <w:vMerge w:val="continue"/>
            <w:tcBorders>
              <w:top w:val="nil"/>
              <w:bottom w:val="nil"/>
            </w:tcBorders>
            <w:vAlign w:val="center"/>
          </w:tcPr>
          <w:p w14:paraId="20561755">
            <w:pPr>
              <w:spacing w:line="240" w:lineRule="auto"/>
              <w:jc w:val="center"/>
              <w:rPr>
                <w:b/>
                <w:bCs/>
                <w:color w:val="000000" w:themeColor="text1"/>
                <w:sz w:val="21"/>
                <w:szCs w:val="21"/>
                <w:highlight w:val="none"/>
                <w14:textFill>
                  <w14:solidFill>
                    <w14:schemeClr w14:val="tx1"/>
                  </w14:solidFill>
                </w14:textFill>
              </w:rPr>
            </w:pPr>
          </w:p>
        </w:tc>
        <w:tc>
          <w:tcPr>
            <w:tcW w:w="3361" w:type="dxa"/>
            <w:gridSpan w:val="2"/>
            <w:vAlign w:val="center"/>
          </w:tcPr>
          <w:p w14:paraId="23B0417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NH</w:t>
            </w:r>
            <w:r>
              <w:rPr>
                <w:b/>
                <w:bCs/>
                <w:color w:val="000000" w:themeColor="text1"/>
                <w:sz w:val="21"/>
                <w:szCs w:val="21"/>
                <w:highlight w:val="none"/>
                <w:vertAlign w:val="subscript"/>
                <w14:textFill>
                  <w14:solidFill>
                    <w14:schemeClr w14:val="tx1"/>
                  </w14:solidFill>
                </w14:textFill>
              </w:rPr>
              <w:t>3</w:t>
            </w:r>
          </w:p>
        </w:tc>
        <w:tc>
          <w:tcPr>
            <w:tcW w:w="3038" w:type="dxa"/>
            <w:gridSpan w:val="2"/>
            <w:vAlign w:val="center"/>
          </w:tcPr>
          <w:p w14:paraId="77860CF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H</w:t>
            </w:r>
            <w:r>
              <w:rPr>
                <w:b/>
                <w:bCs/>
                <w:color w:val="000000" w:themeColor="text1"/>
                <w:sz w:val="21"/>
                <w:szCs w:val="21"/>
                <w:highlight w:val="none"/>
                <w:vertAlign w:val="subscript"/>
                <w14:textFill>
                  <w14:solidFill>
                    <w14:schemeClr w14:val="tx1"/>
                  </w14:solidFill>
                </w14:textFill>
              </w:rPr>
              <w:t>2</w:t>
            </w:r>
            <w:r>
              <w:rPr>
                <w:b/>
                <w:bCs/>
                <w:color w:val="000000" w:themeColor="text1"/>
                <w:sz w:val="21"/>
                <w:szCs w:val="21"/>
                <w:highlight w:val="none"/>
                <w14:textFill>
                  <w14:solidFill>
                    <w14:schemeClr w14:val="tx1"/>
                  </w14:solidFill>
                </w14:textFill>
              </w:rPr>
              <w:t>S</w:t>
            </w:r>
          </w:p>
        </w:tc>
      </w:tr>
      <w:tr w14:paraId="010E4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73" w:type="dxa"/>
            <w:vMerge w:val="continue"/>
            <w:tcBorders>
              <w:top w:val="nil"/>
            </w:tcBorders>
            <w:vAlign w:val="center"/>
          </w:tcPr>
          <w:p w14:paraId="4FF65D65">
            <w:pPr>
              <w:spacing w:line="240" w:lineRule="auto"/>
              <w:jc w:val="center"/>
              <w:rPr>
                <w:b/>
                <w:bCs/>
                <w:color w:val="000000" w:themeColor="text1"/>
                <w:sz w:val="21"/>
                <w:szCs w:val="21"/>
                <w:highlight w:val="none"/>
                <w14:textFill>
                  <w14:solidFill>
                    <w14:schemeClr w14:val="tx1"/>
                  </w14:solidFill>
                </w14:textFill>
              </w:rPr>
            </w:pPr>
          </w:p>
        </w:tc>
        <w:tc>
          <w:tcPr>
            <w:tcW w:w="1896" w:type="dxa"/>
            <w:vAlign w:val="center"/>
          </w:tcPr>
          <w:p w14:paraId="624BC57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1465" w:type="dxa"/>
            <w:vAlign w:val="center"/>
          </w:tcPr>
          <w:p w14:paraId="1F8B7CD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c>
          <w:tcPr>
            <w:tcW w:w="1982" w:type="dxa"/>
            <w:vAlign w:val="center"/>
          </w:tcPr>
          <w:p w14:paraId="73A0C26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1056" w:type="dxa"/>
            <w:vAlign w:val="center"/>
          </w:tcPr>
          <w:p w14:paraId="39080AB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r>
      <w:tr w14:paraId="2C525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7D53B02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p>
        </w:tc>
        <w:tc>
          <w:tcPr>
            <w:tcW w:w="1896" w:type="dxa"/>
            <w:vAlign w:val="center"/>
          </w:tcPr>
          <w:p w14:paraId="6FC66A6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3.15</w:t>
            </w:r>
          </w:p>
        </w:tc>
        <w:tc>
          <w:tcPr>
            <w:tcW w:w="1465" w:type="dxa"/>
            <w:vAlign w:val="center"/>
          </w:tcPr>
          <w:p w14:paraId="4D857B2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1.58</w:t>
            </w:r>
          </w:p>
        </w:tc>
        <w:tc>
          <w:tcPr>
            <w:tcW w:w="1982" w:type="dxa"/>
            <w:vAlign w:val="center"/>
          </w:tcPr>
          <w:p w14:paraId="3AA7F84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0.495</w:t>
            </w:r>
          </w:p>
        </w:tc>
        <w:tc>
          <w:tcPr>
            <w:tcW w:w="1056" w:type="dxa"/>
            <w:vAlign w:val="center"/>
          </w:tcPr>
          <w:p w14:paraId="46F89DE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4.95</w:t>
            </w:r>
          </w:p>
        </w:tc>
      </w:tr>
      <w:tr w14:paraId="7618D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1D03339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w:t>
            </w:r>
          </w:p>
        </w:tc>
        <w:tc>
          <w:tcPr>
            <w:tcW w:w="1896" w:type="dxa"/>
            <w:vAlign w:val="center"/>
          </w:tcPr>
          <w:p w14:paraId="2D273F9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3.43</w:t>
            </w:r>
          </w:p>
        </w:tc>
        <w:tc>
          <w:tcPr>
            <w:tcW w:w="1465" w:type="dxa"/>
            <w:vAlign w:val="center"/>
          </w:tcPr>
          <w:p w14:paraId="2F07F59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1.71</w:t>
            </w:r>
          </w:p>
        </w:tc>
        <w:tc>
          <w:tcPr>
            <w:tcW w:w="1982" w:type="dxa"/>
            <w:vAlign w:val="center"/>
          </w:tcPr>
          <w:p w14:paraId="1CDD9DC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0.538</w:t>
            </w:r>
          </w:p>
        </w:tc>
        <w:tc>
          <w:tcPr>
            <w:tcW w:w="1056" w:type="dxa"/>
            <w:vAlign w:val="center"/>
          </w:tcPr>
          <w:p w14:paraId="729A40E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5.38</w:t>
            </w:r>
          </w:p>
        </w:tc>
      </w:tr>
      <w:tr w14:paraId="53F51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0904383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w:t>
            </w:r>
          </w:p>
        </w:tc>
        <w:tc>
          <w:tcPr>
            <w:tcW w:w="1896" w:type="dxa"/>
            <w:vAlign w:val="center"/>
          </w:tcPr>
          <w:p w14:paraId="7185395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3.85</w:t>
            </w:r>
          </w:p>
        </w:tc>
        <w:tc>
          <w:tcPr>
            <w:tcW w:w="1465" w:type="dxa"/>
            <w:vAlign w:val="center"/>
          </w:tcPr>
          <w:p w14:paraId="3C48A47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1.92</w:t>
            </w:r>
          </w:p>
        </w:tc>
        <w:tc>
          <w:tcPr>
            <w:tcW w:w="1982" w:type="dxa"/>
            <w:vAlign w:val="center"/>
          </w:tcPr>
          <w:p w14:paraId="6866556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0.604</w:t>
            </w:r>
          </w:p>
        </w:tc>
        <w:tc>
          <w:tcPr>
            <w:tcW w:w="1056" w:type="dxa"/>
            <w:vAlign w:val="center"/>
          </w:tcPr>
          <w:p w14:paraId="541A8CE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6.04</w:t>
            </w:r>
          </w:p>
        </w:tc>
      </w:tr>
      <w:tr w14:paraId="21C75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37FAE49A">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100</w:t>
            </w:r>
          </w:p>
        </w:tc>
        <w:tc>
          <w:tcPr>
            <w:tcW w:w="1896" w:type="dxa"/>
            <w:vAlign w:val="center"/>
          </w:tcPr>
          <w:p w14:paraId="6EF9C78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4.56</w:t>
            </w:r>
          </w:p>
        </w:tc>
        <w:tc>
          <w:tcPr>
            <w:tcW w:w="1465" w:type="dxa"/>
            <w:vAlign w:val="center"/>
          </w:tcPr>
          <w:p w14:paraId="600EDFBA">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2.33</w:t>
            </w:r>
          </w:p>
        </w:tc>
        <w:tc>
          <w:tcPr>
            <w:tcW w:w="1982" w:type="dxa"/>
            <w:vAlign w:val="center"/>
          </w:tcPr>
          <w:p w14:paraId="7DC8455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0.732</w:t>
            </w:r>
          </w:p>
        </w:tc>
        <w:tc>
          <w:tcPr>
            <w:tcW w:w="1056" w:type="dxa"/>
            <w:vAlign w:val="center"/>
          </w:tcPr>
          <w:p w14:paraId="231926E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7.32</w:t>
            </w:r>
          </w:p>
        </w:tc>
      </w:tr>
      <w:tr w14:paraId="3AAFD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05C53DB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150</w:t>
            </w:r>
          </w:p>
        </w:tc>
        <w:tc>
          <w:tcPr>
            <w:tcW w:w="1896" w:type="dxa"/>
            <w:vAlign w:val="center"/>
          </w:tcPr>
          <w:p w14:paraId="30C1D13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5.49</w:t>
            </w:r>
          </w:p>
        </w:tc>
        <w:tc>
          <w:tcPr>
            <w:tcW w:w="1465" w:type="dxa"/>
            <w:vAlign w:val="center"/>
          </w:tcPr>
          <w:p w14:paraId="37E37A6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2.75</w:t>
            </w:r>
          </w:p>
        </w:tc>
        <w:tc>
          <w:tcPr>
            <w:tcW w:w="1982" w:type="dxa"/>
            <w:vAlign w:val="center"/>
          </w:tcPr>
          <w:p w14:paraId="1FAC069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0.862</w:t>
            </w:r>
          </w:p>
        </w:tc>
        <w:tc>
          <w:tcPr>
            <w:tcW w:w="1056" w:type="dxa"/>
            <w:vAlign w:val="center"/>
          </w:tcPr>
          <w:p w14:paraId="4452854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8.62</w:t>
            </w:r>
          </w:p>
        </w:tc>
      </w:tr>
      <w:tr w14:paraId="565B5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1295907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200</w:t>
            </w:r>
          </w:p>
        </w:tc>
        <w:tc>
          <w:tcPr>
            <w:tcW w:w="1896" w:type="dxa"/>
            <w:vAlign w:val="center"/>
          </w:tcPr>
          <w:p w14:paraId="3FE965F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6.15</w:t>
            </w:r>
          </w:p>
        </w:tc>
        <w:tc>
          <w:tcPr>
            <w:tcW w:w="1465" w:type="dxa"/>
            <w:vAlign w:val="center"/>
          </w:tcPr>
          <w:p w14:paraId="10EB3AC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3.07</w:t>
            </w:r>
          </w:p>
        </w:tc>
        <w:tc>
          <w:tcPr>
            <w:tcW w:w="1982" w:type="dxa"/>
            <w:vAlign w:val="center"/>
          </w:tcPr>
          <w:p w14:paraId="643B2B1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0.965</w:t>
            </w:r>
          </w:p>
        </w:tc>
        <w:tc>
          <w:tcPr>
            <w:tcW w:w="1056" w:type="dxa"/>
            <w:vAlign w:val="center"/>
          </w:tcPr>
          <w:p w14:paraId="7160028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9.65</w:t>
            </w:r>
          </w:p>
        </w:tc>
      </w:tr>
      <w:tr w14:paraId="3A8F1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1A583864">
            <w:pPr>
              <w:spacing w:line="240" w:lineRule="auto"/>
              <w:jc w:val="center"/>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230</w:t>
            </w:r>
          </w:p>
        </w:tc>
        <w:tc>
          <w:tcPr>
            <w:tcW w:w="1896" w:type="dxa"/>
            <w:vAlign w:val="center"/>
          </w:tcPr>
          <w:p w14:paraId="0012AD0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6.25</w:t>
            </w:r>
          </w:p>
        </w:tc>
        <w:tc>
          <w:tcPr>
            <w:tcW w:w="1465" w:type="dxa"/>
            <w:vAlign w:val="center"/>
          </w:tcPr>
          <w:p w14:paraId="470F735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3.12</w:t>
            </w:r>
          </w:p>
        </w:tc>
        <w:tc>
          <w:tcPr>
            <w:tcW w:w="1982" w:type="dxa"/>
            <w:vAlign w:val="center"/>
          </w:tcPr>
          <w:p w14:paraId="781950AA">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0.981</w:t>
            </w:r>
          </w:p>
        </w:tc>
        <w:tc>
          <w:tcPr>
            <w:tcW w:w="1056" w:type="dxa"/>
            <w:vAlign w:val="center"/>
          </w:tcPr>
          <w:p w14:paraId="5EE3771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9.81</w:t>
            </w:r>
          </w:p>
        </w:tc>
      </w:tr>
      <w:tr w14:paraId="6D9A93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429806A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250</w:t>
            </w:r>
          </w:p>
        </w:tc>
        <w:tc>
          <w:tcPr>
            <w:tcW w:w="1896" w:type="dxa"/>
            <w:vAlign w:val="center"/>
          </w:tcPr>
          <w:p w14:paraId="0B46031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6.21</w:t>
            </w:r>
          </w:p>
        </w:tc>
        <w:tc>
          <w:tcPr>
            <w:tcW w:w="1465" w:type="dxa"/>
            <w:vAlign w:val="center"/>
          </w:tcPr>
          <w:p w14:paraId="4A95B6B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w:t>
            </w:r>
          </w:p>
        </w:tc>
        <w:tc>
          <w:tcPr>
            <w:tcW w:w="1982" w:type="dxa"/>
            <w:vAlign w:val="center"/>
          </w:tcPr>
          <w:p w14:paraId="29CFE01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0.975</w:t>
            </w:r>
          </w:p>
        </w:tc>
        <w:tc>
          <w:tcPr>
            <w:tcW w:w="1056" w:type="dxa"/>
            <w:vAlign w:val="center"/>
          </w:tcPr>
          <w:p w14:paraId="6EFB8FA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9.75</w:t>
            </w:r>
          </w:p>
        </w:tc>
      </w:tr>
      <w:tr w14:paraId="2DB8A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4ABBF61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300</w:t>
            </w:r>
          </w:p>
        </w:tc>
        <w:tc>
          <w:tcPr>
            <w:tcW w:w="1896" w:type="dxa"/>
            <w:vAlign w:val="center"/>
          </w:tcPr>
          <w:p w14:paraId="5FFAD42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5.89</w:t>
            </w:r>
          </w:p>
        </w:tc>
        <w:tc>
          <w:tcPr>
            <w:tcW w:w="1465" w:type="dxa"/>
            <w:vAlign w:val="center"/>
          </w:tcPr>
          <w:p w14:paraId="62E2D33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2.95</w:t>
            </w:r>
          </w:p>
        </w:tc>
        <w:tc>
          <w:tcPr>
            <w:tcW w:w="1982" w:type="dxa"/>
            <w:vAlign w:val="center"/>
          </w:tcPr>
          <w:p w14:paraId="0FB7A7E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0.925</w:t>
            </w:r>
          </w:p>
        </w:tc>
        <w:tc>
          <w:tcPr>
            <w:tcW w:w="1056" w:type="dxa"/>
            <w:vAlign w:val="center"/>
          </w:tcPr>
          <w:p w14:paraId="0EE6173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9.25</w:t>
            </w:r>
          </w:p>
        </w:tc>
      </w:tr>
      <w:tr w14:paraId="135681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14E6116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400</w:t>
            </w:r>
          </w:p>
        </w:tc>
        <w:tc>
          <w:tcPr>
            <w:tcW w:w="1896" w:type="dxa"/>
            <w:vAlign w:val="center"/>
          </w:tcPr>
          <w:p w14:paraId="5319998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5.42</w:t>
            </w:r>
          </w:p>
        </w:tc>
        <w:tc>
          <w:tcPr>
            <w:tcW w:w="1465" w:type="dxa"/>
            <w:vAlign w:val="center"/>
          </w:tcPr>
          <w:p w14:paraId="1E5573E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2.71</w:t>
            </w:r>
          </w:p>
        </w:tc>
        <w:tc>
          <w:tcPr>
            <w:tcW w:w="1982" w:type="dxa"/>
            <w:vAlign w:val="center"/>
          </w:tcPr>
          <w:p w14:paraId="5EB981B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0.85</w:t>
            </w:r>
          </w:p>
        </w:tc>
        <w:tc>
          <w:tcPr>
            <w:tcW w:w="1056" w:type="dxa"/>
            <w:vAlign w:val="center"/>
          </w:tcPr>
          <w:p w14:paraId="19098CA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8.5</w:t>
            </w:r>
          </w:p>
        </w:tc>
      </w:tr>
      <w:tr w14:paraId="364BB9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0D86846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500</w:t>
            </w:r>
          </w:p>
        </w:tc>
        <w:tc>
          <w:tcPr>
            <w:tcW w:w="1896" w:type="dxa"/>
            <w:vAlign w:val="center"/>
          </w:tcPr>
          <w:p w14:paraId="3289F7D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5.02</w:t>
            </w:r>
          </w:p>
        </w:tc>
        <w:tc>
          <w:tcPr>
            <w:tcW w:w="1465" w:type="dxa"/>
            <w:vAlign w:val="center"/>
          </w:tcPr>
          <w:p w14:paraId="792FE9C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2.51</w:t>
            </w:r>
          </w:p>
        </w:tc>
        <w:tc>
          <w:tcPr>
            <w:tcW w:w="1982" w:type="dxa"/>
            <w:vAlign w:val="center"/>
          </w:tcPr>
          <w:p w14:paraId="021CF07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0.788</w:t>
            </w:r>
          </w:p>
        </w:tc>
        <w:tc>
          <w:tcPr>
            <w:tcW w:w="1056" w:type="dxa"/>
            <w:vAlign w:val="center"/>
          </w:tcPr>
          <w:p w14:paraId="0CEDF4B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7.88</w:t>
            </w:r>
          </w:p>
        </w:tc>
      </w:tr>
      <w:tr w14:paraId="3185BD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76E779D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600</w:t>
            </w:r>
          </w:p>
        </w:tc>
        <w:tc>
          <w:tcPr>
            <w:tcW w:w="1896" w:type="dxa"/>
            <w:vAlign w:val="center"/>
          </w:tcPr>
          <w:p w14:paraId="542C5CD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4.7</w:t>
            </w:r>
          </w:p>
        </w:tc>
        <w:tc>
          <w:tcPr>
            <w:tcW w:w="1465" w:type="dxa"/>
            <w:vAlign w:val="center"/>
          </w:tcPr>
          <w:p w14:paraId="788FEE8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2.35</w:t>
            </w:r>
          </w:p>
        </w:tc>
        <w:tc>
          <w:tcPr>
            <w:tcW w:w="1982" w:type="dxa"/>
            <w:vAlign w:val="center"/>
          </w:tcPr>
          <w:p w14:paraId="378E10D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0.737</w:t>
            </w:r>
          </w:p>
        </w:tc>
        <w:tc>
          <w:tcPr>
            <w:tcW w:w="1056" w:type="dxa"/>
            <w:vAlign w:val="center"/>
          </w:tcPr>
          <w:p w14:paraId="4A1358A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7.37</w:t>
            </w:r>
          </w:p>
        </w:tc>
      </w:tr>
      <w:tr w14:paraId="483D85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4108D10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700</w:t>
            </w:r>
          </w:p>
        </w:tc>
        <w:tc>
          <w:tcPr>
            <w:tcW w:w="1896" w:type="dxa"/>
            <w:vAlign w:val="center"/>
          </w:tcPr>
          <w:p w14:paraId="66FCC17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4.45</w:t>
            </w:r>
          </w:p>
        </w:tc>
        <w:tc>
          <w:tcPr>
            <w:tcW w:w="1465" w:type="dxa"/>
            <w:vAlign w:val="center"/>
          </w:tcPr>
          <w:p w14:paraId="3ED84EB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2.22</w:t>
            </w:r>
          </w:p>
        </w:tc>
        <w:tc>
          <w:tcPr>
            <w:tcW w:w="1982" w:type="dxa"/>
            <w:vAlign w:val="center"/>
          </w:tcPr>
          <w:p w14:paraId="0AC496E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0.698</w:t>
            </w:r>
          </w:p>
        </w:tc>
        <w:tc>
          <w:tcPr>
            <w:tcW w:w="1056" w:type="dxa"/>
            <w:vAlign w:val="center"/>
          </w:tcPr>
          <w:p w14:paraId="4BE5898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6.98</w:t>
            </w:r>
          </w:p>
        </w:tc>
      </w:tr>
      <w:tr w14:paraId="21CFA6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76EB8AB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800</w:t>
            </w:r>
          </w:p>
        </w:tc>
        <w:tc>
          <w:tcPr>
            <w:tcW w:w="1896" w:type="dxa"/>
            <w:vAlign w:val="center"/>
          </w:tcPr>
          <w:p w14:paraId="0992C59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4.24</w:t>
            </w:r>
          </w:p>
        </w:tc>
        <w:tc>
          <w:tcPr>
            <w:tcW w:w="1465" w:type="dxa"/>
            <w:vAlign w:val="center"/>
          </w:tcPr>
          <w:p w14:paraId="5773F37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2.12</w:t>
            </w:r>
          </w:p>
        </w:tc>
        <w:tc>
          <w:tcPr>
            <w:tcW w:w="1982" w:type="dxa"/>
            <w:vAlign w:val="center"/>
          </w:tcPr>
          <w:p w14:paraId="066B3C3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0.665</w:t>
            </w:r>
          </w:p>
        </w:tc>
        <w:tc>
          <w:tcPr>
            <w:tcW w:w="1056" w:type="dxa"/>
            <w:vAlign w:val="center"/>
          </w:tcPr>
          <w:p w14:paraId="6476BF5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6.65</w:t>
            </w:r>
          </w:p>
        </w:tc>
      </w:tr>
      <w:tr w14:paraId="7874AF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01DB0AA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900</w:t>
            </w:r>
          </w:p>
        </w:tc>
        <w:tc>
          <w:tcPr>
            <w:tcW w:w="1896" w:type="dxa"/>
            <w:vAlign w:val="center"/>
          </w:tcPr>
          <w:p w14:paraId="7134FA6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4.04</w:t>
            </w:r>
          </w:p>
        </w:tc>
        <w:tc>
          <w:tcPr>
            <w:tcW w:w="1465" w:type="dxa"/>
            <w:vAlign w:val="center"/>
          </w:tcPr>
          <w:p w14:paraId="322F343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2.02</w:t>
            </w:r>
          </w:p>
        </w:tc>
        <w:tc>
          <w:tcPr>
            <w:tcW w:w="1982" w:type="dxa"/>
            <w:vAlign w:val="center"/>
          </w:tcPr>
          <w:p w14:paraId="5300E35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0.634</w:t>
            </w:r>
          </w:p>
        </w:tc>
        <w:tc>
          <w:tcPr>
            <w:tcW w:w="1056" w:type="dxa"/>
            <w:vAlign w:val="center"/>
          </w:tcPr>
          <w:p w14:paraId="0CB2682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6.34</w:t>
            </w:r>
          </w:p>
        </w:tc>
      </w:tr>
      <w:tr w14:paraId="2D872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1CF4BEA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1000</w:t>
            </w:r>
          </w:p>
        </w:tc>
        <w:tc>
          <w:tcPr>
            <w:tcW w:w="1896" w:type="dxa"/>
            <w:vAlign w:val="center"/>
          </w:tcPr>
          <w:p w14:paraId="03F0237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3.94</w:t>
            </w:r>
          </w:p>
        </w:tc>
        <w:tc>
          <w:tcPr>
            <w:tcW w:w="1465" w:type="dxa"/>
            <w:vAlign w:val="center"/>
          </w:tcPr>
          <w:p w14:paraId="63C750C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1.97</w:t>
            </w:r>
          </w:p>
        </w:tc>
        <w:tc>
          <w:tcPr>
            <w:tcW w:w="1982" w:type="dxa"/>
            <w:vAlign w:val="center"/>
          </w:tcPr>
          <w:p w14:paraId="5F3F847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0.618</w:t>
            </w:r>
          </w:p>
        </w:tc>
        <w:tc>
          <w:tcPr>
            <w:tcW w:w="1056" w:type="dxa"/>
            <w:vAlign w:val="center"/>
          </w:tcPr>
          <w:p w14:paraId="1B9F4AE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6.18</w:t>
            </w:r>
          </w:p>
        </w:tc>
      </w:tr>
      <w:tr w14:paraId="04A0C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6DA66F3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1100</w:t>
            </w:r>
          </w:p>
        </w:tc>
        <w:tc>
          <w:tcPr>
            <w:tcW w:w="1896" w:type="dxa"/>
            <w:vAlign w:val="center"/>
          </w:tcPr>
          <w:p w14:paraId="683BB66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3.82</w:t>
            </w:r>
          </w:p>
        </w:tc>
        <w:tc>
          <w:tcPr>
            <w:tcW w:w="1465" w:type="dxa"/>
            <w:vAlign w:val="center"/>
          </w:tcPr>
          <w:p w14:paraId="629F797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1.91</w:t>
            </w:r>
          </w:p>
        </w:tc>
        <w:tc>
          <w:tcPr>
            <w:tcW w:w="1982" w:type="dxa"/>
            <w:vAlign w:val="center"/>
          </w:tcPr>
          <w:p w14:paraId="150FE96A">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w:t>
            </w:r>
          </w:p>
        </w:tc>
        <w:tc>
          <w:tcPr>
            <w:tcW w:w="1056" w:type="dxa"/>
            <w:vAlign w:val="center"/>
          </w:tcPr>
          <w:p w14:paraId="598EBDE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w:t>
            </w:r>
          </w:p>
        </w:tc>
      </w:tr>
      <w:tr w14:paraId="2C744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281D671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1200</w:t>
            </w:r>
          </w:p>
        </w:tc>
        <w:tc>
          <w:tcPr>
            <w:tcW w:w="1896" w:type="dxa"/>
            <w:vAlign w:val="center"/>
          </w:tcPr>
          <w:p w14:paraId="658D003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3.7</w:t>
            </w:r>
          </w:p>
        </w:tc>
        <w:tc>
          <w:tcPr>
            <w:tcW w:w="1465" w:type="dxa"/>
            <w:vAlign w:val="center"/>
          </w:tcPr>
          <w:p w14:paraId="2C4A632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1.85</w:t>
            </w:r>
          </w:p>
        </w:tc>
        <w:tc>
          <w:tcPr>
            <w:tcW w:w="1982" w:type="dxa"/>
            <w:vAlign w:val="center"/>
          </w:tcPr>
          <w:p w14:paraId="24F2D14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0.58</w:t>
            </w:r>
          </w:p>
        </w:tc>
        <w:tc>
          <w:tcPr>
            <w:tcW w:w="1056" w:type="dxa"/>
            <w:vAlign w:val="center"/>
          </w:tcPr>
          <w:p w14:paraId="7A3711A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5.8</w:t>
            </w:r>
          </w:p>
        </w:tc>
      </w:tr>
      <w:tr w14:paraId="6DF244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703CC55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1300</w:t>
            </w:r>
          </w:p>
        </w:tc>
        <w:tc>
          <w:tcPr>
            <w:tcW w:w="1896" w:type="dxa"/>
            <w:vAlign w:val="center"/>
          </w:tcPr>
          <w:p w14:paraId="2F3D473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3.56</w:t>
            </w:r>
          </w:p>
        </w:tc>
        <w:tc>
          <w:tcPr>
            <w:tcW w:w="1465" w:type="dxa"/>
            <w:vAlign w:val="center"/>
          </w:tcPr>
          <w:p w14:paraId="00283B9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1.78</w:t>
            </w:r>
          </w:p>
        </w:tc>
        <w:tc>
          <w:tcPr>
            <w:tcW w:w="1982" w:type="dxa"/>
            <w:vAlign w:val="center"/>
          </w:tcPr>
          <w:p w14:paraId="363672E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0.559</w:t>
            </w:r>
          </w:p>
        </w:tc>
        <w:tc>
          <w:tcPr>
            <w:tcW w:w="1056" w:type="dxa"/>
            <w:vAlign w:val="center"/>
          </w:tcPr>
          <w:p w14:paraId="71A9101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5.59</w:t>
            </w:r>
          </w:p>
        </w:tc>
      </w:tr>
      <w:tr w14:paraId="110299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0AF48DA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1400</w:t>
            </w:r>
          </w:p>
        </w:tc>
        <w:tc>
          <w:tcPr>
            <w:tcW w:w="1896" w:type="dxa"/>
            <w:vAlign w:val="center"/>
          </w:tcPr>
          <w:p w14:paraId="49C0FA2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3.43</w:t>
            </w:r>
          </w:p>
        </w:tc>
        <w:tc>
          <w:tcPr>
            <w:tcW w:w="1465" w:type="dxa"/>
            <w:vAlign w:val="center"/>
          </w:tcPr>
          <w:p w14:paraId="683B364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1.72</w:t>
            </w:r>
          </w:p>
        </w:tc>
        <w:tc>
          <w:tcPr>
            <w:tcW w:w="1982" w:type="dxa"/>
            <w:vAlign w:val="center"/>
          </w:tcPr>
          <w:p w14:paraId="2249327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0.538</w:t>
            </w:r>
          </w:p>
        </w:tc>
        <w:tc>
          <w:tcPr>
            <w:tcW w:w="1056" w:type="dxa"/>
            <w:vAlign w:val="center"/>
          </w:tcPr>
          <w:p w14:paraId="72D6D66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5.38</w:t>
            </w:r>
          </w:p>
        </w:tc>
      </w:tr>
      <w:tr w14:paraId="32A0A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0BD13BB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1500</w:t>
            </w:r>
          </w:p>
        </w:tc>
        <w:tc>
          <w:tcPr>
            <w:tcW w:w="1896" w:type="dxa"/>
            <w:vAlign w:val="center"/>
          </w:tcPr>
          <w:p w14:paraId="6073A6B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3.35</w:t>
            </w:r>
          </w:p>
        </w:tc>
        <w:tc>
          <w:tcPr>
            <w:tcW w:w="1465" w:type="dxa"/>
            <w:vAlign w:val="center"/>
          </w:tcPr>
          <w:p w14:paraId="59863A7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1.68</w:t>
            </w:r>
          </w:p>
        </w:tc>
        <w:tc>
          <w:tcPr>
            <w:tcW w:w="1982" w:type="dxa"/>
            <w:vAlign w:val="center"/>
          </w:tcPr>
          <w:p w14:paraId="7AC4545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0.526</w:t>
            </w:r>
          </w:p>
        </w:tc>
        <w:tc>
          <w:tcPr>
            <w:tcW w:w="1056" w:type="dxa"/>
            <w:vAlign w:val="center"/>
          </w:tcPr>
          <w:p w14:paraId="2A4D1A9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5.26</w:t>
            </w:r>
          </w:p>
        </w:tc>
      </w:tr>
      <w:tr w14:paraId="29172D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65BD272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1600</w:t>
            </w:r>
          </w:p>
        </w:tc>
        <w:tc>
          <w:tcPr>
            <w:tcW w:w="1896" w:type="dxa"/>
            <w:vAlign w:val="center"/>
          </w:tcPr>
          <w:p w14:paraId="57F02CF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3.33</w:t>
            </w:r>
          </w:p>
        </w:tc>
        <w:tc>
          <w:tcPr>
            <w:tcW w:w="1465" w:type="dxa"/>
            <w:vAlign w:val="center"/>
          </w:tcPr>
          <w:p w14:paraId="353DDE0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1.66</w:t>
            </w:r>
          </w:p>
        </w:tc>
        <w:tc>
          <w:tcPr>
            <w:tcW w:w="1982" w:type="dxa"/>
            <w:vAlign w:val="center"/>
          </w:tcPr>
          <w:p w14:paraId="41EBF11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0.522</w:t>
            </w:r>
          </w:p>
        </w:tc>
        <w:tc>
          <w:tcPr>
            <w:tcW w:w="1056" w:type="dxa"/>
            <w:vAlign w:val="center"/>
          </w:tcPr>
          <w:p w14:paraId="3BFFE03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5.22</w:t>
            </w:r>
          </w:p>
        </w:tc>
      </w:tr>
      <w:tr w14:paraId="7C403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1973" w:type="dxa"/>
            <w:vAlign w:val="center"/>
          </w:tcPr>
          <w:p w14:paraId="64294FF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1700</w:t>
            </w:r>
          </w:p>
        </w:tc>
        <w:tc>
          <w:tcPr>
            <w:tcW w:w="1896" w:type="dxa"/>
            <w:vAlign w:val="center"/>
          </w:tcPr>
          <w:p w14:paraId="6F9437B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3.29</w:t>
            </w:r>
          </w:p>
        </w:tc>
        <w:tc>
          <w:tcPr>
            <w:tcW w:w="1465" w:type="dxa"/>
            <w:vAlign w:val="center"/>
          </w:tcPr>
          <w:p w14:paraId="2C4DFDA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1.65</w:t>
            </w:r>
          </w:p>
        </w:tc>
        <w:tc>
          <w:tcPr>
            <w:tcW w:w="1982" w:type="dxa"/>
            <w:vAlign w:val="center"/>
          </w:tcPr>
          <w:p w14:paraId="56C5444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0.517</w:t>
            </w:r>
          </w:p>
        </w:tc>
        <w:tc>
          <w:tcPr>
            <w:tcW w:w="1056" w:type="dxa"/>
            <w:vAlign w:val="center"/>
          </w:tcPr>
          <w:p w14:paraId="3CB6A42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5.17</w:t>
            </w:r>
          </w:p>
        </w:tc>
      </w:tr>
      <w:tr w14:paraId="58095D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2D5E95B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1800</w:t>
            </w:r>
          </w:p>
        </w:tc>
        <w:tc>
          <w:tcPr>
            <w:tcW w:w="1896" w:type="dxa"/>
            <w:vAlign w:val="center"/>
          </w:tcPr>
          <w:p w14:paraId="0A60926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3.25</w:t>
            </w:r>
          </w:p>
        </w:tc>
        <w:tc>
          <w:tcPr>
            <w:tcW w:w="1465" w:type="dxa"/>
            <w:vAlign w:val="center"/>
          </w:tcPr>
          <w:p w14:paraId="7B69E95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1.63</w:t>
            </w:r>
          </w:p>
        </w:tc>
        <w:tc>
          <w:tcPr>
            <w:tcW w:w="1982" w:type="dxa"/>
            <w:vAlign w:val="center"/>
          </w:tcPr>
          <w:p w14:paraId="1A4A8A5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0.511</w:t>
            </w:r>
          </w:p>
        </w:tc>
        <w:tc>
          <w:tcPr>
            <w:tcW w:w="1056" w:type="dxa"/>
            <w:vAlign w:val="center"/>
          </w:tcPr>
          <w:p w14:paraId="333B111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5.11</w:t>
            </w:r>
          </w:p>
        </w:tc>
      </w:tr>
      <w:tr w14:paraId="1EFC7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3A6F317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1900</w:t>
            </w:r>
          </w:p>
        </w:tc>
        <w:tc>
          <w:tcPr>
            <w:tcW w:w="1896" w:type="dxa"/>
            <w:vAlign w:val="center"/>
          </w:tcPr>
          <w:p w14:paraId="0A3F933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3.21</w:t>
            </w:r>
          </w:p>
        </w:tc>
        <w:tc>
          <w:tcPr>
            <w:tcW w:w="1465" w:type="dxa"/>
            <w:vAlign w:val="center"/>
          </w:tcPr>
          <w:p w14:paraId="4E15DDD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1.61</w:t>
            </w:r>
          </w:p>
        </w:tc>
        <w:tc>
          <w:tcPr>
            <w:tcW w:w="1982" w:type="dxa"/>
            <w:vAlign w:val="center"/>
          </w:tcPr>
          <w:p w14:paraId="03C7D5E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0.504</w:t>
            </w:r>
          </w:p>
        </w:tc>
        <w:tc>
          <w:tcPr>
            <w:tcW w:w="1056" w:type="dxa"/>
            <w:vAlign w:val="center"/>
          </w:tcPr>
          <w:p w14:paraId="2E21732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5.04</w:t>
            </w:r>
          </w:p>
        </w:tc>
      </w:tr>
      <w:tr w14:paraId="4475B2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5" w:hRule="atLeast"/>
        </w:trPr>
        <w:tc>
          <w:tcPr>
            <w:tcW w:w="1973" w:type="dxa"/>
            <w:vAlign w:val="center"/>
          </w:tcPr>
          <w:p w14:paraId="1447C2B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2000</w:t>
            </w:r>
          </w:p>
        </w:tc>
        <w:tc>
          <w:tcPr>
            <w:tcW w:w="1896" w:type="dxa"/>
            <w:vAlign w:val="center"/>
          </w:tcPr>
          <w:p w14:paraId="7A1BDEF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3.17</w:t>
            </w:r>
          </w:p>
        </w:tc>
        <w:tc>
          <w:tcPr>
            <w:tcW w:w="1465" w:type="dxa"/>
            <w:vAlign w:val="center"/>
          </w:tcPr>
          <w:p w14:paraId="12EED12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1.58</w:t>
            </w:r>
          </w:p>
        </w:tc>
        <w:tc>
          <w:tcPr>
            <w:tcW w:w="1982" w:type="dxa"/>
            <w:vAlign w:val="center"/>
          </w:tcPr>
          <w:p w14:paraId="5FC4307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0.497</w:t>
            </w:r>
          </w:p>
        </w:tc>
        <w:tc>
          <w:tcPr>
            <w:tcW w:w="1056" w:type="dxa"/>
            <w:vAlign w:val="center"/>
          </w:tcPr>
          <w:p w14:paraId="5BB1302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4.97</w:t>
            </w:r>
          </w:p>
        </w:tc>
      </w:tr>
      <w:tr w14:paraId="3434A3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2D01362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2100</w:t>
            </w:r>
          </w:p>
        </w:tc>
        <w:tc>
          <w:tcPr>
            <w:tcW w:w="1896" w:type="dxa"/>
            <w:vAlign w:val="center"/>
          </w:tcPr>
          <w:p w14:paraId="58B828E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3.12</w:t>
            </w:r>
          </w:p>
        </w:tc>
        <w:tc>
          <w:tcPr>
            <w:tcW w:w="1465" w:type="dxa"/>
            <w:vAlign w:val="center"/>
          </w:tcPr>
          <w:p w14:paraId="1958138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1.56</w:t>
            </w:r>
          </w:p>
        </w:tc>
        <w:tc>
          <w:tcPr>
            <w:tcW w:w="1982" w:type="dxa"/>
            <w:vAlign w:val="center"/>
          </w:tcPr>
          <w:p w14:paraId="51FE89A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0.49</w:t>
            </w:r>
          </w:p>
        </w:tc>
        <w:tc>
          <w:tcPr>
            <w:tcW w:w="1056" w:type="dxa"/>
            <w:vAlign w:val="center"/>
          </w:tcPr>
          <w:p w14:paraId="02886E4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4.9</w:t>
            </w:r>
          </w:p>
        </w:tc>
      </w:tr>
      <w:tr w14:paraId="6A35E3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763005A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2200</w:t>
            </w:r>
          </w:p>
        </w:tc>
        <w:tc>
          <w:tcPr>
            <w:tcW w:w="1896" w:type="dxa"/>
            <w:vAlign w:val="center"/>
          </w:tcPr>
          <w:p w14:paraId="7E85CAA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3.07</w:t>
            </w:r>
          </w:p>
        </w:tc>
        <w:tc>
          <w:tcPr>
            <w:tcW w:w="1465" w:type="dxa"/>
            <w:vAlign w:val="center"/>
          </w:tcPr>
          <w:p w14:paraId="39F7FD3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1.54</w:t>
            </w:r>
          </w:p>
        </w:tc>
        <w:tc>
          <w:tcPr>
            <w:tcW w:w="1982" w:type="dxa"/>
            <w:vAlign w:val="center"/>
          </w:tcPr>
          <w:p w14:paraId="68D79C8A">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0.482</w:t>
            </w:r>
          </w:p>
        </w:tc>
        <w:tc>
          <w:tcPr>
            <w:tcW w:w="1056" w:type="dxa"/>
            <w:vAlign w:val="center"/>
          </w:tcPr>
          <w:p w14:paraId="37E237C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4.82</w:t>
            </w:r>
          </w:p>
        </w:tc>
      </w:tr>
      <w:tr w14:paraId="59A50E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06F5169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2300</w:t>
            </w:r>
          </w:p>
        </w:tc>
        <w:tc>
          <w:tcPr>
            <w:tcW w:w="1896" w:type="dxa"/>
            <w:vAlign w:val="center"/>
          </w:tcPr>
          <w:p w14:paraId="6ACF658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3.02</w:t>
            </w:r>
          </w:p>
        </w:tc>
        <w:tc>
          <w:tcPr>
            <w:tcW w:w="1465" w:type="dxa"/>
            <w:vAlign w:val="center"/>
          </w:tcPr>
          <w:p w14:paraId="2B9537B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1.51</w:t>
            </w:r>
          </w:p>
        </w:tc>
        <w:tc>
          <w:tcPr>
            <w:tcW w:w="1982" w:type="dxa"/>
            <w:vAlign w:val="center"/>
          </w:tcPr>
          <w:p w14:paraId="730D080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0.474</w:t>
            </w:r>
          </w:p>
        </w:tc>
        <w:tc>
          <w:tcPr>
            <w:tcW w:w="1056" w:type="dxa"/>
            <w:vAlign w:val="center"/>
          </w:tcPr>
          <w:p w14:paraId="701748C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4.74</w:t>
            </w:r>
          </w:p>
        </w:tc>
      </w:tr>
      <w:tr w14:paraId="411D1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7C918E0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2400</w:t>
            </w:r>
          </w:p>
        </w:tc>
        <w:tc>
          <w:tcPr>
            <w:tcW w:w="1896" w:type="dxa"/>
            <w:vAlign w:val="center"/>
          </w:tcPr>
          <w:p w14:paraId="61A7ABE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2.97</w:t>
            </w:r>
          </w:p>
        </w:tc>
        <w:tc>
          <w:tcPr>
            <w:tcW w:w="1465" w:type="dxa"/>
            <w:vAlign w:val="center"/>
          </w:tcPr>
          <w:p w14:paraId="17415FB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1.49</w:t>
            </w:r>
          </w:p>
        </w:tc>
        <w:tc>
          <w:tcPr>
            <w:tcW w:w="1982" w:type="dxa"/>
            <w:vAlign w:val="center"/>
          </w:tcPr>
          <w:p w14:paraId="1BD9BBD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0.466</w:t>
            </w:r>
          </w:p>
        </w:tc>
        <w:tc>
          <w:tcPr>
            <w:tcW w:w="1056" w:type="dxa"/>
            <w:vAlign w:val="center"/>
          </w:tcPr>
          <w:p w14:paraId="2D488F5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cs="宋体"/>
                <w:color w:val="000000" w:themeColor="text1"/>
                <w:sz w:val="21"/>
                <w:szCs w:val="21"/>
                <w:highlight w:val="none"/>
                <w:lang w:val="en-US" w:eastAsia="zh-CN"/>
                <w14:textFill>
                  <w14:solidFill>
                    <w14:schemeClr w14:val="tx1"/>
                  </w14:solidFill>
                </w14:textFill>
              </w:rPr>
              <w:t>4.56</w:t>
            </w:r>
          </w:p>
        </w:tc>
      </w:tr>
      <w:tr w14:paraId="51C479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1973" w:type="dxa"/>
            <w:vAlign w:val="center"/>
          </w:tcPr>
          <w:p w14:paraId="5AD1421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2500</w:t>
            </w:r>
          </w:p>
        </w:tc>
        <w:tc>
          <w:tcPr>
            <w:tcW w:w="1896" w:type="dxa"/>
            <w:vAlign w:val="center"/>
          </w:tcPr>
          <w:p w14:paraId="29FAB71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2.92</w:t>
            </w:r>
          </w:p>
        </w:tc>
        <w:tc>
          <w:tcPr>
            <w:tcW w:w="1465" w:type="dxa"/>
            <w:vAlign w:val="center"/>
          </w:tcPr>
          <w:p w14:paraId="5071CDA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1.46</w:t>
            </w:r>
          </w:p>
        </w:tc>
        <w:tc>
          <w:tcPr>
            <w:tcW w:w="1982" w:type="dxa"/>
            <w:vAlign w:val="center"/>
          </w:tcPr>
          <w:p w14:paraId="598C616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0.458</w:t>
            </w:r>
          </w:p>
        </w:tc>
        <w:tc>
          <w:tcPr>
            <w:tcW w:w="1056" w:type="dxa"/>
            <w:vAlign w:val="center"/>
          </w:tcPr>
          <w:p w14:paraId="6D6F6BA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4.58</w:t>
            </w:r>
          </w:p>
        </w:tc>
      </w:tr>
      <w:tr w14:paraId="58C7D8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973" w:type="dxa"/>
            <w:vAlign w:val="center"/>
          </w:tcPr>
          <w:p w14:paraId="16BDF5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下风向最大质量浓度 及占标率/%</w:t>
            </w:r>
          </w:p>
        </w:tc>
        <w:tc>
          <w:tcPr>
            <w:tcW w:w="1896" w:type="dxa"/>
            <w:vAlign w:val="center"/>
          </w:tcPr>
          <w:p w14:paraId="4CBE25E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6.25</w:t>
            </w:r>
          </w:p>
        </w:tc>
        <w:tc>
          <w:tcPr>
            <w:tcW w:w="1465" w:type="dxa"/>
            <w:vAlign w:val="center"/>
          </w:tcPr>
          <w:p w14:paraId="01E6CBC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3.12</w:t>
            </w:r>
          </w:p>
        </w:tc>
        <w:tc>
          <w:tcPr>
            <w:tcW w:w="1982" w:type="dxa"/>
            <w:vAlign w:val="center"/>
          </w:tcPr>
          <w:p w14:paraId="397F6885">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0.981</w:t>
            </w:r>
          </w:p>
        </w:tc>
        <w:tc>
          <w:tcPr>
            <w:tcW w:w="1056" w:type="dxa"/>
            <w:vAlign w:val="center"/>
          </w:tcPr>
          <w:p w14:paraId="6FED0078">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9.81</w:t>
            </w:r>
          </w:p>
        </w:tc>
      </w:tr>
      <w:tr w14:paraId="5A62B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1973" w:type="dxa"/>
            <w:vAlign w:val="center"/>
          </w:tcPr>
          <w:p w14:paraId="1DEEA13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D10%最远距离/m</w:t>
            </w:r>
          </w:p>
        </w:tc>
        <w:tc>
          <w:tcPr>
            <w:tcW w:w="3361" w:type="dxa"/>
            <w:gridSpan w:val="2"/>
            <w:vAlign w:val="center"/>
          </w:tcPr>
          <w:p w14:paraId="0150A6F0">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230</w:t>
            </w:r>
          </w:p>
        </w:tc>
        <w:tc>
          <w:tcPr>
            <w:tcW w:w="3038" w:type="dxa"/>
            <w:gridSpan w:val="2"/>
            <w:vAlign w:val="center"/>
          </w:tcPr>
          <w:p w14:paraId="676C7F27">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230</w:t>
            </w:r>
          </w:p>
        </w:tc>
      </w:tr>
    </w:tbl>
    <w:p w14:paraId="59E730E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（M002）</w:t>
      </w:r>
    </w:p>
    <w:p w14:paraId="0652CB05">
      <w:pPr>
        <w:spacing w:line="240" w:lineRule="auto"/>
        <w:ind w:firstLine="480" w:firstLineChars="200"/>
        <w:jc w:val="center"/>
        <w:rPr>
          <w:b/>
          <w:bCs/>
          <w:color w:val="000000" w:themeColor="text1"/>
          <w:sz w:val="2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（M002）面源无组织废气正常排放预测结果，具体结果见表5.2-10。</w:t>
      </w:r>
      <w:r>
        <w:rPr>
          <w:b/>
          <w:bCs/>
          <w:color w:val="000000" w:themeColor="text1"/>
          <w:sz w:val="21"/>
          <w:szCs w:val="21"/>
          <w:highlight w:val="none"/>
          <w14:textFill>
            <w14:solidFill>
              <w14:schemeClr w14:val="tx1"/>
            </w14:solidFill>
          </w14:textFill>
        </w:rPr>
        <w:t xml:space="preserve">表5.2-10  </w:t>
      </w:r>
      <w:r>
        <w:rPr>
          <w:rFonts w:hint="eastAsia"/>
          <w:b/>
          <w:bCs/>
          <w:color w:val="000000" w:themeColor="text1"/>
          <w:sz w:val="21"/>
          <w:szCs w:val="21"/>
          <w:highlight w:val="none"/>
          <w14:textFill>
            <w14:solidFill>
              <w14:schemeClr w14:val="tx1"/>
            </w14:solidFill>
          </w14:textFill>
        </w:rPr>
        <w:t>堆粪场</w:t>
      </w:r>
      <w:r>
        <w:rPr>
          <w:b/>
          <w:bCs/>
          <w:color w:val="000000" w:themeColor="text1"/>
          <w:sz w:val="21"/>
          <w:szCs w:val="21"/>
          <w:highlight w:val="none"/>
          <w14:textFill>
            <w14:solidFill>
              <w14:schemeClr w14:val="tx1"/>
            </w14:solidFill>
          </w14:textFill>
        </w:rPr>
        <w:t>污染源估算模型计算结果表</w:t>
      </w:r>
    </w:p>
    <w:tbl>
      <w:tblPr>
        <w:tblStyle w:val="58"/>
        <w:tblW w:w="83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4"/>
        <w:gridCol w:w="2047"/>
        <w:gridCol w:w="1203"/>
        <w:gridCol w:w="1982"/>
        <w:gridCol w:w="1056"/>
      </w:tblGrid>
      <w:tr w14:paraId="1CC15E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84" w:type="dxa"/>
            <w:vMerge w:val="restart"/>
            <w:tcBorders>
              <w:bottom w:val="nil"/>
            </w:tcBorders>
            <w:vAlign w:val="center"/>
          </w:tcPr>
          <w:p w14:paraId="0FF6983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下风向距离（m）</w:t>
            </w:r>
          </w:p>
        </w:tc>
        <w:tc>
          <w:tcPr>
            <w:tcW w:w="6288" w:type="dxa"/>
            <w:gridSpan w:val="4"/>
            <w:vAlign w:val="center"/>
          </w:tcPr>
          <w:p w14:paraId="4C77B86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w:t>
            </w:r>
            <w:r>
              <w:rPr>
                <w:rFonts w:hint="eastAsia"/>
                <w:b/>
                <w:bCs/>
                <w:color w:val="000000" w:themeColor="text1"/>
                <w:sz w:val="21"/>
                <w:szCs w:val="21"/>
                <w:highlight w:val="none"/>
                <w14:textFill>
                  <w14:solidFill>
                    <w14:schemeClr w14:val="tx1"/>
                  </w14:solidFill>
                </w14:textFill>
              </w:rPr>
              <w:t>堆粪场</w:t>
            </w:r>
            <w:r>
              <w:rPr>
                <w:b/>
                <w:bCs/>
                <w:color w:val="000000" w:themeColor="text1"/>
                <w:sz w:val="21"/>
                <w:szCs w:val="21"/>
                <w:highlight w:val="none"/>
                <w14:textFill>
                  <w14:solidFill>
                    <w14:schemeClr w14:val="tx1"/>
                  </w14:solidFill>
                </w14:textFill>
              </w:rPr>
              <w:t xml:space="preserve"> M002）</w:t>
            </w:r>
          </w:p>
        </w:tc>
      </w:tr>
      <w:tr w14:paraId="015698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Merge w:val="continue"/>
            <w:tcBorders>
              <w:top w:val="nil"/>
              <w:bottom w:val="nil"/>
            </w:tcBorders>
            <w:vAlign w:val="center"/>
          </w:tcPr>
          <w:p w14:paraId="6BD4B36D">
            <w:pPr>
              <w:spacing w:line="240" w:lineRule="auto"/>
              <w:jc w:val="center"/>
              <w:rPr>
                <w:b/>
                <w:bCs/>
                <w:color w:val="000000" w:themeColor="text1"/>
                <w:sz w:val="21"/>
                <w:szCs w:val="21"/>
                <w:highlight w:val="none"/>
                <w14:textFill>
                  <w14:solidFill>
                    <w14:schemeClr w14:val="tx1"/>
                  </w14:solidFill>
                </w14:textFill>
              </w:rPr>
            </w:pPr>
          </w:p>
        </w:tc>
        <w:tc>
          <w:tcPr>
            <w:tcW w:w="3250" w:type="dxa"/>
            <w:gridSpan w:val="2"/>
            <w:vAlign w:val="center"/>
          </w:tcPr>
          <w:p w14:paraId="288A75A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NH</w:t>
            </w:r>
            <w:r>
              <w:rPr>
                <w:b/>
                <w:bCs/>
                <w:color w:val="000000" w:themeColor="text1"/>
                <w:sz w:val="21"/>
                <w:szCs w:val="21"/>
                <w:highlight w:val="none"/>
                <w:vertAlign w:val="subscript"/>
                <w14:textFill>
                  <w14:solidFill>
                    <w14:schemeClr w14:val="tx1"/>
                  </w14:solidFill>
                </w14:textFill>
              </w:rPr>
              <w:t>3</w:t>
            </w:r>
          </w:p>
        </w:tc>
        <w:tc>
          <w:tcPr>
            <w:tcW w:w="3038" w:type="dxa"/>
            <w:gridSpan w:val="2"/>
            <w:vAlign w:val="center"/>
          </w:tcPr>
          <w:p w14:paraId="5CFE401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H</w:t>
            </w:r>
            <w:r>
              <w:rPr>
                <w:b/>
                <w:bCs/>
                <w:color w:val="000000" w:themeColor="text1"/>
                <w:sz w:val="21"/>
                <w:szCs w:val="21"/>
                <w:highlight w:val="none"/>
                <w:vertAlign w:val="subscript"/>
                <w14:textFill>
                  <w14:solidFill>
                    <w14:schemeClr w14:val="tx1"/>
                  </w14:solidFill>
                </w14:textFill>
              </w:rPr>
              <w:t>2</w:t>
            </w:r>
            <w:r>
              <w:rPr>
                <w:b/>
                <w:bCs/>
                <w:color w:val="000000" w:themeColor="text1"/>
                <w:sz w:val="21"/>
                <w:szCs w:val="21"/>
                <w:highlight w:val="none"/>
                <w14:textFill>
                  <w14:solidFill>
                    <w14:schemeClr w14:val="tx1"/>
                  </w14:solidFill>
                </w14:textFill>
              </w:rPr>
              <w:t>S</w:t>
            </w:r>
          </w:p>
        </w:tc>
      </w:tr>
      <w:tr w14:paraId="5ACDCC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Merge w:val="continue"/>
            <w:tcBorders>
              <w:top w:val="nil"/>
            </w:tcBorders>
            <w:vAlign w:val="center"/>
          </w:tcPr>
          <w:p w14:paraId="766BE4F1">
            <w:pPr>
              <w:spacing w:line="240" w:lineRule="auto"/>
              <w:jc w:val="center"/>
              <w:rPr>
                <w:b/>
                <w:bCs/>
                <w:color w:val="000000" w:themeColor="text1"/>
                <w:sz w:val="21"/>
                <w:szCs w:val="21"/>
                <w:highlight w:val="none"/>
                <w14:textFill>
                  <w14:solidFill>
                    <w14:schemeClr w14:val="tx1"/>
                  </w14:solidFill>
                </w14:textFill>
              </w:rPr>
            </w:pPr>
          </w:p>
        </w:tc>
        <w:tc>
          <w:tcPr>
            <w:tcW w:w="2047" w:type="dxa"/>
            <w:vAlign w:val="center"/>
          </w:tcPr>
          <w:p w14:paraId="3843E70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1203" w:type="dxa"/>
            <w:vAlign w:val="center"/>
          </w:tcPr>
          <w:p w14:paraId="3DDBD4E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c>
          <w:tcPr>
            <w:tcW w:w="1982" w:type="dxa"/>
            <w:vAlign w:val="center"/>
          </w:tcPr>
          <w:p w14:paraId="21B8F1F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1056" w:type="dxa"/>
            <w:vAlign w:val="center"/>
          </w:tcPr>
          <w:p w14:paraId="052A62E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r>
      <w:tr w14:paraId="700A8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7E0EFBB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2047" w:type="dxa"/>
            <w:vAlign w:val="center"/>
          </w:tcPr>
          <w:p w14:paraId="79A9735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3.07</w:t>
            </w:r>
          </w:p>
        </w:tc>
        <w:tc>
          <w:tcPr>
            <w:tcW w:w="1203" w:type="dxa"/>
            <w:vAlign w:val="center"/>
          </w:tcPr>
          <w:p w14:paraId="21E54B0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1.54</w:t>
            </w:r>
          </w:p>
        </w:tc>
        <w:tc>
          <w:tcPr>
            <w:tcW w:w="1982" w:type="dxa"/>
            <w:vAlign w:val="center"/>
          </w:tcPr>
          <w:p w14:paraId="44AA9AC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0.328</w:t>
            </w:r>
          </w:p>
        </w:tc>
        <w:tc>
          <w:tcPr>
            <w:tcW w:w="1056" w:type="dxa"/>
            <w:vAlign w:val="center"/>
          </w:tcPr>
          <w:p w14:paraId="37DFC24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3.28</w:t>
            </w:r>
          </w:p>
        </w:tc>
      </w:tr>
      <w:tr w14:paraId="15D27D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56ABD4C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2047" w:type="dxa"/>
            <w:vAlign w:val="center"/>
          </w:tcPr>
          <w:p w14:paraId="0F47A5D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4.42</w:t>
            </w:r>
          </w:p>
        </w:tc>
        <w:tc>
          <w:tcPr>
            <w:tcW w:w="1203" w:type="dxa"/>
            <w:vAlign w:val="center"/>
          </w:tcPr>
          <w:p w14:paraId="0C354F4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2.21</w:t>
            </w:r>
          </w:p>
        </w:tc>
        <w:tc>
          <w:tcPr>
            <w:tcW w:w="1982" w:type="dxa"/>
            <w:vAlign w:val="center"/>
          </w:tcPr>
          <w:p w14:paraId="2D067C8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0.472</w:t>
            </w:r>
          </w:p>
        </w:tc>
        <w:tc>
          <w:tcPr>
            <w:tcW w:w="1056" w:type="dxa"/>
            <w:vAlign w:val="center"/>
          </w:tcPr>
          <w:p w14:paraId="2D78813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4.72</w:t>
            </w:r>
          </w:p>
        </w:tc>
      </w:tr>
      <w:tr w14:paraId="2A6E7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57549E3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2047" w:type="dxa"/>
            <w:vAlign w:val="center"/>
          </w:tcPr>
          <w:p w14:paraId="5A4337E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4.66</w:t>
            </w:r>
          </w:p>
        </w:tc>
        <w:tc>
          <w:tcPr>
            <w:tcW w:w="1203" w:type="dxa"/>
            <w:vAlign w:val="center"/>
          </w:tcPr>
          <w:p w14:paraId="302415E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2.33</w:t>
            </w:r>
          </w:p>
        </w:tc>
        <w:tc>
          <w:tcPr>
            <w:tcW w:w="1982" w:type="dxa"/>
            <w:vAlign w:val="center"/>
          </w:tcPr>
          <w:p w14:paraId="42520F7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0.497</w:t>
            </w:r>
          </w:p>
        </w:tc>
        <w:tc>
          <w:tcPr>
            <w:tcW w:w="1056" w:type="dxa"/>
            <w:vAlign w:val="center"/>
          </w:tcPr>
          <w:p w14:paraId="2AAAE9F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4.97</w:t>
            </w:r>
          </w:p>
        </w:tc>
      </w:tr>
      <w:tr w14:paraId="7FB91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05818A7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2047" w:type="dxa"/>
            <w:vAlign w:val="center"/>
          </w:tcPr>
          <w:p w14:paraId="0FDB924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w:t>
            </w:r>
          </w:p>
        </w:tc>
        <w:tc>
          <w:tcPr>
            <w:tcW w:w="1203" w:type="dxa"/>
            <w:vAlign w:val="center"/>
          </w:tcPr>
          <w:p w14:paraId="4DA0387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2.05</w:t>
            </w:r>
          </w:p>
        </w:tc>
        <w:tc>
          <w:tcPr>
            <w:tcW w:w="1982" w:type="dxa"/>
            <w:vAlign w:val="center"/>
          </w:tcPr>
          <w:p w14:paraId="6506654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0.438</w:t>
            </w:r>
          </w:p>
        </w:tc>
        <w:tc>
          <w:tcPr>
            <w:tcW w:w="1056" w:type="dxa"/>
            <w:vAlign w:val="center"/>
          </w:tcPr>
          <w:p w14:paraId="02F43C3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4.38</w:t>
            </w:r>
          </w:p>
        </w:tc>
      </w:tr>
      <w:tr w14:paraId="4D57D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23DA407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w:t>
            </w:r>
          </w:p>
        </w:tc>
        <w:tc>
          <w:tcPr>
            <w:tcW w:w="2047" w:type="dxa"/>
            <w:vAlign w:val="center"/>
          </w:tcPr>
          <w:p w14:paraId="5B757A8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1.94</w:t>
            </w:r>
          </w:p>
        </w:tc>
        <w:tc>
          <w:tcPr>
            <w:tcW w:w="1203" w:type="dxa"/>
            <w:vAlign w:val="center"/>
          </w:tcPr>
          <w:p w14:paraId="3EBC617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0.97</w:t>
            </w:r>
          </w:p>
        </w:tc>
        <w:tc>
          <w:tcPr>
            <w:tcW w:w="1982" w:type="dxa"/>
            <w:vAlign w:val="center"/>
          </w:tcPr>
          <w:p w14:paraId="66EFC5B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0.206</w:t>
            </w:r>
          </w:p>
        </w:tc>
        <w:tc>
          <w:tcPr>
            <w:tcW w:w="1056" w:type="dxa"/>
            <w:vAlign w:val="center"/>
          </w:tcPr>
          <w:p w14:paraId="27616F1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2.06</w:t>
            </w:r>
          </w:p>
        </w:tc>
      </w:tr>
      <w:tr w14:paraId="073ADA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F2C61E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150</w:t>
            </w:r>
          </w:p>
        </w:tc>
        <w:tc>
          <w:tcPr>
            <w:tcW w:w="2047" w:type="dxa"/>
            <w:vAlign w:val="center"/>
          </w:tcPr>
          <w:p w14:paraId="5DCB9C8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1.11</w:t>
            </w:r>
          </w:p>
        </w:tc>
        <w:tc>
          <w:tcPr>
            <w:tcW w:w="1203" w:type="dxa"/>
            <w:vAlign w:val="center"/>
          </w:tcPr>
          <w:p w14:paraId="3669307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0.56</w:t>
            </w:r>
          </w:p>
        </w:tc>
        <w:tc>
          <w:tcPr>
            <w:tcW w:w="1982" w:type="dxa"/>
            <w:vAlign w:val="center"/>
          </w:tcPr>
          <w:p w14:paraId="401F8C4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0.118</w:t>
            </w:r>
          </w:p>
        </w:tc>
        <w:tc>
          <w:tcPr>
            <w:tcW w:w="1056" w:type="dxa"/>
            <w:vAlign w:val="center"/>
          </w:tcPr>
          <w:p w14:paraId="05042D9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1.18</w:t>
            </w:r>
          </w:p>
        </w:tc>
      </w:tr>
      <w:tr w14:paraId="358507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157026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w:t>
            </w:r>
          </w:p>
        </w:tc>
        <w:tc>
          <w:tcPr>
            <w:tcW w:w="2047" w:type="dxa"/>
            <w:vAlign w:val="center"/>
          </w:tcPr>
          <w:p w14:paraId="6E8EAF1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0.738</w:t>
            </w:r>
          </w:p>
        </w:tc>
        <w:tc>
          <w:tcPr>
            <w:tcW w:w="1203" w:type="dxa"/>
            <w:vAlign w:val="center"/>
          </w:tcPr>
          <w:p w14:paraId="1E71377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0.37</w:t>
            </w:r>
          </w:p>
        </w:tc>
        <w:tc>
          <w:tcPr>
            <w:tcW w:w="1982" w:type="dxa"/>
            <w:vAlign w:val="center"/>
          </w:tcPr>
          <w:p w14:paraId="0D795D1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0.0788</w:t>
            </w:r>
          </w:p>
        </w:tc>
        <w:tc>
          <w:tcPr>
            <w:tcW w:w="1056" w:type="dxa"/>
            <w:vAlign w:val="center"/>
          </w:tcPr>
          <w:p w14:paraId="5C7ACD2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0.79</w:t>
            </w:r>
          </w:p>
        </w:tc>
      </w:tr>
      <w:tr w14:paraId="0E6ED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D3B944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250</w:t>
            </w:r>
          </w:p>
        </w:tc>
        <w:tc>
          <w:tcPr>
            <w:tcW w:w="2047" w:type="dxa"/>
            <w:vAlign w:val="center"/>
          </w:tcPr>
          <w:p w14:paraId="027C14F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0.537</w:t>
            </w:r>
          </w:p>
        </w:tc>
        <w:tc>
          <w:tcPr>
            <w:tcW w:w="1203" w:type="dxa"/>
            <w:vAlign w:val="center"/>
          </w:tcPr>
          <w:p w14:paraId="2D95529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0.27</w:t>
            </w:r>
          </w:p>
        </w:tc>
        <w:tc>
          <w:tcPr>
            <w:tcW w:w="1982" w:type="dxa"/>
            <w:vAlign w:val="center"/>
          </w:tcPr>
          <w:p w14:paraId="1F79562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0.0573</w:t>
            </w:r>
          </w:p>
        </w:tc>
        <w:tc>
          <w:tcPr>
            <w:tcW w:w="1056" w:type="dxa"/>
            <w:vAlign w:val="center"/>
          </w:tcPr>
          <w:p w14:paraId="01716B2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0.57</w:t>
            </w:r>
          </w:p>
        </w:tc>
      </w:tr>
      <w:tr w14:paraId="0674F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168B26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w:t>
            </w:r>
          </w:p>
        </w:tc>
        <w:tc>
          <w:tcPr>
            <w:tcW w:w="2047" w:type="dxa"/>
            <w:vAlign w:val="center"/>
          </w:tcPr>
          <w:p w14:paraId="1D7C049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0.414</w:t>
            </w:r>
          </w:p>
        </w:tc>
        <w:tc>
          <w:tcPr>
            <w:tcW w:w="1203" w:type="dxa"/>
            <w:vAlign w:val="center"/>
          </w:tcPr>
          <w:p w14:paraId="2BE375D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0.21</w:t>
            </w:r>
          </w:p>
        </w:tc>
        <w:tc>
          <w:tcPr>
            <w:tcW w:w="1982" w:type="dxa"/>
            <w:vAlign w:val="center"/>
          </w:tcPr>
          <w:p w14:paraId="40B2A4B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0.0441</w:t>
            </w:r>
          </w:p>
        </w:tc>
        <w:tc>
          <w:tcPr>
            <w:tcW w:w="1056" w:type="dxa"/>
            <w:vAlign w:val="center"/>
          </w:tcPr>
          <w:p w14:paraId="06FF9E8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0.44</w:t>
            </w:r>
          </w:p>
        </w:tc>
      </w:tr>
      <w:tr w14:paraId="53FEF4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C1F031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400</w:t>
            </w:r>
          </w:p>
        </w:tc>
        <w:tc>
          <w:tcPr>
            <w:tcW w:w="2047" w:type="dxa"/>
            <w:vAlign w:val="center"/>
          </w:tcPr>
          <w:p w14:paraId="3BFCA16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0.274</w:t>
            </w:r>
          </w:p>
        </w:tc>
        <w:tc>
          <w:tcPr>
            <w:tcW w:w="1203" w:type="dxa"/>
            <w:vAlign w:val="center"/>
          </w:tcPr>
          <w:p w14:paraId="2343A3C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0.14</w:t>
            </w:r>
          </w:p>
        </w:tc>
        <w:tc>
          <w:tcPr>
            <w:tcW w:w="1982" w:type="dxa"/>
            <w:vAlign w:val="center"/>
          </w:tcPr>
          <w:p w14:paraId="6DE86D6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0.0293</w:t>
            </w:r>
          </w:p>
        </w:tc>
        <w:tc>
          <w:tcPr>
            <w:tcW w:w="1056" w:type="dxa"/>
            <w:vAlign w:val="center"/>
          </w:tcPr>
          <w:p w14:paraId="7C1F101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0.29</w:t>
            </w:r>
          </w:p>
        </w:tc>
      </w:tr>
      <w:tr w14:paraId="7E9CE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7BF3C29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w:t>
            </w:r>
          </w:p>
        </w:tc>
        <w:tc>
          <w:tcPr>
            <w:tcW w:w="2047" w:type="dxa"/>
            <w:vAlign w:val="center"/>
          </w:tcPr>
          <w:p w14:paraId="434CFB9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w:t>
            </w:r>
          </w:p>
        </w:tc>
        <w:tc>
          <w:tcPr>
            <w:tcW w:w="1203" w:type="dxa"/>
            <w:vAlign w:val="center"/>
          </w:tcPr>
          <w:p w14:paraId="2EF28E9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w:t>
            </w:r>
          </w:p>
        </w:tc>
        <w:tc>
          <w:tcPr>
            <w:tcW w:w="1982" w:type="dxa"/>
            <w:vAlign w:val="center"/>
          </w:tcPr>
          <w:p w14:paraId="5CBD4FC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0.0213</w:t>
            </w:r>
          </w:p>
        </w:tc>
        <w:tc>
          <w:tcPr>
            <w:tcW w:w="1056" w:type="dxa"/>
            <w:vAlign w:val="center"/>
          </w:tcPr>
          <w:p w14:paraId="5DD792D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0.21</w:t>
            </w:r>
          </w:p>
        </w:tc>
      </w:tr>
      <w:tr w14:paraId="634091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7E66393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600</w:t>
            </w:r>
          </w:p>
        </w:tc>
        <w:tc>
          <w:tcPr>
            <w:tcW w:w="2047" w:type="dxa"/>
            <w:vAlign w:val="center"/>
          </w:tcPr>
          <w:p w14:paraId="72F5613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0.155</w:t>
            </w:r>
          </w:p>
        </w:tc>
        <w:tc>
          <w:tcPr>
            <w:tcW w:w="1203" w:type="dxa"/>
            <w:vAlign w:val="center"/>
          </w:tcPr>
          <w:p w14:paraId="198187C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w:t>
            </w:r>
          </w:p>
        </w:tc>
        <w:tc>
          <w:tcPr>
            <w:tcW w:w="1982" w:type="dxa"/>
            <w:vAlign w:val="center"/>
          </w:tcPr>
          <w:p w14:paraId="6E7BB9E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0.0165</w:t>
            </w:r>
          </w:p>
        </w:tc>
        <w:tc>
          <w:tcPr>
            <w:tcW w:w="1056" w:type="dxa"/>
            <w:vAlign w:val="center"/>
          </w:tcPr>
          <w:p w14:paraId="13B8D29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0.17</w:t>
            </w:r>
          </w:p>
        </w:tc>
      </w:tr>
      <w:tr w14:paraId="22841D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DA53A9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700</w:t>
            </w:r>
          </w:p>
        </w:tc>
        <w:tc>
          <w:tcPr>
            <w:tcW w:w="2047" w:type="dxa"/>
            <w:vAlign w:val="center"/>
          </w:tcPr>
          <w:p w14:paraId="005089D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0.125</w:t>
            </w:r>
          </w:p>
        </w:tc>
        <w:tc>
          <w:tcPr>
            <w:tcW w:w="1203" w:type="dxa"/>
            <w:vAlign w:val="center"/>
          </w:tcPr>
          <w:p w14:paraId="7C10FA4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1982" w:type="dxa"/>
            <w:vAlign w:val="center"/>
          </w:tcPr>
          <w:p w14:paraId="385F5AD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0.0133</w:t>
            </w:r>
          </w:p>
        </w:tc>
        <w:tc>
          <w:tcPr>
            <w:tcW w:w="1056" w:type="dxa"/>
            <w:vAlign w:val="center"/>
          </w:tcPr>
          <w:p w14:paraId="11241CF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0.13</w:t>
            </w:r>
          </w:p>
        </w:tc>
      </w:tr>
      <w:tr w14:paraId="154878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C82403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800</w:t>
            </w:r>
          </w:p>
        </w:tc>
        <w:tc>
          <w:tcPr>
            <w:tcW w:w="2047" w:type="dxa"/>
            <w:vAlign w:val="center"/>
          </w:tcPr>
          <w:p w14:paraId="3907263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0.103</w:t>
            </w:r>
          </w:p>
        </w:tc>
        <w:tc>
          <w:tcPr>
            <w:tcW w:w="1203" w:type="dxa"/>
            <w:vAlign w:val="center"/>
          </w:tcPr>
          <w:p w14:paraId="00FEB48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w:t>
            </w:r>
          </w:p>
        </w:tc>
        <w:tc>
          <w:tcPr>
            <w:tcW w:w="1982" w:type="dxa"/>
            <w:vAlign w:val="center"/>
          </w:tcPr>
          <w:p w14:paraId="4130381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0.011</w:t>
            </w:r>
          </w:p>
        </w:tc>
        <w:tc>
          <w:tcPr>
            <w:tcW w:w="1056" w:type="dxa"/>
            <w:vAlign w:val="center"/>
          </w:tcPr>
          <w:p w14:paraId="1EB1638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w:t>
            </w:r>
          </w:p>
        </w:tc>
      </w:tr>
      <w:tr w14:paraId="3A145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2DA95B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900</w:t>
            </w:r>
          </w:p>
        </w:tc>
        <w:tc>
          <w:tcPr>
            <w:tcW w:w="2047" w:type="dxa"/>
            <w:vAlign w:val="center"/>
          </w:tcPr>
          <w:p w14:paraId="5FD1AEC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0.0876</w:t>
            </w:r>
          </w:p>
        </w:tc>
        <w:tc>
          <w:tcPr>
            <w:tcW w:w="1203" w:type="dxa"/>
            <w:vAlign w:val="center"/>
          </w:tcPr>
          <w:p w14:paraId="058871A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c>
          <w:tcPr>
            <w:tcW w:w="1982" w:type="dxa"/>
            <w:vAlign w:val="center"/>
          </w:tcPr>
          <w:p w14:paraId="6C8BB7A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0.00934</w:t>
            </w:r>
          </w:p>
        </w:tc>
        <w:tc>
          <w:tcPr>
            <w:tcW w:w="1056" w:type="dxa"/>
            <w:vAlign w:val="center"/>
          </w:tcPr>
          <w:p w14:paraId="1E01B4C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0.09</w:t>
            </w:r>
          </w:p>
        </w:tc>
      </w:tr>
      <w:tr w14:paraId="11E565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6D74A1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1000</w:t>
            </w:r>
          </w:p>
        </w:tc>
        <w:tc>
          <w:tcPr>
            <w:tcW w:w="2047" w:type="dxa"/>
            <w:vAlign w:val="center"/>
          </w:tcPr>
          <w:p w14:paraId="5439860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0.0756</w:t>
            </w:r>
          </w:p>
        </w:tc>
        <w:tc>
          <w:tcPr>
            <w:tcW w:w="1203" w:type="dxa"/>
            <w:vAlign w:val="center"/>
          </w:tcPr>
          <w:p w14:paraId="54BA9D6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c>
          <w:tcPr>
            <w:tcW w:w="1982" w:type="dxa"/>
            <w:vAlign w:val="center"/>
          </w:tcPr>
          <w:p w14:paraId="40D10E7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0.00806</w:t>
            </w:r>
          </w:p>
        </w:tc>
        <w:tc>
          <w:tcPr>
            <w:tcW w:w="1056" w:type="dxa"/>
            <w:vAlign w:val="center"/>
          </w:tcPr>
          <w:p w14:paraId="4B59547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w:t>
            </w:r>
          </w:p>
        </w:tc>
      </w:tr>
      <w:tr w14:paraId="577EAA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11C2AC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1100</w:t>
            </w:r>
          </w:p>
        </w:tc>
        <w:tc>
          <w:tcPr>
            <w:tcW w:w="2047" w:type="dxa"/>
            <w:vAlign w:val="center"/>
          </w:tcPr>
          <w:p w14:paraId="704DD8C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0.0662</w:t>
            </w:r>
          </w:p>
        </w:tc>
        <w:tc>
          <w:tcPr>
            <w:tcW w:w="1203" w:type="dxa"/>
            <w:vAlign w:val="center"/>
          </w:tcPr>
          <w:p w14:paraId="4172408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c>
          <w:tcPr>
            <w:tcW w:w="1982" w:type="dxa"/>
            <w:vAlign w:val="center"/>
          </w:tcPr>
          <w:p w14:paraId="6A40925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0.00706</w:t>
            </w:r>
          </w:p>
        </w:tc>
        <w:tc>
          <w:tcPr>
            <w:tcW w:w="1056" w:type="dxa"/>
            <w:vAlign w:val="center"/>
          </w:tcPr>
          <w:p w14:paraId="1F7EEE6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0.07</w:t>
            </w:r>
          </w:p>
        </w:tc>
      </w:tr>
      <w:tr w14:paraId="0C8413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D31C01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1200</w:t>
            </w:r>
          </w:p>
        </w:tc>
        <w:tc>
          <w:tcPr>
            <w:tcW w:w="2047" w:type="dxa"/>
            <w:vAlign w:val="center"/>
          </w:tcPr>
          <w:p w14:paraId="4537D2A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0.0586</w:t>
            </w:r>
          </w:p>
        </w:tc>
        <w:tc>
          <w:tcPr>
            <w:tcW w:w="1203" w:type="dxa"/>
            <w:vAlign w:val="center"/>
          </w:tcPr>
          <w:p w14:paraId="48D3739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c>
          <w:tcPr>
            <w:tcW w:w="1982" w:type="dxa"/>
            <w:vAlign w:val="center"/>
          </w:tcPr>
          <w:p w14:paraId="3F537BC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0.00625</w:t>
            </w:r>
          </w:p>
        </w:tc>
        <w:tc>
          <w:tcPr>
            <w:tcW w:w="1056" w:type="dxa"/>
            <w:vAlign w:val="center"/>
          </w:tcPr>
          <w:p w14:paraId="489B3FB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r>
      <w:tr w14:paraId="4D3C87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8630EA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1300</w:t>
            </w:r>
          </w:p>
        </w:tc>
        <w:tc>
          <w:tcPr>
            <w:tcW w:w="2047" w:type="dxa"/>
            <w:vAlign w:val="center"/>
          </w:tcPr>
          <w:p w14:paraId="4E52557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0.0524</w:t>
            </w:r>
          </w:p>
        </w:tc>
        <w:tc>
          <w:tcPr>
            <w:tcW w:w="1203" w:type="dxa"/>
            <w:vAlign w:val="center"/>
          </w:tcPr>
          <w:p w14:paraId="600A0D8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c>
          <w:tcPr>
            <w:tcW w:w="1982" w:type="dxa"/>
            <w:vAlign w:val="center"/>
          </w:tcPr>
          <w:p w14:paraId="6CEEBC5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0.00559</w:t>
            </w:r>
          </w:p>
        </w:tc>
        <w:tc>
          <w:tcPr>
            <w:tcW w:w="1056" w:type="dxa"/>
            <w:vAlign w:val="center"/>
          </w:tcPr>
          <w:p w14:paraId="2C2945E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r>
      <w:tr w14:paraId="54D239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1226410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1400</w:t>
            </w:r>
          </w:p>
        </w:tc>
        <w:tc>
          <w:tcPr>
            <w:tcW w:w="2047" w:type="dxa"/>
            <w:vAlign w:val="center"/>
          </w:tcPr>
          <w:p w14:paraId="5EEB44E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0.0473</w:t>
            </w:r>
          </w:p>
        </w:tc>
        <w:tc>
          <w:tcPr>
            <w:tcW w:w="1203" w:type="dxa"/>
            <w:vAlign w:val="center"/>
          </w:tcPr>
          <w:p w14:paraId="64D2A03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06ED8DF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0.00504</w:t>
            </w:r>
          </w:p>
        </w:tc>
        <w:tc>
          <w:tcPr>
            <w:tcW w:w="1056" w:type="dxa"/>
            <w:vAlign w:val="center"/>
          </w:tcPr>
          <w:p w14:paraId="11A2882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w:t>
            </w:r>
          </w:p>
        </w:tc>
      </w:tr>
      <w:tr w14:paraId="0DF020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9B3D6E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1500</w:t>
            </w:r>
          </w:p>
        </w:tc>
        <w:tc>
          <w:tcPr>
            <w:tcW w:w="2047" w:type="dxa"/>
            <w:vAlign w:val="center"/>
          </w:tcPr>
          <w:p w14:paraId="3649EB5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0.043</w:t>
            </w:r>
          </w:p>
        </w:tc>
        <w:tc>
          <w:tcPr>
            <w:tcW w:w="1203" w:type="dxa"/>
            <w:vAlign w:val="center"/>
          </w:tcPr>
          <w:p w14:paraId="6BD2267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5E15A93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0.00458</w:t>
            </w:r>
          </w:p>
        </w:tc>
        <w:tc>
          <w:tcPr>
            <w:tcW w:w="1056" w:type="dxa"/>
            <w:vAlign w:val="center"/>
          </w:tcPr>
          <w:p w14:paraId="211EBBC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w:t>
            </w:r>
          </w:p>
        </w:tc>
      </w:tr>
      <w:tr w14:paraId="66773E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6A9A40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1600</w:t>
            </w:r>
          </w:p>
        </w:tc>
        <w:tc>
          <w:tcPr>
            <w:tcW w:w="2047" w:type="dxa"/>
            <w:vAlign w:val="center"/>
          </w:tcPr>
          <w:p w14:paraId="5FC8FE2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0.0393</w:t>
            </w:r>
          </w:p>
        </w:tc>
        <w:tc>
          <w:tcPr>
            <w:tcW w:w="1203" w:type="dxa"/>
            <w:vAlign w:val="center"/>
          </w:tcPr>
          <w:p w14:paraId="1B74734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2A576E5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0.00419</w:t>
            </w:r>
          </w:p>
        </w:tc>
        <w:tc>
          <w:tcPr>
            <w:tcW w:w="1056" w:type="dxa"/>
            <w:vAlign w:val="center"/>
          </w:tcPr>
          <w:p w14:paraId="1D2DC96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r>
      <w:tr w14:paraId="29763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7372780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1700</w:t>
            </w:r>
          </w:p>
        </w:tc>
        <w:tc>
          <w:tcPr>
            <w:tcW w:w="2047" w:type="dxa"/>
            <w:vAlign w:val="center"/>
          </w:tcPr>
          <w:p w14:paraId="7FC5AD0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0.0361</w:t>
            </w:r>
          </w:p>
        </w:tc>
        <w:tc>
          <w:tcPr>
            <w:tcW w:w="1203" w:type="dxa"/>
            <w:vAlign w:val="center"/>
          </w:tcPr>
          <w:p w14:paraId="1015110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5222C20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0.00385</w:t>
            </w:r>
          </w:p>
        </w:tc>
        <w:tc>
          <w:tcPr>
            <w:tcW w:w="1056" w:type="dxa"/>
            <w:vAlign w:val="center"/>
          </w:tcPr>
          <w:p w14:paraId="610A796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r>
      <w:tr w14:paraId="6B3FD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5EA0F2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1800</w:t>
            </w:r>
          </w:p>
        </w:tc>
        <w:tc>
          <w:tcPr>
            <w:tcW w:w="2047" w:type="dxa"/>
            <w:vAlign w:val="center"/>
          </w:tcPr>
          <w:p w14:paraId="4914EBC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0.0334</w:t>
            </w:r>
          </w:p>
        </w:tc>
        <w:tc>
          <w:tcPr>
            <w:tcW w:w="1203" w:type="dxa"/>
            <w:vAlign w:val="center"/>
          </w:tcPr>
          <w:p w14:paraId="71A2E75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481E61E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0.00356</w:t>
            </w:r>
          </w:p>
        </w:tc>
        <w:tc>
          <w:tcPr>
            <w:tcW w:w="1056" w:type="dxa"/>
            <w:vAlign w:val="center"/>
          </w:tcPr>
          <w:p w14:paraId="1B511E4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r>
      <w:tr w14:paraId="41B4C0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C13F81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1900</w:t>
            </w:r>
          </w:p>
        </w:tc>
        <w:tc>
          <w:tcPr>
            <w:tcW w:w="2047" w:type="dxa"/>
            <w:vAlign w:val="center"/>
          </w:tcPr>
          <w:p w14:paraId="7422666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0.031</w:t>
            </w:r>
          </w:p>
        </w:tc>
        <w:tc>
          <w:tcPr>
            <w:tcW w:w="1203" w:type="dxa"/>
            <w:vAlign w:val="center"/>
          </w:tcPr>
          <w:p w14:paraId="53C943C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51E0B19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0.0033</w:t>
            </w:r>
          </w:p>
        </w:tc>
        <w:tc>
          <w:tcPr>
            <w:tcW w:w="1056" w:type="dxa"/>
            <w:vAlign w:val="center"/>
          </w:tcPr>
          <w:p w14:paraId="2AB5AE8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r>
      <w:tr w14:paraId="49BDD1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77BA803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2000</w:t>
            </w:r>
          </w:p>
        </w:tc>
        <w:tc>
          <w:tcPr>
            <w:tcW w:w="2047" w:type="dxa"/>
            <w:vAlign w:val="center"/>
          </w:tcPr>
          <w:p w14:paraId="3DBD728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0.0288</w:t>
            </w:r>
          </w:p>
        </w:tc>
        <w:tc>
          <w:tcPr>
            <w:tcW w:w="1203" w:type="dxa"/>
            <w:vAlign w:val="center"/>
          </w:tcPr>
          <w:p w14:paraId="7CADD5C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59F9248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0.00308</w:t>
            </w:r>
          </w:p>
        </w:tc>
        <w:tc>
          <w:tcPr>
            <w:tcW w:w="1056" w:type="dxa"/>
            <w:vAlign w:val="center"/>
          </w:tcPr>
          <w:p w14:paraId="5D4B94F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r>
      <w:tr w14:paraId="2817DF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01E3F8E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2100</w:t>
            </w:r>
          </w:p>
        </w:tc>
        <w:tc>
          <w:tcPr>
            <w:tcW w:w="2047" w:type="dxa"/>
            <w:vAlign w:val="center"/>
          </w:tcPr>
          <w:p w14:paraId="6006227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0.027</w:t>
            </w:r>
          </w:p>
        </w:tc>
        <w:tc>
          <w:tcPr>
            <w:tcW w:w="1203" w:type="dxa"/>
            <w:vAlign w:val="center"/>
          </w:tcPr>
          <w:p w14:paraId="5EFFFE1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71706BC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0.00288</w:t>
            </w:r>
          </w:p>
        </w:tc>
        <w:tc>
          <w:tcPr>
            <w:tcW w:w="1056" w:type="dxa"/>
            <w:vAlign w:val="center"/>
          </w:tcPr>
          <w:p w14:paraId="682A20C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r>
      <w:tr w14:paraId="2012E3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A1288C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2200</w:t>
            </w:r>
          </w:p>
        </w:tc>
        <w:tc>
          <w:tcPr>
            <w:tcW w:w="2047" w:type="dxa"/>
            <w:vAlign w:val="center"/>
          </w:tcPr>
          <w:p w14:paraId="5751453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0.0253</w:t>
            </w:r>
          </w:p>
        </w:tc>
        <w:tc>
          <w:tcPr>
            <w:tcW w:w="1203" w:type="dxa"/>
            <w:vAlign w:val="center"/>
          </w:tcPr>
          <w:p w14:paraId="3BB07BA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5F41976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0.0027</w:t>
            </w:r>
          </w:p>
        </w:tc>
        <w:tc>
          <w:tcPr>
            <w:tcW w:w="1056" w:type="dxa"/>
            <w:vAlign w:val="center"/>
          </w:tcPr>
          <w:p w14:paraId="27005DE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r>
      <w:tr w14:paraId="636FB6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76485D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2300</w:t>
            </w:r>
          </w:p>
        </w:tc>
        <w:tc>
          <w:tcPr>
            <w:tcW w:w="2047" w:type="dxa"/>
            <w:vAlign w:val="center"/>
          </w:tcPr>
          <w:p w14:paraId="1B91705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0.0238</w:t>
            </w:r>
          </w:p>
        </w:tc>
        <w:tc>
          <w:tcPr>
            <w:tcW w:w="1203" w:type="dxa"/>
            <w:vAlign w:val="center"/>
          </w:tcPr>
          <w:p w14:paraId="7B07D7F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49FBFB6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0.00254</w:t>
            </w:r>
          </w:p>
        </w:tc>
        <w:tc>
          <w:tcPr>
            <w:tcW w:w="1056" w:type="dxa"/>
            <w:vAlign w:val="center"/>
          </w:tcPr>
          <w:p w14:paraId="2D2B16F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r>
      <w:tr w14:paraId="5D27E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709708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2400</w:t>
            </w:r>
          </w:p>
        </w:tc>
        <w:tc>
          <w:tcPr>
            <w:tcW w:w="2047" w:type="dxa"/>
            <w:vAlign w:val="center"/>
          </w:tcPr>
          <w:p w14:paraId="7BC4635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0.0224</w:t>
            </w:r>
          </w:p>
        </w:tc>
        <w:tc>
          <w:tcPr>
            <w:tcW w:w="1203" w:type="dxa"/>
            <w:vAlign w:val="center"/>
          </w:tcPr>
          <w:p w14:paraId="5949FF9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463ECE5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0.00239</w:t>
            </w:r>
          </w:p>
        </w:tc>
        <w:tc>
          <w:tcPr>
            <w:tcW w:w="1056" w:type="dxa"/>
            <w:vAlign w:val="center"/>
          </w:tcPr>
          <w:p w14:paraId="71E45A4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r>
      <w:tr w14:paraId="0BEA9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16842BF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2500</w:t>
            </w:r>
          </w:p>
        </w:tc>
        <w:tc>
          <w:tcPr>
            <w:tcW w:w="2047" w:type="dxa"/>
            <w:vAlign w:val="center"/>
          </w:tcPr>
          <w:p w14:paraId="58E4BF2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0.0212</w:t>
            </w:r>
          </w:p>
        </w:tc>
        <w:tc>
          <w:tcPr>
            <w:tcW w:w="1203" w:type="dxa"/>
            <w:vAlign w:val="center"/>
          </w:tcPr>
          <w:p w14:paraId="4553274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3949095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0.00226</w:t>
            </w:r>
          </w:p>
        </w:tc>
        <w:tc>
          <w:tcPr>
            <w:tcW w:w="1056" w:type="dxa"/>
            <w:vAlign w:val="center"/>
          </w:tcPr>
          <w:p w14:paraId="359EE6E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r>
      <w:tr w14:paraId="0B301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084" w:type="dxa"/>
            <w:vAlign w:val="center"/>
          </w:tcPr>
          <w:p w14:paraId="222E86B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下风向最大质量浓度 及占标率/%</w:t>
            </w:r>
          </w:p>
        </w:tc>
        <w:tc>
          <w:tcPr>
            <w:tcW w:w="2047" w:type="dxa"/>
            <w:vAlign w:val="center"/>
          </w:tcPr>
          <w:p w14:paraId="570839D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4.66</w:t>
            </w:r>
          </w:p>
        </w:tc>
        <w:tc>
          <w:tcPr>
            <w:tcW w:w="1203" w:type="dxa"/>
            <w:vAlign w:val="center"/>
          </w:tcPr>
          <w:p w14:paraId="6AB479E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2.33</w:t>
            </w:r>
          </w:p>
        </w:tc>
        <w:tc>
          <w:tcPr>
            <w:tcW w:w="1982" w:type="dxa"/>
            <w:vAlign w:val="center"/>
          </w:tcPr>
          <w:p w14:paraId="5D141E4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0.497</w:t>
            </w:r>
          </w:p>
        </w:tc>
        <w:tc>
          <w:tcPr>
            <w:tcW w:w="1056" w:type="dxa"/>
            <w:vAlign w:val="center"/>
          </w:tcPr>
          <w:p w14:paraId="2BEDDC7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4.97</w:t>
            </w:r>
          </w:p>
        </w:tc>
      </w:tr>
      <w:tr w14:paraId="517853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84" w:type="dxa"/>
            <w:vAlign w:val="center"/>
          </w:tcPr>
          <w:p w14:paraId="33A2309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D10%最远距离/m</w:t>
            </w:r>
          </w:p>
        </w:tc>
        <w:tc>
          <w:tcPr>
            <w:tcW w:w="3250" w:type="dxa"/>
            <w:gridSpan w:val="2"/>
            <w:vAlign w:val="center"/>
          </w:tcPr>
          <w:p w14:paraId="38CE96C2">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3038" w:type="dxa"/>
            <w:gridSpan w:val="2"/>
            <w:vAlign w:val="center"/>
          </w:tcPr>
          <w:p w14:paraId="21746B9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r>
    </w:tbl>
    <w:p w14:paraId="3B8D3EF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（M003）</w:t>
      </w:r>
    </w:p>
    <w:p w14:paraId="38E629F4">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（M003）面源无组织废气正常排放预测结果，具体结果见表5.2-11。</w:t>
      </w:r>
    </w:p>
    <w:p w14:paraId="25A3C719">
      <w:pPr>
        <w:spacing w:line="240" w:lineRule="auto"/>
        <w:ind w:firstLine="422" w:firstLineChars="20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 xml:space="preserve">表5.2-11  </w:t>
      </w:r>
      <w:r>
        <w:rPr>
          <w:rFonts w:hint="eastAsia"/>
          <w:b/>
          <w:bCs/>
          <w:color w:val="000000" w:themeColor="text1"/>
          <w:sz w:val="21"/>
          <w:szCs w:val="21"/>
          <w:highlight w:val="none"/>
          <w14:textFill>
            <w14:solidFill>
              <w14:schemeClr w14:val="tx1"/>
            </w14:solidFill>
          </w14:textFill>
        </w:rPr>
        <w:t>黑膜池</w:t>
      </w:r>
      <w:r>
        <w:rPr>
          <w:b/>
          <w:bCs/>
          <w:color w:val="000000" w:themeColor="text1"/>
          <w:sz w:val="21"/>
          <w:szCs w:val="21"/>
          <w:highlight w:val="none"/>
          <w14:textFill>
            <w14:solidFill>
              <w14:schemeClr w14:val="tx1"/>
            </w14:solidFill>
          </w14:textFill>
        </w:rPr>
        <w:t>污染源估算模型计算结果表</w:t>
      </w:r>
    </w:p>
    <w:tbl>
      <w:tblPr>
        <w:tblStyle w:val="58"/>
        <w:tblW w:w="83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4"/>
        <w:gridCol w:w="2047"/>
        <w:gridCol w:w="1203"/>
        <w:gridCol w:w="1982"/>
        <w:gridCol w:w="1056"/>
      </w:tblGrid>
      <w:tr w14:paraId="4641AD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84" w:type="dxa"/>
            <w:vMerge w:val="restart"/>
            <w:tcBorders>
              <w:bottom w:val="nil"/>
            </w:tcBorders>
            <w:vAlign w:val="center"/>
          </w:tcPr>
          <w:p w14:paraId="199781C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下风向距离（m）</w:t>
            </w:r>
          </w:p>
        </w:tc>
        <w:tc>
          <w:tcPr>
            <w:tcW w:w="6288" w:type="dxa"/>
            <w:gridSpan w:val="4"/>
            <w:vAlign w:val="center"/>
          </w:tcPr>
          <w:p w14:paraId="19BA69A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面源（</w:t>
            </w:r>
            <w:r>
              <w:rPr>
                <w:rFonts w:hint="eastAsia"/>
                <w:b/>
                <w:bCs/>
                <w:color w:val="000000" w:themeColor="text1"/>
                <w:sz w:val="21"/>
                <w:szCs w:val="21"/>
                <w:highlight w:val="none"/>
                <w14:textFill>
                  <w14:solidFill>
                    <w14:schemeClr w14:val="tx1"/>
                  </w14:solidFill>
                </w14:textFill>
              </w:rPr>
              <w:t>黑膜池</w:t>
            </w:r>
            <w:r>
              <w:rPr>
                <w:b/>
                <w:bCs/>
                <w:color w:val="000000" w:themeColor="text1"/>
                <w:sz w:val="21"/>
                <w:szCs w:val="21"/>
                <w:highlight w:val="none"/>
                <w14:textFill>
                  <w14:solidFill>
                    <w14:schemeClr w14:val="tx1"/>
                  </w14:solidFill>
                </w14:textFill>
              </w:rPr>
              <w:t xml:space="preserve"> M003）</w:t>
            </w:r>
          </w:p>
        </w:tc>
      </w:tr>
      <w:tr w14:paraId="4F9EB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Merge w:val="continue"/>
            <w:tcBorders>
              <w:top w:val="nil"/>
              <w:bottom w:val="nil"/>
            </w:tcBorders>
            <w:vAlign w:val="center"/>
          </w:tcPr>
          <w:p w14:paraId="0AB17D71">
            <w:pPr>
              <w:spacing w:line="240" w:lineRule="auto"/>
              <w:jc w:val="center"/>
              <w:rPr>
                <w:b/>
                <w:bCs/>
                <w:color w:val="000000" w:themeColor="text1"/>
                <w:sz w:val="21"/>
                <w:szCs w:val="21"/>
                <w:highlight w:val="none"/>
                <w14:textFill>
                  <w14:solidFill>
                    <w14:schemeClr w14:val="tx1"/>
                  </w14:solidFill>
                </w14:textFill>
              </w:rPr>
            </w:pPr>
          </w:p>
        </w:tc>
        <w:tc>
          <w:tcPr>
            <w:tcW w:w="3250" w:type="dxa"/>
            <w:gridSpan w:val="2"/>
            <w:vAlign w:val="center"/>
          </w:tcPr>
          <w:p w14:paraId="17FF273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NH</w:t>
            </w:r>
            <w:r>
              <w:rPr>
                <w:b/>
                <w:bCs/>
                <w:color w:val="000000" w:themeColor="text1"/>
                <w:sz w:val="21"/>
                <w:szCs w:val="21"/>
                <w:highlight w:val="none"/>
                <w:vertAlign w:val="subscript"/>
                <w14:textFill>
                  <w14:solidFill>
                    <w14:schemeClr w14:val="tx1"/>
                  </w14:solidFill>
                </w14:textFill>
              </w:rPr>
              <w:t>3</w:t>
            </w:r>
          </w:p>
        </w:tc>
        <w:tc>
          <w:tcPr>
            <w:tcW w:w="3038" w:type="dxa"/>
            <w:gridSpan w:val="2"/>
            <w:vAlign w:val="center"/>
          </w:tcPr>
          <w:p w14:paraId="3FDE80E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H</w:t>
            </w:r>
            <w:r>
              <w:rPr>
                <w:b/>
                <w:bCs/>
                <w:color w:val="000000" w:themeColor="text1"/>
                <w:sz w:val="21"/>
                <w:szCs w:val="21"/>
                <w:highlight w:val="none"/>
                <w:vertAlign w:val="subscript"/>
                <w14:textFill>
                  <w14:solidFill>
                    <w14:schemeClr w14:val="tx1"/>
                  </w14:solidFill>
                </w14:textFill>
              </w:rPr>
              <w:t>2</w:t>
            </w:r>
            <w:r>
              <w:rPr>
                <w:b/>
                <w:bCs/>
                <w:color w:val="000000" w:themeColor="text1"/>
                <w:sz w:val="21"/>
                <w:szCs w:val="21"/>
                <w:highlight w:val="none"/>
                <w14:textFill>
                  <w14:solidFill>
                    <w14:schemeClr w14:val="tx1"/>
                  </w14:solidFill>
                </w14:textFill>
              </w:rPr>
              <w:t>S</w:t>
            </w:r>
          </w:p>
        </w:tc>
      </w:tr>
      <w:tr w14:paraId="19304F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Merge w:val="continue"/>
            <w:tcBorders>
              <w:top w:val="nil"/>
            </w:tcBorders>
            <w:vAlign w:val="center"/>
          </w:tcPr>
          <w:p w14:paraId="011C5CA9">
            <w:pPr>
              <w:spacing w:line="240" w:lineRule="auto"/>
              <w:jc w:val="center"/>
              <w:rPr>
                <w:b/>
                <w:bCs/>
                <w:color w:val="000000" w:themeColor="text1"/>
                <w:sz w:val="21"/>
                <w:szCs w:val="21"/>
                <w:highlight w:val="none"/>
                <w14:textFill>
                  <w14:solidFill>
                    <w14:schemeClr w14:val="tx1"/>
                  </w14:solidFill>
                </w14:textFill>
              </w:rPr>
            </w:pPr>
          </w:p>
        </w:tc>
        <w:tc>
          <w:tcPr>
            <w:tcW w:w="2047" w:type="dxa"/>
            <w:vAlign w:val="center"/>
          </w:tcPr>
          <w:p w14:paraId="53D104E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1203" w:type="dxa"/>
            <w:vAlign w:val="center"/>
          </w:tcPr>
          <w:p w14:paraId="67BEF6E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c>
          <w:tcPr>
            <w:tcW w:w="1982" w:type="dxa"/>
            <w:vAlign w:val="center"/>
          </w:tcPr>
          <w:p w14:paraId="7D7A549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1056" w:type="dxa"/>
            <w:vAlign w:val="center"/>
          </w:tcPr>
          <w:p w14:paraId="546DA4D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r>
      <w:tr w14:paraId="529BF4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04C15593">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p>
        </w:tc>
        <w:tc>
          <w:tcPr>
            <w:tcW w:w="2047" w:type="dxa"/>
            <w:shd w:val="clear" w:color="auto" w:fill="auto"/>
            <w:vAlign w:val="center"/>
          </w:tcPr>
          <w:p w14:paraId="2B17AF5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2.67</w:t>
            </w:r>
          </w:p>
        </w:tc>
        <w:tc>
          <w:tcPr>
            <w:tcW w:w="1203" w:type="dxa"/>
            <w:shd w:val="clear" w:color="auto" w:fill="auto"/>
            <w:vAlign w:val="center"/>
          </w:tcPr>
          <w:p w14:paraId="63A46DD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1.33</w:t>
            </w:r>
          </w:p>
        </w:tc>
        <w:tc>
          <w:tcPr>
            <w:tcW w:w="1982" w:type="dxa"/>
            <w:vAlign w:val="center"/>
          </w:tcPr>
          <w:p w14:paraId="0906BA73">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0.0934</w:t>
            </w:r>
          </w:p>
        </w:tc>
        <w:tc>
          <w:tcPr>
            <w:tcW w:w="1056" w:type="dxa"/>
            <w:vAlign w:val="center"/>
          </w:tcPr>
          <w:p w14:paraId="2171CA30">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0.93</w:t>
            </w:r>
          </w:p>
        </w:tc>
      </w:tr>
      <w:tr w14:paraId="0413C2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44B2FBB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w:t>
            </w:r>
          </w:p>
        </w:tc>
        <w:tc>
          <w:tcPr>
            <w:tcW w:w="2047" w:type="dxa"/>
            <w:shd w:val="clear" w:color="auto" w:fill="auto"/>
            <w:vAlign w:val="center"/>
          </w:tcPr>
          <w:p w14:paraId="2B78CFD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2.86</w:t>
            </w:r>
          </w:p>
        </w:tc>
        <w:tc>
          <w:tcPr>
            <w:tcW w:w="1203" w:type="dxa"/>
            <w:shd w:val="clear" w:color="auto" w:fill="auto"/>
            <w:vAlign w:val="center"/>
          </w:tcPr>
          <w:p w14:paraId="64A4ACC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1.43</w:t>
            </w:r>
          </w:p>
        </w:tc>
        <w:tc>
          <w:tcPr>
            <w:tcW w:w="1982" w:type="dxa"/>
            <w:vAlign w:val="center"/>
          </w:tcPr>
          <w:p w14:paraId="4EFDB6AF">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w:t>
            </w:r>
          </w:p>
        </w:tc>
        <w:tc>
          <w:tcPr>
            <w:tcW w:w="1056" w:type="dxa"/>
            <w:vAlign w:val="center"/>
          </w:tcPr>
          <w:p w14:paraId="4D3D13B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w:t>
            </w:r>
          </w:p>
        </w:tc>
      </w:tr>
      <w:tr w14:paraId="369FC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2C866088">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w:t>
            </w:r>
          </w:p>
        </w:tc>
        <w:tc>
          <w:tcPr>
            <w:tcW w:w="2047" w:type="dxa"/>
            <w:shd w:val="clear" w:color="auto" w:fill="auto"/>
            <w:vAlign w:val="center"/>
          </w:tcPr>
          <w:p w14:paraId="53E53E8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3.13</w:t>
            </w:r>
          </w:p>
        </w:tc>
        <w:tc>
          <w:tcPr>
            <w:tcW w:w="1203" w:type="dxa"/>
            <w:shd w:val="clear" w:color="auto" w:fill="auto"/>
            <w:vAlign w:val="center"/>
          </w:tcPr>
          <w:p w14:paraId="5CC032E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1.56</w:t>
            </w:r>
          </w:p>
        </w:tc>
        <w:tc>
          <w:tcPr>
            <w:tcW w:w="1982" w:type="dxa"/>
            <w:vAlign w:val="center"/>
          </w:tcPr>
          <w:p w14:paraId="2096B2FA">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0.109</w:t>
            </w:r>
          </w:p>
        </w:tc>
        <w:tc>
          <w:tcPr>
            <w:tcW w:w="1056" w:type="dxa"/>
            <w:vAlign w:val="center"/>
          </w:tcPr>
          <w:p w14:paraId="52C5B75D">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1.09</w:t>
            </w:r>
          </w:p>
        </w:tc>
      </w:tr>
      <w:tr w14:paraId="1B22A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4667EA64">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100</w:t>
            </w:r>
          </w:p>
        </w:tc>
        <w:tc>
          <w:tcPr>
            <w:tcW w:w="2047" w:type="dxa"/>
            <w:shd w:val="clear" w:color="auto" w:fill="auto"/>
            <w:vAlign w:val="center"/>
          </w:tcPr>
          <w:p w14:paraId="7429FBC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3.56</w:t>
            </w:r>
          </w:p>
        </w:tc>
        <w:tc>
          <w:tcPr>
            <w:tcW w:w="1203" w:type="dxa"/>
            <w:shd w:val="clear" w:color="auto" w:fill="auto"/>
            <w:vAlign w:val="center"/>
          </w:tcPr>
          <w:p w14:paraId="50E2998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1.78</w:t>
            </w:r>
          </w:p>
        </w:tc>
        <w:tc>
          <w:tcPr>
            <w:tcW w:w="1982" w:type="dxa"/>
            <w:vAlign w:val="center"/>
          </w:tcPr>
          <w:p w14:paraId="433FB3DE">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0.125</w:t>
            </w:r>
          </w:p>
        </w:tc>
        <w:tc>
          <w:tcPr>
            <w:tcW w:w="1056" w:type="dxa"/>
            <w:vAlign w:val="center"/>
          </w:tcPr>
          <w:p w14:paraId="5337F82E">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1.25</w:t>
            </w:r>
          </w:p>
        </w:tc>
      </w:tr>
      <w:tr w14:paraId="3A902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352B3EA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101</w:t>
            </w:r>
          </w:p>
        </w:tc>
        <w:tc>
          <w:tcPr>
            <w:tcW w:w="2047" w:type="dxa"/>
            <w:shd w:val="clear" w:color="auto" w:fill="auto"/>
            <w:vAlign w:val="center"/>
          </w:tcPr>
          <w:p w14:paraId="47A374E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3.57</w:t>
            </w:r>
          </w:p>
        </w:tc>
        <w:tc>
          <w:tcPr>
            <w:tcW w:w="1203" w:type="dxa"/>
            <w:shd w:val="clear" w:color="auto" w:fill="auto"/>
            <w:vAlign w:val="center"/>
          </w:tcPr>
          <w:p w14:paraId="654AC3A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1.78</w:t>
            </w:r>
          </w:p>
        </w:tc>
        <w:tc>
          <w:tcPr>
            <w:tcW w:w="1982" w:type="dxa"/>
            <w:vAlign w:val="center"/>
          </w:tcPr>
          <w:p w14:paraId="43EAA4C3">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0.125</w:t>
            </w:r>
          </w:p>
        </w:tc>
        <w:tc>
          <w:tcPr>
            <w:tcW w:w="1056" w:type="dxa"/>
            <w:vAlign w:val="center"/>
          </w:tcPr>
          <w:p w14:paraId="56BB8750">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1.25</w:t>
            </w:r>
          </w:p>
        </w:tc>
      </w:tr>
      <w:tr w14:paraId="5D49EA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0D3374C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150</w:t>
            </w:r>
          </w:p>
        </w:tc>
        <w:tc>
          <w:tcPr>
            <w:tcW w:w="2047" w:type="dxa"/>
            <w:shd w:val="clear" w:color="auto" w:fill="auto"/>
            <w:vAlign w:val="center"/>
          </w:tcPr>
          <w:p w14:paraId="1DBD99D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2.28</w:t>
            </w:r>
          </w:p>
        </w:tc>
        <w:tc>
          <w:tcPr>
            <w:tcW w:w="1203" w:type="dxa"/>
            <w:shd w:val="clear" w:color="auto" w:fill="auto"/>
            <w:vAlign w:val="center"/>
          </w:tcPr>
          <w:p w14:paraId="16EC8AE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1.14</w:t>
            </w:r>
          </w:p>
        </w:tc>
        <w:tc>
          <w:tcPr>
            <w:tcW w:w="1982" w:type="dxa"/>
            <w:vAlign w:val="center"/>
          </w:tcPr>
          <w:p w14:paraId="1131974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0.0798</w:t>
            </w:r>
          </w:p>
        </w:tc>
        <w:tc>
          <w:tcPr>
            <w:tcW w:w="1056" w:type="dxa"/>
            <w:vAlign w:val="center"/>
          </w:tcPr>
          <w:p w14:paraId="722FAF4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0.8</w:t>
            </w:r>
          </w:p>
        </w:tc>
      </w:tr>
      <w:tr w14:paraId="0D648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5240B90">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200</w:t>
            </w:r>
          </w:p>
        </w:tc>
        <w:tc>
          <w:tcPr>
            <w:tcW w:w="2047" w:type="dxa"/>
            <w:shd w:val="clear" w:color="auto" w:fill="auto"/>
            <w:vAlign w:val="center"/>
          </w:tcPr>
          <w:p w14:paraId="543A8E7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1.58</w:t>
            </w:r>
          </w:p>
        </w:tc>
        <w:tc>
          <w:tcPr>
            <w:tcW w:w="1203" w:type="dxa"/>
            <w:shd w:val="clear" w:color="auto" w:fill="auto"/>
            <w:vAlign w:val="center"/>
          </w:tcPr>
          <w:p w14:paraId="7731D61A">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0.79</w:t>
            </w:r>
          </w:p>
        </w:tc>
        <w:tc>
          <w:tcPr>
            <w:tcW w:w="1982" w:type="dxa"/>
            <w:vAlign w:val="center"/>
          </w:tcPr>
          <w:p w14:paraId="1C5F69DC">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0.0554</w:t>
            </w:r>
          </w:p>
        </w:tc>
        <w:tc>
          <w:tcPr>
            <w:tcW w:w="1056" w:type="dxa"/>
            <w:vAlign w:val="center"/>
          </w:tcPr>
          <w:p w14:paraId="1CBA9B3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0.55</w:t>
            </w:r>
          </w:p>
        </w:tc>
      </w:tr>
      <w:tr w14:paraId="7A20E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2C802F68">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250</w:t>
            </w:r>
          </w:p>
        </w:tc>
        <w:tc>
          <w:tcPr>
            <w:tcW w:w="2047" w:type="dxa"/>
            <w:shd w:val="clear" w:color="auto" w:fill="auto"/>
            <w:vAlign w:val="center"/>
          </w:tcPr>
          <w:p w14:paraId="0AFB431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1.18</w:t>
            </w:r>
          </w:p>
        </w:tc>
        <w:tc>
          <w:tcPr>
            <w:tcW w:w="1203" w:type="dxa"/>
            <w:shd w:val="clear" w:color="auto" w:fill="auto"/>
            <w:vAlign w:val="center"/>
          </w:tcPr>
          <w:p w14:paraId="31A06E4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0.59</w:t>
            </w:r>
          </w:p>
        </w:tc>
        <w:tc>
          <w:tcPr>
            <w:tcW w:w="1982" w:type="dxa"/>
            <w:vAlign w:val="center"/>
          </w:tcPr>
          <w:p w14:paraId="40572DA7">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0.0414</w:t>
            </w:r>
          </w:p>
        </w:tc>
        <w:tc>
          <w:tcPr>
            <w:tcW w:w="1056" w:type="dxa"/>
            <w:vAlign w:val="center"/>
          </w:tcPr>
          <w:p w14:paraId="1493ACE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0.41</w:t>
            </w:r>
          </w:p>
        </w:tc>
      </w:tr>
      <w:tr w14:paraId="10D58F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4E163BC">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300</w:t>
            </w:r>
          </w:p>
        </w:tc>
        <w:tc>
          <w:tcPr>
            <w:tcW w:w="2047" w:type="dxa"/>
            <w:shd w:val="clear" w:color="auto" w:fill="auto"/>
            <w:vAlign w:val="center"/>
          </w:tcPr>
          <w:p w14:paraId="2EDC8CE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0.93</w:t>
            </w:r>
          </w:p>
        </w:tc>
        <w:tc>
          <w:tcPr>
            <w:tcW w:w="1203" w:type="dxa"/>
            <w:shd w:val="clear" w:color="auto" w:fill="auto"/>
            <w:vAlign w:val="center"/>
          </w:tcPr>
          <w:p w14:paraId="3594132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0.47</w:t>
            </w:r>
          </w:p>
        </w:tc>
        <w:tc>
          <w:tcPr>
            <w:tcW w:w="1982" w:type="dxa"/>
            <w:vAlign w:val="center"/>
          </w:tcPr>
          <w:p w14:paraId="7E38279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0.0326</w:t>
            </w:r>
          </w:p>
        </w:tc>
        <w:tc>
          <w:tcPr>
            <w:tcW w:w="1056" w:type="dxa"/>
            <w:vAlign w:val="center"/>
          </w:tcPr>
          <w:p w14:paraId="1FC3657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0.33</w:t>
            </w:r>
          </w:p>
        </w:tc>
      </w:tr>
      <w:tr w14:paraId="42777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1F4D5BC">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400</w:t>
            </w:r>
          </w:p>
        </w:tc>
        <w:tc>
          <w:tcPr>
            <w:tcW w:w="2047" w:type="dxa"/>
            <w:shd w:val="clear" w:color="auto" w:fill="auto"/>
            <w:vAlign w:val="center"/>
          </w:tcPr>
          <w:p w14:paraId="08AE323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0.634</w:t>
            </w:r>
          </w:p>
        </w:tc>
        <w:tc>
          <w:tcPr>
            <w:tcW w:w="1203" w:type="dxa"/>
            <w:shd w:val="clear" w:color="auto" w:fill="auto"/>
            <w:vAlign w:val="center"/>
          </w:tcPr>
          <w:p w14:paraId="63A9D58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0.32</w:t>
            </w:r>
          </w:p>
        </w:tc>
        <w:tc>
          <w:tcPr>
            <w:tcW w:w="1982" w:type="dxa"/>
            <w:vAlign w:val="center"/>
          </w:tcPr>
          <w:p w14:paraId="16EB0B6E">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0.0222</w:t>
            </w:r>
          </w:p>
        </w:tc>
        <w:tc>
          <w:tcPr>
            <w:tcW w:w="1056" w:type="dxa"/>
            <w:vAlign w:val="center"/>
          </w:tcPr>
          <w:p w14:paraId="20AF0596">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0.22</w:t>
            </w:r>
          </w:p>
        </w:tc>
      </w:tr>
      <w:tr w14:paraId="3170C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05244F5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500</w:t>
            </w:r>
          </w:p>
        </w:tc>
        <w:tc>
          <w:tcPr>
            <w:tcW w:w="2047" w:type="dxa"/>
            <w:shd w:val="clear" w:color="auto" w:fill="auto"/>
            <w:vAlign w:val="center"/>
          </w:tcPr>
          <w:p w14:paraId="58CAD40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0.47</w:t>
            </w:r>
          </w:p>
        </w:tc>
        <w:tc>
          <w:tcPr>
            <w:tcW w:w="1203" w:type="dxa"/>
            <w:shd w:val="clear" w:color="auto" w:fill="auto"/>
            <w:vAlign w:val="center"/>
          </w:tcPr>
          <w:p w14:paraId="1679E87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0.24</w:t>
            </w:r>
          </w:p>
        </w:tc>
        <w:tc>
          <w:tcPr>
            <w:tcW w:w="1982" w:type="dxa"/>
            <w:vAlign w:val="center"/>
          </w:tcPr>
          <w:p w14:paraId="7F11EFD7">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0.0165</w:t>
            </w:r>
          </w:p>
        </w:tc>
        <w:tc>
          <w:tcPr>
            <w:tcW w:w="1056" w:type="dxa"/>
            <w:vAlign w:val="center"/>
          </w:tcPr>
          <w:p w14:paraId="7781F07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0.16</w:t>
            </w:r>
          </w:p>
        </w:tc>
      </w:tr>
      <w:tr w14:paraId="6D2C0C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403098D">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600</w:t>
            </w:r>
          </w:p>
        </w:tc>
        <w:tc>
          <w:tcPr>
            <w:tcW w:w="2047" w:type="dxa"/>
            <w:shd w:val="clear" w:color="auto" w:fill="auto"/>
            <w:vAlign w:val="center"/>
          </w:tcPr>
          <w:p w14:paraId="00F00C3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0.368</w:t>
            </w:r>
          </w:p>
        </w:tc>
        <w:tc>
          <w:tcPr>
            <w:tcW w:w="1203" w:type="dxa"/>
            <w:shd w:val="clear" w:color="auto" w:fill="auto"/>
            <w:vAlign w:val="center"/>
          </w:tcPr>
          <w:p w14:paraId="2C35F16A">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0.18</w:t>
            </w:r>
          </w:p>
        </w:tc>
        <w:tc>
          <w:tcPr>
            <w:tcW w:w="1982" w:type="dxa"/>
            <w:vAlign w:val="center"/>
          </w:tcPr>
          <w:p w14:paraId="6329D163">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0.0129</w:t>
            </w:r>
          </w:p>
        </w:tc>
        <w:tc>
          <w:tcPr>
            <w:tcW w:w="1056" w:type="dxa"/>
            <w:vAlign w:val="center"/>
          </w:tcPr>
          <w:p w14:paraId="2A7A7F4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0.13</w:t>
            </w:r>
          </w:p>
        </w:tc>
      </w:tr>
      <w:tr w14:paraId="6D459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C21B628">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700</w:t>
            </w:r>
          </w:p>
        </w:tc>
        <w:tc>
          <w:tcPr>
            <w:tcW w:w="2047" w:type="dxa"/>
            <w:shd w:val="clear" w:color="auto" w:fill="auto"/>
            <w:vAlign w:val="center"/>
          </w:tcPr>
          <w:p w14:paraId="46663B0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0.299</w:t>
            </w:r>
          </w:p>
        </w:tc>
        <w:tc>
          <w:tcPr>
            <w:tcW w:w="1203" w:type="dxa"/>
            <w:shd w:val="clear" w:color="auto" w:fill="auto"/>
            <w:vAlign w:val="center"/>
          </w:tcPr>
          <w:p w14:paraId="413B54B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0.15</w:t>
            </w:r>
          </w:p>
        </w:tc>
        <w:tc>
          <w:tcPr>
            <w:tcW w:w="1982" w:type="dxa"/>
            <w:vAlign w:val="center"/>
          </w:tcPr>
          <w:p w14:paraId="6BD85820">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0.0105</w:t>
            </w:r>
          </w:p>
        </w:tc>
        <w:tc>
          <w:tcPr>
            <w:tcW w:w="1056" w:type="dxa"/>
            <w:vAlign w:val="center"/>
          </w:tcPr>
          <w:p w14:paraId="657614DD">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w:t>
            </w:r>
          </w:p>
        </w:tc>
      </w:tr>
      <w:tr w14:paraId="744EF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0B7152E1">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800</w:t>
            </w:r>
          </w:p>
        </w:tc>
        <w:tc>
          <w:tcPr>
            <w:tcW w:w="2047" w:type="dxa"/>
            <w:shd w:val="clear" w:color="auto" w:fill="auto"/>
            <w:vAlign w:val="center"/>
          </w:tcPr>
          <w:p w14:paraId="168C9F6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0.25</w:t>
            </w:r>
          </w:p>
        </w:tc>
        <w:tc>
          <w:tcPr>
            <w:tcW w:w="1203" w:type="dxa"/>
            <w:shd w:val="clear" w:color="auto" w:fill="auto"/>
            <w:vAlign w:val="center"/>
          </w:tcPr>
          <w:p w14:paraId="0628524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0.12</w:t>
            </w:r>
          </w:p>
        </w:tc>
        <w:tc>
          <w:tcPr>
            <w:tcW w:w="1982" w:type="dxa"/>
            <w:vAlign w:val="center"/>
          </w:tcPr>
          <w:p w14:paraId="34D93D66">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0.00873</w:t>
            </w:r>
          </w:p>
        </w:tc>
        <w:tc>
          <w:tcPr>
            <w:tcW w:w="1056" w:type="dxa"/>
            <w:vAlign w:val="center"/>
          </w:tcPr>
          <w:p w14:paraId="2FCBC486">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0.09</w:t>
            </w:r>
          </w:p>
        </w:tc>
      </w:tr>
      <w:tr w14:paraId="69627F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AD0CBD1">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900</w:t>
            </w:r>
          </w:p>
        </w:tc>
        <w:tc>
          <w:tcPr>
            <w:tcW w:w="2047" w:type="dxa"/>
            <w:shd w:val="clear" w:color="auto" w:fill="auto"/>
            <w:vAlign w:val="center"/>
          </w:tcPr>
          <w:p w14:paraId="5E538D5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0.213</w:t>
            </w:r>
          </w:p>
        </w:tc>
        <w:tc>
          <w:tcPr>
            <w:tcW w:w="1203" w:type="dxa"/>
            <w:shd w:val="clear" w:color="auto" w:fill="auto"/>
            <w:vAlign w:val="center"/>
          </w:tcPr>
          <w:p w14:paraId="1C13518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0.11</w:t>
            </w:r>
          </w:p>
        </w:tc>
        <w:tc>
          <w:tcPr>
            <w:tcW w:w="1982" w:type="dxa"/>
            <w:vAlign w:val="center"/>
          </w:tcPr>
          <w:p w14:paraId="63CBF26E">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0.00744</w:t>
            </w:r>
          </w:p>
        </w:tc>
        <w:tc>
          <w:tcPr>
            <w:tcW w:w="1056" w:type="dxa"/>
            <w:vAlign w:val="center"/>
          </w:tcPr>
          <w:p w14:paraId="61ABA080">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0.07</w:t>
            </w:r>
          </w:p>
        </w:tc>
      </w:tr>
      <w:tr w14:paraId="2182C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1823DAF1">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1000</w:t>
            </w:r>
          </w:p>
        </w:tc>
        <w:tc>
          <w:tcPr>
            <w:tcW w:w="2047" w:type="dxa"/>
            <w:shd w:val="clear" w:color="auto" w:fill="auto"/>
            <w:vAlign w:val="center"/>
          </w:tcPr>
          <w:p w14:paraId="2A61E15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0.184</w:t>
            </w:r>
          </w:p>
        </w:tc>
        <w:tc>
          <w:tcPr>
            <w:tcW w:w="1203" w:type="dxa"/>
            <w:shd w:val="clear" w:color="auto" w:fill="auto"/>
            <w:vAlign w:val="center"/>
          </w:tcPr>
          <w:p w14:paraId="1B793A6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0.09</w:t>
            </w:r>
          </w:p>
        </w:tc>
        <w:tc>
          <w:tcPr>
            <w:tcW w:w="1982" w:type="dxa"/>
            <w:vAlign w:val="center"/>
          </w:tcPr>
          <w:p w14:paraId="4977C88E">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0.00645</w:t>
            </w:r>
          </w:p>
        </w:tc>
        <w:tc>
          <w:tcPr>
            <w:tcW w:w="1056" w:type="dxa"/>
            <w:vAlign w:val="center"/>
          </w:tcPr>
          <w:p w14:paraId="241C890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0.06</w:t>
            </w:r>
          </w:p>
        </w:tc>
      </w:tr>
      <w:tr w14:paraId="76519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1E52E2D6">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1100</w:t>
            </w:r>
          </w:p>
        </w:tc>
        <w:tc>
          <w:tcPr>
            <w:tcW w:w="2047" w:type="dxa"/>
            <w:shd w:val="clear" w:color="auto" w:fill="auto"/>
            <w:vAlign w:val="center"/>
          </w:tcPr>
          <w:p w14:paraId="2172E38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0.162</w:t>
            </w:r>
          </w:p>
        </w:tc>
        <w:tc>
          <w:tcPr>
            <w:tcW w:w="1203" w:type="dxa"/>
            <w:shd w:val="clear" w:color="auto" w:fill="auto"/>
            <w:vAlign w:val="center"/>
          </w:tcPr>
          <w:p w14:paraId="7A70E5C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0.08</w:t>
            </w:r>
          </w:p>
        </w:tc>
        <w:tc>
          <w:tcPr>
            <w:tcW w:w="1982" w:type="dxa"/>
            <w:vAlign w:val="center"/>
          </w:tcPr>
          <w:p w14:paraId="7EBE183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0.00567</w:t>
            </w:r>
          </w:p>
        </w:tc>
        <w:tc>
          <w:tcPr>
            <w:tcW w:w="1056" w:type="dxa"/>
            <w:vAlign w:val="center"/>
          </w:tcPr>
          <w:p w14:paraId="538C8747">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0.06</w:t>
            </w:r>
          </w:p>
        </w:tc>
      </w:tr>
      <w:tr w14:paraId="6A6E28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405059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1200</w:t>
            </w:r>
          </w:p>
        </w:tc>
        <w:tc>
          <w:tcPr>
            <w:tcW w:w="2047" w:type="dxa"/>
            <w:shd w:val="clear" w:color="auto" w:fill="auto"/>
            <w:vAlign w:val="center"/>
          </w:tcPr>
          <w:p w14:paraId="1A1E81B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0.146</w:t>
            </w:r>
          </w:p>
        </w:tc>
        <w:tc>
          <w:tcPr>
            <w:tcW w:w="1203" w:type="dxa"/>
            <w:shd w:val="clear" w:color="auto" w:fill="auto"/>
            <w:vAlign w:val="center"/>
          </w:tcPr>
          <w:p w14:paraId="38D9B48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0.07</w:t>
            </w:r>
          </w:p>
        </w:tc>
        <w:tc>
          <w:tcPr>
            <w:tcW w:w="1982" w:type="dxa"/>
            <w:vAlign w:val="center"/>
          </w:tcPr>
          <w:p w14:paraId="482D7F4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0.0051</w:t>
            </w:r>
          </w:p>
        </w:tc>
        <w:tc>
          <w:tcPr>
            <w:tcW w:w="1056" w:type="dxa"/>
            <w:vAlign w:val="center"/>
          </w:tcPr>
          <w:p w14:paraId="69853ADC">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w:t>
            </w:r>
          </w:p>
        </w:tc>
      </w:tr>
      <w:tr w14:paraId="42E97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BEBCF3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1300</w:t>
            </w:r>
          </w:p>
        </w:tc>
        <w:tc>
          <w:tcPr>
            <w:tcW w:w="2047" w:type="dxa"/>
            <w:shd w:val="clear" w:color="auto" w:fill="auto"/>
            <w:vAlign w:val="center"/>
          </w:tcPr>
          <w:p w14:paraId="6C54227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0.131</w:t>
            </w:r>
          </w:p>
        </w:tc>
        <w:tc>
          <w:tcPr>
            <w:tcW w:w="1203" w:type="dxa"/>
            <w:shd w:val="clear" w:color="auto" w:fill="auto"/>
            <w:vAlign w:val="center"/>
          </w:tcPr>
          <w:p w14:paraId="45BD50B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0.07</w:t>
            </w:r>
          </w:p>
        </w:tc>
        <w:tc>
          <w:tcPr>
            <w:tcW w:w="1982" w:type="dxa"/>
            <w:vAlign w:val="center"/>
          </w:tcPr>
          <w:p w14:paraId="4577194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0.00457</w:t>
            </w:r>
          </w:p>
        </w:tc>
        <w:tc>
          <w:tcPr>
            <w:tcW w:w="1056" w:type="dxa"/>
            <w:vAlign w:val="center"/>
          </w:tcPr>
          <w:p w14:paraId="7BAA9B1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w:t>
            </w:r>
          </w:p>
        </w:tc>
      </w:tr>
      <w:tr w14:paraId="476DD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0388925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1400</w:t>
            </w:r>
          </w:p>
        </w:tc>
        <w:tc>
          <w:tcPr>
            <w:tcW w:w="2047" w:type="dxa"/>
            <w:shd w:val="clear" w:color="auto" w:fill="auto"/>
            <w:vAlign w:val="center"/>
          </w:tcPr>
          <w:p w14:paraId="27D6E73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0.118</w:t>
            </w:r>
          </w:p>
        </w:tc>
        <w:tc>
          <w:tcPr>
            <w:tcW w:w="1203" w:type="dxa"/>
            <w:shd w:val="clear" w:color="auto" w:fill="auto"/>
            <w:vAlign w:val="center"/>
          </w:tcPr>
          <w:p w14:paraId="14F601D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0.06</w:t>
            </w:r>
          </w:p>
        </w:tc>
        <w:tc>
          <w:tcPr>
            <w:tcW w:w="1982" w:type="dxa"/>
            <w:vAlign w:val="center"/>
          </w:tcPr>
          <w:p w14:paraId="6585201A">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0.00413</w:t>
            </w:r>
          </w:p>
        </w:tc>
        <w:tc>
          <w:tcPr>
            <w:tcW w:w="1056" w:type="dxa"/>
            <w:vAlign w:val="center"/>
          </w:tcPr>
          <w:p w14:paraId="62FFBE78">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0.04</w:t>
            </w:r>
          </w:p>
        </w:tc>
      </w:tr>
      <w:tr w14:paraId="4904A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4F31164">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1500</w:t>
            </w:r>
          </w:p>
        </w:tc>
        <w:tc>
          <w:tcPr>
            <w:tcW w:w="2047" w:type="dxa"/>
            <w:shd w:val="clear" w:color="auto" w:fill="auto"/>
            <w:vAlign w:val="center"/>
          </w:tcPr>
          <w:p w14:paraId="3FF867B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0.107</w:t>
            </w:r>
          </w:p>
        </w:tc>
        <w:tc>
          <w:tcPr>
            <w:tcW w:w="1203" w:type="dxa"/>
            <w:shd w:val="clear" w:color="auto" w:fill="auto"/>
            <w:vAlign w:val="center"/>
          </w:tcPr>
          <w:p w14:paraId="65D6241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w:t>
            </w:r>
          </w:p>
        </w:tc>
        <w:tc>
          <w:tcPr>
            <w:tcW w:w="1982" w:type="dxa"/>
            <w:vAlign w:val="center"/>
          </w:tcPr>
          <w:p w14:paraId="687E879E">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0.00376</w:t>
            </w:r>
          </w:p>
        </w:tc>
        <w:tc>
          <w:tcPr>
            <w:tcW w:w="1056" w:type="dxa"/>
            <w:vAlign w:val="center"/>
          </w:tcPr>
          <w:p w14:paraId="4292583D">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0.04</w:t>
            </w:r>
          </w:p>
        </w:tc>
      </w:tr>
      <w:tr w14:paraId="0D98C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291BBAD0">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1600</w:t>
            </w:r>
          </w:p>
        </w:tc>
        <w:tc>
          <w:tcPr>
            <w:tcW w:w="2047" w:type="dxa"/>
            <w:shd w:val="clear" w:color="auto" w:fill="auto"/>
            <w:vAlign w:val="center"/>
          </w:tcPr>
          <w:p w14:paraId="65018A5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0.0982</w:t>
            </w:r>
          </w:p>
        </w:tc>
        <w:tc>
          <w:tcPr>
            <w:tcW w:w="1203" w:type="dxa"/>
            <w:shd w:val="clear" w:color="auto" w:fill="auto"/>
            <w:vAlign w:val="center"/>
          </w:tcPr>
          <w:p w14:paraId="2FA9E62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w:t>
            </w:r>
          </w:p>
        </w:tc>
        <w:tc>
          <w:tcPr>
            <w:tcW w:w="1982" w:type="dxa"/>
            <w:vAlign w:val="center"/>
          </w:tcPr>
          <w:p w14:paraId="66105767">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0.00344</w:t>
            </w:r>
          </w:p>
        </w:tc>
        <w:tc>
          <w:tcPr>
            <w:tcW w:w="1056" w:type="dxa"/>
            <w:vAlign w:val="center"/>
          </w:tcPr>
          <w:p w14:paraId="16F24B34">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r>
      <w:tr w14:paraId="38F79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0ED8F48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1700</w:t>
            </w:r>
          </w:p>
        </w:tc>
        <w:tc>
          <w:tcPr>
            <w:tcW w:w="2047" w:type="dxa"/>
            <w:shd w:val="clear" w:color="auto" w:fill="auto"/>
            <w:vAlign w:val="center"/>
          </w:tcPr>
          <w:p w14:paraId="6285667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0.0904</w:t>
            </w:r>
          </w:p>
        </w:tc>
        <w:tc>
          <w:tcPr>
            <w:tcW w:w="1203" w:type="dxa"/>
            <w:shd w:val="clear" w:color="auto" w:fill="auto"/>
            <w:vAlign w:val="center"/>
          </w:tcPr>
          <w:p w14:paraId="76D7CD2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w:t>
            </w:r>
          </w:p>
        </w:tc>
        <w:tc>
          <w:tcPr>
            <w:tcW w:w="1982" w:type="dxa"/>
            <w:vAlign w:val="center"/>
          </w:tcPr>
          <w:p w14:paraId="311BE71E">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0.00316</w:t>
            </w:r>
          </w:p>
        </w:tc>
        <w:tc>
          <w:tcPr>
            <w:tcW w:w="1056" w:type="dxa"/>
            <w:vAlign w:val="center"/>
          </w:tcPr>
          <w:p w14:paraId="468B6C0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r>
      <w:tr w14:paraId="1E4302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F1DB951">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1800</w:t>
            </w:r>
          </w:p>
        </w:tc>
        <w:tc>
          <w:tcPr>
            <w:tcW w:w="2047" w:type="dxa"/>
            <w:shd w:val="clear" w:color="auto" w:fill="auto"/>
            <w:vAlign w:val="center"/>
          </w:tcPr>
          <w:p w14:paraId="1314F08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0.0836</w:t>
            </w:r>
          </w:p>
        </w:tc>
        <w:tc>
          <w:tcPr>
            <w:tcW w:w="1203" w:type="dxa"/>
            <w:shd w:val="clear" w:color="auto" w:fill="auto"/>
            <w:vAlign w:val="center"/>
          </w:tcPr>
          <w:p w14:paraId="04EC4FA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0.04</w:t>
            </w:r>
          </w:p>
        </w:tc>
        <w:tc>
          <w:tcPr>
            <w:tcW w:w="1982" w:type="dxa"/>
            <w:vAlign w:val="center"/>
          </w:tcPr>
          <w:p w14:paraId="149BDC47">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0.00293</w:t>
            </w:r>
          </w:p>
        </w:tc>
        <w:tc>
          <w:tcPr>
            <w:tcW w:w="1056" w:type="dxa"/>
            <w:vAlign w:val="center"/>
          </w:tcPr>
          <w:p w14:paraId="7EAC9C9A">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r>
      <w:tr w14:paraId="4C6C90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2F0D2C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1900</w:t>
            </w:r>
          </w:p>
        </w:tc>
        <w:tc>
          <w:tcPr>
            <w:tcW w:w="2047" w:type="dxa"/>
            <w:shd w:val="clear" w:color="auto" w:fill="auto"/>
            <w:vAlign w:val="center"/>
          </w:tcPr>
          <w:p w14:paraId="4732E5F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0.0776</w:t>
            </w:r>
          </w:p>
        </w:tc>
        <w:tc>
          <w:tcPr>
            <w:tcW w:w="1203" w:type="dxa"/>
            <w:shd w:val="clear" w:color="auto" w:fill="auto"/>
            <w:vAlign w:val="center"/>
          </w:tcPr>
          <w:p w14:paraId="69005C2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0.04</w:t>
            </w:r>
          </w:p>
        </w:tc>
        <w:tc>
          <w:tcPr>
            <w:tcW w:w="1982" w:type="dxa"/>
            <w:vAlign w:val="center"/>
          </w:tcPr>
          <w:p w14:paraId="655F5337">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0.00272</w:t>
            </w:r>
          </w:p>
        </w:tc>
        <w:tc>
          <w:tcPr>
            <w:tcW w:w="1056" w:type="dxa"/>
            <w:vAlign w:val="center"/>
          </w:tcPr>
          <w:p w14:paraId="7D1CAA64">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r>
      <w:tr w14:paraId="646D6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7901473">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2000</w:t>
            </w:r>
          </w:p>
        </w:tc>
        <w:tc>
          <w:tcPr>
            <w:tcW w:w="2047" w:type="dxa"/>
            <w:shd w:val="clear" w:color="auto" w:fill="auto"/>
            <w:vAlign w:val="center"/>
          </w:tcPr>
          <w:p w14:paraId="6833F6C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0.0724</w:t>
            </w:r>
          </w:p>
        </w:tc>
        <w:tc>
          <w:tcPr>
            <w:tcW w:w="1203" w:type="dxa"/>
            <w:shd w:val="clear" w:color="auto" w:fill="auto"/>
            <w:vAlign w:val="center"/>
          </w:tcPr>
          <w:p w14:paraId="5617AF8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0.04</w:t>
            </w:r>
          </w:p>
        </w:tc>
        <w:tc>
          <w:tcPr>
            <w:tcW w:w="1982" w:type="dxa"/>
            <w:vAlign w:val="center"/>
          </w:tcPr>
          <w:p w14:paraId="710CFB5A">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0.00253</w:t>
            </w:r>
          </w:p>
        </w:tc>
        <w:tc>
          <w:tcPr>
            <w:tcW w:w="1056" w:type="dxa"/>
            <w:vAlign w:val="center"/>
          </w:tcPr>
          <w:p w14:paraId="6D8925A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r>
      <w:tr w14:paraId="56FA80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3F35E81">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2100</w:t>
            </w:r>
          </w:p>
        </w:tc>
        <w:tc>
          <w:tcPr>
            <w:tcW w:w="2047" w:type="dxa"/>
            <w:shd w:val="clear" w:color="auto" w:fill="auto"/>
            <w:vAlign w:val="center"/>
          </w:tcPr>
          <w:p w14:paraId="3E6AC10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0.0677</w:t>
            </w:r>
          </w:p>
        </w:tc>
        <w:tc>
          <w:tcPr>
            <w:tcW w:w="1203" w:type="dxa"/>
            <w:shd w:val="clear" w:color="auto" w:fill="auto"/>
            <w:vAlign w:val="center"/>
          </w:tcPr>
          <w:p w14:paraId="09DFA0D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c>
          <w:tcPr>
            <w:tcW w:w="1982" w:type="dxa"/>
            <w:vAlign w:val="center"/>
          </w:tcPr>
          <w:p w14:paraId="6638543F">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0.00237</w:t>
            </w:r>
          </w:p>
        </w:tc>
        <w:tc>
          <w:tcPr>
            <w:tcW w:w="1056" w:type="dxa"/>
            <w:vAlign w:val="center"/>
          </w:tcPr>
          <w:p w14:paraId="741CE33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0.02</w:t>
            </w:r>
          </w:p>
        </w:tc>
      </w:tr>
      <w:tr w14:paraId="2EEC26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299D2F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2200</w:t>
            </w:r>
          </w:p>
        </w:tc>
        <w:tc>
          <w:tcPr>
            <w:tcW w:w="2047" w:type="dxa"/>
            <w:shd w:val="clear" w:color="auto" w:fill="auto"/>
            <w:vAlign w:val="center"/>
          </w:tcPr>
          <w:p w14:paraId="5B709BE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0.0635</w:t>
            </w:r>
          </w:p>
        </w:tc>
        <w:tc>
          <w:tcPr>
            <w:tcW w:w="1203" w:type="dxa"/>
            <w:shd w:val="clear" w:color="auto" w:fill="auto"/>
            <w:vAlign w:val="center"/>
          </w:tcPr>
          <w:p w14:paraId="486B4F8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c>
          <w:tcPr>
            <w:tcW w:w="1982" w:type="dxa"/>
            <w:vAlign w:val="center"/>
          </w:tcPr>
          <w:p w14:paraId="080F047F">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0.00222</w:t>
            </w:r>
          </w:p>
        </w:tc>
        <w:tc>
          <w:tcPr>
            <w:tcW w:w="1056" w:type="dxa"/>
            <w:vAlign w:val="center"/>
          </w:tcPr>
          <w:p w14:paraId="13565F5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0.02</w:t>
            </w:r>
          </w:p>
        </w:tc>
      </w:tr>
      <w:tr w14:paraId="3D9703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084" w:type="dxa"/>
            <w:vAlign w:val="center"/>
          </w:tcPr>
          <w:p w14:paraId="27993066">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2300</w:t>
            </w:r>
          </w:p>
        </w:tc>
        <w:tc>
          <w:tcPr>
            <w:tcW w:w="2047" w:type="dxa"/>
            <w:shd w:val="clear" w:color="auto" w:fill="auto"/>
            <w:vAlign w:val="center"/>
          </w:tcPr>
          <w:p w14:paraId="25C5C0A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0.0598</w:t>
            </w:r>
          </w:p>
        </w:tc>
        <w:tc>
          <w:tcPr>
            <w:tcW w:w="1203" w:type="dxa"/>
            <w:shd w:val="clear" w:color="auto" w:fill="auto"/>
            <w:vAlign w:val="center"/>
          </w:tcPr>
          <w:p w14:paraId="6D848D3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c>
          <w:tcPr>
            <w:tcW w:w="1982" w:type="dxa"/>
            <w:vAlign w:val="center"/>
          </w:tcPr>
          <w:p w14:paraId="201FBC01">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0.00209</w:t>
            </w:r>
          </w:p>
        </w:tc>
        <w:tc>
          <w:tcPr>
            <w:tcW w:w="1056" w:type="dxa"/>
            <w:vAlign w:val="center"/>
          </w:tcPr>
          <w:p w14:paraId="212D823E">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0.02</w:t>
            </w:r>
          </w:p>
        </w:tc>
      </w:tr>
      <w:tr w14:paraId="1AAD55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130E2AE6">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2400</w:t>
            </w:r>
          </w:p>
        </w:tc>
        <w:tc>
          <w:tcPr>
            <w:tcW w:w="2047" w:type="dxa"/>
            <w:shd w:val="clear" w:color="auto" w:fill="auto"/>
            <w:vAlign w:val="center"/>
          </w:tcPr>
          <w:p w14:paraId="3E40172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0.0564</w:t>
            </w:r>
          </w:p>
        </w:tc>
        <w:tc>
          <w:tcPr>
            <w:tcW w:w="1203" w:type="dxa"/>
            <w:shd w:val="clear" w:color="auto" w:fill="auto"/>
            <w:vAlign w:val="center"/>
          </w:tcPr>
          <w:p w14:paraId="5DABF17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c>
          <w:tcPr>
            <w:tcW w:w="1982" w:type="dxa"/>
            <w:vAlign w:val="center"/>
          </w:tcPr>
          <w:p w14:paraId="5B75F951">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0.00197</w:t>
            </w:r>
          </w:p>
        </w:tc>
        <w:tc>
          <w:tcPr>
            <w:tcW w:w="1056" w:type="dxa"/>
            <w:vAlign w:val="center"/>
          </w:tcPr>
          <w:p w14:paraId="37EE9A3C">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0.02</w:t>
            </w:r>
          </w:p>
        </w:tc>
      </w:tr>
      <w:tr w14:paraId="7C5ADD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3CEB9D2">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2500</w:t>
            </w:r>
          </w:p>
        </w:tc>
        <w:tc>
          <w:tcPr>
            <w:tcW w:w="2047" w:type="dxa"/>
            <w:shd w:val="clear" w:color="auto" w:fill="auto"/>
            <w:vAlign w:val="center"/>
          </w:tcPr>
          <w:p w14:paraId="2D35845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0.0533</w:t>
            </w:r>
          </w:p>
        </w:tc>
        <w:tc>
          <w:tcPr>
            <w:tcW w:w="1203" w:type="dxa"/>
            <w:shd w:val="clear" w:color="auto" w:fill="auto"/>
            <w:vAlign w:val="center"/>
          </w:tcPr>
          <w:p w14:paraId="3B92BAF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c>
          <w:tcPr>
            <w:tcW w:w="1982" w:type="dxa"/>
            <w:vAlign w:val="center"/>
          </w:tcPr>
          <w:p w14:paraId="436B5BBC">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0.00187</w:t>
            </w:r>
          </w:p>
        </w:tc>
        <w:tc>
          <w:tcPr>
            <w:tcW w:w="1056" w:type="dxa"/>
            <w:vAlign w:val="center"/>
          </w:tcPr>
          <w:p w14:paraId="53C52C7B">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0.02</w:t>
            </w:r>
          </w:p>
        </w:tc>
      </w:tr>
      <w:tr w14:paraId="2F616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084" w:type="dxa"/>
            <w:vAlign w:val="center"/>
          </w:tcPr>
          <w:p w14:paraId="6CD6FA2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下风向最大质量浓度 及占标率/%</w:t>
            </w:r>
          </w:p>
        </w:tc>
        <w:tc>
          <w:tcPr>
            <w:tcW w:w="2047" w:type="dxa"/>
            <w:shd w:val="clear" w:color="auto" w:fill="auto"/>
            <w:vAlign w:val="center"/>
          </w:tcPr>
          <w:p w14:paraId="59B355B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3.57</w:t>
            </w:r>
          </w:p>
        </w:tc>
        <w:tc>
          <w:tcPr>
            <w:tcW w:w="1203" w:type="dxa"/>
            <w:shd w:val="clear" w:color="auto" w:fill="auto"/>
            <w:vAlign w:val="center"/>
          </w:tcPr>
          <w:p w14:paraId="31A6564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1.78</w:t>
            </w:r>
          </w:p>
        </w:tc>
        <w:tc>
          <w:tcPr>
            <w:tcW w:w="1982" w:type="dxa"/>
            <w:vAlign w:val="center"/>
          </w:tcPr>
          <w:p w14:paraId="15734FE8">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0.125</w:t>
            </w:r>
          </w:p>
        </w:tc>
        <w:tc>
          <w:tcPr>
            <w:tcW w:w="1056" w:type="dxa"/>
            <w:vAlign w:val="center"/>
          </w:tcPr>
          <w:p w14:paraId="21F1DE43">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1.25</w:t>
            </w:r>
          </w:p>
        </w:tc>
      </w:tr>
      <w:tr w14:paraId="4C8945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84" w:type="dxa"/>
            <w:vAlign w:val="center"/>
          </w:tcPr>
          <w:p w14:paraId="6818745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D10%最远距离/m</w:t>
            </w:r>
          </w:p>
        </w:tc>
        <w:tc>
          <w:tcPr>
            <w:tcW w:w="3250" w:type="dxa"/>
            <w:gridSpan w:val="2"/>
            <w:vAlign w:val="center"/>
          </w:tcPr>
          <w:p w14:paraId="07AAF5A8">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101</w:t>
            </w:r>
          </w:p>
        </w:tc>
        <w:tc>
          <w:tcPr>
            <w:tcW w:w="3038" w:type="dxa"/>
            <w:gridSpan w:val="2"/>
            <w:vAlign w:val="center"/>
          </w:tcPr>
          <w:p w14:paraId="7F56C6E2">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101</w:t>
            </w:r>
          </w:p>
        </w:tc>
      </w:tr>
    </w:tbl>
    <w:p w14:paraId="706C1A8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④干湿分离车间（</w:t>
      </w:r>
      <w:r>
        <w:rPr>
          <w:color w:val="000000" w:themeColor="text1"/>
          <w:highlight w:val="none"/>
          <w14:textFill>
            <w14:solidFill>
              <w14:schemeClr w14:val="tx1"/>
            </w14:solidFill>
          </w14:textFill>
        </w:rPr>
        <w:t>M00</w:t>
      </w:r>
      <w:r>
        <w:rPr>
          <w:rFonts w:hint="eastAsia"/>
          <w:color w:val="000000" w:themeColor="text1"/>
          <w:highlight w:val="none"/>
          <w14:textFill>
            <w14:solidFill>
              <w14:schemeClr w14:val="tx1"/>
            </w14:solidFill>
          </w14:textFill>
        </w:rPr>
        <w:t>4）</w:t>
      </w:r>
    </w:p>
    <w:p w14:paraId="370FFD58">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干湿分离车间（</w:t>
      </w:r>
      <w:r>
        <w:rPr>
          <w:color w:val="000000" w:themeColor="text1"/>
          <w:highlight w:val="none"/>
          <w14:textFill>
            <w14:solidFill>
              <w14:schemeClr w14:val="tx1"/>
            </w14:solidFill>
          </w14:textFill>
        </w:rPr>
        <w:t>M00</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面源无组织废气正常排放预测结果，具体结果见表5.2-1</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p>
    <w:p w14:paraId="34E1F5B4">
      <w:pPr>
        <w:spacing w:line="240" w:lineRule="auto"/>
        <w:ind w:firstLine="422" w:firstLineChars="20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表5.2-1</w:t>
      </w:r>
      <w:r>
        <w:rPr>
          <w:rFonts w:hint="eastAsia"/>
          <w:b/>
          <w:bCs/>
          <w:color w:val="000000" w:themeColor="text1"/>
          <w:sz w:val="21"/>
          <w:szCs w:val="21"/>
          <w:highlight w:val="none"/>
          <w14:textFill>
            <w14:solidFill>
              <w14:schemeClr w14:val="tx1"/>
            </w14:solidFill>
          </w14:textFill>
        </w:rPr>
        <w:t>2</w:t>
      </w:r>
      <w:r>
        <w:rPr>
          <w:b/>
          <w:bCs/>
          <w:color w:val="000000" w:themeColor="text1"/>
          <w:sz w:val="21"/>
          <w:szCs w:val="21"/>
          <w:highlight w:val="none"/>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干湿分离车间</w:t>
      </w:r>
      <w:r>
        <w:rPr>
          <w:b/>
          <w:bCs/>
          <w:color w:val="000000" w:themeColor="text1"/>
          <w:sz w:val="21"/>
          <w:szCs w:val="21"/>
          <w:highlight w:val="none"/>
          <w14:textFill>
            <w14:solidFill>
              <w14:schemeClr w14:val="tx1"/>
            </w14:solidFill>
          </w14:textFill>
        </w:rPr>
        <w:t>污染源估算模型计算结果表</w:t>
      </w:r>
    </w:p>
    <w:tbl>
      <w:tblPr>
        <w:tblStyle w:val="58"/>
        <w:tblW w:w="837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84"/>
        <w:gridCol w:w="2047"/>
        <w:gridCol w:w="1203"/>
        <w:gridCol w:w="1982"/>
        <w:gridCol w:w="1056"/>
      </w:tblGrid>
      <w:tr w14:paraId="6134B9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84" w:type="dxa"/>
            <w:vMerge w:val="restart"/>
            <w:tcBorders>
              <w:bottom w:val="nil"/>
            </w:tcBorders>
            <w:vAlign w:val="center"/>
          </w:tcPr>
          <w:p w14:paraId="0463109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下风向距离（m）</w:t>
            </w:r>
          </w:p>
        </w:tc>
        <w:tc>
          <w:tcPr>
            <w:tcW w:w="6288" w:type="dxa"/>
            <w:gridSpan w:val="4"/>
            <w:vAlign w:val="center"/>
          </w:tcPr>
          <w:p w14:paraId="1E5D2B3F">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面源（干湿分离车间（</w:t>
            </w:r>
            <w:r>
              <w:rPr>
                <w:b/>
                <w:bCs/>
                <w:color w:val="000000" w:themeColor="text1"/>
                <w:sz w:val="21"/>
                <w:szCs w:val="21"/>
                <w:highlight w:val="none"/>
                <w14:textFill>
                  <w14:solidFill>
                    <w14:schemeClr w14:val="tx1"/>
                  </w14:solidFill>
                </w14:textFill>
              </w:rPr>
              <w:t>M00</w:t>
            </w:r>
            <w:r>
              <w:rPr>
                <w:rFonts w:hint="eastAsia"/>
                <w:b/>
                <w:bCs/>
                <w:color w:val="000000" w:themeColor="text1"/>
                <w:sz w:val="21"/>
                <w:szCs w:val="21"/>
                <w:highlight w:val="none"/>
                <w14:textFill>
                  <w14:solidFill>
                    <w14:schemeClr w14:val="tx1"/>
                  </w14:solidFill>
                </w14:textFill>
              </w:rPr>
              <w:t>4）</w:t>
            </w:r>
            <w:r>
              <w:rPr>
                <w:b/>
                <w:bCs/>
                <w:color w:val="000000" w:themeColor="text1"/>
                <w:sz w:val="21"/>
                <w:szCs w:val="21"/>
                <w:highlight w:val="none"/>
                <w14:textFill>
                  <w14:solidFill>
                    <w14:schemeClr w14:val="tx1"/>
                  </w14:solidFill>
                </w14:textFill>
              </w:rPr>
              <w:t>）</w:t>
            </w:r>
          </w:p>
        </w:tc>
      </w:tr>
      <w:tr w14:paraId="77548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Merge w:val="continue"/>
            <w:tcBorders>
              <w:top w:val="nil"/>
              <w:bottom w:val="nil"/>
            </w:tcBorders>
            <w:vAlign w:val="center"/>
          </w:tcPr>
          <w:p w14:paraId="289C259E">
            <w:pPr>
              <w:spacing w:line="240" w:lineRule="auto"/>
              <w:jc w:val="center"/>
              <w:rPr>
                <w:b/>
                <w:bCs/>
                <w:color w:val="000000" w:themeColor="text1"/>
                <w:sz w:val="21"/>
                <w:szCs w:val="21"/>
                <w:highlight w:val="none"/>
                <w14:textFill>
                  <w14:solidFill>
                    <w14:schemeClr w14:val="tx1"/>
                  </w14:solidFill>
                </w14:textFill>
              </w:rPr>
            </w:pPr>
          </w:p>
        </w:tc>
        <w:tc>
          <w:tcPr>
            <w:tcW w:w="3250" w:type="dxa"/>
            <w:gridSpan w:val="2"/>
            <w:vAlign w:val="center"/>
          </w:tcPr>
          <w:p w14:paraId="5C8224A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NH</w:t>
            </w:r>
            <w:r>
              <w:rPr>
                <w:b/>
                <w:bCs/>
                <w:color w:val="000000" w:themeColor="text1"/>
                <w:sz w:val="21"/>
                <w:szCs w:val="21"/>
                <w:highlight w:val="none"/>
                <w:vertAlign w:val="subscript"/>
                <w14:textFill>
                  <w14:solidFill>
                    <w14:schemeClr w14:val="tx1"/>
                  </w14:solidFill>
                </w14:textFill>
              </w:rPr>
              <w:t>3</w:t>
            </w:r>
          </w:p>
        </w:tc>
        <w:tc>
          <w:tcPr>
            <w:tcW w:w="3038" w:type="dxa"/>
            <w:gridSpan w:val="2"/>
            <w:vAlign w:val="center"/>
          </w:tcPr>
          <w:p w14:paraId="0278639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H</w:t>
            </w:r>
            <w:r>
              <w:rPr>
                <w:b/>
                <w:bCs/>
                <w:color w:val="000000" w:themeColor="text1"/>
                <w:sz w:val="21"/>
                <w:szCs w:val="21"/>
                <w:highlight w:val="none"/>
                <w:vertAlign w:val="subscript"/>
                <w14:textFill>
                  <w14:solidFill>
                    <w14:schemeClr w14:val="tx1"/>
                  </w14:solidFill>
                </w14:textFill>
              </w:rPr>
              <w:t>2</w:t>
            </w:r>
            <w:r>
              <w:rPr>
                <w:b/>
                <w:bCs/>
                <w:color w:val="000000" w:themeColor="text1"/>
                <w:sz w:val="21"/>
                <w:szCs w:val="21"/>
                <w:highlight w:val="none"/>
                <w14:textFill>
                  <w14:solidFill>
                    <w14:schemeClr w14:val="tx1"/>
                  </w14:solidFill>
                </w14:textFill>
              </w:rPr>
              <w:t>S</w:t>
            </w:r>
          </w:p>
        </w:tc>
      </w:tr>
      <w:tr w14:paraId="3353AD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Merge w:val="continue"/>
            <w:tcBorders>
              <w:top w:val="nil"/>
            </w:tcBorders>
            <w:vAlign w:val="center"/>
          </w:tcPr>
          <w:p w14:paraId="0600562A">
            <w:pPr>
              <w:spacing w:line="240" w:lineRule="auto"/>
              <w:jc w:val="center"/>
              <w:rPr>
                <w:b/>
                <w:bCs/>
                <w:color w:val="000000" w:themeColor="text1"/>
                <w:sz w:val="21"/>
                <w:szCs w:val="21"/>
                <w:highlight w:val="none"/>
                <w14:textFill>
                  <w14:solidFill>
                    <w14:schemeClr w14:val="tx1"/>
                  </w14:solidFill>
                </w14:textFill>
              </w:rPr>
            </w:pPr>
          </w:p>
        </w:tc>
        <w:tc>
          <w:tcPr>
            <w:tcW w:w="2047" w:type="dxa"/>
            <w:vAlign w:val="center"/>
          </w:tcPr>
          <w:p w14:paraId="15E6DBA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1203" w:type="dxa"/>
            <w:vAlign w:val="center"/>
          </w:tcPr>
          <w:p w14:paraId="2126B7A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c>
          <w:tcPr>
            <w:tcW w:w="1982" w:type="dxa"/>
            <w:vAlign w:val="center"/>
          </w:tcPr>
          <w:p w14:paraId="669C67B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1056" w:type="dxa"/>
            <w:vAlign w:val="center"/>
          </w:tcPr>
          <w:p w14:paraId="723FA46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r>
      <w:tr w14:paraId="7FD2E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3ED4E7A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w:t>
            </w:r>
          </w:p>
        </w:tc>
        <w:tc>
          <w:tcPr>
            <w:tcW w:w="2047" w:type="dxa"/>
            <w:vAlign w:val="center"/>
          </w:tcPr>
          <w:p w14:paraId="655A6B1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2.87</w:t>
            </w:r>
          </w:p>
        </w:tc>
        <w:tc>
          <w:tcPr>
            <w:tcW w:w="1203" w:type="dxa"/>
            <w:vAlign w:val="center"/>
          </w:tcPr>
          <w:p w14:paraId="7875D68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1.43</w:t>
            </w:r>
          </w:p>
        </w:tc>
        <w:tc>
          <w:tcPr>
            <w:tcW w:w="1982" w:type="dxa"/>
            <w:vAlign w:val="center"/>
          </w:tcPr>
          <w:p w14:paraId="04EC32E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0.123</w:t>
            </w:r>
          </w:p>
        </w:tc>
        <w:tc>
          <w:tcPr>
            <w:tcW w:w="1056" w:type="dxa"/>
            <w:vAlign w:val="center"/>
          </w:tcPr>
          <w:p w14:paraId="1EE2BCF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1.23</w:t>
            </w:r>
          </w:p>
        </w:tc>
      </w:tr>
      <w:tr w14:paraId="712F3A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39BC1757">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w:t>
            </w:r>
          </w:p>
        </w:tc>
        <w:tc>
          <w:tcPr>
            <w:tcW w:w="2047" w:type="dxa"/>
            <w:vAlign w:val="center"/>
          </w:tcPr>
          <w:p w14:paraId="1B767F8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4.13</w:t>
            </w:r>
          </w:p>
        </w:tc>
        <w:tc>
          <w:tcPr>
            <w:tcW w:w="1203" w:type="dxa"/>
            <w:vAlign w:val="center"/>
          </w:tcPr>
          <w:p w14:paraId="74AD5A5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2.06</w:t>
            </w:r>
          </w:p>
        </w:tc>
        <w:tc>
          <w:tcPr>
            <w:tcW w:w="1982" w:type="dxa"/>
            <w:vAlign w:val="center"/>
          </w:tcPr>
          <w:p w14:paraId="5E54BF2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0.177</w:t>
            </w:r>
          </w:p>
        </w:tc>
        <w:tc>
          <w:tcPr>
            <w:tcW w:w="1056" w:type="dxa"/>
            <w:vAlign w:val="center"/>
          </w:tcPr>
          <w:p w14:paraId="2D5A2A9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1.77</w:t>
            </w:r>
          </w:p>
        </w:tc>
      </w:tr>
      <w:tr w14:paraId="43471E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5E8E354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2047" w:type="dxa"/>
            <w:vAlign w:val="center"/>
          </w:tcPr>
          <w:p w14:paraId="14C1C93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4.35</w:t>
            </w:r>
          </w:p>
        </w:tc>
        <w:tc>
          <w:tcPr>
            <w:tcW w:w="1203" w:type="dxa"/>
            <w:vAlign w:val="center"/>
          </w:tcPr>
          <w:p w14:paraId="26D4A8E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2.17</w:t>
            </w:r>
          </w:p>
        </w:tc>
        <w:tc>
          <w:tcPr>
            <w:tcW w:w="1982" w:type="dxa"/>
            <w:vAlign w:val="center"/>
          </w:tcPr>
          <w:p w14:paraId="51D5C79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0.186</w:t>
            </w:r>
          </w:p>
        </w:tc>
        <w:tc>
          <w:tcPr>
            <w:tcW w:w="1056" w:type="dxa"/>
            <w:vAlign w:val="center"/>
          </w:tcPr>
          <w:p w14:paraId="7C5CC30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1.86</w:t>
            </w:r>
          </w:p>
        </w:tc>
      </w:tr>
      <w:tr w14:paraId="26339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7ADDDC4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w:t>
            </w:r>
          </w:p>
        </w:tc>
        <w:tc>
          <w:tcPr>
            <w:tcW w:w="2047" w:type="dxa"/>
            <w:vAlign w:val="center"/>
          </w:tcPr>
          <w:p w14:paraId="583D70E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3.83</w:t>
            </w:r>
          </w:p>
        </w:tc>
        <w:tc>
          <w:tcPr>
            <w:tcW w:w="1203" w:type="dxa"/>
            <w:vAlign w:val="center"/>
          </w:tcPr>
          <w:p w14:paraId="5B8B3BB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1.92</w:t>
            </w:r>
          </w:p>
        </w:tc>
        <w:tc>
          <w:tcPr>
            <w:tcW w:w="1982" w:type="dxa"/>
            <w:vAlign w:val="center"/>
          </w:tcPr>
          <w:p w14:paraId="7525E2E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0.164</w:t>
            </w:r>
          </w:p>
        </w:tc>
        <w:tc>
          <w:tcPr>
            <w:tcW w:w="1056" w:type="dxa"/>
            <w:vAlign w:val="center"/>
          </w:tcPr>
          <w:p w14:paraId="7F729A9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1.64</w:t>
            </w:r>
          </w:p>
        </w:tc>
      </w:tr>
      <w:tr w14:paraId="21701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084" w:type="dxa"/>
            <w:vAlign w:val="center"/>
          </w:tcPr>
          <w:p w14:paraId="39AF26C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w:t>
            </w:r>
          </w:p>
        </w:tc>
        <w:tc>
          <w:tcPr>
            <w:tcW w:w="2047" w:type="dxa"/>
            <w:vAlign w:val="center"/>
          </w:tcPr>
          <w:p w14:paraId="0F4C8EC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1.81</w:t>
            </w:r>
          </w:p>
        </w:tc>
        <w:tc>
          <w:tcPr>
            <w:tcW w:w="1203" w:type="dxa"/>
            <w:vAlign w:val="center"/>
          </w:tcPr>
          <w:p w14:paraId="0C63FDA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0.9</w:t>
            </w:r>
          </w:p>
        </w:tc>
        <w:tc>
          <w:tcPr>
            <w:tcW w:w="1982" w:type="dxa"/>
            <w:vAlign w:val="center"/>
          </w:tcPr>
          <w:p w14:paraId="0C63268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0.0774</w:t>
            </w:r>
          </w:p>
        </w:tc>
        <w:tc>
          <w:tcPr>
            <w:tcW w:w="1056" w:type="dxa"/>
            <w:vAlign w:val="center"/>
          </w:tcPr>
          <w:p w14:paraId="6AECB8D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0.77</w:t>
            </w:r>
          </w:p>
        </w:tc>
      </w:tr>
      <w:tr w14:paraId="593650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4F6464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150</w:t>
            </w:r>
          </w:p>
        </w:tc>
        <w:tc>
          <w:tcPr>
            <w:tcW w:w="2047" w:type="dxa"/>
            <w:vAlign w:val="center"/>
          </w:tcPr>
          <w:p w14:paraId="0F51503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1.04</w:t>
            </w:r>
          </w:p>
        </w:tc>
        <w:tc>
          <w:tcPr>
            <w:tcW w:w="1203" w:type="dxa"/>
            <w:vAlign w:val="center"/>
          </w:tcPr>
          <w:p w14:paraId="404FC60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0.52</w:t>
            </w:r>
          </w:p>
        </w:tc>
        <w:tc>
          <w:tcPr>
            <w:tcW w:w="1982" w:type="dxa"/>
            <w:vAlign w:val="center"/>
          </w:tcPr>
          <w:p w14:paraId="454C3D0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0.0444</w:t>
            </w:r>
          </w:p>
        </w:tc>
        <w:tc>
          <w:tcPr>
            <w:tcW w:w="1056" w:type="dxa"/>
            <w:vAlign w:val="center"/>
          </w:tcPr>
          <w:p w14:paraId="65B0E10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0.44</w:t>
            </w:r>
          </w:p>
        </w:tc>
      </w:tr>
      <w:tr w14:paraId="76EF9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EB71E1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w:t>
            </w:r>
          </w:p>
        </w:tc>
        <w:tc>
          <w:tcPr>
            <w:tcW w:w="2047" w:type="dxa"/>
            <w:vAlign w:val="center"/>
          </w:tcPr>
          <w:p w14:paraId="72C5050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0.689</w:t>
            </w:r>
          </w:p>
        </w:tc>
        <w:tc>
          <w:tcPr>
            <w:tcW w:w="1203" w:type="dxa"/>
            <w:vAlign w:val="center"/>
          </w:tcPr>
          <w:p w14:paraId="27DDEA9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w:t>
            </w:r>
          </w:p>
        </w:tc>
        <w:tc>
          <w:tcPr>
            <w:tcW w:w="1982" w:type="dxa"/>
            <w:vAlign w:val="center"/>
          </w:tcPr>
          <w:p w14:paraId="073D193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0.0295</w:t>
            </w:r>
          </w:p>
        </w:tc>
        <w:tc>
          <w:tcPr>
            <w:tcW w:w="1056" w:type="dxa"/>
            <w:vAlign w:val="center"/>
          </w:tcPr>
          <w:p w14:paraId="17DE3E8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w:t>
            </w:r>
          </w:p>
        </w:tc>
      </w:tr>
      <w:tr w14:paraId="663A0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15EAFF2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250</w:t>
            </w:r>
          </w:p>
        </w:tc>
        <w:tc>
          <w:tcPr>
            <w:tcW w:w="2047" w:type="dxa"/>
            <w:vAlign w:val="center"/>
          </w:tcPr>
          <w:p w14:paraId="22AD3A0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0.502</w:t>
            </w:r>
          </w:p>
        </w:tc>
        <w:tc>
          <w:tcPr>
            <w:tcW w:w="1203" w:type="dxa"/>
            <w:vAlign w:val="center"/>
          </w:tcPr>
          <w:p w14:paraId="45A5191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0.25</w:t>
            </w:r>
          </w:p>
        </w:tc>
        <w:tc>
          <w:tcPr>
            <w:tcW w:w="1982" w:type="dxa"/>
            <w:vAlign w:val="center"/>
          </w:tcPr>
          <w:p w14:paraId="7773F21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0.0215</w:t>
            </w:r>
          </w:p>
        </w:tc>
        <w:tc>
          <w:tcPr>
            <w:tcW w:w="1056" w:type="dxa"/>
            <w:vAlign w:val="center"/>
          </w:tcPr>
          <w:p w14:paraId="4C6C001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0.21</w:t>
            </w:r>
          </w:p>
        </w:tc>
      </w:tr>
      <w:tr w14:paraId="1C1A4F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1017862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300</w:t>
            </w:r>
          </w:p>
        </w:tc>
        <w:tc>
          <w:tcPr>
            <w:tcW w:w="2047" w:type="dxa"/>
            <w:vAlign w:val="center"/>
          </w:tcPr>
          <w:p w14:paraId="229F371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0.386</w:t>
            </w:r>
          </w:p>
        </w:tc>
        <w:tc>
          <w:tcPr>
            <w:tcW w:w="1203" w:type="dxa"/>
            <w:vAlign w:val="center"/>
          </w:tcPr>
          <w:p w14:paraId="2C2174B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0.19</w:t>
            </w:r>
          </w:p>
        </w:tc>
        <w:tc>
          <w:tcPr>
            <w:tcW w:w="1982" w:type="dxa"/>
            <w:vAlign w:val="center"/>
          </w:tcPr>
          <w:p w14:paraId="1690412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0.0166</w:t>
            </w:r>
          </w:p>
        </w:tc>
        <w:tc>
          <w:tcPr>
            <w:tcW w:w="1056" w:type="dxa"/>
            <w:vAlign w:val="center"/>
          </w:tcPr>
          <w:p w14:paraId="166C47F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0.17</w:t>
            </w:r>
          </w:p>
        </w:tc>
      </w:tr>
      <w:tr w14:paraId="57F47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0403C6F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400</w:t>
            </w:r>
          </w:p>
        </w:tc>
        <w:tc>
          <w:tcPr>
            <w:tcW w:w="2047" w:type="dxa"/>
            <w:vAlign w:val="center"/>
          </w:tcPr>
          <w:p w14:paraId="56CD9D4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0.256</w:t>
            </w:r>
          </w:p>
        </w:tc>
        <w:tc>
          <w:tcPr>
            <w:tcW w:w="1203" w:type="dxa"/>
            <w:vAlign w:val="center"/>
          </w:tcPr>
          <w:p w14:paraId="36B8C35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0.13</w:t>
            </w:r>
          </w:p>
        </w:tc>
        <w:tc>
          <w:tcPr>
            <w:tcW w:w="1982" w:type="dxa"/>
            <w:vAlign w:val="center"/>
          </w:tcPr>
          <w:p w14:paraId="5AA9A6A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0.011</w:t>
            </w:r>
          </w:p>
        </w:tc>
        <w:tc>
          <w:tcPr>
            <w:tcW w:w="1056" w:type="dxa"/>
            <w:vAlign w:val="center"/>
          </w:tcPr>
          <w:p w14:paraId="5F56849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w:t>
            </w:r>
          </w:p>
        </w:tc>
      </w:tr>
      <w:tr w14:paraId="0DE7D8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604BF0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500</w:t>
            </w:r>
          </w:p>
        </w:tc>
        <w:tc>
          <w:tcPr>
            <w:tcW w:w="2047" w:type="dxa"/>
            <w:vAlign w:val="center"/>
          </w:tcPr>
          <w:p w14:paraId="4A0962B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0.187</w:t>
            </w:r>
          </w:p>
        </w:tc>
        <w:tc>
          <w:tcPr>
            <w:tcW w:w="1203" w:type="dxa"/>
            <w:vAlign w:val="center"/>
          </w:tcPr>
          <w:p w14:paraId="26CC8B4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0.09</w:t>
            </w:r>
          </w:p>
        </w:tc>
        <w:tc>
          <w:tcPr>
            <w:tcW w:w="1982" w:type="dxa"/>
            <w:vAlign w:val="center"/>
          </w:tcPr>
          <w:p w14:paraId="690E63D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0.008</w:t>
            </w:r>
          </w:p>
        </w:tc>
        <w:tc>
          <w:tcPr>
            <w:tcW w:w="1056" w:type="dxa"/>
            <w:vAlign w:val="center"/>
          </w:tcPr>
          <w:p w14:paraId="6A58096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w:t>
            </w:r>
          </w:p>
        </w:tc>
      </w:tr>
      <w:tr w14:paraId="214DC3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046925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600</w:t>
            </w:r>
          </w:p>
        </w:tc>
        <w:tc>
          <w:tcPr>
            <w:tcW w:w="2047" w:type="dxa"/>
            <w:vAlign w:val="center"/>
          </w:tcPr>
          <w:p w14:paraId="494A3DB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0.145</w:t>
            </w:r>
          </w:p>
        </w:tc>
        <w:tc>
          <w:tcPr>
            <w:tcW w:w="1203" w:type="dxa"/>
            <w:vAlign w:val="center"/>
          </w:tcPr>
          <w:p w14:paraId="04787F2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0.07</w:t>
            </w:r>
          </w:p>
        </w:tc>
        <w:tc>
          <w:tcPr>
            <w:tcW w:w="1982" w:type="dxa"/>
            <w:vAlign w:val="center"/>
          </w:tcPr>
          <w:p w14:paraId="7D2ECDE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0.00619</w:t>
            </w:r>
          </w:p>
        </w:tc>
        <w:tc>
          <w:tcPr>
            <w:tcW w:w="1056" w:type="dxa"/>
            <w:vAlign w:val="center"/>
          </w:tcPr>
          <w:p w14:paraId="1636936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r>
      <w:tr w14:paraId="14FCB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FA15DD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700</w:t>
            </w:r>
          </w:p>
        </w:tc>
        <w:tc>
          <w:tcPr>
            <w:tcW w:w="2047" w:type="dxa"/>
            <w:vAlign w:val="center"/>
          </w:tcPr>
          <w:p w14:paraId="54DD355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0.116</w:t>
            </w:r>
          </w:p>
        </w:tc>
        <w:tc>
          <w:tcPr>
            <w:tcW w:w="1203" w:type="dxa"/>
            <w:vAlign w:val="center"/>
          </w:tcPr>
          <w:p w14:paraId="11C995D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w:t>
            </w:r>
          </w:p>
        </w:tc>
        <w:tc>
          <w:tcPr>
            <w:tcW w:w="1982" w:type="dxa"/>
            <w:vAlign w:val="center"/>
          </w:tcPr>
          <w:p w14:paraId="0293948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0.00498</w:t>
            </w:r>
          </w:p>
        </w:tc>
        <w:tc>
          <w:tcPr>
            <w:tcW w:w="1056" w:type="dxa"/>
            <w:vAlign w:val="center"/>
          </w:tcPr>
          <w:p w14:paraId="147E6F0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w:t>
            </w:r>
          </w:p>
        </w:tc>
      </w:tr>
      <w:tr w14:paraId="2FFCF6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77FCC8D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800</w:t>
            </w:r>
          </w:p>
        </w:tc>
        <w:tc>
          <w:tcPr>
            <w:tcW w:w="2047" w:type="dxa"/>
            <w:vAlign w:val="center"/>
          </w:tcPr>
          <w:p w14:paraId="461E59B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0.0964</w:t>
            </w:r>
          </w:p>
        </w:tc>
        <w:tc>
          <w:tcPr>
            <w:tcW w:w="1203" w:type="dxa"/>
            <w:vAlign w:val="center"/>
          </w:tcPr>
          <w:p w14:paraId="5A0A8EB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w:t>
            </w:r>
          </w:p>
        </w:tc>
        <w:tc>
          <w:tcPr>
            <w:tcW w:w="1982" w:type="dxa"/>
            <w:vAlign w:val="center"/>
          </w:tcPr>
          <w:p w14:paraId="3037A57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0.00413</w:t>
            </w:r>
          </w:p>
        </w:tc>
        <w:tc>
          <w:tcPr>
            <w:tcW w:w="1056" w:type="dxa"/>
            <w:vAlign w:val="center"/>
          </w:tcPr>
          <w:p w14:paraId="6EEB8E5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r>
      <w:tr w14:paraId="1F51C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485450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900</w:t>
            </w:r>
          </w:p>
        </w:tc>
        <w:tc>
          <w:tcPr>
            <w:tcW w:w="2047" w:type="dxa"/>
            <w:vAlign w:val="center"/>
          </w:tcPr>
          <w:p w14:paraId="3F63E48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0.0817</w:t>
            </w:r>
          </w:p>
        </w:tc>
        <w:tc>
          <w:tcPr>
            <w:tcW w:w="1203" w:type="dxa"/>
            <w:vAlign w:val="center"/>
          </w:tcPr>
          <w:p w14:paraId="32BB568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c>
          <w:tcPr>
            <w:tcW w:w="1982" w:type="dxa"/>
            <w:vAlign w:val="center"/>
          </w:tcPr>
          <w:p w14:paraId="5411E8B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0.0035</w:t>
            </w:r>
          </w:p>
        </w:tc>
        <w:tc>
          <w:tcPr>
            <w:tcW w:w="1056" w:type="dxa"/>
            <w:vAlign w:val="center"/>
          </w:tcPr>
          <w:p w14:paraId="4E16882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r>
      <w:tr w14:paraId="486C76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66E721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1000</w:t>
            </w:r>
          </w:p>
        </w:tc>
        <w:tc>
          <w:tcPr>
            <w:tcW w:w="2047" w:type="dxa"/>
            <w:vAlign w:val="center"/>
          </w:tcPr>
          <w:p w14:paraId="1410B1D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0.0705</w:t>
            </w:r>
          </w:p>
        </w:tc>
        <w:tc>
          <w:tcPr>
            <w:tcW w:w="1203" w:type="dxa"/>
            <w:vAlign w:val="center"/>
          </w:tcPr>
          <w:p w14:paraId="791A5D7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w:t>
            </w:r>
          </w:p>
        </w:tc>
        <w:tc>
          <w:tcPr>
            <w:tcW w:w="1982" w:type="dxa"/>
            <w:vAlign w:val="center"/>
          </w:tcPr>
          <w:p w14:paraId="61A87A3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0.00302</w:t>
            </w:r>
          </w:p>
        </w:tc>
        <w:tc>
          <w:tcPr>
            <w:tcW w:w="1056" w:type="dxa"/>
            <w:vAlign w:val="center"/>
          </w:tcPr>
          <w:p w14:paraId="56E1FE1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r>
      <w:tr w14:paraId="75291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85BCB9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1100</w:t>
            </w:r>
          </w:p>
        </w:tc>
        <w:tc>
          <w:tcPr>
            <w:tcW w:w="2047" w:type="dxa"/>
            <w:vAlign w:val="center"/>
          </w:tcPr>
          <w:p w14:paraId="656BC8E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0.0617</w:t>
            </w:r>
          </w:p>
        </w:tc>
        <w:tc>
          <w:tcPr>
            <w:tcW w:w="1203" w:type="dxa"/>
            <w:vAlign w:val="center"/>
          </w:tcPr>
          <w:p w14:paraId="0099836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c>
          <w:tcPr>
            <w:tcW w:w="1982" w:type="dxa"/>
            <w:vAlign w:val="center"/>
          </w:tcPr>
          <w:p w14:paraId="33EAD43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0.00265</w:t>
            </w:r>
          </w:p>
        </w:tc>
        <w:tc>
          <w:tcPr>
            <w:tcW w:w="1056" w:type="dxa"/>
            <w:vAlign w:val="center"/>
          </w:tcPr>
          <w:p w14:paraId="72B5875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r>
      <w:tr w14:paraId="4ACEAD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1BE9B39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1200</w:t>
            </w:r>
          </w:p>
        </w:tc>
        <w:tc>
          <w:tcPr>
            <w:tcW w:w="2047" w:type="dxa"/>
            <w:vAlign w:val="center"/>
          </w:tcPr>
          <w:p w14:paraId="40FC2B6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0.0547</w:t>
            </w:r>
          </w:p>
        </w:tc>
        <w:tc>
          <w:tcPr>
            <w:tcW w:w="1203" w:type="dxa"/>
            <w:vAlign w:val="center"/>
          </w:tcPr>
          <w:p w14:paraId="490B624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w:t>
            </w:r>
          </w:p>
        </w:tc>
        <w:tc>
          <w:tcPr>
            <w:tcW w:w="1982" w:type="dxa"/>
            <w:vAlign w:val="center"/>
          </w:tcPr>
          <w:p w14:paraId="5C25D7E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0.00234</w:t>
            </w:r>
          </w:p>
        </w:tc>
        <w:tc>
          <w:tcPr>
            <w:tcW w:w="1056" w:type="dxa"/>
            <w:vAlign w:val="center"/>
          </w:tcPr>
          <w:p w14:paraId="319794A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r>
      <w:tr w14:paraId="36E43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1330055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1300</w:t>
            </w:r>
          </w:p>
        </w:tc>
        <w:tc>
          <w:tcPr>
            <w:tcW w:w="2047" w:type="dxa"/>
            <w:vAlign w:val="center"/>
          </w:tcPr>
          <w:p w14:paraId="0A4B816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0.0489</w:t>
            </w:r>
          </w:p>
        </w:tc>
        <w:tc>
          <w:tcPr>
            <w:tcW w:w="1203" w:type="dxa"/>
            <w:vAlign w:val="center"/>
          </w:tcPr>
          <w:p w14:paraId="45EE7D1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7B7F58D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0.0021</w:t>
            </w:r>
          </w:p>
        </w:tc>
        <w:tc>
          <w:tcPr>
            <w:tcW w:w="1056" w:type="dxa"/>
            <w:vAlign w:val="center"/>
          </w:tcPr>
          <w:p w14:paraId="3E38D6C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r>
      <w:tr w14:paraId="3E49C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29CA776C">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1400</w:t>
            </w:r>
          </w:p>
        </w:tc>
        <w:tc>
          <w:tcPr>
            <w:tcW w:w="2047" w:type="dxa"/>
            <w:vAlign w:val="center"/>
          </w:tcPr>
          <w:p w14:paraId="3877889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0.0441</w:t>
            </w:r>
          </w:p>
        </w:tc>
        <w:tc>
          <w:tcPr>
            <w:tcW w:w="1203" w:type="dxa"/>
            <w:vAlign w:val="center"/>
          </w:tcPr>
          <w:p w14:paraId="1F8F7B6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2800737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0.00189</w:t>
            </w:r>
          </w:p>
        </w:tc>
        <w:tc>
          <w:tcPr>
            <w:tcW w:w="1056" w:type="dxa"/>
            <w:vAlign w:val="center"/>
          </w:tcPr>
          <w:p w14:paraId="507DDA0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r>
      <w:tr w14:paraId="349D6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BEDD74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1500</w:t>
            </w:r>
          </w:p>
        </w:tc>
        <w:tc>
          <w:tcPr>
            <w:tcW w:w="2047" w:type="dxa"/>
            <w:vAlign w:val="center"/>
          </w:tcPr>
          <w:p w14:paraId="4DA8923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0.0401</w:t>
            </w:r>
          </w:p>
        </w:tc>
        <w:tc>
          <w:tcPr>
            <w:tcW w:w="1203" w:type="dxa"/>
            <w:vAlign w:val="center"/>
          </w:tcPr>
          <w:p w14:paraId="1CC6201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0AC2F7F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0.00172</w:t>
            </w:r>
          </w:p>
        </w:tc>
        <w:tc>
          <w:tcPr>
            <w:tcW w:w="1056" w:type="dxa"/>
            <w:vAlign w:val="center"/>
          </w:tcPr>
          <w:p w14:paraId="55B436E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r>
      <w:tr w14:paraId="601D8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9133DB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1600</w:t>
            </w:r>
          </w:p>
        </w:tc>
        <w:tc>
          <w:tcPr>
            <w:tcW w:w="2047" w:type="dxa"/>
            <w:vAlign w:val="center"/>
          </w:tcPr>
          <w:p w14:paraId="64A9C00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0.0367</w:t>
            </w:r>
          </w:p>
        </w:tc>
        <w:tc>
          <w:tcPr>
            <w:tcW w:w="1203" w:type="dxa"/>
            <w:vAlign w:val="center"/>
          </w:tcPr>
          <w:p w14:paraId="1FDE5AB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49587F0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0.00157</w:t>
            </w:r>
          </w:p>
        </w:tc>
        <w:tc>
          <w:tcPr>
            <w:tcW w:w="1056" w:type="dxa"/>
            <w:vAlign w:val="center"/>
          </w:tcPr>
          <w:p w14:paraId="5AFB475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r>
      <w:tr w14:paraId="6E8EE1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5E4D9AC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1700</w:t>
            </w:r>
          </w:p>
        </w:tc>
        <w:tc>
          <w:tcPr>
            <w:tcW w:w="2047" w:type="dxa"/>
            <w:vAlign w:val="center"/>
          </w:tcPr>
          <w:p w14:paraId="370D4E6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0.0337</w:t>
            </w:r>
          </w:p>
        </w:tc>
        <w:tc>
          <w:tcPr>
            <w:tcW w:w="1203" w:type="dxa"/>
            <w:vAlign w:val="center"/>
          </w:tcPr>
          <w:p w14:paraId="289D7A91">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7B146B5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0.00144</w:t>
            </w:r>
          </w:p>
        </w:tc>
        <w:tc>
          <w:tcPr>
            <w:tcW w:w="1056" w:type="dxa"/>
            <w:vAlign w:val="center"/>
          </w:tcPr>
          <w:p w14:paraId="3978CBD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r>
      <w:tr w14:paraId="7705B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C40986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1800</w:t>
            </w:r>
          </w:p>
        </w:tc>
        <w:tc>
          <w:tcPr>
            <w:tcW w:w="2047" w:type="dxa"/>
            <w:vAlign w:val="center"/>
          </w:tcPr>
          <w:p w14:paraId="7A998FD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0.0311</w:t>
            </w:r>
          </w:p>
        </w:tc>
        <w:tc>
          <w:tcPr>
            <w:tcW w:w="1203" w:type="dxa"/>
            <w:vAlign w:val="center"/>
          </w:tcPr>
          <w:p w14:paraId="16C07C3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w:t>
            </w:r>
          </w:p>
        </w:tc>
        <w:tc>
          <w:tcPr>
            <w:tcW w:w="1982" w:type="dxa"/>
            <w:vAlign w:val="center"/>
          </w:tcPr>
          <w:p w14:paraId="03C30FC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0.00133</w:t>
            </w:r>
          </w:p>
        </w:tc>
        <w:tc>
          <w:tcPr>
            <w:tcW w:w="1056" w:type="dxa"/>
            <w:vAlign w:val="center"/>
          </w:tcPr>
          <w:p w14:paraId="556EE47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r>
      <w:tr w14:paraId="63650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44A6D2E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1900</w:t>
            </w:r>
          </w:p>
        </w:tc>
        <w:tc>
          <w:tcPr>
            <w:tcW w:w="2047" w:type="dxa"/>
            <w:vAlign w:val="center"/>
          </w:tcPr>
          <w:p w14:paraId="6C2D408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0.0289</w:t>
            </w:r>
          </w:p>
        </w:tc>
        <w:tc>
          <w:tcPr>
            <w:tcW w:w="1203" w:type="dxa"/>
            <w:vAlign w:val="center"/>
          </w:tcPr>
          <w:p w14:paraId="4FBBFD5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7669807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0.00124</w:t>
            </w:r>
          </w:p>
        </w:tc>
        <w:tc>
          <w:tcPr>
            <w:tcW w:w="1056" w:type="dxa"/>
            <w:vAlign w:val="center"/>
          </w:tcPr>
          <w:p w14:paraId="2FAD06B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r>
      <w:tr w14:paraId="575287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7EB41F1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2000</w:t>
            </w:r>
          </w:p>
        </w:tc>
        <w:tc>
          <w:tcPr>
            <w:tcW w:w="2047" w:type="dxa"/>
            <w:vAlign w:val="center"/>
          </w:tcPr>
          <w:p w14:paraId="0A5B082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0.0269</w:t>
            </w:r>
          </w:p>
        </w:tc>
        <w:tc>
          <w:tcPr>
            <w:tcW w:w="1203" w:type="dxa"/>
            <w:vAlign w:val="center"/>
          </w:tcPr>
          <w:p w14:paraId="24E0A2EB">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1E36256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0.00115</w:t>
            </w:r>
          </w:p>
        </w:tc>
        <w:tc>
          <w:tcPr>
            <w:tcW w:w="1056" w:type="dxa"/>
            <w:vAlign w:val="center"/>
          </w:tcPr>
          <w:p w14:paraId="63D5116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r>
      <w:tr w14:paraId="65B0C5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6F4B691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2100</w:t>
            </w:r>
          </w:p>
        </w:tc>
        <w:tc>
          <w:tcPr>
            <w:tcW w:w="2047" w:type="dxa"/>
            <w:vAlign w:val="center"/>
          </w:tcPr>
          <w:p w14:paraId="7F97FC58">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0.0252</w:t>
            </w:r>
          </w:p>
        </w:tc>
        <w:tc>
          <w:tcPr>
            <w:tcW w:w="1203" w:type="dxa"/>
            <w:vAlign w:val="center"/>
          </w:tcPr>
          <w:p w14:paraId="17C17A3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74F2FEE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0.00108</w:t>
            </w:r>
          </w:p>
        </w:tc>
        <w:tc>
          <w:tcPr>
            <w:tcW w:w="1056" w:type="dxa"/>
            <w:vAlign w:val="center"/>
          </w:tcPr>
          <w:p w14:paraId="4410C15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r>
      <w:tr w14:paraId="50160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7C605C3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2200</w:t>
            </w:r>
          </w:p>
        </w:tc>
        <w:tc>
          <w:tcPr>
            <w:tcW w:w="2047" w:type="dxa"/>
            <w:vAlign w:val="center"/>
          </w:tcPr>
          <w:p w14:paraId="60AB3BA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0.0236</w:t>
            </w:r>
          </w:p>
        </w:tc>
        <w:tc>
          <w:tcPr>
            <w:tcW w:w="1203" w:type="dxa"/>
            <w:vAlign w:val="center"/>
          </w:tcPr>
          <w:p w14:paraId="57B0AC7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7F38619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0.00101</w:t>
            </w:r>
          </w:p>
        </w:tc>
        <w:tc>
          <w:tcPr>
            <w:tcW w:w="1056" w:type="dxa"/>
            <w:vAlign w:val="center"/>
          </w:tcPr>
          <w:p w14:paraId="30AEDCA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r>
      <w:tr w14:paraId="340DD1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FD621C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2300</w:t>
            </w:r>
          </w:p>
        </w:tc>
        <w:tc>
          <w:tcPr>
            <w:tcW w:w="2047" w:type="dxa"/>
            <w:vAlign w:val="center"/>
          </w:tcPr>
          <w:p w14:paraId="4B7B125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0.0222</w:t>
            </w:r>
          </w:p>
        </w:tc>
        <w:tc>
          <w:tcPr>
            <w:tcW w:w="1203" w:type="dxa"/>
            <w:vAlign w:val="center"/>
          </w:tcPr>
          <w:p w14:paraId="2FB5F81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55AEAC22">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0.000951</w:t>
            </w:r>
          </w:p>
        </w:tc>
        <w:tc>
          <w:tcPr>
            <w:tcW w:w="1056" w:type="dxa"/>
            <w:vAlign w:val="center"/>
          </w:tcPr>
          <w:p w14:paraId="7424537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r>
      <w:tr w14:paraId="7C658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392D8933">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2400</w:t>
            </w:r>
          </w:p>
        </w:tc>
        <w:tc>
          <w:tcPr>
            <w:tcW w:w="2047" w:type="dxa"/>
            <w:vAlign w:val="center"/>
          </w:tcPr>
          <w:p w14:paraId="7335D869">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0.0209</w:t>
            </w:r>
          </w:p>
        </w:tc>
        <w:tc>
          <w:tcPr>
            <w:tcW w:w="1203" w:type="dxa"/>
            <w:vAlign w:val="center"/>
          </w:tcPr>
          <w:p w14:paraId="556C759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156C7E6E">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0.000897</w:t>
            </w:r>
          </w:p>
        </w:tc>
        <w:tc>
          <w:tcPr>
            <w:tcW w:w="1056" w:type="dxa"/>
            <w:vAlign w:val="center"/>
          </w:tcPr>
          <w:p w14:paraId="0570D01D">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r>
      <w:tr w14:paraId="196F06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2084" w:type="dxa"/>
            <w:vAlign w:val="center"/>
          </w:tcPr>
          <w:p w14:paraId="21119045">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2500</w:t>
            </w:r>
          </w:p>
        </w:tc>
        <w:tc>
          <w:tcPr>
            <w:tcW w:w="2047" w:type="dxa"/>
            <w:vAlign w:val="center"/>
          </w:tcPr>
          <w:p w14:paraId="6E7A5757">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0.0198</w:t>
            </w:r>
          </w:p>
        </w:tc>
        <w:tc>
          <w:tcPr>
            <w:tcW w:w="1203" w:type="dxa"/>
            <w:vAlign w:val="center"/>
          </w:tcPr>
          <w:p w14:paraId="5ECC470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c>
          <w:tcPr>
            <w:tcW w:w="1982" w:type="dxa"/>
            <w:vAlign w:val="center"/>
          </w:tcPr>
          <w:p w14:paraId="4482F1E6">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0.000847</w:t>
            </w:r>
          </w:p>
        </w:tc>
        <w:tc>
          <w:tcPr>
            <w:tcW w:w="1056" w:type="dxa"/>
            <w:vAlign w:val="center"/>
          </w:tcPr>
          <w:p w14:paraId="02B8790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0.01</w:t>
            </w:r>
          </w:p>
        </w:tc>
      </w:tr>
      <w:tr w14:paraId="7593D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084" w:type="dxa"/>
            <w:vAlign w:val="center"/>
          </w:tcPr>
          <w:p w14:paraId="4F68577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下风向最大质量浓度 及占标率/%</w:t>
            </w:r>
          </w:p>
        </w:tc>
        <w:tc>
          <w:tcPr>
            <w:tcW w:w="2047" w:type="dxa"/>
            <w:vAlign w:val="center"/>
          </w:tcPr>
          <w:p w14:paraId="70FE16D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4.35</w:t>
            </w:r>
          </w:p>
        </w:tc>
        <w:tc>
          <w:tcPr>
            <w:tcW w:w="1203" w:type="dxa"/>
            <w:vAlign w:val="center"/>
          </w:tcPr>
          <w:p w14:paraId="056362B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2.17</w:t>
            </w:r>
          </w:p>
        </w:tc>
        <w:tc>
          <w:tcPr>
            <w:tcW w:w="1982" w:type="dxa"/>
            <w:vAlign w:val="center"/>
          </w:tcPr>
          <w:p w14:paraId="54E8225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0.186</w:t>
            </w:r>
          </w:p>
        </w:tc>
        <w:tc>
          <w:tcPr>
            <w:tcW w:w="1056" w:type="dxa"/>
            <w:vAlign w:val="center"/>
          </w:tcPr>
          <w:p w14:paraId="09C5917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1.86</w:t>
            </w:r>
          </w:p>
        </w:tc>
      </w:tr>
      <w:tr w14:paraId="45CFC5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2084" w:type="dxa"/>
            <w:vAlign w:val="center"/>
          </w:tcPr>
          <w:p w14:paraId="7594248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D10%最远距离/m</w:t>
            </w:r>
          </w:p>
        </w:tc>
        <w:tc>
          <w:tcPr>
            <w:tcW w:w="3250" w:type="dxa"/>
            <w:gridSpan w:val="2"/>
            <w:vAlign w:val="center"/>
          </w:tcPr>
          <w:p w14:paraId="405BDD4A">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3038" w:type="dxa"/>
            <w:gridSpan w:val="2"/>
            <w:vAlign w:val="center"/>
          </w:tcPr>
          <w:p w14:paraId="45B3B6F9">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r>
    </w:tbl>
    <w:p w14:paraId="46DBB938">
      <w:pPr>
        <w:rPr>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⑤</w:t>
      </w:r>
      <w:r>
        <w:rPr>
          <w:rFonts w:hint="eastAsia"/>
          <w:color w:val="000000" w:themeColor="text1"/>
          <w:highlight w:val="none"/>
          <w:lang w:val="en-US" w:eastAsia="zh-CN"/>
          <w14:textFill>
            <w14:solidFill>
              <w14:schemeClr w14:val="tx1"/>
            </w14:solidFill>
          </w14:textFill>
        </w:rPr>
        <w:t>饲料加工</w:t>
      </w:r>
      <w:r>
        <w:rPr>
          <w:rFonts w:hint="eastAsia"/>
          <w:color w:val="000000" w:themeColor="text1"/>
          <w:highlight w:val="none"/>
          <w14:textFill>
            <w14:solidFill>
              <w14:schemeClr w14:val="tx1"/>
            </w14:solidFill>
          </w14:textFill>
        </w:rPr>
        <w:t>车间（</w:t>
      </w:r>
      <w:r>
        <w:rPr>
          <w:color w:val="000000" w:themeColor="text1"/>
          <w:highlight w:val="none"/>
          <w14:textFill>
            <w14:solidFill>
              <w14:schemeClr w14:val="tx1"/>
            </w14:solidFill>
          </w14:textFill>
        </w:rPr>
        <w:t>M00</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w:t>
      </w:r>
    </w:p>
    <w:p w14:paraId="2D566CD5">
      <w:pPr>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饲料加工</w:t>
      </w:r>
      <w:r>
        <w:rPr>
          <w:rFonts w:hint="eastAsia"/>
          <w:color w:val="000000" w:themeColor="text1"/>
          <w:highlight w:val="none"/>
          <w14:textFill>
            <w14:solidFill>
              <w14:schemeClr w14:val="tx1"/>
            </w14:solidFill>
          </w14:textFill>
        </w:rPr>
        <w:t>车间（</w:t>
      </w:r>
      <w:r>
        <w:rPr>
          <w:color w:val="000000" w:themeColor="text1"/>
          <w:highlight w:val="none"/>
          <w14:textFill>
            <w14:solidFill>
              <w14:schemeClr w14:val="tx1"/>
            </w14:solidFill>
          </w14:textFill>
        </w:rPr>
        <w:t>M00</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面源无组织废气正常排放预测结果，具体结果见表5.2-1</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w:t>
      </w:r>
    </w:p>
    <w:p w14:paraId="7B6CB533">
      <w:pPr>
        <w:spacing w:line="240" w:lineRule="auto"/>
        <w:ind w:firstLine="422" w:firstLineChars="200"/>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表5.2-1</w:t>
      </w:r>
      <w:r>
        <w:rPr>
          <w:rFonts w:hint="eastAsia"/>
          <w:b/>
          <w:bCs/>
          <w:color w:val="000000" w:themeColor="text1"/>
          <w:sz w:val="21"/>
          <w:szCs w:val="21"/>
          <w:highlight w:val="none"/>
          <w:lang w:val="en-US" w:eastAsia="zh-CN"/>
          <w14:textFill>
            <w14:solidFill>
              <w14:schemeClr w14:val="tx1"/>
            </w14:solidFill>
          </w14:textFill>
        </w:rPr>
        <w:t>3</w:t>
      </w:r>
      <w:r>
        <w:rPr>
          <w:b/>
          <w:bCs/>
          <w:color w:val="000000" w:themeColor="text1"/>
          <w:sz w:val="21"/>
          <w:szCs w:val="21"/>
          <w:highlight w:val="none"/>
          <w14:textFill>
            <w14:solidFill>
              <w14:schemeClr w14:val="tx1"/>
            </w14:solidFill>
          </w14:textFill>
        </w:rPr>
        <w:t xml:space="preserve">  </w:t>
      </w:r>
      <w:r>
        <w:rPr>
          <w:rFonts w:hint="eastAsia" w:ascii="Times New Roman" w:hAnsi="Times New Roman" w:eastAsia="宋体" w:cs="宋体"/>
          <w:b/>
          <w:bCs/>
          <w:color w:val="000000" w:themeColor="text1"/>
          <w:sz w:val="21"/>
          <w:szCs w:val="21"/>
          <w:highlight w:val="none"/>
          <w:lang w:val="en-US" w:eastAsia="zh-CN"/>
          <w14:textFill>
            <w14:solidFill>
              <w14:schemeClr w14:val="tx1"/>
            </w14:solidFill>
          </w14:textFill>
        </w:rPr>
        <w:t>饲料加工</w:t>
      </w:r>
      <w:r>
        <w:rPr>
          <w:rFonts w:hint="eastAsia" w:ascii="Times New Roman" w:hAnsi="Times New Roman" w:eastAsia="宋体" w:cs="宋体"/>
          <w:b/>
          <w:bCs/>
          <w:color w:val="000000" w:themeColor="text1"/>
          <w:sz w:val="21"/>
          <w:szCs w:val="21"/>
          <w:highlight w:val="none"/>
          <w14:textFill>
            <w14:solidFill>
              <w14:schemeClr w14:val="tx1"/>
            </w14:solidFill>
          </w14:textFill>
        </w:rPr>
        <w:t>车间</w:t>
      </w:r>
      <w:r>
        <w:rPr>
          <w:rFonts w:ascii="Times New Roman" w:hAnsi="Times New Roman" w:eastAsia="宋体" w:cs="宋体"/>
          <w:b/>
          <w:bCs/>
          <w:color w:val="000000" w:themeColor="text1"/>
          <w:sz w:val="21"/>
          <w:szCs w:val="21"/>
          <w:highlight w:val="none"/>
          <w14:textFill>
            <w14:solidFill>
              <w14:schemeClr w14:val="tx1"/>
            </w14:solidFill>
          </w14:textFill>
        </w:rPr>
        <w:t>污染源估算模型</w:t>
      </w:r>
      <w:r>
        <w:rPr>
          <w:b/>
          <w:bCs/>
          <w:color w:val="000000" w:themeColor="text1"/>
          <w:sz w:val="21"/>
          <w:szCs w:val="21"/>
          <w:highlight w:val="none"/>
          <w14:textFill>
            <w14:solidFill>
              <w14:schemeClr w14:val="tx1"/>
            </w14:solidFill>
          </w14:textFill>
        </w:rPr>
        <w:t>计算结果表</w:t>
      </w:r>
    </w:p>
    <w:tbl>
      <w:tblPr>
        <w:tblStyle w:val="58"/>
        <w:tblW w:w="88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445"/>
        <w:gridCol w:w="3384"/>
        <w:gridCol w:w="1990"/>
      </w:tblGrid>
      <w:tr w14:paraId="3D2DCD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3445" w:type="dxa"/>
            <w:vMerge w:val="restart"/>
            <w:tcBorders>
              <w:bottom w:val="nil"/>
            </w:tcBorders>
            <w:vAlign w:val="center"/>
          </w:tcPr>
          <w:p w14:paraId="161E3E3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下风向距离（m）</w:t>
            </w:r>
          </w:p>
        </w:tc>
        <w:tc>
          <w:tcPr>
            <w:tcW w:w="5374" w:type="dxa"/>
            <w:gridSpan w:val="2"/>
            <w:vAlign w:val="center"/>
          </w:tcPr>
          <w:p w14:paraId="67896E40">
            <w:pPr>
              <w:spacing w:line="240" w:lineRule="auto"/>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面源</w:t>
            </w:r>
            <w:r>
              <w:rPr>
                <w:rFonts w:hint="eastAsia" w:ascii="Times New Roman" w:hAnsi="Times New Roman" w:eastAsia="宋体" w:cs="宋体"/>
                <w:b/>
                <w:bCs/>
                <w:color w:val="000000" w:themeColor="text1"/>
                <w:sz w:val="21"/>
                <w:szCs w:val="21"/>
                <w:highlight w:val="none"/>
                <w14:textFill>
                  <w14:solidFill>
                    <w14:schemeClr w14:val="tx1"/>
                  </w14:solidFill>
                </w14:textFill>
              </w:rPr>
              <w:t>（</w:t>
            </w:r>
            <w:r>
              <w:rPr>
                <w:rFonts w:hint="eastAsia" w:ascii="Times New Roman" w:hAnsi="Times New Roman" w:eastAsia="宋体" w:cs="宋体"/>
                <w:b/>
                <w:bCs/>
                <w:color w:val="000000" w:themeColor="text1"/>
                <w:sz w:val="21"/>
                <w:szCs w:val="21"/>
                <w:highlight w:val="none"/>
                <w:lang w:val="en-US" w:eastAsia="zh-CN"/>
                <w14:textFill>
                  <w14:solidFill>
                    <w14:schemeClr w14:val="tx1"/>
                  </w14:solidFill>
                </w14:textFill>
              </w:rPr>
              <w:t>饲料加工</w:t>
            </w:r>
            <w:r>
              <w:rPr>
                <w:rFonts w:hint="eastAsia" w:ascii="Times New Roman" w:hAnsi="Times New Roman" w:eastAsia="宋体" w:cs="宋体"/>
                <w:b/>
                <w:bCs/>
                <w:color w:val="000000" w:themeColor="text1"/>
                <w:sz w:val="21"/>
                <w:szCs w:val="21"/>
                <w:highlight w:val="none"/>
                <w14:textFill>
                  <w14:solidFill>
                    <w14:schemeClr w14:val="tx1"/>
                  </w14:solidFill>
                </w14:textFill>
              </w:rPr>
              <w:t>车间（M00</w:t>
            </w:r>
            <w:r>
              <w:rPr>
                <w:rFonts w:hint="eastAsia" w:ascii="Times New Roman" w:hAnsi="Times New Roman" w:eastAsia="宋体" w:cs="宋体"/>
                <w:b/>
                <w:bCs/>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宋体"/>
                <w:b/>
                <w:bCs/>
                <w:color w:val="000000" w:themeColor="text1"/>
                <w:sz w:val="21"/>
                <w:szCs w:val="21"/>
                <w:highlight w:val="none"/>
                <w14:textFill>
                  <w14:solidFill>
                    <w14:schemeClr w14:val="tx1"/>
                  </w14:solidFill>
                </w14:textFill>
              </w:rPr>
              <w:t>））</w:t>
            </w:r>
          </w:p>
        </w:tc>
      </w:tr>
      <w:tr w14:paraId="5D0B37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445" w:type="dxa"/>
            <w:vMerge w:val="continue"/>
            <w:tcBorders>
              <w:top w:val="nil"/>
              <w:bottom w:val="nil"/>
            </w:tcBorders>
            <w:vAlign w:val="center"/>
          </w:tcPr>
          <w:p w14:paraId="7EF2C219">
            <w:pPr>
              <w:spacing w:line="240" w:lineRule="auto"/>
              <w:jc w:val="center"/>
              <w:rPr>
                <w:b/>
                <w:bCs/>
                <w:color w:val="000000" w:themeColor="text1"/>
                <w:sz w:val="21"/>
                <w:szCs w:val="21"/>
                <w:highlight w:val="none"/>
                <w14:textFill>
                  <w14:solidFill>
                    <w14:schemeClr w14:val="tx1"/>
                  </w14:solidFill>
                </w14:textFill>
              </w:rPr>
            </w:pPr>
          </w:p>
        </w:tc>
        <w:tc>
          <w:tcPr>
            <w:tcW w:w="5374" w:type="dxa"/>
            <w:gridSpan w:val="2"/>
            <w:vAlign w:val="center"/>
          </w:tcPr>
          <w:p w14:paraId="5A6A23A9">
            <w:pPr>
              <w:spacing w:line="240" w:lineRule="auto"/>
              <w:jc w:val="center"/>
              <w:rPr>
                <w:rFonts w:hint="eastAsia" w:eastAsia="宋体"/>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TSp</w:t>
            </w:r>
          </w:p>
        </w:tc>
      </w:tr>
      <w:tr w14:paraId="5469DE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445" w:type="dxa"/>
            <w:vMerge w:val="continue"/>
            <w:tcBorders>
              <w:top w:val="nil"/>
            </w:tcBorders>
            <w:vAlign w:val="center"/>
          </w:tcPr>
          <w:p w14:paraId="700CDD0D">
            <w:pPr>
              <w:spacing w:line="240" w:lineRule="auto"/>
              <w:jc w:val="center"/>
              <w:rPr>
                <w:b/>
                <w:bCs/>
                <w:color w:val="000000" w:themeColor="text1"/>
                <w:sz w:val="21"/>
                <w:szCs w:val="21"/>
                <w:highlight w:val="none"/>
                <w14:textFill>
                  <w14:solidFill>
                    <w14:schemeClr w14:val="tx1"/>
                  </w14:solidFill>
                </w14:textFill>
              </w:rPr>
            </w:pPr>
          </w:p>
        </w:tc>
        <w:tc>
          <w:tcPr>
            <w:tcW w:w="3384" w:type="dxa"/>
            <w:vAlign w:val="center"/>
          </w:tcPr>
          <w:p w14:paraId="3089393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预测质量浓度（</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1990" w:type="dxa"/>
            <w:vAlign w:val="center"/>
          </w:tcPr>
          <w:p w14:paraId="30A46F5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占标率（%）</w:t>
            </w:r>
          </w:p>
        </w:tc>
      </w:tr>
      <w:tr w14:paraId="3BB4F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445" w:type="dxa"/>
            <w:vAlign w:val="center"/>
          </w:tcPr>
          <w:p w14:paraId="3AE3C780">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w:t>
            </w:r>
          </w:p>
        </w:tc>
        <w:tc>
          <w:tcPr>
            <w:tcW w:w="3384" w:type="dxa"/>
            <w:vAlign w:val="center"/>
          </w:tcPr>
          <w:p w14:paraId="5A58C8F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17.2</w:t>
            </w:r>
          </w:p>
        </w:tc>
        <w:tc>
          <w:tcPr>
            <w:tcW w:w="1990" w:type="dxa"/>
            <w:vAlign w:val="center"/>
          </w:tcPr>
          <w:p w14:paraId="41075AA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1.91</w:t>
            </w:r>
          </w:p>
        </w:tc>
      </w:tr>
      <w:tr w14:paraId="16BBE2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445" w:type="dxa"/>
            <w:vAlign w:val="center"/>
          </w:tcPr>
          <w:p w14:paraId="35AF3F92">
            <w:pPr>
              <w:spacing w:line="240" w:lineRule="auto"/>
              <w:jc w:val="center"/>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14</w:t>
            </w:r>
          </w:p>
        </w:tc>
        <w:tc>
          <w:tcPr>
            <w:tcW w:w="3384" w:type="dxa"/>
            <w:vAlign w:val="center"/>
          </w:tcPr>
          <w:p w14:paraId="3947F5F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18.3</w:t>
            </w:r>
          </w:p>
        </w:tc>
        <w:tc>
          <w:tcPr>
            <w:tcW w:w="1990" w:type="dxa"/>
            <w:vAlign w:val="center"/>
          </w:tcPr>
          <w:p w14:paraId="76CD2ED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2.04</w:t>
            </w:r>
          </w:p>
        </w:tc>
      </w:tr>
      <w:tr w14:paraId="632DEA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445" w:type="dxa"/>
            <w:vAlign w:val="center"/>
          </w:tcPr>
          <w:p w14:paraId="084B7B3B">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w:t>
            </w:r>
          </w:p>
        </w:tc>
        <w:tc>
          <w:tcPr>
            <w:tcW w:w="3384" w:type="dxa"/>
            <w:vAlign w:val="center"/>
          </w:tcPr>
          <w:p w14:paraId="4B3E9A2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16.4</w:t>
            </w:r>
          </w:p>
        </w:tc>
        <w:tc>
          <w:tcPr>
            <w:tcW w:w="1990" w:type="dxa"/>
            <w:vAlign w:val="center"/>
          </w:tcPr>
          <w:p w14:paraId="2D52BF3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1.82</w:t>
            </w:r>
          </w:p>
        </w:tc>
      </w:tr>
      <w:tr w14:paraId="4EBB8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445" w:type="dxa"/>
            <w:vAlign w:val="center"/>
          </w:tcPr>
          <w:p w14:paraId="7E5EAFF7">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w:t>
            </w:r>
          </w:p>
        </w:tc>
        <w:tc>
          <w:tcPr>
            <w:tcW w:w="3384" w:type="dxa"/>
            <w:vAlign w:val="center"/>
          </w:tcPr>
          <w:p w14:paraId="7180B5F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13.9</w:t>
            </w:r>
          </w:p>
        </w:tc>
        <w:tc>
          <w:tcPr>
            <w:tcW w:w="1990" w:type="dxa"/>
            <w:vAlign w:val="center"/>
          </w:tcPr>
          <w:p w14:paraId="5A79463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1.54</w:t>
            </w:r>
          </w:p>
        </w:tc>
      </w:tr>
      <w:tr w14:paraId="59844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3445" w:type="dxa"/>
            <w:vAlign w:val="center"/>
          </w:tcPr>
          <w:p w14:paraId="35600F5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100</w:t>
            </w:r>
          </w:p>
        </w:tc>
        <w:tc>
          <w:tcPr>
            <w:tcW w:w="3384" w:type="dxa"/>
            <w:vAlign w:val="center"/>
          </w:tcPr>
          <w:p w14:paraId="20CC8AAA">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10.1</w:t>
            </w:r>
          </w:p>
        </w:tc>
        <w:tc>
          <w:tcPr>
            <w:tcW w:w="1990" w:type="dxa"/>
            <w:vAlign w:val="center"/>
          </w:tcPr>
          <w:p w14:paraId="5BDFDC3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1.12</w:t>
            </w:r>
          </w:p>
        </w:tc>
      </w:tr>
      <w:tr w14:paraId="2BB2D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51FE540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150</w:t>
            </w:r>
          </w:p>
        </w:tc>
        <w:tc>
          <w:tcPr>
            <w:tcW w:w="3384" w:type="dxa"/>
            <w:vAlign w:val="center"/>
          </w:tcPr>
          <w:p w14:paraId="65FC904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7.39</w:t>
            </w:r>
          </w:p>
        </w:tc>
        <w:tc>
          <w:tcPr>
            <w:tcW w:w="1990" w:type="dxa"/>
            <w:vAlign w:val="center"/>
          </w:tcPr>
          <w:p w14:paraId="633C9F3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0.82</w:t>
            </w:r>
          </w:p>
        </w:tc>
      </w:tr>
      <w:tr w14:paraId="7AE2C7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56BC6FCB">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200</w:t>
            </w:r>
          </w:p>
        </w:tc>
        <w:tc>
          <w:tcPr>
            <w:tcW w:w="3384" w:type="dxa"/>
            <w:vAlign w:val="center"/>
          </w:tcPr>
          <w:p w14:paraId="1764D9E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5.63</w:t>
            </w:r>
          </w:p>
        </w:tc>
        <w:tc>
          <w:tcPr>
            <w:tcW w:w="1990" w:type="dxa"/>
            <w:vAlign w:val="center"/>
          </w:tcPr>
          <w:p w14:paraId="1B9AAA6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0.63</w:t>
            </w:r>
          </w:p>
        </w:tc>
      </w:tr>
      <w:tr w14:paraId="4B2707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40867A3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250</w:t>
            </w:r>
          </w:p>
        </w:tc>
        <w:tc>
          <w:tcPr>
            <w:tcW w:w="3384" w:type="dxa"/>
            <w:vAlign w:val="center"/>
          </w:tcPr>
          <w:p w14:paraId="50B956B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4.46</w:t>
            </w:r>
          </w:p>
        </w:tc>
        <w:tc>
          <w:tcPr>
            <w:tcW w:w="1990" w:type="dxa"/>
            <w:vAlign w:val="center"/>
          </w:tcPr>
          <w:p w14:paraId="12C5D72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w:t>
            </w:r>
          </w:p>
        </w:tc>
      </w:tr>
      <w:tr w14:paraId="15A66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108812A0">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300</w:t>
            </w:r>
          </w:p>
        </w:tc>
        <w:tc>
          <w:tcPr>
            <w:tcW w:w="3384" w:type="dxa"/>
            <w:vAlign w:val="center"/>
          </w:tcPr>
          <w:p w14:paraId="5BF957B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3.63</w:t>
            </w:r>
          </w:p>
        </w:tc>
        <w:tc>
          <w:tcPr>
            <w:tcW w:w="1990" w:type="dxa"/>
            <w:vAlign w:val="center"/>
          </w:tcPr>
          <w:p w14:paraId="43B8BA3A">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w:t>
            </w:r>
          </w:p>
        </w:tc>
      </w:tr>
      <w:tr w14:paraId="38F292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670EA098">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400</w:t>
            </w:r>
          </w:p>
        </w:tc>
        <w:tc>
          <w:tcPr>
            <w:tcW w:w="3384" w:type="dxa"/>
            <w:vAlign w:val="center"/>
          </w:tcPr>
          <w:p w14:paraId="26A7144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2.59</w:t>
            </w:r>
          </w:p>
        </w:tc>
        <w:tc>
          <w:tcPr>
            <w:tcW w:w="1990" w:type="dxa"/>
            <w:vAlign w:val="center"/>
          </w:tcPr>
          <w:p w14:paraId="24DBDE6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0.29</w:t>
            </w:r>
          </w:p>
        </w:tc>
      </w:tr>
      <w:tr w14:paraId="0F889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6645E20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500</w:t>
            </w:r>
          </w:p>
        </w:tc>
        <w:tc>
          <w:tcPr>
            <w:tcW w:w="3384" w:type="dxa"/>
            <w:vAlign w:val="center"/>
          </w:tcPr>
          <w:p w14:paraId="4151797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1.97</w:t>
            </w:r>
          </w:p>
        </w:tc>
        <w:tc>
          <w:tcPr>
            <w:tcW w:w="1990" w:type="dxa"/>
            <w:vAlign w:val="center"/>
          </w:tcPr>
          <w:p w14:paraId="0E1096F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0.22</w:t>
            </w:r>
          </w:p>
        </w:tc>
      </w:tr>
      <w:tr w14:paraId="77896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70A6F095">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600</w:t>
            </w:r>
          </w:p>
        </w:tc>
        <w:tc>
          <w:tcPr>
            <w:tcW w:w="3384" w:type="dxa"/>
            <w:vAlign w:val="center"/>
          </w:tcPr>
          <w:p w14:paraId="05DE5F5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1.56</w:t>
            </w:r>
          </w:p>
        </w:tc>
        <w:tc>
          <w:tcPr>
            <w:tcW w:w="1990" w:type="dxa"/>
            <w:vAlign w:val="center"/>
          </w:tcPr>
          <w:p w14:paraId="2D390543">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0.17</w:t>
            </w:r>
          </w:p>
        </w:tc>
      </w:tr>
      <w:tr w14:paraId="09B551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2E3D8F1D">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700</w:t>
            </w:r>
          </w:p>
        </w:tc>
        <w:tc>
          <w:tcPr>
            <w:tcW w:w="3384" w:type="dxa"/>
            <w:vAlign w:val="center"/>
          </w:tcPr>
          <w:p w14:paraId="13113CF5">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1.28</w:t>
            </w:r>
          </w:p>
        </w:tc>
        <w:tc>
          <w:tcPr>
            <w:tcW w:w="1990" w:type="dxa"/>
            <w:vAlign w:val="center"/>
          </w:tcPr>
          <w:p w14:paraId="4E5FA73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0.14</w:t>
            </w:r>
          </w:p>
        </w:tc>
      </w:tr>
      <w:tr w14:paraId="6F45F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5A1E748D">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800</w:t>
            </w:r>
          </w:p>
        </w:tc>
        <w:tc>
          <w:tcPr>
            <w:tcW w:w="3384" w:type="dxa"/>
            <w:vAlign w:val="center"/>
          </w:tcPr>
          <w:p w14:paraId="0B78AA6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1.08</w:t>
            </w:r>
          </w:p>
        </w:tc>
        <w:tc>
          <w:tcPr>
            <w:tcW w:w="1990" w:type="dxa"/>
            <w:vAlign w:val="center"/>
          </w:tcPr>
          <w:p w14:paraId="7F8C44B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0.12</w:t>
            </w:r>
          </w:p>
        </w:tc>
      </w:tr>
      <w:tr w14:paraId="0BA04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67B5EF64">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900</w:t>
            </w:r>
          </w:p>
        </w:tc>
        <w:tc>
          <w:tcPr>
            <w:tcW w:w="3384" w:type="dxa"/>
            <w:vAlign w:val="center"/>
          </w:tcPr>
          <w:p w14:paraId="20AE2A0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0.923</w:t>
            </w:r>
          </w:p>
        </w:tc>
        <w:tc>
          <w:tcPr>
            <w:tcW w:w="1990" w:type="dxa"/>
            <w:vAlign w:val="center"/>
          </w:tcPr>
          <w:p w14:paraId="6B89AAC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w:t>
            </w:r>
          </w:p>
        </w:tc>
      </w:tr>
      <w:tr w14:paraId="025348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17F5EC3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1000</w:t>
            </w:r>
          </w:p>
        </w:tc>
        <w:tc>
          <w:tcPr>
            <w:tcW w:w="3384" w:type="dxa"/>
            <w:vAlign w:val="center"/>
          </w:tcPr>
          <w:p w14:paraId="5488F73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0.804</w:t>
            </w:r>
          </w:p>
        </w:tc>
        <w:tc>
          <w:tcPr>
            <w:tcW w:w="1990" w:type="dxa"/>
            <w:vAlign w:val="center"/>
          </w:tcPr>
          <w:p w14:paraId="5D33702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0.09</w:t>
            </w:r>
          </w:p>
        </w:tc>
      </w:tr>
      <w:tr w14:paraId="09C39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2B51ECCF">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1100</w:t>
            </w:r>
          </w:p>
        </w:tc>
        <w:tc>
          <w:tcPr>
            <w:tcW w:w="3384" w:type="dxa"/>
            <w:vAlign w:val="center"/>
          </w:tcPr>
          <w:p w14:paraId="19A2054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0.708</w:t>
            </w:r>
          </w:p>
        </w:tc>
        <w:tc>
          <w:tcPr>
            <w:tcW w:w="1990" w:type="dxa"/>
            <w:vAlign w:val="center"/>
          </w:tcPr>
          <w:p w14:paraId="496931D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0.08</w:t>
            </w:r>
          </w:p>
        </w:tc>
      </w:tr>
      <w:tr w14:paraId="25901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7044529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1200</w:t>
            </w:r>
          </w:p>
        </w:tc>
        <w:tc>
          <w:tcPr>
            <w:tcW w:w="3384" w:type="dxa"/>
            <w:vAlign w:val="center"/>
          </w:tcPr>
          <w:p w14:paraId="7905609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0.631</w:t>
            </w:r>
          </w:p>
        </w:tc>
        <w:tc>
          <w:tcPr>
            <w:tcW w:w="1990" w:type="dxa"/>
            <w:vAlign w:val="center"/>
          </w:tcPr>
          <w:p w14:paraId="2E996354">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0.07</w:t>
            </w:r>
          </w:p>
        </w:tc>
      </w:tr>
      <w:tr w14:paraId="69FEED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4FB57574">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1300</w:t>
            </w:r>
          </w:p>
        </w:tc>
        <w:tc>
          <w:tcPr>
            <w:tcW w:w="3384" w:type="dxa"/>
            <w:vAlign w:val="center"/>
          </w:tcPr>
          <w:p w14:paraId="0825502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0.567</w:t>
            </w:r>
          </w:p>
        </w:tc>
        <w:tc>
          <w:tcPr>
            <w:tcW w:w="1990" w:type="dxa"/>
            <w:vAlign w:val="center"/>
          </w:tcPr>
          <w:p w14:paraId="017D8B7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0.06</w:t>
            </w:r>
          </w:p>
        </w:tc>
      </w:tr>
      <w:tr w14:paraId="78A9A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56688894">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1400</w:t>
            </w:r>
          </w:p>
        </w:tc>
        <w:tc>
          <w:tcPr>
            <w:tcW w:w="3384" w:type="dxa"/>
            <w:vAlign w:val="center"/>
          </w:tcPr>
          <w:p w14:paraId="0C46A88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0.514</w:t>
            </w:r>
          </w:p>
        </w:tc>
        <w:tc>
          <w:tcPr>
            <w:tcW w:w="1990" w:type="dxa"/>
            <w:vAlign w:val="center"/>
          </w:tcPr>
          <w:p w14:paraId="27EB626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0.06</w:t>
            </w:r>
          </w:p>
        </w:tc>
      </w:tr>
      <w:tr w14:paraId="2245B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194ADBBB">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1500</w:t>
            </w:r>
          </w:p>
        </w:tc>
        <w:tc>
          <w:tcPr>
            <w:tcW w:w="3384" w:type="dxa"/>
            <w:vAlign w:val="center"/>
          </w:tcPr>
          <w:p w14:paraId="312FCFE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0.469</w:t>
            </w:r>
          </w:p>
        </w:tc>
        <w:tc>
          <w:tcPr>
            <w:tcW w:w="1990" w:type="dxa"/>
            <w:vAlign w:val="center"/>
          </w:tcPr>
          <w:p w14:paraId="7B300F59">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w:t>
            </w:r>
          </w:p>
        </w:tc>
      </w:tr>
      <w:tr w14:paraId="6950D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50BBCDD8">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1600</w:t>
            </w:r>
          </w:p>
        </w:tc>
        <w:tc>
          <w:tcPr>
            <w:tcW w:w="3384" w:type="dxa"/>
            <w:vAlign w:val="center"/>
          </w:tcPr>
          <w:p w14:paraId="39F1948D">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0.43</w:t>
            </w:r>
          </w:p>
        </w:tc>
        <w:tc>
          <w:tcPr>
            <w:tcW w:w="1990" w:type="dxa"/>
            <w:vAlign w:val="center"/>
          </w:tcPr>
          <w:p w14:paraId="3ECE3EC6">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0.05</w:t>
            </w:r>
          </w:p>
        </w:tc>
      </w:tr>
      <w:tr w14:paraId="6B73BC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4AE452B1">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1700</w:t>
            </w:r>
          </w:p>
        </w:tc>
        <w:tc>
          <w:tcPr>
            <w:tcW w:w="3384" w:type="dxa"/>
            <w:vAlign w:val="center"/>
          </w:tcPr>
          <w:p w14:paraId="60CDF4E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0.396</w:t>
            </w:r>
          </w:p>
        </w:tc>
        <w:tc>
          <w:tcPr>
            <w:tcW w:w="1990" w:type="dxa"/>
            <w:vAlign w:val="center"/>
          </w:tcPr>
          <w:p w14:paraId="5E52AD5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0.04</w:t>
            </w:r>
          </w:p>
        </w:tc>
      </w:tr>
      <w:tr w14:paraId="2C9DD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4BCD01BB">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1800</w:t>
            </w:r>
          </w:p>
        </w:tc>
        <w:tc>
          <w:tcPr>
            <w:tcW w:w="3384" w:type="dxa"/>
            <w:vAlign w:val="center"/>
          </w:tcPr>
          <w:p w14:paraId="18278447">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0.367</w:t>
            </w:r>
          </w:p>
        </w:tc>
        <w:tc>
          <w:tcPr>
            <w:tcW w:w="1990" w:type="dxa"/>
            <w:vAlign w:val="center"/>
          </w:tcPr>
          <w:p w14:paraId="550812B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0.04</w:t>
            </w:r>
          </w:p>
        </w:tc>
      </w:tr>
      <w:tr w14:paraId="51837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65301D74">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1900</w:t>
            </w:r>
          </w:p>
        </w:tc>
        <w:tc>
          <w:tcPr>
            <w:tcW w:w="3384" w:type="dxa"/>
            <w:vAlign w:val="center"/>
          </w:tcPr>
          <w:p w14:paraId="6CCE3AC1">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0.341</w:t>
            </w:r>
          </w:p>
        </w:tc>
        <w:tc>
          <w:tcPr>
            <w:tcW w:w="1990" w:type="dxa"/>
            <w:vAlign w:val="center"/>
          </w:tcPr>
          <w:p w14:paraId="0060EA6B">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0.04</w:t>
            </w:r>
          </w:p>
        </w:tc>
      </w:tr>
      <w:tr w14:paraId="596DE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226459C4">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2000</w:t>
            </w:r>
          </w:p>
        </w:tc>
        <w:tc>
          <w:tcPr>
            <w:tcW w:w="3384" w:type="dxa"/>
            <w:vAlign w:val="center"/>
          </w:tcPr>
          <w:p w14:paraId="6747222F">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0.318</w:t>
            </w:r>
          </w:p>
        </w:tc>
        <w:tc>
          <w:tcPr>
            <w:tcW w:w="1990" w:type="dxa"/>
            <w:vAlign w:val="center"/>
          </w:tcPr>
          <w:p w14:paraId="3224A2C0">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0.04</w:t>
            </w:r>
          </w:p>
        </w:tc>
      </w:tr>
      <w:tr w14:paraId="6D0F8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0F7CE4FF">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2100</w:t>
            </w:r>
          </w:p>
        </w:tc>
        <w:tc>
          <w:tcPr>
            <w:tcW w:w="3384" w:type="dxa"/>
            <w:vAlign w:val="center"/>
          </w:tcPr>
          <w:p w14:paraId="4920234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0.298</w:t>
            </w:r>
          </w:p>
        </w:tc>
        <w:tc>
          <w:tcPr>
            <w:tcW w:w="1990" w:type="dxa"/>
            <w:vAlign w:val="center"/>
          </w:tcPr>
          <w:p w14:paraId="0873C3CA">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r>
      <w:tr w14:paraId="18D5A6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2D7B435D">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2200</w:t>
            </w:r>
          </w:p>
        </w:tc>
        <w:tc>
          <w:tcPr>
            <w:tcW w:w="3384" w:type="dxa"/>
            <w:vAlign w:val="center"/>
          </w:tcPr>
          <w:p w14:paraId="150EEE5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0.28</w:t>
            </w:r>
          </w:p>
        </w:tc>
        <w:tc>
          <w:tcPr>
            <w:tcW w:w="1990" w:type="dxa"/>
            <w:vAlign w:val="center"/>
          </w:tcPr>
          <w:p w14:paraId="0F7AD66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r>
      <w:tr w14:paraId="12E4E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5EB056DD">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2300</w:t>
            </w:r>
          </w:p>
        </w:tc>
        <w:tc>
          <w:tcPr>
            <w:tcW w:w="3384" w:type="dxa"/>
            <w:vAlign w:val="center"/>
          </w:tcPr>
          <w:p w14:paraId="4769ED3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0.264</w:t>
            </w:r>
          </w:p>
        </w:tc>
        <w:tc>
          <w:tcPr>
            <w:tcW w:w="1990" w:type="dxa"/>
            <w:vAlign w:val="center"/>
          </w:tcPr>
          <w:p w14:paraId="3419EE7E">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r>
      <w:tr w14:paraId="2DAA6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0B398A6E">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2400</w:t>
            </w:r>
          </w:p>
        </w:tc>
        <w:tc>
          <w:tcPr>
            <w:tcW w:w="3384" w:type="dxa"/>
            <w:vAlign w:val="center"/>
          </w:tcPr>
          <w:p w14:paraId="4CA35E68">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0.249</w:t>
            </w:r>
          </w:p>
        </w:tc>
        <w:tc>
          <w:tcPr>
            <w:tcW w:w="1990" w:type="dxa"/>
            <w:vAlign w:val="center"/>
          </w:tcPr>
          <w:p w14:paraId="6084517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r>
      <w:tr w14:paraId="08154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0" w:hRule="atLeast"/>
        </w:trPr>
        <w:tc>
          <w:tcPr>
            <w:tcW w:w="3445" w:type="dxa"/>
            <w:vAlign w:val="center"/>
          </w:tcPr>
          <w:p w14:paraId="64F786EB">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2500</w:t>
            </w:r>
          </w:p>
        </w:tc>
        <w:tc>
          <w:tcPr>
            <w:tcW w:w="3384" w:type="dxa"/>
            <w:vAlign w:val="center"/>
          </w:tcPr>
          <w:p w14:paraId="24BEBF82">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0.236</w:t>
            </w:r>
          </w:p>
        </w:tc>
        <w:tc>
          <w:tcPr>
            <w:tcW w:w="1990" w:type="dxa"/>
            <w:vAlign w:val="center"/>
          </w:tcPr>
          <w:p w14:paraId="22EA7ACC">
            <w:pPr>
              <w:spacing w:line="240" w:lineRule="auto"/>
              <w:jc w:val="cente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0.03</w:t>
            </w:r>
          </w:p>
        </w:tc>
      </w:tr>
      <w:tr w14:paraId="237A8D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trPr>
        <w:tc>
          <w:tcPr>
            <w:tcW w:w="3445" w:type="dxa"/>
            <w:vAlign w:val="center"/>
          </w:tcPr>
          <w:p w14:paraId="63CCA59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下风向最大质量浓度及占标率/%</w:t>
            </w:r>
          </w:p>
        </w:tc>
        <w:tc>
          <w:tcPr>
            <w:tcW w:w="3384" w:type="dxa"/>
            <w:vAlign w:val="center"/>
          </w:tcPr>
          <w:p w14:paraId="7CED53F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18.3</w:t>
            </w:r>
          </w:p>
        </w:tc>
        <w:tc>
          <w:tcPr>
            <w:tcW w:w="1990" w:type="dxa"/>
            <w:vAlign w:val="center"/>
          </w:tcPr>
          <w:p w14:paraId="23EF14C3">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2.04</w:t>
            </w:r>
          </w:p>
        </w:tc>
      </w:tr>
      <w:tr w14:paraId="01446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3445" w:type="dxa"/>
            <w:vAlign w:val="center"/>
          </w:tcPr>
          <w:p w14:paraId="44D338E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D10%最远距离/m</w:t>
            </w:r>
          </w:p>
        </w:tc>
        <w:tc>
          <w:tcPr>
            <w:tcW w:w="5374" w:type="dxa"/>
            <w:gridSpan w:val="2"/>
            <w:vAlign w:val="center"/>
          </w:tcPr>
          <w:p w14:paraId="6EA467CA">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4</w:t>
            </w:r>
          </w:p>
        </w:tc>
      </w:tr>
    </w:tbl>
    <w:p w14:paraId="134CC86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（5）估算评价</w:t>
      </w:r>
    </w:p>
    <w:p w14:paraId="387C42E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本项目所有污染源的正常排放的污染物的Pmax和D10%预测结果如下：</w:t>
      </w:r>
    </w:p>
    <w:p w14:paraId="44D010D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表5.2-1</w:t>
      </w:r>
      <w:r>
        <w:rPr>
          <w:rFonts w:hint="eastAsia"/>
          <w:b/>
          <w:bCs/>
          <w:color w:val="000000" w:themeColor="text1"/>
          <w:sz w:val="21"/>
          <w:szCs w:val="21"/>
          <w:highlight w:val="none"/>
          <w:lang w:val="en-US" w:eastAsia="zh-CN"/>
          <w14:textFill>
            <w14:solidFill>
              <w14:schemeClr w14:val="tx1"/>
            </w14:solidFill>
          </w14:textFill>
        </w:rPr>
        <w:t>4</w:t>
      </w:r>
      <w:r>
        <w:rPr>
          <w:b/>
          <w:bCs/>
          <w:color w:val="000000" w:themeColor="text1"/>
          <w:sz w:val="21"/>
          <w:szCs w:val="21"/>
          <w:highlight w:val="none"/>
          <w14:textFill>
            <w14:solidFill>
              <w14:schemeClr w14:val="tx1"/>
            </w14:solidFill>
          </w14:textFill>
        </w:rPr>
        <w:t xml:space="preserve">  估算模式预测结果一览表</w:t>
      </w:r>
      <w:r>
        <w:rPr>
          <w:b/>
          <w:bCs/>
          <w:color w:val="000000" w:themeColor="text1"/>
          <w:sz w:val="21"/>
          <w:szCs w:val="21"/>
          <w:highlight w:val="none"/>
          <w14:textFill>
            <w14:solidFill>
              <w14:schemeClr w14:val="tx1"/>
            </w14:solidFill>
          </w14:textFill>
        </w:rPr>
        <mc:AlternateContent>
          <mc:Choice Requires="wps">
            <w:drawing>
              <wp:anchor distT="0" distB="0" distL="114300" distR="114300" simplePos="0" relativeHeight="251692032" behindDoc="0" locked="0" layoutInCell="0" allowOverlap="1">
                <wp:simplePos x="0" y="0"/>
                <wp:positionH relativeFrom="page">
                  <wp:posOffset>1141095</wp:posOffset>
                </wp:positionH>
                <wp:positionV relativeFrom="page">
                  <wp:posOffset>753110</wp:posOffset>
                </wp:positionV>
                <wp:extent cx="5278755" cy="9525"/>
                <wp:effectExtent l="0" t="0" r="0" b="0"/>
                <wp:wrapNone/>
                <wp:docPr id="255" name="矩形 255"/>
                <wp:cNvGraphicFramePr/>
                <a:graphic xmlns:a="http://schemas.openxmlformats.org/drawingml/2006/main">
                  <a:graphicData uri="http://schemas.microsoft.com/office/word/2010/wordprocessingShape">
                    <wps:wsp>
                      <wps:cNvSpPr/>
                      <wps:spPr>
                        <a:xfrm>
                          <a:off x="0" y="0"/>
                          <a:ext cx="5278755" cy="9525"/>
                        </a:xfrm>
                        <a:prstGeom prst="rect">
                          <a:avLst/>
                        </a:prstGeom>
                        <a:solidFill>
                          <a:srgbClr val="622423"/>
                        </a:solidFill>
                        <a:ln>
                          <a:noFill/>
                        </a:ln>
                      </wps:spPr>
                      <wps:bodyPr upright="1"/>
                    </wps:wsp>
                  </a:graphicData>
                </a:graphic>
              </wp:anchor>
            </w:drawing>
          </mc:Choice>
          <mc:Fallback>
            <w:pict>
              <v:rect id="_x0000_s1026" o:spid="_x0000_s1026" o:spt="1" style="position:absolute;left:0pt;margin-left:89.85pt;margin-top:59.3pt;height:0.75pt;width:415.65pt;mso-position-horizontal-relative:page;mso-position-vertical-relative:page;z-index:251692032;mso-width-relative:page;mso-height-relative:page;" fillcolor="#622423" filled="t" stroked="f" coordsize="21600,21600" o:allowincell="f" o:gfxdata="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SWn09oAAAAMAQAADwAAAAAAAAABACAAAAAiAAAAZHJzL2Rvd25yZXYueG1sUEsBAhQAFAAA&#10;AAgAh07iQI1DKi60AQAAYQMAAA4AAAAAAAAAAQAgAAAAKQEAAGRycy9lMm9Eb2MueG1sUEsFBgAA&#10;AAAGAAYAWQEAAE8FAAAAAA==&#10;">
                <v:fill on="t" focussize="0,0"/>
                <v:stroke on="f"/>
                <v:imagedata o:title=""/>
                <o:lock v:ext="edit" aspectratio="f"/>
              </v:rect>
            </w:pict>
          </mc:Fallback>
        </mc:AlternateContent>
      </w:r>
    </w:p>
    <w:tbl>
      <w:tblPr>
        <w:tblStyle w:val="58"/>
        <w:tblW w:w="9058"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35"/>
        <w:gridCol w:w="1490"/>
        <w:gridCol w:w="1171"/>
        <w:gridCol w:w="1766"/>
        <w:gridCol w:w="1297"/>
        <w:gridCol w:w="1343"/>
        <w:gridCol w:w="1156"/>
      </w:tblGrid>
      <w:tr w14:paraId="10EA3E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tcBorders>
              <w:top w:val="single" w:color="auto" w:sz="4" w:space="0"/>
              <w:left w:val="single" w:color="auto" w:sz="4" w:space="0"/>
              <w:bottom w:val="single" w:color="auto" w:sz="4" w:space="0"/>
              <w:right w:val="single" w:color="auto" w:sz="4" w:space="0"/>
            </w:tcBorders>
            <w:vAlign w:val="center"/>
          </w:tcPr>
          <w:p w14:paraId="2B16C06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工况</w:t>
            </w:r>
          </w:p>
        </w:tc>
        <w:tc>
          <w:tcPr>
            <w:tcW w:w="1490" w:type="dxa"/>
            <w:tcBorders>
              <w:top w:val="single" w:color="auto" w:sz="4" w:space="0"/>
              <w:left w:val="single" w:color="auto" w:sz="4" w:space="0"/>
              <w:bottom w:val="single" w:color="auto" w:sz="4" w:space="0"/>
              <w:right w:val="single" w:color="auto" w:sz="4" w:space="0"/>
            </w:tcBorders>
            <w:vAlign w:val="center"/>
          </w:tcPr>
          <w:p w14:paraId="0C14F49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排放源</w:t>
            </w:r>
          </w:p>
        </w:tc>
        <w:tc>
          <w:tcPr>
            <w:tcW w:w="1171" w:type="dxa"/>
            <w:tcBorders>
              <w:top w:val="single" w:color="auto" w:sz="4" w:space="0"/>
              <w:left w:val="single" w:color="auto" w:sz="4" w:space="0"/>
              <w:bottom w:val="single" w:color="auto" w:sz="4" w:space="0"/>
              <w:right w:val="single" w:color="auto" w:sz="4" w:space="0"/>
            </w:tcBorders>
            <w:vAlign w:val="center"/>
          </w:tcPr>
          <w:p w14:paraId="483D541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评价因子</w:t>
            </w:r>
          </w:p>
        </w:tc>
        <w:tc>
          <w:tcPr>
            <w:tcW w:w="1766" w:type="dxa"/>
            <w:tcBorders>
              <w:top w:val="single" w:color="auto" w:sz="4" w:space="0"/>
              <w:left w:val="single" w:color="auto" w:sz="4" w:space="0"/>
              <w:bottom w:val="single" w:color="auto" w:sz="4" w:space="0"/>
              <w:right w:val="single" w:color="auto" w:sz="4" w:space="0"/>
            </w:tcBorders>
            <w:vAlign w:val="center"/>
          </w:tcPr>
          <w:p w14:paraId="515B588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Cmax（</w:t>
            </w:r>
            <w:r>
              <w:rPr>
                <w:rFonts w:hint="eastAsia"/>
                <w:b/>
                <w:bCs/>
                <w:color w:val="000000" w:themeColor="text1"/>
                <w:sz w:val="21"/>
                <w:szCs w:val="21"/>
                <w:highlight w:val="none"/>
                <w:lang w:eastAsia="zh-CN"/>
                <w14:textFill>
                  <w14:solidFill>
                    <w14:schemeClr w14:val="tx1"/>
                  </w14:solidFill>
                </w14:textFill>
              </w:rPr>
              <w:t>μg/m3</w:t>
            </w:r>
            <w:r>
              <w:rPr>
                <w:b/>
                <w:bCs/>
                <w:color w:val="000000" w:themeColor="text1"/>
                <w:sz w:val="21"/>
                <w:szCs w:val="21"/>
                <w:highlight w:val="none"/>
                <w14:textFill>
                  <w14:solidFill>
                    <w14:schemeClr w14:val="tx1"/>
                  </w14:solidFill>
                </w14:textFill>
              </w:rPr>
              <w:t>）</w:t>
            </w:r>
          </w:p>
        </w:tc>
        <w:tc>
          <w:tcPr>
            <w:tcW w:w="1297" w:type="dxa"/>
            <w:tcBorders>
              <w:top w:val="single" w:color="auto" w:sz="4" w:space="0"/>
              <w:left w:val="single" w:color="auto" w:sz="4" w:space="0"/>
              <w:bottom w:val="single" w:color="auto" w:sz="4" w:space="0"/>
              <w:right w:val="single" w:color="auto" w:sz="4" w:space="0"/>
            </w:tcBorders>
            <w:vAlign w:val="center"/>
          </w:tcPr>
          <w:p w14:paraId="015BE6D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Pmax（%）</w:t>
            </w:r>
          </w:p>
        </w:tc>
        <w:tc>
          <w:tcPr>
            <w:tcW w:w="1343" w:type="dxa"/>
            <w:tcBorders>
              <w:top w:val="single" w:color="auto" w:sz="4" w:space="0"/>
              <w:left w:val="single" w:color="auto" w:sz="4" w:space="0"/>
              <w:bottom w:val="single" w:color="auto" w:sz="4" w:space="0"/>
              <w:right w:val="single" w:color="auto" w:sz="4" w:space="0"/>
            </w:tcBorders>
            <w:vAlign w:val="center"/>
          </w:tcPr>
          <w:p w14:paraId="1F882B3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D10%（m）</w:t>
            </w:r>
          </w:p>
        </w:tc>
        <w:tc>
          <w:tcPr>
            <w:tcW w:w="1156" w:type="dxa"/>
            <w:tcBorders>
              <w:top w:val="single" w:color="auto" w:sz="4" w:space="0"/>
              <w:left w:val="single" w:color="auto" w:sz="4" w:space="0"/>
              <w:bottom w:val="single" w:color="auto" w:sz="4" w:space="0"/>
              <w:right w:val="single" w:color="auto" w:sz="4" w:space="0"/>
            </w:tcBorders>
            <w:vAlign w:val="center"/>
          </w:tcPr>
          <w:p w14:paraId="40546DB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评价等级</w:t>
            </w:r>
          </w:p>
        </w:tc>
      </w:tr>
      <w:tr w14:paraId="4CE353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restart"/>
            <w:tcBorders>
              <w:top w:val="single" w:color="auto" w:sz="4" w:space="0"/>
              <w:left w:val="single" w:color="auto" w:sz="4" w:space="0"/>
              <w:right w:val="single" w:color="auto" w:sz="4" w:space="0"/>
            </w:tcBorders>
            <w:vAlign w:val="center"/>
          </w:tcPr>
          <w:p w14:paraId="22CF736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w:t>
            </w:r>
          </w:p>
          <w:p w14:paraId="67F9550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工况</w:t>
            </w:r>
          </w:p>
        </w:tc>
        <w:tc>
          <w:tcPr>
            <w:tcW w:w="1490" w:type="dxa"/>
            <w:vMerge w:val="restart"/>
            <w:tcBorders>
              <w:top w:val="single" w:color="auto" w:sz="4" w:space="0"/>
              <w:left w:val="single" w:color="auto" w:sz="4" w:space="0"/>
              <w:bottom w:val="single" w:color="auto" w:sz="4" w:space="0"/>
              <w:right w:val="single" w:color="auto" w:sz="4" w:space="0"/>
            </w:tcBorders>
            <w:vAlign w:val="center"/>
          </w:tcPr>
          <w:p w14:paraId="6767175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圈舍（M001）</w:t>
            </w:r>
          </w:p>
        </w:tc>
        <w:tc>
          <w:tcPr>
            <w:tcW w:w="1171" w:type="dxa"/>
            <w:tcBorders>
              <w:top w:val="single" w:color="auto" w:sz="4" w:space="0"/>
              <w:left w:val="single" w:color="auto" w:sz="4" w:space="0"/>
              <w:bottom w:val="single" w:color="auto" w:sz="4" w:space="0"/>
              <w:right w:val="single" w:color="auto" w:sz="4" w:space="0"/>
            </w:tcBorders>
            <w:vAlign w:val="center"/>
          </w:tcPr>
          <w:p w14:paraId="614EEE8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p>
        </w:tc>
        <w:tc>
          <w:tcPr>
            <w:tcW w:w="1766" w:type="dxa"/>
            <w:tcBorders>
              <w:top w:val="single" w:color="auto" w:sz="4" w:space="0"/>
              <w:left w:val="single" w:color="auto" w:sz="4" w:space="0"/>
              <w:bottom w:val="single" w:color="auto" w:sz="4" w:space="0"/>
              <w:right w:val="single" w:color="auto" w:sz="4" w:space="0"/>
            </w:tcBorders>
            <w:vAlign w:val="center"/>
          </w:tcPr>
          <w:p w14:paraId="1DA116FA">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6.25</w:t>
            </w:r>
          </w:p>
        </w:tc>
        <w:tc>
          <w:tcPr>
            <w:tcW w:w="1297" w:type="dxa"/>
            <w:tcBorders>
              <w:top w:val="single" w:color="auto" w:sz="4" w:space="0"/>
              <w:left w:val="single" w:color="auto" w:sz="4" w:space="0"/>
              <w:bottom w:val="single" w:color="auto" w:sz="4" w:space="0"/>
              <w:right w:val="single" w:color="auto" w:sz="4" w:space="0"/>
            </w:tcBorders>
            <w:vAlign w:val="center"/>
          </w:tcPr>
          <w:p w14:paraId="60BE5A7A">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3.12</w:t>
            </w:r>
          </w:p>
        </w:tc>
        <w:tc>
          <w:tcPr>
            <w:tcW w:w="1343" w:type="dxa"/>
            <w:tcBorders>
              <w:top w:val="single" w:color="auto" w:sz="4" w:space="0"/>
              <w:left w:val="single" w:color="auto" w:sz="4" w:space="0"/>
              <w:bottom w:val="single" w:color="auto" w:sz="4" w:space="0"/>
              <w:right w:val="single" w:color="auto" w:sz="4" w:space="0"/>
            </w:tcBorders>
            <w:vAlign w:val="center"/>
          </w:tcPr>
          <w:p w14:paraId="20BBC8DE">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230</w:t>
            </w:r>
          </w:p>
        </w:tc>
        <w:tc>
          <w:tcPr>
            <w:tcW w:w="1156" w:type="dxa"/>
            <w:tcBorders>
              <w:top w:val="single" w:color="auto" w:sz="4" w:space="0"/>
              <w:left w:val="single" w:color="auto" w:sz="4" w:space="0"/>
              <w:bottom w:val="single" w:color="auto" w:sz="4" w:space="0"/>
              <w:right w:val="single" w:color="auto" w:sz="4" w:space="0"/>
            </w:tcBorders>
            <w:vAlign w:val="center"/>
          </w:tcPr>
          <w:p w14:paraId="090E839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4E4846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5C75F61C">
            <w:pPr>
              <w:spacing w:line="240" w:lineRule="auto"/>
              <w:jc w:val="center"/>
              <w:rPr>
                <w:color w:val="000000" w:themeColor="text1"/>
                <w:sz w:val="21"/>
                <w:szCs w:val="21"/>
                <w:highlight w:val="none"/>
                <w14:textFill>
                  <w14:solidFill>
                    <w14:schemeClr w14:val="tx1"/>
                  </w14:solidFill>
                </w14:textFill>
              </w:rPr>
            </w:pPr>
          </w:p>
        </w:tc>
        <w:tc>
          <w:tcPr>
            <w:tcW w:w="1490" w:type="dxa"/>
            <w:vMerge w:val="continue"/>
            <w:tcBorders>
              <w:top w:val="single" w:color="auto" w:sz="4" w:space="0"/>
              <w:left w:val="single" w:color="auto" w:sz="4" w:space="0"/>
              <w:bottom w:val="single" w:color="auto" w:sz="4" w:space="0"/>
              <w:right w:val="single" w:color="auto" w:sz="4" w:space="0"/>
            </w:tcBorders>
            <w:vAlign w:val="center"/>
          </w:tcPr>
          <w:p w14:paraId="39D5D459">
            <w:pPr>
              <w:spacing w:line="240" w:lineRule="auto"/>
              <w:jc w:val="center"/>
              <w:rPr>
                <w:color w:val="000000" w:themeColor="text1"/>
                <w:sz w:val="21"/>
                <w:szCs w:val="21"/>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14:paraId="17F483B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t>
            </w:r>
            <w:r>
              <w:rPr>
                <w:rFonts w:hint="eastAsia"/>
                <w:color w:val="000000" w:themeColor="text1"/>
                <w:sz w:val="21"/>
                <w:szCs w:val="21"/>
                <w:highlight w:val="none"/>
                <w:vertAlign w:val="sub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S</w:t>
            </w:r>
          </w:p>
        </w:tc>
        <w:tc>
          <w:tcPr>
            <w:tcW w:w="1766" w:type="dxa"/>
            <w:tcBorders>
              <w:top w:val="single" w:color="auto" w:sz="4" w:space="0"/>
              <w:left w:val="single" w:color="auto" w:sz="4" w:space="0"/>
              <w:bottom w:val="single" w:color="auto" w:sz="4" w:space="0"/>
              <w:right w:val="single" w:color="auto" w:sz="4" w:space="0"/>
            </w:tcBorders>
            <w:vAlign w:val="center"/>
          </w:tcPr>
          <w:p w14:paraId="2177BD38">
            <w:pPr>
              <w:spacing w:line="240" w:lineRule="auto"/>
              <w:jc w:val="center"/>
              <w:rPr>
                <w:rFonts w:hint="default"/>
                <w:color w:val="000000" w:themeColor="text1"/>
                <w:sz w:val="21"/>
                <w:szCs w:val="21"/>
                <w:highlight w:val="none"/>
                <w:lang w:val="en-US"/>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0.981</w:t>
            </w:r>
          </w:p>
        </w:tc>
        <w:tc>
          <w:tcPr>
            <w:tcW w:w="1297" w:type="dxa"/>
            <w:tcBorders>
              <w:top w:val="single" w:color="auto" w:sz="4" w:space="0"/>
              <w:left w:val="single" w:color="auto" w:sz="4" w:space="0"/>
              <w:bottom w:val="single" w:color="auto" w:sz="4" w:space="0"/>
              <w:right w:val="single" w:color="auto" w:sz="4" w:space="0"/>
            </w:tcBorders>
            <w:vAlign w:val="center"/>
          </w:tcPr>
          <w:p w14:paraId="52DF021A">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9.81</w:t>
            </w:r>
          </w:p>
        </w:tc>
        <w:tc>
          <w:tcPr>
            <w:tcW w:w="1343" w:type="dxa"/>
            <w:tcBorders>
              <w:top w:val="single" w:color="auto" w:sz="4" w:space="0"/>
              <w:left w:val="single" w:color="auto" w:sz="4" w:space="0"/>
              <w:bottom w:val="single" w:color="auto" w:sz="4" w:space="0"/>
              <w:right w:val="single" w:color="auto" w:sz="4" w:space="0"/>
            </w:tcBorders>
            <w:vAlign w:val="center"/>
          </w:tcPr>
          <w:p w14:paraId="0F926874">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230</w:t>
            </w:r>
          </w:p>
        </w:tc>
        <w:tc>
          <w:tcPr>
            <w:tcW w:w="1156" w:type="dxa"/>
            <w:tcBorders>
              <w:top w:val="single" w:color="auto" w:sz="4" w:space="0"/>
              <w:left w:val="single" w:color="auto" w:sz="4" w:space="0"/>
              <w:bottom w:val="single" w:color="auto" w:sz="4" w:space="0"/>
              <w:right w:val="single" w:color="auto" w:sz="4" w:space="0"/>
            </w:tcBorders>
            <w:vAlign w:val="center"/>
          </w:tcPr>
          <w:p w14:paraId="3CF566D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6575B8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74E28615">
            <w:pPr>
              <w:spacing w:line="240" w:lineRule="auto"/>
              <w:jc w:val="center"/>
              <w:rPr>
                <w:color w:val="000000" w:themeColor="text1"/>
                <w:sz w:val="21"/>
                <w:szCs w:val="21"/>
                <w:highlight w:val="none"/>
                <w14:textFill>
                  <w14:solidFill>
                    <w14:schemeClr w14:val="tx1"/>
                  </w14:solidFill>
                </w14:textFill>
              </w:rPr>
            </w:pPr>
          </w:p>
        </w:tc>
        <w:tc>
          <w:tcPr>
            <w:tcW w:w="1490" w:type="dxa"/>
            <w:vMerge w:val="restart"/>
            <w:tcBorders>
              <w:top w:val="single" w:color="auto" w:sz="4" w:space="0"/>
              <w:left w:val="single" w:color="auto" w:sz="4" w:space="0"/>
              <w:bottom w:val="single" w:color="auto" w:sz="4" w:space="0"/>
              <w:right w:val="single" w:color="auto" w:sz="4" w:space="0"/>
            </w:tcBorders>
            <w:vAlign w:val="center"/>
          </w:tcPr>
          <w:p w14:paraId="16B6FE1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（M002）</w:t>
            </w:r>
          </w:p>
        </w:tc>
        <w:tc>
          <w:tcPr>
            <w:tcW w:w="1171" w:type="dxa"/>
            <w:tcBorders>
              <w:top w:val="single" w:color="auto" w:sz="4" w:space="0"/>
              <w:left w:val="single" w:color="auto" w:sz="4" w:space="0"/>
              <w:bottom w:val="single" w:color="auto" w:sz="4" w:space="0"/>
              <w:right w:val="single" w:color="auto" w:sz="4" w:space="0"/>
            </w:tcBorders>
            <w:vAlign w:val="center"/>
          </w:tcPr>
          <w:p w14:paraId="35441F90">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p>
        </w:tc>
        <w:tc>
          <w:tcPr>
            <w:tcW w:w="1766" w:type="dxa"/>
            <w:tcBorders>
              <w:top w:val="single" w:color="auto" w:sz="4" w:space="0"/>
              <w:left w:val="single" w:color="auto" w:sz="4" w:space="0"/>
              <w:bottom w:val="single" w:color="auto" w:sz="4" w:space="0"/>
              <w:right w:val="single" w:color="auto" w:sz="4" w:space="0"/>
            </w:tcBorders>
            <w:vAlign w:val="center"/>
          </w:tcPr>
          <w:p w14:paraId="1ACA681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4.66</w:t>
            </w:r>
          </w:p>
        </w:tc>
        <w:tc>
          <w:tcPr>
            <w:tcW w:w="1297" w:type="dxa"/>
            <w:tcBorders>
              <w:top w:val="single" w:color="auto" w:sz="4" w:space="0"/>
              <w:left w:val="single" w:color="auto" w:sz="4" w:space="0"/>
              <w:bottom w:val="single" w:color="auto" w:sz="4" w:space="0"/>
              <w:right w:val="single" w:color="auto" w:sz="4" w:space="0"/>
            </w:tcBorders>
            <w:vAlign w:val="center"/>
          </w:tcPr>
          <w:p w14:paraId="537D8F2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2.33</w:t>
            </w:r>
          </w:p>
        </w:tc>
        <w:tc>
          <w:tcPr>
            <w:tcW w:w="1343" w:type="dxa"/>
            <w:tcBorders>
              <w:top w:val="single" w:color="auto" w:sz="4" w:space="0"/>
              <w:left w:val="single" w:color="auto" w:sz="4" w:space="0"/>
              <w:bottom w:val="single" w:color="auto" w:sz="4" w:space="0"/>
              <w:right w:val="single" w:color="auto" w:sz="4" w:space="0"/>
            </w:tcBorders>
            <w:vAlign w:val="center"/>
          </w:tcPr>
          <w:p w14:paraId="594627D5">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1156" w:type="dxa"/>
            <w:tcBorders>
              <w:top w:val="single" w:color="auto" w:sz="4" w:space="0"/>
              <w:left w:val="single" w:color="auto" w:sz="4" w:space="0"/>
              <w:bottom w:val="single" w:color="auto" w:sz="4" w:space="0"/>
              <w:right w:val="single" w:color="auto" w:sz="4" w:space="0"/>
            </w:tcBorders>
            <w:vAlign w:val="center"/>
          </w:tcPr>
          <w:p w14:paraId="42E463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5A4A0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07D01077">
            <w:pPr>
              <w:spacing w:line="240" w:lineRule="auto"/>
              <w:jc w:val="center"/>
              <w:rPr>
                <w:color w:val="000000" w:themeColor="text1"/>
                <w:sz w:val="21"/>
                <w:szCs w:val="21"/>
                <w:highlight w:val="none"/>
                <w14:textFill>
                  <w14:solidFill>
                    <w14:schemeClr w14:val="tx1"/>
                  </w14:solidFill>
                </w14:textFill>
              </w:rPr>
            </w:pPr>
          </w:p>
        </w:tc>
        <w:tc>
          <w:tcPr>
            <w:tcW w:w="1490" w:type="dxa"/>
            <w:vMerge w:val="continue"/>
            <w:tcBorders>
              <w:top w:val="single" w:color="auto" w:sz="4" w:space="0"/>
              <w:left w:val="single" w:color="auto" w:sz="4" w:space="0"/>
              <w:bottom w:val="single" w:color="auto" w:sz="4" w:space="0"/>
              <w:right w:val="single" w:color="auto" w:sz="4" w:space="0"/>
            </w:tcBorders>
            <w:vAlign w:val="center"/>
          </w:tcPr>
          <w:p w14:paraId="1AAA1928">
            <w:pPr>
              <w:spacing w:line="240" w:lineRule="auto"/>
              <w:jc w:val="center"/>
              <w:rPr>
                <w:color w:val="000000" w:themeColor="text1"/>
                <w:sz w:val="21"/>
                <w:szCs w:val="21"/>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14:paraId="530B26B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t>
            </w:r>
            <w:r>
              <w:rPr>
                <w:rFonts w:hint="eastAsia"/>
                <w:color w:val="000000" w:themeColor="text1"/>
                <w:sz w:val="21"/>
                <w:szCs w:val="21"/>
                <w:highlight w:val="none"/>
                <w:vertAlign w:val="sub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S</w:t>
            </w:r>
          </w:p>
        </w:tc>
        <w:tc>
          <w:tcPr>
            <w:tcW w:w="1766" w:type="dxa"/>
            <w:tcBorders>
              <w:top w:val="single" w:color="auto" w:sz="4" w:space="0"/>
              <w:left w:val="single" w:color="auto" w:sz="4" w:space="0"/>
              <w:bottom w:val="single" w:color="auto" w:sz="4" w:space="0"/>
              <w:right w:val="single" w:color="auto" w:sz="4" w:space="0"/>
            </w:tcBorders>
            <w:vAlign w:val="center"/>
          </w:tcPr>
          <w:p w14:paraId="0875B71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0.497</w:t>
            </w:r>
          </w:p>
        </w:tc>
        <w:tc>
          <w:tcPr>
            <w:tcW w:w="1297" w:type="dxa"/>
            <w:tcBorders>
              <w:top w:val="single" w:color="auto" w:sz="4" w:space="0"/>
              <w:left w:val="single" w:color="auto" w:sz="4" w:space="0"/>
              <w:bottom w:val="single" w:color="auto" w:sz="4" w:space="0"/>
              <w:right w:val="single" w:color="auto" w:sz="4" w:space="0"/>
            </w:tcBorders>
            <w:vAlign w:val="center"/>
          </w:tcPr>
          <w:p w14:paraId="743C925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4.97</w:t>
            </w:r>
          </w:p>
        </w:tc>
        <w:tc>
          <w:tcPr>
            <w:tcW w:w="1343" w:type="dxa"/>
            <w:tcBorders>
              <w:top w:val="single" w:color="auto" w:sz="4" w:space="0"/>
              <w:left w:val="single" w:color="auto" w:sz="4" w:space="0"/>
              <w:bottom w:val="single" w:color="auto" w:sz="4" w:space="0"/>
              <w:right w:val="single" w:color="auto" w:sz="4" w:space="0"/>
            </w:tcBorders>
            <w:vAlign w:val="center"/>
          </w:tcPr>
          <w:p w14:paraId="71C4FE44">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1156" w:type="dxa"/>
            <w:tcBorders>
              <w:top w:val="single" w:color="auto" w:sz="4" w:space="0"/>
              <w:left w:val="single" w:color="auto" w:sz="4" w:space="0"/>
              <w:bottom w:val="single" w:color="auto" w:sz="4" w:space="0"/>
              <w:right w:val="single" w:color="auto" w:sz="4" w:space="0"/>
            </w:tcBorders>
            <w:vAlign w:val="center"/>
          </w:tcPr>
          <w:p w14:paraId="67DB293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71FA18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795290A9">
            <w:pPr>
              <w:spacing w:line="240" w:lineRule="auto"/>
              <w:jc w:val="center"/>
              <w:rPr>
                <w:color w:val="000000" w:themeColor="text1"/>
                <w:sz w:val="21"/>
                <w:szCs w:val="21"/>
                <w:highlight w:val="none"/>
                <w14:textFill>
                  <w14:solidFill>
                    <w14:schemeClr w14:val="tx1"/>
                  </w14:solidFill>
                </w14:textFill>
              </w:rPr>
            </w:pPr>
          </w:p>
        </w:tc>
        <w:tc>
          <w:tcPr>
            <w:tcW w:w="1490" w:type="dxa"/>
            <w:vMerge w:val="restart"/>
            <w:tcBorders>
              <w:top w:val="single" w:color="auto" w:sz="4" w:space="0"/>
              <w:left w:val="single" w:color="auto" w:sz="4" w:space="0"/>
              <w:bottom w:val="single" w:color="auto" w:sz="4" w:space="0"/>
              <w:right w:val="single" w:color="auto" w:sz="4" w:space="0"/>
            </w:tcBorders>
            <w:vAlign w:val="center"/>
          </w:tcPr>
          <w:p w14:paraId="5717CD8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（M003）</w:t>
            </w:r>
          </w:p>
        </w:tc>
        <w:tc>
          <w:tcPr>
            <w:tcW w:w="1171" w:type="dxa"/>
            <w:tcBorders>
              <w:top w:val="single" w:color="auto" w:sz="4" w:space="0"/>
              <w:left w:val="single" w:color="auto" w:sz="4" w:space="0"/>
              <w:bottom w:val="single" w:color="auto" w:sz="4" w:space="0"/>
              <w:right w:val="single" w:color="auto" w:sz="4" w:space="0"/>
            </w:tcBorders>
            <w:vAlign w:val="center"/>
          </w:tcPr>
          <w:p w14:paraId="5676C6C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p>
        </w:tc>
        <w:tc>
          <w:tcPr>
            <w:tcW w:w="1766" w:type="dxa"/>
            <w:tcBorders>
              <w:top w:val="single" w:color="auto" w:sz="4" w:space="0"/>
              <w:left w:val="single" w:color="auto" w:sz="4" w:space="0"/>
              <w:bottom w:val="single" w:color="auto" w:sz="4" w:space="0"/>
              <w:right w:val="single" w:color="auto" w:sz="4" w:space="0"/>
            </w:tcBorders>
            <w:shd w:val="clear" w:color="auto" w:fill="auto"/>
            <w:vAlign w:val="center"/>
          </w:tcPr>
          <w:p w14:paraId="02D98959">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3.57</w:t>
            </w:r>
          </w:p>
        </w:tc>
        <w:tc>
          <w:tcPr>
            <w:tcW w:w="1297" w:type="dxa"/>
            <w:tcBorders>
              <w:top w:val="single" w:color="auto" w:sz="4" w:space="0"/>
              <w:left w:val="single" w:color="auto" w:sz="4" w:space="0"/>
              <w:bottom w:val="single" w:color="auto" w:sz="4" w:space="0"/>
              <w:right w:val="single" w:color="auto" w:sz="4" w:space="0"/>
            </w:tcBorders>
            <w:shd w:val="clear" w:color="auto" w:fill="auto"/>
            <w:vAlign w:val="center"/>
          </w:tcPr>
          <w:p w14:paraId="0E37AD80">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1.78</w:t>
            </w:r>
          </w:p>
        </w:tc>
        <w:tc>
          <w:tcPr>
            <w:tcW w:w="1343" w:type="dxa"/>
            <w:tcBorders>
              <w:top w:val="single" w:color="auto" w:sz="4" w:space="0"/>
              <w:left w:val="single" w:color="auto" w:sz="4" w:space="0"/>
              <w:bottom w:val="single" w:color="auto" w:sz="4" w:space="0"/>
              <w:right w:val="single" w:color="auto" w:sz="4" w:space="0"/>
            </w:tcBorders>
            <w:shd w:val="clear" w:color="auto" w:fill="auto"/>
            <w:vAlign w:val="center"/>
          </w:tcPr>
          <w:p w14:paraId="6CBB2487">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101</w:t>
            </w:r>
          </w:p>
        </w:tc>
        <w:tc>
          <w:tcPr>
            <w:tcW w:w="1156" w:type="dxa"/>
            <w:tcBorders>
              <w:top w:val="single" w:color="auto" w:sz="4" w:space="0"/>
              <w:left w:val="single" w:color="auto" w:sz="4" w:space="0"/>
              <w:bottom w:val="single" w:color="auto" w:sz="4" w:space="0"/>
              <w:right w:val="single" w:color="auto" w:sz="4" w:space="0"/>
            </w:tcBorders>
            <w:vAlign w:val="center"/>
          </w:tcPr>
          <w:p w14:paraId="060CEF9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1254D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3F1962AF">
            <w:pPr>
              <w:spacing w:line="240" w:lineRule="auto"/>
              <w:jc w:val="center"/>
              <w:rPr>
                <w:color w:val="000000" w:themeColor="text1"/>
                <w:sz w:val="21"/>
                <w:szCs w:val="21"/>
                <w:highlight w:val="none"/>
                <w14:textFill>
                  <w14:solidFill>
                    <w14:schemeClr w14:val="tx1"/>
                  </w14:solidFill>
                </w14:textFill>
              </w:rPr>
            </w:pPr>
          </w:p>
        </w:tc>
        <w:tc>
          <w:tcPr>
            <w:tcW w:w="1490" w:type="dxa"/>
            <w:vMerge w:val="continue"/>
            <w:tcBorders>
              <w:top w:val="single" w:color="auto" w:sz="4" w:space="0"/>
              <w:left w:val="single" w:color="auto" w:sz="4" w:space="0"/>
              <w:bottom w:val="single" w:color="auto" w:sz="4" w:space="0"/>
              <w:right w:val="single" w:color="auto" w:sz="4" w:space="0"/>
            </w:tcBorders>
            <w:vAlign w:val="center"/>
          </w:tcPr>
          <w:p w14:paraId="0D2EADA5">
            <w:pPr>
              <w:spacing w:line="240" w:lineRule="auto"/>
              <w:jc w:val="center"/>
              <w:rPr>
                <w:color w:val="000000" w:themeColor="text1"/>
                <w:sz w:val="21"/>
                <w:szCs w:val="21"/>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14:paraId="618E46E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t>
            </w:r>
            <w:r>
              <w:rPr>
                <w:rFonts w:hint="eastAsia"/>
                <w:color w:val="000000" w:themeColor="text1"/>
                <w:sz w:val="21"/>
                <w:szCs w:val="21"/>
                <w:highlight w:val="none"/>
                <w:vertAlign w:val="sub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S</w:t>
            </w:r>
          </w:p>
        </w:tc>
        <w:tc>
          <w:tcPr>
            <w:tcW w:w="1766" w:type="dxa"/>
            <w:tcBorders>
              <w:top w:val="single" w:color="auto" w:sz="4" w:space="0"/>
              <w:left w:val="single" w:color="auto" w:sz="4" w:space="0"/>
              <w:bottom w:val="single" w:color="auto" w:sz="4" w:space="0"/>
              <w:right w:val="single" w:color="auto" w:sz="4" w:space="0"/>
            </w:tcBorders>
            <w:vAlign w:val="center"/>
          </w:tcPr>
          <w:p w14:paraId="1A0E944A">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0.125</w:t>
            </w:r>
          </w:p>
        </w:tc>
        <w:tc>
          <w:tcPr>
            <w:tcW w:w="1297" w:type="dxa"/>
            <w:tcBorders>
              <w:top w:val="single" w:color="auto" w:sz="4" w:space="0"/>
              <w:left w:val="single" w:color="auto" w:sz="4" w:space="0"/>
              <w:bottom w:val="single" w:color="auto" w:sz="4" w:space="0"/>
              <w:right w:val="single" w:color="auto" w:sz="4" w:space="0"/>
            </w:tcBorders>
            <w:vAlign w:val="center"/>
          </w:tcPr>
          <w:p w14:paraId="578BBA33">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1.25</w:t>
            </w:r>
          </w:p>
        </w:tc>
        <w:tc>
          <w:tcPr>
            <w:tcW w:w="1343" w:type="dxa"/>
            <w:tcBorders>
              <w:top w:val="single" w:color="auto" w:sz="4" w:space="0"/>
              <w:left w:val="single" w:color="auto" w:sz="4" w:space="0"/>
              <w:bottom w:val="single" w:color="auto" w:sz="4" w:space="0"/>
              <w:right w:val="single" w:color="auto" w:sz="4" w:space="0"/>
            </w:tcBorders>
            <w:vAlign w:val="center"/>
          </w:tcPr>
          <w:p w14:paraId="4F4FE4FD">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r>
              <w:rPr>
                <w:rFonts w:hint="eastAsia"/>
                <w:color w:val="000000" w:themeColor="text1"/>
                <w:sz w:val="21"/>
                <w:szCs w:val="21"/>
                <w:highlight w:val="none"/>
                <w:lang w:val="en-US" w:eastAsia="zh-CN"/>
                <w14:textFill>
                  <w14:solidFill>
                    <w14:schemeClr w14:val="tx1"/>
                  </w14:solidFill>
                </w14:textFill>
              </w:rPr>
              <w:t>01</w:t>
            </w:r>
          </w:p>
        </w:tc>
        <w:tc>
          <w:tcPr>
            <w:tcW w:w="1156" w:type="dxa"/>
            <w:tcBorders>
              <w:top w:val="single" w:color="auto" w:sz="4" w:space="0"/>
              <w:left w:val="single" w:color="auto" w:sz="4" w:space="0"/>
              <w:bottom w:val="single" w:color="auto" w:sz="4" w:space="0"/>
              <w:right w:val="single" w:color="auto" w:sz="4" w:space="0"/>
            </w:tcBorders>
            <w:vAlign w:val="center"/>
          </w:tcPr>
          <w:p w14:paraId="18BDE23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186F9B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36C226EC">
            <w:pPr>
              <w:spacing w:line="240" w:lineRule="auto"/>
              <w:jc w:val="center"/>
              <w:rPr>
                <w:color w:val="000000" w:themeColor="text1"/>
                <w:sz w:val="21"/>
                <w:szCs w:val="21"/>
                <w:highlight w:val="none"/>
                <w14:textFill>
                  <w14:solidFill>
                    <w14:schemeClr w14:val="tx1"/>
                  </w14:solidFill>
                </w14:textFill>
              </w:rPr>
            </w:pPr>
          </w:p>
        </w:tc>
        <w:tc>
          <w:tcPr>
            <w:tcW w:w="1490" w:type="dxa"/>
            <w:vMerge w:val="restart"/>
            <w:tcBorders>
              <w:top w:val="single" w:color="auto" w:sz="4" w:space="0"/>
              <w:left w:val="single" w:color="auto" w:sz="4" w:space="0"/>
              <w:bottom w:val="single" w:color="auto" w:sz="4" w:space="0"/>
              <w:right w:val="single" w:color="auto" w:sz="4" w:space="0"/>
            </w:tcBorders>
            <w:vAlign w:val="center"/>
          </w:tcPr>
          <w:p w14:paraId="6FA265E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干湿分离车间（M004）</w:t>
            </w:r>
          </w:p>
        </w:tc>
        <w:tc>
          <w:tcPr>
            <w:tcW w:w="1171" w:type="dxa"/>
            <w:tcBorders>
              <w:top w:val="single" w:color="auto" w:sz="4" w:space="0"/>
              <w:left w:val="single" w:color="auto" w:sz="4" w:space="0"/>
              <w:bottom w:val="single" w:color="auto" w:sz="4" w:space="0"/>
              <w:right w:val="single" w:color="auto" w:sz="4" w:space="0"/>
            </w:tcBorders>
            <w:vAlign w:val="center"/>
          </w:tcPr>
          <w:p w14:paraId="4FF1604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NH</w:t>
            </w:r>
            <w:r>
              <w:rPr>
                <w:rFonts w:hint="eastAsia"/>
                <w:color w:val="000000" w:themeColor="text1"/>
                <w:sz w:val="21"/>
                <w:szCs w:val="21"/>
                <w:highlight w:val="none"/>
                <w:vertAlign w:val="subscript"/>
                <w14:textFill>
                  <w14:solidFill>
                    <w14:schemeClr w14:val="tx1"/>
                  </w14:solidFill>
                </w14:textFill>
              </w:rPr>
              <w:t>3</w:t>
            </w:r>
          </w:p>
        </w:tc>
        <w:tc>
          <w:tcPr>
            <w:tcW w:w="1766" w:type="dxa"/>
            <w:tcBorders>
              <w:top w:val="single" w:color="auto" w:sz="4" w:space="0"/>
              <w:left w:val="single" w:color="auto" w:sz="4" w:space="0"/>
              <w:bottom w:val="single" w:color="auto" w:sz="4" w:space="0"/>
              <w:right w:val="single" w:color="auto" w:sz="4" w:space="0"/>
            </w:tcBorders>
            <w:vAlign w:val="center"/>
          </w:tcPr>
          <w:p w14:paraId="3A09E16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4.35</w:t>
            </w:r>
          </w:p>
        </w:tc>
        <w:tc>
          <w:tcPr>
            <w:tcW w:w="1297" w:type="dxa"/>
            <w:tcBorders>
              <w:top w:val="single" w:color="auto" w:sz="4" w:space="0"/>
              <w:left w:val="single" w:color="auto" w:sz="4" w:space="0"/>
              <w:bottom w:val="single" w:color="auto" w:sz="4" w:space="0"/>
              <w:right w:val="single" w:color="auto" w:sz="4" w:space="0"/>
            </w:tcBorders>
            <w:vAlign w:val="center"/>
          </w:tcPr>
          <w:p w14:paraId="75C41A76">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2.17</w:t>
            </w:r>
          </w:p>
        </w:tc>
        <w:tc>
          <w:tcPr>
            <w:tcW w:w="1343" w:type="dxa"/>
            <w:tcBorders>
              <w:top w:val="single" w:color="auto" w:sz="4" w:space="0"/>
              <w:left w:val="single" w:color="auto" w:sz="4" w:space="0"/>
              <w:bottom w:val="single" w:color="auto" w:sz="4" w:space="0"/>
              <w:right w:val="single" w:color="auto" w:sz="4" w:space="0"/>
            </w:tcBorders>
            <w:vAlign w:val="center"/>
          </w:tcPr>
          <w:p w14:paraId="62AF7D00">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1156" w:type="dxa"/>
            <w:tcBorders>
              <w:top w:val="single" w:color="auto" w:sz="4" w:space="0"/>
              <w:left w:val="single" w:color="auto" w:sz="4" w:space="0"/>
              <w:bottom w:val="single" w:color="auto" w:sz="4" w:space="0"/>
              <w:right w:val="single" w:color="auto" w:sz="4" w:space="0"/>
            </w:tcBorders>
            <w:vAlign w:val="center"/>
          </w:tcPr>
          <w:p w14:paraId="5EF9A79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4EF65D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right w:val="single" w:color="auto" w:sz="4" w:space="0"/>
            </w:tcBorders>
            <w:vAlign w:val="center"/>
          </w:tcPr>
          <w:p w14:paraId="03A375F0">
            <w:pPr>
              <w:spacing w:line="240" w:lineRule="auto"/>
              <w:jc w:val="center"/>
              <w:rPr>
                <w:color w:val="000000" w:themeColor="text1"/>
                <w:sz w:val="21"/>
                <w:szCs w:val="21"/>
                <w:highlight w:val="none"/>
                <w14:textFill>
                  <w14:solidFill>
                    <w14:schemeClr w14:val="tx1"/>
                  </w14:solidFill>
                </w14:textFill>
              </w:rPr>
            </w:pPr>
          </w:p>
        </w:tc>
        <w:tc>
          <w:tcPr>
            <w:tcW w:w="1490" w:type="dxa"/>
            <w:vMerge w:val="continue"/>
            <w:tcBorders>
              <w:top w:val="single" w:color="auto" w:sz="4" w:space="0"/>
              <w:left w:val="single" w:color="auto" w:sz="4" w:space="0"/>
              <w:bottom w:val="single" w:color="auto" w:sz="4" w:space="0"/>
              <w:right w:val="single" w:color="auto" w:sz="4" w:space="0"/>
            </w:tcBorders>
            <w:vAlign w:val="center"/>
          </w:tcPr>
          <w:p w14:paraId="5E722AD7">
            <w:pPr>
              <w:spacing w:line="240" w:lineRule="auto"/>
              <w:jc w:val="center"/>
              <w:rPr>
                <w:color w:val="000000" w:themeColor="text1"/>
                <w:sz w:val="21"/>
                <w:szCs w:val="21"/>
                <w:highlight w:val="none"/>
                <w14:textFill>
                  <w14:solidFill>
                    <w14:schemeClr w14:val="tx1"/>
                  </w14:solidFill>
                </w14:textFill>
              </w:rPr>
            </w:pPr>
          </w:p>
        </w:tc>
        <w:tc>
          <w:tcPr>
            <w:tcW w:w="1171" w:type="dxa"/>
            <w:tcBorders>
              <w:top w:val="single" w:color="auto" w:sz="4" w:space="0"/>
              <w:left w:val="single" w:color="auto" w:sz="4" w:space="0"/>
              <w:bottom w:val="single" w:color="auto" w:sz="4" w:space="0"/>
              <w:right w:val="single" w:color="auto" w:sz="4" w:space="0"/>
            </w:tcBorders>
            <w:vAlign w:val="center"/>
          </w:tcPr>
          <w:p w14:paraId="306C461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H</w:t>
            </w:r>
            <w:r>
              <w:rPr>
                <w:rFonts w:hint="eastAsia"/>
                <w:color w:val="000000" w:themeColor="text1"/>
                <w:sz w:val="21"/>
                <w:szCs w:val="21"/>
                <w:highlight w:val="none"/>
                <w:vertAlign w:val="sub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S</w:t>
            </w:r>
          </w:p>
        </w:tc>
        <w:tc>
          <w:tcPr>
            <w:tcW w:w="1766" w:type="dxa"/>
            <w:tcBorders>
              <w:top w:val="single" w:color="auto" w:sz="4" w:space="0"/>
              <w:left w:val="single" w:color="auto" w:sz="4" w:space="0"/>
              <w:bottom w:val="single" w:color="auto" w:sz="4" w:space="0"/>
              <w:right w:val="single" w:color="auto" w:sz="4" w:space="0"/>
            </w:tcBorders>
            <w:vAlign w:val="center"/>
          </w:tcPr>
          <w:p w14:paraId="3CB73413">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0.186</w:t>
            </w:r>
          </w:p>
        </w:tc>
        <w:tc>
          <w:tcPr>
            <w:tcW w:w="1297" w:type="dxa"/>
            <w:tcBorders>
              <w:top w:val="single" w:color="auto" w:sz="4" w:space="0"/>
              <w:left w:val="single" w:color="auto" w:sz="4" w:space="0"/>
              <w:bottom w:val="single" w:color="auto" w:sz="4" w:space="0"/>
              <w:right w:val="single" w:color="auto" w:sz="4" w:space="0"/>
            </w:tcBorders>
            <w:vAlign w:val="center"/>
          </w:tcPr>
          <w:p w14:paraId="7017D49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1.86</w:t>
            </w:r>
          </w:p>
        </w:tc>
        <w:tc>
          <w:tcPr>
            <w:tcW w:w="1343" w:type="dxa"/>
            <w:tcBorders>
              <w:top w:val="single" w:color="auto" w:sz="4" w:space="0"/>
              <w:left w:val="single" w:color="auto" w:sz="4" w:space="0"/>
              <w:bottom w:val="single" w:color="auto" w:sz="4" w:space="0"/>
              <w:right w:val="single" w:color="auto" w:sz="4" w:space="0"/>
            </w:tcBorders>
            <w:vAlign w:val="center"/>
          </w:tcPr>
          <w:p w14:paraId="0BB4FF9F">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36</w:t>
            </w:r>
          </w:p>
        </w:tc>
        <w:tc>
          <w:tcPr>
            <w:tcW w:w="1156" w:type="dxa"/>
            <w:tcBorders>
              <w:top w:val="single" w:color="auto" w:sz="4" w:space="0"/>
              <w:left w:val="single" w:color="auto" w:sz="4" w:space="0"/>
              <w:bottom w:val="single" w:color="auto" w:sz="4" w:space="0"/>
              <w:right w:val="single" w:color="auto" w:sz="4" w:space="0"/>
            </w:tcBorders>
            <w:vAlign w:val="center"/>
          </w:tcPr>
          <w:p w14:paraId="73F825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p>
        </w:tc>
      </w:tr>
      <w:tr w14:paraId="64404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835" w:type="dxa"/>
            <w:vMerge w:val="continue"/>
            <w:tcBorders>
              <w:left w:val="single" w:color="auto" w:sz="4" w:space="0"/>
              <w:bottom w:val="single" w:color="auto" w:sz="4" w:space="0"/>
              <w:right w:val="single" w:color="auto" w:sz="4" w:space="0"/>
            </w:tcBorders>
            <w:vAlign w:val="center"/>
          </w:tcPr>
          <w:p w14:paraId="3BDC3EFF">
            <w:pPr>
              <w:spacing w:line="240" w:lineRule="auto"/>
              <w:jc w:val="center"/>
              <w:rPr>
                <w:color w:val="000000" w:themeColor="text1"/>
                <w:sz w:val="21"/>
                <w:szCs w:val="21"/>
                <w:highlight w:val="none"/>
                <w14:textFill>
                  <w14:solidFill>
                    <w14:schemeClr w14:val="tx1"/>
                  </w14:solidFill>
                </w14:textFill>
              </w:rPr>
            </w:pPr>
          </w:p>
        </w:tc>
        <w:tc>
          <w:tcPr>
            <w:tcW w:w="1490" w:type="dxa"/>
            <w:tcBorders>
              <w:top w:val="single" w:color="auto" w:sz="4" w:space="0"/>
              <w:left w:val="single" w:color="auto" w:sz="4" w:space="0"/>
              <w:bottom w:val="single" w:color="auto" w:sz="4" w:space="0"/>
              <w:right w:val="single" w:color="auto" w:sz="4" w:space="0"/>
            </w:tcBorders>
            <w:vAlign w:val="center"/>
          </w:tcPr>
          <w:p w14:paraId="4E66F508">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饲料加工</w:t>
            </w:r>
            <w:r>
              <w:rPr>
                <w:rFonts w:hint="eastAsia" w:ascii="Times New Roman" w:hAnsi="Times New Roman" w:eastAsia="宋体" w:cs="宋体"/>
                <w:color w:val="000000" w:themeColor="text1"/>
                <w:sz w:val="21"/>
                <w:szCs w:val="21"/>
                <w:highlight w:val="none"/>
                <w14:textFill>
                  <w14:solidFill>
                    <w14:schemeClr w14:val="tx1"/>
                  </w14:solidFill>
                </w14:textFill>
              </w:rPr>
              <w:t>车间（M00</w:t>
            </w: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宋体"/>
                <w:color w:val="000000" w:themeColor="text1"/>
                <w:sz w:val="21"/>
                <w:szCs w:val="21"/>
                <w:highlight w:val="none"/>
                <w14:textFill>
                  <w14:solidFill>
                    <w14:schemeClr w14:val="tx1"/>
                  </w14:solidFill>
                </w14:textFill>
              </w:rPr>
              <w:t>）</w:t>
            </w:r>
          </w:p>
        </w:tc>
        <w:tc>
          <w:tcPr>
            <w:tcW w:w="1171" w:type="dxa"/>
            <w:tcBorders>
              <w:top w:val="single" w:color="auto" w:sz="4" w:space="0"/>
              <w:left w:val="single" w:color="auto" w:sz="4" w:space="0"/>
              <w:bottom w:val="single" w:color="auto" w:sz="4" w:space="0"/>
              <w:right w:val="single" w:color="auto" w:sz="4" w:space="0"/>
            </w:tcBorders>
            <w:vAlign w:val="center"/>
          </w:tcPr>
          <w:p w14:paraId="16D4300B">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TSp</w:t>
            </w:r>
          </w:p>
        </w:tc>
        <w:tc>
          <w:tcPr>
            <w:tcW w:w="1766" w:type="dxa"/>
            <w:tcBorders>
              <w:top w:val="single" w:color="auto" w:sz="4" w:space="0"/>
              <w:left w:val="single" w:color="auto" w:sz="4" w:space="0"/>
              <w:bottom w:val="single" w:color="auto" w:sz="4" w:space="0"/>
              <w:right w:val="single" w:color="auto" w:sz="4" w:space="0"/>
            </w:tcBorders>
            <w:vAlign w:val="center"/>
          </w:tcPr>
          <w:p w14:paraId="134E1C9F">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18.3</w:t>
            </w:r>
          </w:p>
        </w:tc>
        <w:tc>
          <w:tcPr>
            <w:tcW w:w="1297" w:type="dxa"/>
            <w:tcBorders>
              <w:top w:val="single" w:color="auto" w:sz="4" w:space="0"/>
              <w:left w:val="single" w:color="auto" w:sz="4" w:space="0"/>
              <w:bottom w:val="single" w:color="auto" w:sz="4" w:space="0"/>
              <w:right w:val="single" w:color="auto" w:sz="4" w:space="0"/>
            </w:tcBorders>
            <w:vAlign w:val="center"/>
          </w:tcPr>
          <w:p w14:paraId="25286874">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2.04</w:t>
            </w:r>
          </w:p>
        </w:tc>
        <w:tc>
          <w:tcPr>
            <w:tcW w:w="1343" w:type="dxa"/>
            <w:tcBorders>
              <w:top w:val="single" w:color="auto" w:sz="4" w:space="0"/>
              <w:left w:val="single" w:color="auto" w:sz="4" w:space="0"/>
              <w:bottom w:val="single" w:color="auto" w:sz="4" w:space="0"/>
              <w:right w:val="single" w:color="auto" w:sz="4" w:space="0"/>
            </w:tcBorders>
            <w:vAlign w:val="center"/>
          </w:tcPr>
          <w:p w14:paraId="3C5E28D1">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14</w:t>
            </w:r>
          </w:p>
        </w:tc>
        <w:tc>
          <w:tcPr>
            <w:tcW w:w="1156" w:type="dxa"/>
            <w:tcBorders>
              <w:top w:val="single" w:color="auto" w:sz="4" w:space="0"/>
              <w:left w:val="single" w:color="auto" w:sz="4" w:space="0"/>
              <w:bottom w:val="single" w:color="auto" w:sz="4" w:space="0"/>
              <w:right w:val="single" w:color="auto" w:sz="4" w:space="0"/>
            </w:tcBorders>
            <w:vAlign w:val="center"/>
          </w:tcPr>
          <w:p w14:paraId="677494DA">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二级</w:t>
            </w:r>
          </w:p>
        </w:tc>
      </w:tr>
    </w:tbl>
    <w:p w14:paraId="0D6C53D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综上，本项目废气最大地面浓度占标率为圈舍无组织排放的</w:t>
      </w:r>
      <w:r>
        <w:rPr>
          <w:rFonts w:hint="eastAsia"/>
          <w:color w:val="000000" w:themeColor="text1"/>
          <w:highlight w:val="none"/>
          <w14:textFill>
            <w14:solidFill>
              <w14:schemeClr w14:val="tx1"/>
            </w14:solidFill>
          </w14:textFill>
        </w:rPr>
        <w:t>H</w:t>
      </w:r>
      <w:r>
        <w:rPr>
          <w:rFonts w:hint="eastAsia"/>
          <w:color w:val="000000" w:themeColor="text1"/>
          <w:highlight w:val="none"/>
          <w:vertAlign w:val="subscript"/>
          <w14:textFill>
            <w14:solidFill>
              <w14:schemeClr w14:val="tx1"/>
            </w14:solidFill>
          </w14:textFill>
        </w:rPr>
        <w:t>2</w:t>
      </w:r>
      <w:r>
        <w:rPr>
          <w:rFonts w:hint="eastAsia"/>
          <w:color w:val="000000" w:themeColor="text1"/>
          <w:highlight w:val="none"/>
          <w14:textFill>
            <w14:solidFill>
              <w14:schemeClr w14:val="tx1"/>
            </w14:solidFill>
          </w14:textFill>
        </w:rPr>
        <w:t>S</w:t>
      </w:r>
      <w:r>
        <w:rPr>
          <w:color w:val="000000" w:themeColor="text1"/>
          <w:highlight w:val="none"/>
          <w14:textFill>
            <w14:solidFill>
              <w14:schemeClr w14:val="tx1"/>
            </w14:solidFill>
          </w14:textFill>
        </w:rPr>
        <w:t>的最大地面浓度占标率最大，</w:t>
      </w:r>
      <w:r>
        <w:rPr>
          <w:rFonts w:ascii="Times New Roman" w:hAnsi="Times New Roman" w:eastAsia="宋体" w:cs="宋体"/>
          <w:color w:val="000000" w:themeColor="text1"/>
          <w:highlight w:val="none"/>
          <w14:textFill>
            <w14:solidFill>
              <w14:schemeClr w14:val="tx1"/>
            </w14:solidFill>
          </w14:textFill>
        </w:rPr>
        <w:t>1%＜Pmax=</w:t>
      </w:r>
      <w:r>
        <w:rPr>
          <w:rFonts w:hint="eastAsia" w:ascii="Times New Roman" w:hAnsi="Times New Roman" w:eastAsia="宋体" w:cs="宋体"/>
          <w:color w:val="000000" w:themeColor="text1"/>
          <w:highlight w:val="none"/>
          <w:lang w:val="en-US" w:eastAsia="zh-CN"/>
          <w14:textFill>
            <w14:solidFill>
              <w14:schemeClr w14:val="tx1"/>
            </w14:solidFill>
          </w14:textFill>
        </w:rPr>
        <w:t>9.81</w:t>
      </w:r>
      <w:r>
        <w:rPr>
          <w:rFonts w:ascii="Times New Roman" w:hAnsi="Times New Roman" w:eastAsia="宋体" w:cs="宋体"/>
          <w:color w:val="000000" w:themeColor="text1"/>
          <w:highlight w:val="none"/>
          <w14:textFill>
            <w14:solidFill>
              <w14:schemeClr w14:val="tx1"/>
            </w14:solidFill>
          </w14:textFill>
        </w:rPr>
        <w:t>%＜10%</w:t>
      </w:r>
      <w:r>
        <w:rPr>
          <w:color w:val="000000" w:themeColor="text1"/>
          <w:highlight w:val="none"/>
          <w14:textFill>
            <w14:solidFill>
              <w14:schemeClr w14:val="tx1"/>
            </w14:solidFill>
          </w14:textFill>
        </w:rPr>
        <w:t>，根据导则中评价工作等级的判定依据，环境空气影响评价等级确定为二级评价。</w:t>
      </w:r>
    </w:p>
    <w:p w14:paraId="2F5863E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"5.2.1.3"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5.2.1.3</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污染物排放量核算</w:t>
      </w:r>
    </w:p>
    <w:p w14:paraId="7EEC718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大气环境》（HJ2.2-2018）中</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8.1二级项目不进行进一步预测与评价，只对污染物排放量进行核算。</w:t>
      </w:r>
      <w:r>
        <w:rPr>
          <w:rFonts w:hint="eastAsia"/>
          <w:color w:val="000000" w:themeColor="text1"/>
          <w:highlight w:val="none"/>
          <w14:textFill>
            <w14:solidFill>
              <w14:schemeClr w14:val="tx1"/>
            </w14:solidFill>
          </w14:textFill>
        </w:rPr>
        <w:t>”</w:t>
      </w:r>
    </w:p>
    <w:p w14:paraId="00AEB2D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本项目污染物排放量详见表5.2-1</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w:t>
      </w:r>
    </w:p>
    <w:p w14:paraId="2ADA063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表5.2-1</w:t>
      </w:r>
      <w:r>
        <w:rPr>
          <w:rFonts w:hint="eastAsia"/>
          <w:b/>
          <w:bCs/>
          <w:color w:val="000000" w:themeColor="text1"/>
          <w:sz w:val="21"/>
          <w:szCs w:val="21"/>
          <w:highlight w:val="none"/>
          <w:lang w:val="en-US" w:eastAsia="zh-CN"/>
          <w14:textFill>
            <w14:solidFill>
              <w14:schemeClr w14:val="tx1"/>
            </w14:solidFill>
          </w14:textFill>
        </w:rPr>
        <w:t>5</w:t>
      </w:r>
      <w:r>
        <w:rPr>
          <w:b/>
          <w:bCs/>
          <w:color w:val="000000" w:themeColor="text1"/>
          <w:sz w:val="21"/>
          <w:szCs w:val="21"/>
          <w:highlight w:val="none"/>
          <w14:textFill>
            <w14:solidFill>
              <w14:schemeClr w14:val="tx1"/>
            </w14:solidFill>
          </w14:textFill>
        </w:rPr>
        <w:t xml:space="preserve">  大气污染物排放量核算表</w:t>
      </w:r>
    </w:p>
    <w:tbl>
      <w:tblPr>
        <w:tblStyle w:val="33"/>
        <w:tblW w:w="51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647"/>
        <w:gridCol w:w="750"/>
        <w:gridCol w:w="992"/>
        <w:gridCol w:w="1120"/>
        <w:gridCol w:w="2289"/>
        <w:gridCol w:w="946"/>
        <w:gridCol w:w="1095"/>
      </w:tblGrid>
      <w:tr w14:paraId="3799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14:paraId="0E9101D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污染源</w:t>
            </w:r>
          </w:p>
        </w:tc>
        <w:tc>
          <w:tcPr>
            <w:tcW w:w="648" w:type="dxa"/>
            <w:vMerge w:val="restart"/>
            <w:vAlign w:val="center"/>
          </w:tcPr>
          <w:p w14:paraId="30303CC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排放形式</w:t>
            </w:r>
          </w:p>
        </w:tc>
        <w:tc>
          <w:tcPr>
            <w:tcW w:w="751" w:type="dxa"/>
            <w:vMerge w:val="restart"/>
            <w:vAlign w:val="center"/>
          </w:tcPr>
          <w:p w14:paraId="48287E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污染物名称</w:t>
            </w:r>
          </w:p>
        </w:tc>
        <w:tc>
          <w:tcPr>
            <w:tcW w:w="2114" w:type="dxa"/>
            <w:gridSpan w:val="2"/>
            <w:vAlign w:val="center"/>
          </w:tcPr>
          <w:p w14:paraId="6A2A226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产生情况</w:t>
            </w:r>
          </w:p>
        </w:tc>
        <w:tc>
          <w:tcPr>
            <w:tcW w:w="2290" w:type="dxa"/>
            <w:vMerge w:val="restart"/>
            <w:vAlign w:val="center"/>
          </w:tcPr>
          <w:p w14:paraId="0E8311B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治理措施</w:t>
            </w:r>
          </w:p>
        </w:tc>
        <w:tc>
          <w:tcPr>
            <w:tcW w:w="2043" w:type="dxa"/>
            <w:gridSpan w:val="2"/>
            <w:vAlign w:val="center"/>
          </w:tcPr>
          <w:p w14:paraId="49301E9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lang w:eastAsia="zh-TW"/>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排放情况</w:t>
            </w:r>
          </w:p>
        </w:tc>
      </w:tr>
      <w:tr w14:paraId="4252B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14:paraId="720EB79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p>
        </w:tc>
        <w:tc>
          <w:tcPr>
            <w:tcW w:w="648" w:type="dxa"/>
            <w:vMerge w:val="continue"/>
            <w:vAlign w:val="center"/>
          </w:tcPr>
          <w:p w14:paraId="6950AA3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p>
        </w:tc>
        <w:tc>
          <w:tcPr>
            <w:tcW w:w="751" w:type="dxa"/>
            <w:vMerge w:val="continue"/>
            <w:vAlign w:val="center"/>
          </w:tcPr>
          <w:p w14:paraId="21F6589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p>
        </w:tc>
        <w:tc>
          <w:tcPr>
            <w:tcW w:w="993" w:type="dxa"/>
            <w:vAlign w:val="center"/>
          </w:tcPr>
          <w:p w14:paraId="406BD85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产生量（t/a）</w:t>
            </w:r>
          </w:p>
        </w:tc>
        <w:tc>
          <w:tcPr>
            <w:tcW w:w="1121" w:type="dxa"/>
            <w:vAlign w:val="center"/>
          </w:tcPr>
          <w:p w14:paraId="359D223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产生速率（kg/h）</w:t>
            </w:r>
          </w:p>
        </w:tc>
        <w:tc>
          <w:tcPr>
            <w:tcW w:w="2290" w:type="dxa"/>
            <w:vMerge w:val="continue"/>
            <w:vAlign w:val="center"/>
          </w:tcPr>
          <w:p w14:paraId="18349A9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lang w:eastAsia="zh-TW"/>
                <w14:textFill>
                  <w14:solidFill>
                    <w14:schemeClr w14:val="tx1"/>
                  </w14:solidFill>
                </w14:textFill>
              </w:rPr>
            </w:pPr>
          </w:p>
        </w:tc>
        <w:tc>
          <w:tcPr>
            <w:tcW w:w="947" w:type="dxa"/>
            <w:vAlign w:val="center"/>
          </w:tcPr>
          <w:p w14:paraId="4D88448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lang w:eastAsia="zh-TW"/>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排放量（t/a）</w:t>
            </w:r>
          </w:p>
        </w:tc>
        <w:tc>
          <w:tcPr>
            <w:tcW w:w="1096" w:type="dxa"/>
            <w:vAlign w:val="center"/>
          </w:tcPr>
          <w:p w14:paraId="3F1B3CF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bCs/>
                <w:color w:val="000000" w:themeColor="text1"/>
                <w:sz w:val="21"/>
                <w:szCs w:val="21"/>
                <w:highlight w:val="none"/>
                <w:lang w:eastAsia="zh-TW"/>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排放速率（kg/h）</w:t>
            </w:r>
          </w:p>
        </w:tc>
      </w:tr>
      <w:tr w14:paraId="34BC4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905" w:type="dxa"/>
            <w:vMerge w:val="restart"/>
            <w:vAlign w:val="center"/>
          </w:tcPr>
          <w:p w14:paraId="04C1F32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圈舍</w:t>
            </w:r>
          </w:p>
        </w:tc>
        <w:tc>
          <w:tcPr>
            <w:tcW w:w="648" w:type="dxa"/>
            <w:vMerge w:val="restart"/>
            <w:vAlign w:val="center"/>
          </w:tcPr>
          <w:p w14:paraId="4A6A7D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无组织</w:t>
            </w:r>
          </w:p>
        </w:tc>
        <w:tc>
          <w:tcPr>
            <w:tcW w:w="751" w:type="dxa"/>
            <w:vAlign w:val="center"/>
          </w:tcPr>
          <w:p w14:paraId="39B5582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3</w:t>
            </w:r>
          </w:p>
        </w:tc>
        <w:tc>
          <w:tcPr>
            <w:tcW w:w="993" w:type="dxa"/>
            <w:vAlign w:val="center"/>
          </w:tcPr>
          <w:p w14:paraId="559A7F50">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30.13</w:t>
            </w:r>
          </w:p>
        </w:tc>
        <w:tc>
          <w:tcPr>
            <w:tcW w:w="1121" w:type="dxa"/>
            <w:vAlign w:val="center"/>
          </w:tcPr>
          <w:p w14:paraId="4BFB87D4">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3.44</w:t>
            </w:r>
          </w:p>
        </w:tc>
        <w:tc>
          <w:tcPr>
            <w:tcW w:w="2290" w:type="dxa"/>
            <w:vMerge w:val="restart"/>
            <w:vAlign w:val="center"/>
          </w:tcPr>
          <w:p w14:paraId="6CDFBC8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加强通风、合理搭配饲料、投放吸附剂和喷洒除臭剂、</w:t>
            </w:r>
            <w:r>
              <w:rPr>
                <w:rFonts w:hint="eastAsia" w:cs="Times New Roman"/>
                <w:b w:val="0"/>
                <w:bCs w:val="0"/>
                <w:color w:val="000000" w:themeColor="text1"/>
                <w:sz w:val="21"/>
                <w:szCs w:val="21"/>
                <w:highlight w:val="none"/>
                <w:lang w:eastAsia="zh-CN"/>
                <w14:textFill>
                  <w14:solidFill>
                    <w14:schemeClr w14:val="tx1"/>
                  </w14:solidFill>
                </w14:textFill>
              </w:rPr>
              <w:t>半漏板</w:t>
            </w:r>
            <w:r>
              <w:rPr>
                <w:rFonts w:hint="default" w:ascii="Times New Roman" w:hAnsi="Times New Roman" w:cs="Times New Roman"/>
                <w:b w:val="0"/>
                <w:bCs w:val="0"/>
                <w:color w:val="000000" w:themeColor="text1"/>
                <w:sz w:val="21"/>
                <w:szCs w:val="21"/>
                <w:highlight w:val="none"/>
                <w14:textFill>
                  <w14:solidFill>
                    <w14:schemeClr w14:val="tx1"/>
                  </w14:solidFill>
                </w14:textFill>
              </w:rPr>
              <w:t>、及时清除粪便，定期冲洗猪舍和杀菌消毒，保持猪舍环境卫生</w:t>
            </w:r>
          </w:p>
        </w:tc>
        <w:tc>
          <w:tcPr>
            <w:tcW w:w="947" w:type="dxa"/>
            <w:vAlign w:val="center"/>
          </w:tcPr>
          <w:p w14:paraId="380CC7DC">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3.013</w:t>
            </w:r>
          </w:p>
        </w:tc>
        <w:tc>
          <w:tcPr>
            <w:tcW w:w="1096" w:type="dxa"/>
            <w:vAlign w:val="center"/>
          </w:tcPr>
          <w:p w14:paraId="198D52E8">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0.344</w:t>
            </w:r>
          </w:p>
        </w:tc>
      </w:tr>
      <w:tr w14:paraId="4526D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14:paraId="2605936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648" w:type="dxa"/>
            <w:vMerge w:val="continue"/>
            <w:vAlign w:val="center"/>
          </w:tcPr>
          <w:p w14:paraId="177218E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0D2BC12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14:textFill>
                  <w14:solidFill>
                    <w14:schemeClr w14:val="tx1"/>
                  </w14:solidFill>
                </w14:textFill>
              </w:rPr>
              <w:t>S</w:t>
            </w:r>
          </w:p>
        </w:tc>
        <w:tc>
          <w:tcPr>
            <w:tcW w:w="993" w:type="dxa"/>
            <w:vAlign w:val="center"/>
          </w:tcPr>
          <w:p w14:paraId="57B4935C">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4.739</w:t>
            </w:r>
          </w:p>
        </w:tc>
        <w:tc>
          <w:tcPr>
            <w:tcW w:w="1121" w:type="dxa"/>
            <w:vAlign w:val="center"/>
          </w:tcPr>
          <w:p w14:paraId="5006E2B3">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0.54</w:t>
            </w:r>
          </w:p>
        </w:tc>
        <w:tc>
          <w:tcPr>
            <w:tcW w:w="2290" w:type="dxa"/>
            <w:vMerge w:val="continue"/>
            <w:vAlign w:val="center"/>
          </w:tcPr>
          <w:p w14:paraId="1CBB3BD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lang w:eastAsia="zh-TW"/>
                <w14:textFill>
                  <w14:solidFill>
                    <w14:schemeClr w14:val="tx1"/>
                  </w14:solidFill>
                </w14:textFill>
              </w:rPr>
            </w:pPr>
          </w:p>
        </w:tc>
        <w:tc>
          <w:tcPr>
            <w:tcW w:w="947" w:type="dxa"/>
            <w:vAlign w:val="center"/>
          </w:tcPr>
          <w:p w14:paraId="16F9BFF3">
            <w:pPr>
              <w:spacing w:line="240" w:lineRule="auto"/>
              <w:jc w:val="center"/>
              <w:rPr>
                <w:rFonts w:hint="default" w:ascii="Times New Roman" w:hAnsi="Times New Roman" w:cs="Times New Roman"/>
                <w:b w:val="0"/>
                <w:bCs w:val="0"/>
                <w:color w:val="000000" w:themeColor="text1"/>
                <w:sz w:val="21"/>
                <w:szCs w:val="21"/>
                <w:highlight w:val="none"/>
                <w:lang w:val="en-US"/>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0.474</w:t>
            </w:r>
          </w:p>
        </w:tc>
        <w:tc>
          <w:tcPr>
            <w:tcW w:w="1096" w:type="dxa"/>
            <w:vAlign w:val="center"/>
          </w:tcPr>
          <w:p w14:paraId="546A872F">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0.054</w:t>
            </w:r>
          </w:p>
        </w:tc>
      </w:tr>
      <w:tr w14:paraId="2D04A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14:paraId="12BA18E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堆</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粪</w:t>
            </w:r>
            <w:r>
              <w:rPr>
                <w:rFonts w:hint="default" w:ascii="Times New Roman" w:hAnsi="Times New Roman" w:cs="Times New Roman"/>
                <w:b w:val="0"/>
                <w:bCs w:val="0"/>
                <w:color w:val="000000" w:themeColor="text1"/>
                <w:sz w:val="21"/>
                <w:szCs w:val="21"/>
                <w:highlight w:val="none"/>
                <w14:textFill>
                  <w14:solidFill>
                    <w14:schemeClr w14:val="tx1"/>
                  </w14:solidFill>
                </w14:textFill>
              </w:rPr>
              <w:t>场</w:t>
            </w:r>
          </w:p>
        </w:tc>
        <w:tc>
          <w:tcPr>
            <w:tcW w:w="648" w:type="dxa"/>
            <w:vMerge w:val="restart"/>
            <w:vAlign w:val="center"/>
          </w:tcPr>
          <w:p w14:paraId="6A928F7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无组织</w:t>
            </w:r>
          </w:p>
        </w:tc>
        <w:tc>
          <w:tcPr>
            <w:tcW w:w="751" w:type="dxa"/>
            <w:vAlign w:val="center"/>
          </w:tcPr>
          <w:p w14:paraId="6B65B14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3</w:t>
            </w:r>
          </w:p>
        </w:tc>
        <w:tc>
          <w:tcPr>
            <w:tcW w:w="993" w:type="dxa"/>
            <w:vAlign w:val="center"/>
          </w:tcPr>
          <w:p w14:paraId="5D21054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0.438</w:t>
            </w:r>
          </w:p>
        </w:tc>
        <w:tc>
          <w:tcPr>
            <w:tcW w:w="1121" w:type="dxa"/>
            <w:vAlign w:val="center"/>
          </w:tcPr>
          <w:p w14:paraId="3E3D7F4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0.05</w:t>
            </w:r>
          </w:p>
        </w:tc>
        <w:tc>
          <w:tcPr>
            <w:tcW w:w="2290" w:type="dxa"/>
            <w:vMerge w:val="restart"/>
            <w:vAlign w:val="center"/>
          </w:tcPr>
          <w:p w14:paraId="26E5205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添加物理吸附剂、喷洒除臭剂</w:t>
            </w:r>
          </w:p>
        </w:tc>
        <w:tc>
          <w:tcPr>
            <w:tcW w:w="947" w:type="dxa"/>
            <w:vAlign w:val="center"/>
          </w:tcPr>
          <w:p w14:paraId="5F2394B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0.066</w:t>
            </w:r>
          </w:p>
        </w:tc>
        <w:tc>
          <w:tcPr>
            <w:tcW w:w="1096" w:type="dxa"/>
            <w:vAlign w:val="center"/>
          </w:tcPr>
          <w:p w14:paraId="48545E7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0.0075</w:t>
            </w:r>
          </w:p>
        </w:tc>
      </w:tr>
      <w:tr w14:paraId="3BF12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14:paraId="29CD941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648" w:type="dxa"/>
            <w:vMerge w:val="continue"/>
            <w:vAlign w:val="center"/>
          </w:tcPr>
          <w:p w14:paraId="631C597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39ED0BD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14:textFill>
                  <w14:solidFill>
                    <w14:schemeClr w14:val="tx1"/>
                  </w14:solidFill>
                </w14:textFill>
              </w:rPr>
              <w:t>S</w:t>
            </w:r>
          </w:p>
        </w:tc>
        <w:tc>
          <w:tcPr>
            <w:tcW w:w="993" w:type="dxa"/>
            <w:vAlign w:val="center"/>
          </w:tcPr>
          <w:p w14:paraId="31CD948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0.044</w:t>
            </w:r>
          </w:p>
        </w:tc>
        <w:tc>
          <w:tcPr>
            <w:tcW w:w="1121" w:type="dxa"/>
            <w:vAlign w:val="center"/>
          </w:tcPr>
          <w:p w14:paraId="0502448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0.005</w:t>
            </w:r>
          </w:p>
        </w:tc>
        <w:tc>
          <w:tcPr>
            <w:tcW w:w="2290" w:type="dxa"/>
            <w:vMerge w:val="continue"/>
            <w:vAlign w:val="center"/>
          </w:tcPr>
          <w:p w14:paraId="1508BFC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TW"/>
                <w14:textFill>
                  <w14:solidFill>
                    <w14:schemeClr w14:val="tx1"/>
                  </w14:solidFill>
                </w14:textFill>
              </w:rPr>
            </w:pPr>
          </w:p>
        </w:tc>
        <w:tc>
          <w:tcPr>
            <w:tcW w:w="947" w:type="dxa"/>
            <w:vAlign w:val="center"/>
          </w:tcPr>
          <w:p w14:paraId="57D5588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0.007</w:t>
            </w:r>
          </w:p>
        </w:tc>
        <w:tc>
          <w:tcPr>
            <w:tcW w:w="1096" w:type="dxa"/>
            <w:vAlign w:val="center"/>
          </w:tcPr>
          <w:p w14:paraId="7DAFAA4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0.0008</w:t>
            </w:r>
          </w:p>
        </w:tc>
      </w:tr>
      <w:tr w14:paraId="29011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restart"/>
            <w:vAlign w:val="center"/>
          </w:tcPr>
          <w:p w14:paraId="3BDE339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污水处理恶臭</w:t>
            </w:r>
          </w:p>
        </w:tc>
        <w:tc>
          <w:tcPr>
            <w:tcW w:w="648" w:type="dxa"/>
            <w:vMerge w:val="restart"/>
            <w:vAlign w:val="center"/>
          </w:tcPr>
          <w:p w14:paraId="0FFA7AE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无组织</w:t>
            </w:r>
          </w:p>
        </w:tc>
        <w:tc>
          <w:tcPr>
            <w:tcW w:w="751" w:type="dxa"/>
            <w:vAlign w:val="center"/>
          </w:tcPr>
          <w:p w14:paraId="755159D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3</w:t>
            </w:r>
          </w:p>
        </w:tc>
        <w:tc>
          <w:tcPr>
            <w:tcW w:w="993" w:type="dxa"/>
            <w:vAlign w:val="center"/>
          </w:tcPr>
          <w:p w14:paraId="43F1D28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0.094</w:t>
            </w:r>
          </w:p>
        </w:tc>
        <w:tc>
          <w:tcPr>
            <w:tcW w:w="1121" w:type="dxa"/>
            <w:vAlign w:val="center"/>
          </w:tcPr>
          <w:p w14:paraId="1D20D99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0.011</w:t>
            </w:r>
          </w:p>
        </w:tc>
        <w:tc>
          <w:tcPr>
            <w:tcW w:w="2290" w:type="dxa"/>
            <w:vMerge w:val="restart"/>
            <w:vAlign w:val="center"/>
          </w:tcPr>
          <w:p w14:paraId="58EFDA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加盖密闭、黑膜池外围定期喷洒除臭剂</w:t>
            </w:r>
          </w:p>
        </w:tc>
        <w:tc>
          <w:tcPr>
            <w:tcW w:w="947" w:type="dxa"/>
            <w:vAlign w:val="center"/>
          </w:tcPr>
          <w:p w14:paraId="7DFC7FC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0.014</w:t>
            </w:r>
          </w:p>
        </w:tc>
        <w:tc>
          <w:tcPr>
            <w:tcW w:w="1096" w:type="dxa"/>
            <w:vAlign w:val="center"/>
          </w:tcPr>
          <w:p w14:paraId="0B7C1D9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0.002</w:t>
            </w:r>
          </w:p>
        </w:tc>
      </w:tr>
      <w:tr w14:paraId="67B13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14:paraId="78160BA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648" w:type="dxa"/>
            <w:vMerge w:val="continue"/>
            <w:vAlign w:val="center"/>
          </w:tcPr>
          <w:p w14:paraId="3F90B9A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5D01094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14:textFill>
                  <w14:solidFill>
                    <w14:schemeClr w14:val="tx1"/>
                  </w14:solidFill>
                </w14:textFill>
              </w:rPr>
              <w:t>S</w:t>
            </w:r>
          </w:p>
        </w:tc>
        <w:tc>
          <w:tcPr>
            <w:tcW w:w="993" w:type="dxa"/>
            <w:vAlign w:val="center"/>
          </w:tcPr>
          <w:p w14:paraId="68B7D21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0.004</w:t>
            </w:r>
          </w:p>
        </w:tc>
        <w:tc>
          <w:tcPr>
            <w:tcW w:w="1121" w:type="dxa"/>
            <w:vAlign w:val="center"/>
          </w:tcPr>
          <w:p w14:paraId="7980566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0.0005</w:t>
            </w:r>
          </w:p>
        </w:tc>
        <w:tc>
          <w:tcPr>
            <w:tcW w:w="2290" w:type="dxa"/>
            <w:vMerge w:val="continue"/>
            <w:vAlign w:val="center"/>
          </w:tcPr>
          <w:p w14:paraId="4EB0A9C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TW"/>
                <w14:textFill>
                  <w14:solidFill>
                    <w14:schemeClr w14:val="tx1"/>
                  </w14:solidFill>
                </w14:textFill>
              </w:rPr>
            </w:pPr>
          </w:p>
        </w:tc>
        <w:tc>
          <w:tcPr>
            <w:tcW w:w="947" w:type="dxa"/>
            <w:vAlign w:val="center"/>
          </w:tcPr>
          <w:p w14:paraId="0B37D23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0.0006</w:t>
            </w:r>
          </w:p>
        </w:tc>
        <w:tc>
          <w:tcPr>
            <w:tcW w:w="1096" w:type="dxa"/>
            <w:vAlign w:val="center"/>
          </w:tcPr>
          <w:p w14:paraId="0432937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0.00007</w:t>
            </w:r>
          </w:p>
        </w:tc>
      </w:tr>
      <w:tr w14:paraId="40C5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905" w:type="dxa"/>
            <w:vMerge w:val="restart"/>
            <w:vAlign w:val="center"/>
          </w:tcPr>
          <w:p w14:paraId="7840493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干湿</w:t>
            </w: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分离车间恶臭</w:t>
            </w:r>
          </w:p>
        </w:tc>
        <w:tc>
          <w:tcPr>
            <w:tcW w:w="648" w:type="dxa"/>
            <w:vMerge w:val="restart"/>
            <w:vAlign w:val="center"/>
          </w:tcPr>
          <w:p w14:paraId="06B3618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无</w:t>
            </w:r>
            <w:r>
              <w:rPr>
                <w:rFonts w:hint="default" w:ascii="Times New Roman" w:hAnsi="Times New Roman" w:cs="Times New Roman"/>
                <w:b w:val="0"/>
                <w:bCs w:val="0"/>
                <w:color w:val="000000" w:themeColor="text1"/>
                <w:sz w:val="21"/>
                <w:szCs w:val="21"/>
                <w:highlight w:val="none"/>
                <w14:textFill>
                  <w14:solidFill>
                    <w14:schemeClr w14:val="tx1"/>
                  </w14:solidFill>
                </w14:textFill>
              </w:rPr>
              <w:t>组织</w:t>
            </w:r>
          </w:p>
        </w:tc>
        <w:tc>
          <w:tcPr>
            <w:tcW w:w="751" w:type="dxa"/>
            <w:vAlign w:val="center"/>
          </w:tcPr>
          <w:p w14:paraId="41FF601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3</w:t>
            </w:r>
          </w:p>
        </w:tc>
        <w:tc>
          <w:tcPr>
            <w:tcW w:w="993" w:type="dxa"/>
            <w:vAlign w:val="center"/>
          </w:tcPr>
          <w:p w14:paraId="6BB2ED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0.201</w:t>
            </w:r>
          </w:p>
        </w:tc>
        <w:tc>
          <w:tcPr>
            <w:tcW w:w="1121" w:type="dxa"/>
            <w:vAlign w:val="center"/>
          </w:tcPr>
          <w:p w14:paraId="5044FBD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0.023</w:t>
            </w:r>
          </w:p>
        </w:tc>
        <w:tc>
          <w:tcPr>
            <w:tcW w:w="2290" w:type="dxa"/>
            <w:vMerge w:val="restart"/>
            <w:vAlign w:val="center"/>
          </w:tcPr>
          <w:p w14:paraId="682BAA0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密闭、喷洒除臭剂</w:t>
            </w:r>
          </w:p>
        </w:tc>
        <w:tc>
          <w:tcPr>
            <w:tcW w:w="947" w:type="dxa"/>
            <w:vAlign w:val="center"/>
          </w:tcPr>
          <w:p w14:paraId="3E11014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0.06</w:t>
            </w:r>
          </w:p>
        </w:tc>
        <w:tc>
          <w:tcPr>
            <w:tcW w:w="1096" w:type="dxa"/>
            <w:vAlign w:val="center"/>
          </w:tcPr>
          <w:p w14:paraId="4E40B73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0.007</w:t>
            </w:r>
          </w:p>
        </w:tc>
      </w:tr>
      <w:tr w14:paraId="3E42D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905" w:type="dxa"/>
            <w:vMerge w:val="continue"/>
            <w:vAlign w:val="center"/>
          </w:tcPr>
          <w:p w14:paraId="46A332C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648" w:type="dxa"/>
            <w:vMerge w:val="continue"/>
            <w:vAlign w:val="center"/>
          </w:tcPr>
          <w:p w14:paraId="512A4ED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356CE5B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14:textFill>
                  <w14:solidFill>
                    <w14:schemeClr w14:val="tx1"/>
                  </w14:solidFill>
                </w14:textFill>
              </w:rPr>
              <w:t>S</w:t>
            </w:r>
          </w:p>
        </w:tc>
        <w:tc>
          <w:tcPr>
            <w:tcW w:w="993" w:type="dxa"/>
            <w:vAlign w:val="center"/>
          </w:tcPr>
          <w:p w14:paraId="30048A6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0.011</w:t>
            </w:r>
          </w:p>
        </w:tc>
        <w:tc>
          <w:tcPr>
            <w:tcW w:w="1121" w:type="dxa"/>
            <w:vAlign w:val="center"/>
          </w:tcPr>
          <w:p w14:paraId="038F994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0.0013</w:t>
            </w:r>
          </w:p>
        </w:tc>
        <w:tc>
          <w:tcPr>
            <w:tcW w:w="2290" w:type="dxa"/>
            <w:vMerge w:val="continue"/>
            <w:vAlign w:val="center"/>
          </w:tcPr>
          <w:p w14:paraId="5942BA3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TW"/>
                <w14:textFill>
                  <w14:solidFill>
                    <w14:schemeClr w14:val="tx1"/>
                  </w14:solidFill>
                </w14:textFill>
              </w:rPr>
            </w:pPr>
          </w:p>
        </w:tc>
        <w:tc>
          <w:tcPr>
            <w:tcW w:w="947" w:type="dxa"/>
            <w:vAlign w:val="center"/>
          </w:tcPr>
          <w:p w14:paraId="5D79418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0.003</w:t>
            </w:r>
          </w:p>
        </w:tc>
        <w:tc>
          <w:tcPr>
            <w:tcW w:w="1096" w:type="dxa"/>
            <w:vAlign w:val="center"/>
          </w:tcPr>
          <w:p w14:paraId="3135BFE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t>0.0003</w:t>
            </w:r>
          </w:p>
        </w:tc>
      </w:tr>
      <w:tr w14:paraId="7E5B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05" w:type="dxa"/>
            <w:vAlign w:val="center"/>
          </w:tcPr>
          <w:p w14:paraId="66D355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黑膜池沼气</w:t>
            </w:r>
          </w:p>
        </w:tc>
        <w:tc>
          <w:tcPr>
            <w:tcW w:w="648" w:type="dxa"/>
            <w:vAlign w:val="center"/>
          </w:tcPr>
          <w:p w14:paraId="2494D96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无</w:t>
            </w:r>
            <w:r>
              <w:rPr>
                <w:rFonts w:hint="default" w:ascii="Times New Roman" w:hAnsi="Times New Roman" w:cs="Times New Roman"/>
                <w:b w:val="0"/>
                <w:bCs w:val="0"/>
                <w:color w:val="000000" w:themeColor="text1"/>
                <w:sz w:val="21"/>
                <w:szCs w:val="21"/>
                <w:highlight w:val="none"/>
                <w14:textFill>
                  <w14:solidFill>
                    <w14:schemeClr w14:val="tx1"/>
                  </w14:solidFill>
                </w14:textFill>
              </w:rPr>
              <w:t>组织</w:t>
            </w:r>
          </w:p>
        </w:tc>
        <w:tc>
          <w:tcPr>
            <w:tcW w:w="751" w:type="dxa"/>
            <w:vAlign w:val="center"/>
          </w:tcPr>
          <w:p w14:paraId="5F89ED7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沼气</w:t>
            </w:r>
          </w:p>
        </w:tc>
        <w:tc>
          <w:tcPr>
            <w:tcW w:w="993" w:type="dxa"/>
            <w:vAlign w:val="center"/>
          </w:tcPr>
          <w:p w14:paraId="6A2BA5DD">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1121" w:type="dxa"/>
            <w:vAlign w:val="center"/>
          </w:tcPr>
          <w:p w14:paraId="3FE41DE6">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c>
          <w:tcPr>
            <w:tcW w:w="2290" w:type="dxa"/>
            <w:vAlign w:val="center"/>
          </w:tcPr>
          <w:p w14:paraId="1DA312F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947" w:type="dxa"/>
            <w:vAlign w:val="center"/>
          </w:tcPr>
          <w:p w14:paraId="40668654">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1096" w:type="dxa"/>
            <w:vAlign w:val="center"/>
          </w:tcPr>
          <w:p w14:paraId="44C07D8B">
            <w:pPr>
              <w:bidi w:val="0"/>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r>
      <w:tr w14:paraId="29FD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jc w:val="center"/>
        </w:trPr>
        <w:tc>
          <w:tcPr>
            <w:tcW w:w="905" w:type="dxa"/>
            <w:vAlign w:val="center"/>
          </w:tcPr>
          <w:p w14:paraId="11EEFBF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饲料加工车间</w:t>
            </w:r>
          </w:p>
        </w:tc>
        <w:tc>
          <w:tcPr>
            <w:tcW w:w="648" w:type="dxa"/>
            <w:vAlign w:val="center"/>
          </w:tcPr>
          <w:p w14:paraId="5285265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w:t>
            </w:r>
          </w:p>
        </w:tc>
        <w:tc>
          <w:tcPr>
            <w:tcW w:w="751" w:type="dxa"/>
            <w:vAlign w:val="center"/>
          </w:tcPr>
          <w:p w14:paraId="532D8AC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TSP</w:t>
            </w:r>
          </w:p>
        </w:tc>
        <w:tc>
          <w:tcPr>
            <w:tcW w:w="993" w:type="dxa"/>
            <w:vAlign w:val="center"/>
          </w:tcPr>
          <w:p w14:paraId="333FCC7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0.63</w:t>
            </w:r>
          </w:p>
        </w:tc>
        <w:tc>
          <w:tcPr>
            <w:tcW w:w="1121" w:type="dxa"/>
            <w:vAlign w:val="center"/>
          </w:tcPr>
          <w:p w14:paraId="17D5AED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0.072</w:t>
            </w:r>
          </w:p>
        </w:tc>
        <w:tc>
          <w:tcPr>
            <w:tcW w:w="2290" w:type="dxa"/>
            <w:vAlign w:val="center"/>
          </w:tcPr>
          <w:p w14:paraId="33F0623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全封闭，洒水降尘</w:t>
            </w:r>
          </w:p>
        </w:tc>
        <w:tc>
          <w:tcPr>
            <w:tcW w:w="947" w:type="dxa"/>
            <w:vAlign w:val="center"/>
          </w:tcPr>
          <w:p w14:paraId="2A68E9F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0.126</w:t>
            </w:r>
          </w:p>
        </w:tc>
        <w:tc>
          <w:tcPr>
            <w:tcW w:w="1096" w:type="dxa"/>
            <w:vAlign w:val="center"/>
          </w:tcPr>
          <w:p w14:paraId="379F9AA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0.014</w:t>
            </w:r>
          </w:p>
        </w:tc>
      </w:tr>
      <w:tr w14:paraId="6173E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3" w:type="dxa"/>
            <w:gridSpan w:val="2"/>
            <w:vMerge w:val="restart"/>
            <w:vAlign w:val="center"/>
          </w:tcPr>
          <w:p w14:paraId="4BA47EB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总计</w:t>
            </w:r>
          </w:p>
        </w:tc>
        <w:tc>
          <w:tcPr>
            <w:tcW w:w="751" w:type="dxa"/>
            <w:vAlign w:val="center"/>
          </w:tcPr>
          <w:p w14:paraId="0347C24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NH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3</w:t>
            </w:r>
          </w:p>
        </w:tc>
        <w:tc>
          <w:tcPr>
            <w:tcW w:w="993" w:type="dxa"/>
            <w:vAlign w:val="center"/>
          </w:tcPr>
          <w:p w14:paraId="5C8FB3B5">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30.863</w:t>
            </w:r>
          </w:p>
        </w:tc>
        <w:tc>
          <w:tcPr>
            <w:tcW w:w="1121" w:type="dxa"/>
            <w:vAlign w:val="center"/>
          </w:tcPr>
          <w:p w14:paraId="7932485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2290" w:type="dxa"/>
            <w:vAlign w:val="center"/>
          </w:tcPr>
          <w:p w14:paraId="034BD47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947" w:type="dxa"/>
            <w:vAlign w:val="center"/>
          </w:tcPr>
          <w:p w14:paraId="554BD8B2">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3.153</w:t>
            </w:r>
          </w:p>
        </w:tc>
        <w:tc>
          <w:tcPr>
            <w:tcW w:w="1096" w:type="dxa"/>
            <w:vAlign w:val="center"/>
          </w:tcPr>
          <w:p w14:paraId="380A109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r>
      <w:tr w14:paraId="0D95C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3" w:type="dxa"/>
            <w:gridSpan w:val="2"/>
            <w:vMerge w:val="continue"/>
            <w:vAlign w:val="center"/>
          </w:tcPr>
          <w:p w14:paraId="28C79CE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069FED5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14:textFill>
                  <w14:solidFill>
                    <w14:schemeClr w14:val="tx1"/>
                  </w14:solidFill>
                </w14:textFill>
              </w:rPr>
              <w:t>H</w:t>
            </w:r>
            <w:r>
              <w:rPr>
                <w:rFonts w:hint="default" w:ascii="Times New Roman" w:hAnsi="Times New Roman" w:cs="Times New Roman"/>
                <w:b w:val="0"/>
                <w:bCs w:val="0"/>
                <w:color w:val="000000" w:themeColor="text1"/>
                <w:sz w:val="21"/>
                <w:szCs w:val="21"/>
                <w:highlight w:val="none"/>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highlight w:val="none"/>
                <w14:textFill>
                  <w14:solidFill>
                    <w14:schemeClr w14:val="tx1"/>
                  </w14:solidFill>
                </w14:textFill>
              </w:rPr>
              <w:t>S</w:t>
            </w:r>
          </w:p>
        </w:tc>
        <w:tc>
          <w:tcPr>
            <w:tcW w:w="993" w:type="dxa"/>
            <w:vAlign w:val="center"/>
          </w:tcPr>
          <w:p w14:paraId="3C4F2FC2">
            <w:pPr>
              <w:spacing w:line="240" w:lineRule="auto"/>
              <w:jc w:val="cente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4.798</w:t>
            </w:r>
          </w:p>
        </w:tc>
        <w:tc>
          <w:tcPr>
            <w:tcW w:w="1121" w:type="dxa"/>
            <w:vAlign w:val="center"/>
          </w:tcPr>
          <w:p w14:paraId="4650D4F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2290" w:type="dxa"/>
            <w:vAlign w:val="center"/>
          </w:tcPr>
          <w:p w14:paraId="630C0C2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947" w:type="dxa"/>
            <w:vAlign w:val="center"/>
          </w:tcPr>
          <w:p w14:paraId="63210ADB">
            <w:pPr>
              <w:spacing w:line="240" w:lineRule="auto"/>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0.4846</w:t>
            </w:r>
          </w:p>
        </w:tc>
        <w:tc>
          <w:tcPr>
            <w:tcW w:w="1096" w:type="dxa"/>
            <w:vAlign w:val="center"/>
          </w:tcPr>
          <w:p w14:paraId="7CD0648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r>
      <w:tr w14:paraId="7BDD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3" w:type="dxa"/>
            <w:gridSpan w:val="2"/>
            <w:vMerge w:val="continue"/>
            <w:vAlign w:val="center"/>
          </w:tcPr>
          <w:p w14:paraId="7978978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317057A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沼气</w:t>
            </w:r>
          </w:p>
        </w:tc>
        <w:tc>
          <w:tcPr>
            <w:tcW w:w="993" w:type="dxa"/>
            <w:vAlign w:val="center"/>
          </w:tcPr>
          <w:p w14:paraId="6C4B66C5">
            <w:pPr>
              <w:bidi w:val="0"/>
              <w:spacing w:line="240" w:lineRule="auto"/>
              <w:jc w:val="cente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1121" w:type="dxa"/>
            <w:vAlign w:val="center"/>
          </w:tcPr>
          <w:p w14:paraId="567D7086">
            <w:pPr>
              <w:bidi w:val="0"/>
              <w:spacing w:line="240" w:lineRule="auto"/>
              <w:jc w:val="center"/>
              <w:rPr>
                <w:rFonts w:hint="eastAsia" w:ascii="Times New Roman" w:hAnsi="Times New Roman" w:cs="Times New Roman"/>
                <w:b w:val="0"/>
                <w:bCs w:val="0"/>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c>
          <w:tcPr>
            <w:tcW w:w="2290" w:type="dxa"/>
            <w:vAlign w:val="center"/>
          </w:tcPr>
          <w:p w14:paraId="3FE1F9E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lang w:eastAsia="zh-TW"/>
                <w14:textFill>
                  <w14:solidFill>
                    <w14:schemeClr w14:val="tx1"/>
                  </w14:solidFill>
                </w14:textFill>
              </w:rPr>
            </w:pPr>
            <w:r>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t>/</w:t>
            </w:r>
          </w:p>
        </w:tc>
        <w:tc>
          <w:tcPr>
            <w:tcW w:w="947" w:type="dxa"/>
            <w:vAlign w:val="center"/>
          </w:tcPr>
          <w:p w14:paraId="7C24FCE7">
            <w:pPr>
              <w:bidi w:val="0"/>
              <w:spacing w:line="240" w:lineRule="auto"/>
              <w:jc w:val="center"/>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39.948</w:t>
            </w:r>
          </w:p>
        </w:tc>
        <w:tc>
          <w:tcPr>
            <w:tcW w:w="1096" w:type="dxa"/>
            <w:vAlign w:val="center"/>
          </w:tcPr>
          <w:p w14:paraId="6AED964D">
            <w:pPr>
              <w:bidi w:val="0"/>
              <w:spacing w:line="240" w:lineRule="auto"/>
              <w:jc w:val="center"/>
              <w:rPr>
                <w:rFonts w:hint="eastAsia" w:ascii="Times New Roman" w:hAnsi="Times New Roman" w:cs="Times New Roman"/>
                <w:b w:val="0"/>
                <w:bCs w:val="0"/>
                <w:color w:val="000000" w:themeColor="text1"/>
                <w:sz w:val="21"/>
                <w:szCs w:val="21"/>
                <w:highlight w:val="none"/>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4.56</w:t>
            </w:r>
          </w:p>
        </w:tc>
      </w:tr>
      <w:tr w14:paraId="4DC45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553" w:type="dxa"/>
            <w:gridSpan w:val="2"/>
            <w:vMerge w:val="continue"/>
            <w:vAlign w:val="center"/>
          </w:tcPr>
          <w:p w14:paraId="09171BA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14:textFill>
                  <w14:solidFill>
                    <w14:schemeClr w14:val="tx1"/>
                  </w14:solidFill>
                </w14:textFill>
              </w:rPr>
            </w:pPr>
          </w:p>
        </w:tc>
        <w:tc>
          <w:tcPr>
            <w:tcW w:w="751" w:type="dxa"/>
            <w:vAlign w:val="center"/>
          </w:tcPr>
          <w:p w14:paraId="76C294C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TSP</w:t>
            </w:r>
          </w:p>
        </w:tc>
        <w:tc>
          <w:tcPr>
            <w:tcW w:w="993" w:type="dxa"/>
            <w:vAlign w:val="center"/>
          </w:tcPr>
          <w:p w14:paraId="13A53A0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0.63</w:t>
            </w:r>
          </w:p>
        </w:tc>
        <w:tc>
          <w:tcPr>
            <w:tcW w:w="1121" w:type="dxa"/>
            <w:vAlign w:val="center"/>
          </w:tcPr>
          <w:p w14:paraId="2D4939E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0.072</w:t>
            </w:r>
          </w:p>
        </w:tc>
        <w:tc>
          <w:tcPr>
            <w:tcW w:w="2290" w:type="dxa"/>
            <w:vAlign w:val="center"/>
          </w:tcPr>
          <w:p w14:paraId="6C0A7A0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default"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cs="Times New Roman"/>
                <w:b w:val="0"/>
                <w:bCs w:val="0"/>
                <w:color w:val="000000" w:themeColor="text1"/>
                <w:sz w:val="21"/>
                <w:szCs w:val="21"/>
                <w:highlight w:val="none"/>
                <w:lang w:val="en-US" w:eastAsia="zh-CN"/>
                <w14:textFill>
                  <w14:solidFill>
                    <w14:schemeClr w14:val="tx1"/>
                  </w14:solidFill>
                </w14:textFill>
              </w:rPr>
              <w:t>/</w:t>
            </w:r>
          </w:p>
        </w:tc>
        <w:tc>
          <w:tcPr>
            <w:tcW w:w="947" w:type="dxa"/>
            <w:vAlign w:val="center"/>
          </w:tcPr>
          <w:p w14:paraId="1351DBD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0.126</w:t>
            </w:r>
          </w:p>
        </w:tc>
        <w:tc>
          <w:tcPr>
            <w:tcW w:w="1096" w:type="dxa"/>
            <w:vAlign w:val="center"/>
          </w:tcPr>
          <w:p w14:paraId="4AC29B5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Times New Roman" w:hAnsi="Times New Roman"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0.014</w:t>
            </w:r>
          </w:p>
        </w:tc>
      </w:tr>
    </w:tbl>
    <w:p w14:paraId="2D4FB4A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"5.2.1.4"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5.2.1.4</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卫生防护距离</w:t>
      </w:r>
    </w:p>
    <w:p w14:paraId="2CB820F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（1）大气环境防护距离</w:t>
      </w:r>
    </w:p>
    <w:p w14:paraId="1FE6DE9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根据《环境影响评价技术导则 大气环境》（HJ2.2-2018），大气环境防护距离是以污染源中心点为起点的控制距离，并结合厂区平面布置图，确定控制距离范围，超出厂界以外的范围，即为项目大气环境防护区域。</w:t>
      </w:r>
    </w:p>
    <w:p w14:paraId="6A58299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根据项目大气环境影响预测结果，本项目厂界外无超标点，因此本项目不设大气环境防护距离。</w:t>
      </w:r>
    </w:p>
    <w:p w14:paraId="7FBA9FD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（2）卫生防护距离</w:t>
      </w:r>
    </w:p>
    <w:p w14:paraId="10B0F77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根据《大气有害物质无组织排放 卫生防护距离推导技术导则》（GB/T</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39499-2020）规定，无组织排放有害气体的生产单元（圈舍、</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堆粪场、干湿分离车间</w:t>
      </w:r>
      <w:r>
        <w:rPr>
          <w:color w:val="000000" w:themeColor="text1"/>
          <w:highlight w:val="none"/>
          <w14:textFill>
            <w14:solidFill>
              <w14:schemeClr w14:val="tx1"/>
            </w14:solidFill>
          </w14:textFill>
        </w:rPr>
        <w:t>）与居民区之间应设置卫生防护距离，计算公式如下：</w:t>
      </w:r>
    </w:p>
    <w:p w14:paraId="4DABABD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2468880" cy="520065"/>
            <wp:effectExtent l="0" t="0" r="7620" b="13335"/>
            <wp:docPr id="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pic:cNvPicPr>
                      <a:picLocks noChangeAspect="1"/>
                    </pic:cNvPicPr>
                  </pic:nvPicPr>
                  <pic:blipFill>
                    <a:blip r:embed="rId43"/>
                    <a:stretch>
                      <a:fillRect/>
                    </a:stretch>
                  </pic:blipFill>
                  <pic:spPr>
                    <a:xfrm>
                      <a:off x="0" y="0"/>
                      <a:ext cx="2468880" cy="520065"/>
                    </a:xfrm>
                    <a:prstGeom prst="rect">
                      <a:avLst/>
                    </a:prstGeom>
                    <a:noFill/>
                    <a:ln>
                      <a:noFill/>
                    </a:ln>
                  </pic:spPr>
                </pic:pic>
              </a:graphicData>
            </a:graphic>
          </wp:inline>
        </w:drawing>
      </w:r>
    </w:p>
    <w:p w14:paraId="3CD9E69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式中：Qc--大气有害物质的无组织排放量（kg/h）；</w:t>
      </w:r>
    </w:p>
    <w:p w14:paraId="56180D9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Cm--大气有害物质环境空气质量的标准浓度限值（mg/m3）；</w:t>
      </w:r>
    </w:p>
    <w:p w14:paraId="65E242A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L--大气有害物质卫生防护距离初值（m）；</w:t>
      </w:r>
    </w:p>
    <w:p w14:paraId="21A80D7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r--大气有害物质无组织排放源所在生产单元的等效半径（m）；</w:t>
      </w:r>
    </w:p>
    <w:p w14:paraId="5D47160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A、B、C、D--卫生防护距离计算系数，无因次，根据工业企业所在地近5年平均风速及大气污染源构成。</w:t>
      </w:r>
    </w:p>
    <w:p w14:paraId="470A7D9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无组织排放多种有害气体时，按Qc/Cm的最大值计算其所需的卫生防护距离。卫生防护距离在100m内时，级差为50m；超过100m，但小于1000m时，级差为100m。当按两种或两种以上有害气体的Qc/Cm计算卫生防护距离在同一级别时，该类工业企业的卫生防护距离提高一级。</w:t>
      </w:r>
    </w:p>
    <w:p w14:paraId="4CB94CB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项目所在地区的平均风速为2.0m/s，A、B、C、D值的选取见表5.2-1</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w:t>
      </w:r>
    </w:p>
    <w:p w14:paraId="30C6D21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表5.2-1</w:t>
      </w:r>
      <w:r>
        <w:rPr>
          <w:rFonts w:hint="eastAsia"/>
          <w:b/>
          <w:bCs/>
          <w:color w:val="000000" w:themeColor="text1"/>
          <w:sz w:val="21"/>
          <w:szCs w:val="21"/>
          <w:highlight w:val="none"/>
          <w:lang w:val="en-US" w:eastAsia="zh-CN"/>
          <w14:textFill>
            <w14:solidFill>
              <w14:schemeClr w14:val="tx1"/>
            </w14:solidFill>
          </w14:textFill>
        </w:rPr>
        <w:t>6</w:t>
      </w:r>
      <w:r>
        <w:rPr>
          <w:b/>
          <w:bCs/>
          <w:color w:val="000000" w:themeColor="text1"/>
          <w:sz w:val="21"/>
          <w:szCs w:val="21"/>
          <w:highlight w:val="none"/>
          <w14:textFill>
            <w14:solidFill>
              <w14:schemeClr w14:val="tx1"/>
            </w14:solidFill>
          </w14:textFill>
        </w:rPr>
        <w:t xml:space="preserve">  卫生防护距离计算系数表</w:t>
      </w:r>
    </w:p>
    <w:tbl>
      <w:tblPr>
        <w:tblStyle w:val="58"/>
        <w:tblW w:w="8353"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1347"/>
        <w:gridCol w:w="663"/>
        <w:gridCol w:w="663"/>
        <w:gridCol w:w="679"/>
        <w:gridCol w:w="663"/>
        <w:gridCol w:w="663"/>
        <w:gridCol w:w="679"/>
        <w:gridCol w:w="662"/>
        <w:gridCol w:w="663"/>
        <w:gridCol w:w="710"/>
      </w:tblGrid>
      <w:tr w14:paraId="43E6BB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961" w:type="dxa"/>
            <w:vMerge w:val="restart"/>
            <w:tcBorders>
              <w:bottom w:val="nil"/>
            </w:tcBorders>
          </w:tcPr>
          <w:p w14:paraId="1CF99CD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卫生防护 距离初值 计算系数</w:t>
            </w:r>
          </w:p>
        </w:tc>
        <w:tc>
          <w:tcPr>
            <w:tcW w:w="1347" w:type="dxa"/>
            <w:vMerge w:val="restart"/>
            <w:tcBorders>
              <w:bottom w:val="nil"/>
            </w:tcBorders>
          </w:tcPr>
          <w:p w14:paraId="49A75091">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工业企业所在 地区5年平均 风速（m/s）</w:t>
            </w:r>
          </w:p>
        </w:tc>
        <w:tc>
          <w:tcPr>
            <w:tcW w:w="6045" w:type="dxa"/>
            <w:gridSpan w:val="9"/>
          </w:tcPr>
          <w:p w14:paraId="173AE03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卫生防护距离L/m</w:t>
            </w:r>
          </w:p>
        </w:tc>
      </w:tr>
      <w:tr w14:paraId="29DC44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961" w:type="dxa"/>
            <w:vMerge w:val="continue"/>
            <w:tcBorders>
              <w:top w:val="nil"/>
              <w:bottom w:val="nil"/>
            </w:tcBorders>
          </w:tcPr>
          <w:p w14:paraId="75E7DBF4">
            <w:pPr>
              <w:spacing w:line="240" w:lineRule="auto"/>
              <w:jc w:val="center"/>
              <w:rPr>
                <w:b/>
                <w:bCs/>
                <w:color w:val="000000" w:themeColor="text1"/>
                <w:sz w:val="21"/>
                <w:szCs w:val="21"/>
                <w:highlight w:val="none"/>
                <w14:textFill>
                  <w14:solidFill>
                    <w14:schemeClr w14:val="tx1"/>
                  </w14:solidFill>
                </w14:textFill>
              </w:rPr>
            </w:pPr>
          </w:p>
        </w:tc>
        <w:tc>
          <w:tcPr>
            <w:tcW w:w="1347" w:type="dxa"/>
            <w:vMerge w:val="continue"/>
            <w:tcBorders>
              <w:top w:val="nil"/>
              <w:bottom w:val="nil"/>
            </w:tcBorders>
          </w:tcPr>
          <w:p w14:paraId="51E61EC6">
            <w:pPr>
              <w:spacing w:line="240" w:lineRule="auto"/>
              <w:jc w:val="center"/>
              <w:rPr>
                <w:b/>
                <w:bCs/>
                <w:color w:val="000000" w:themeColor="text1"/>
                <w:sz w:val="21"/>
                <w:szCs w:val="21"/>
                <w:highlight w:val="none"/>
                <w14:textFill>
                  <w14:solidFill>
                    <w14:schemeClr w14:val="tx1"/>
                  </w14:solidFill>
                </w14:textFill>
              </w:rPr>
            </w:pPr>
          </w:p>
        </w:tc>
        <w:tc>
          <w:tcPr>
            <w:tcW w:w="2005" w:type="dxa"/>
            <w:gridSpan w:val="3"/>
          </w:tcPr>
          <w:p w14:paraId="0A748CB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L≤1000</w:t>
            </w:r>
          </w:p>
        </w:tc>
        <w:tc>
          <w:tcPr>
            <w:tcW w:w="2005" w:type="dxa"/>
            <w:gridSpan w:val="3"/>
          </w:tcPr>
          <w:p w14:paraId="111AEE6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1000＜L≤2000</w:t>
            </w:r>
          </w:p>
        </w:tc>
        <w:tc>
          <w:tcPr>
            <w:tcW w:w="2035" w:type="dxa"/>
            <w:gridSpan w:val="3"/>
          </w:tcPr>
          <w:p w14:paraId="2BFBD96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L＞2000</w:t>
            </w:r>
          </w:p>
        </w:tc>
      </w:tr>
      <w:tr w14:paraId="2FEB98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61" w:type="dxa"/>
            <w:vMerge w:val="continue"/>
            <w:tcBorders>
              <w:top w:val="nil"/>
              <w:bottom w:val="nil"/>
            </w:tcBorders>
          </w:tcPr>
          <w:p w14:paraId="19C648AD">
            <w:pPr>
              <w:spacing w:line="240" w:lineRule="auto"/>
              <w:jc w:val="center"/>
              <w:rPr>
                <w:b/>
                <w:bCs/>
                <w:color w:val="000000" w:themeColor="text1"/>
                <w:sz w:val="21"/>
                <w:szCs w:val="21"/>
                <w:highlight w:val="none"/>
                <w14:textFill>
                  <w14:solidFill>
                    <w14:schemeClr w14:val="tx1"/>
                  </w14:solidFill>
                </w14:textFill>
              </w:rPr>
            </w:pPr>
          </w:p>
        </w:tc>
        <w:tc>
          <w:tcPr>
            <w:tcW w:w="1347" w:type="dxa"/>
            <w:vMerge w:val="continue"/>
            <w:tcBorders>
              <w:top w:val="nil"/>
              <w:bottom w:val="nil"/>
            </w:tcBorders>
          </w:tcPr>
          <w:p w14:paraId="58DFE2A1">
            <w:pPr>
              <w:spacing w:line="240" w:lineRule="auto"/>
              <w:jc w:val="center"/>
              <w:rPr>
                <w:b/>
                <w:bCs/>
                <w:color w:val="000000" w:themeColor="text1"/>
                <w:sz w:val="21"/>
                <w:szCs w:val="21"/>
                <w:highlight w:val="none"/>
                <w14:textFill>
                  <w14:solidFill>
                    <w14:schemeClr w14:val="tx1"/>
                  </w14:solidFill>
                </w14:textFill>
              </w:rPr>
            </w:pPr>
          </w:p>
        </w:tc>
        <w:tc>
          <w:tcPr>
            <w:tcW w:w="6045" w:type="dxa"/>
            <w:gridSpan w:val="9"/>
          </w:tcPr>
          <w:p w14:paraId="4E46477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工业企业大气污染源构成类型</w:t>
            </w:r>
          </w:p>
        </w:tc>
      </w:tr>
      <w:tr w14:paraId="4D65E3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961" w:type="dxa"/>
            <w:vMerge w:val="continue"/>
            <w:tcBorders>
              <w:top w:val="nil"/>
            </w:tcBorders>
          </w:tcPr>
          <w:p w14:paraId="4B2FAE73">
            <w:pPr>
              <w:spacing w:line="240" w:lineRule="auto"/>
              <w:jc w:val="center"/>
              <w:rPr>
                <w:b/>
                <w:bCs/>
                <w:color w:val="000000" w:themeColor="text1"/>
                <w:sz w:val="21"/>
                <w:szCs w:val="21"/>
                <w:highlight w:val="none"/>
                <w14:textFill>
                  <w14:solidFill>
                    <w14:schemeClr w14:val="tx1"/>
                  </w14:solidFill>
                </w14:textFill>
              </w:rPr>
            </w:pPr>
          </w:p>
        </w:tc>
        <w:tc>
          <w:tcPr>
            <w:tcW w:w="1347" w:type="dxa"/>
            <w:vMerge w:val="continue"/>
            <w:tcBorders>
              <w:top w:val="nil"/>
            </w:tcBorders>
          </w:tcPr>
          <w:p w14:paraId="0DC601A0">
            <w:pPr>
              <w:spacing w:line="240" w:lineRule="auto"/>
              <w:jc w:val="center"/>
              <w:rPr>
                <w:b/>
                <w:bCs/>
                <w:color w:val="000000" w:themeColor="text1"/>
                <w:sz w:val="21"/>
                <w:szCs w:val="21"/>
                <w:highlight w:val="none"/>
                <w14:textFill>
                  <w14:solidFill>
                    <w14:schemeClr w14:val="tx1"/>
                  </w14:solidFill>
                </w14:textFill>
              </w:rPr>
            </w:pPr>
          </w:p>
        </w:tc>
        <w:tc>
          <w:tcPr>
            <w:tcW w:w="663" w:type="dxa"/>
          </w:tcPr>
          <w:p w14:paraId="2E89934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Ⅰ</w:t>
            </w:r>
          </w:p>
        </w:tc>
        <w:tc>
          <w:tcPr>
            <w:tcW w:w="663" w:type="dxa"/>
          </w:tcPr>
          <w:p w14:paraId="22D9450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Ⅱ</w:t>
            </w:r>
          </w:p>
        </w:tc>
        <w:tc>
          <w:tcPr>
            <w:tcW w:w="679" w:type="dxa"/>
          </w:tcPr>
          <w:p w14:paraId="31E2C55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Ⅲ</w:t>
            </w:r>
          </w:p>
        </w:tc>
        <w:tc>
          <w:tcPr>
            <w:tcW w:w="663" w:type="dxa"/>
          </w:tcPr>
          <w:p w14:paraId="5A82D54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Ⅰ</w:t>
            </w:r>
          </w:p>
        </w:tc>
        <w:tc>
          <w:tcPr>
            <w:tcW w:w="663" w:type="dxa"/>
          </w:tcPr>
          <w:p w14:paraId="7BD2D9D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Ⅱ</w:t>
            </w:r>
          </w:p>
        </w:tc>
        <w:tc>
          <w:tcPr>
            <w:tcW w:w="679" w:type="dxa"/>
          </w:tcPr>
          <w:p w14:paraId="0654DEC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Ⅲ</w:t>
            </w:r>
          </w:p>
        </w:tc>
        <w:tc>
          <w:tcPr>
            <w:tcW w:w="662" w:type="dxa"/>
          </w:tcPr>
          <w:p w14:paraId="21FCAAA6">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Ⅰ</w:t>
            </w:r>
          </w:p>
        </w:tc>
        <w:tc>
          <w:tcPr>
            <w:tcW w:w="663" w:type="dxa"/>
          </w:tcPr>
          <w:p w14:paraId="6140458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Ⅱ</w:t>
            </w:r>
          </w:p>
        </w:tc>
        <w:tc>
          <w:tcPr>
            <w:tcW w:w="710" w:type="dxa"/>
          </w:tcPr>
          <w:p w14:paraId="1EDADEA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Ⅲ</w:t>
            </w:r>
          </w:p>
        </w:tc>
      </w:tr>
      <w:tr w14:paraId="542DC4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61" w:type="dxa"/>
            <w:vMerge w:val="restart"/>
            <w:tcBorders>
              <w:bottom w:val="nil"/>
            </w:tcBorders>
          </w:tcPr>
          <w:p w14:paraId="3CCA067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A</w:t>
            </w:r>
          </w:p>
        </w:tc>
        <w:tc>
          <w:tcPr>
            <w:tcW w:w="1347" w:type="dxa"/>
          </w:tcPr>
          <w:p w14:paraId="77C3B44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663" w:type="dxa"/>
          </w:tcPr>
          <w:p w14:paraId="7078C5B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c>
          <w:tcPr>
            <w:tcW w:w="663" w:type="dxa"/>
          </w:tcPr>
          <w:p w14:paraId="1D2F025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c>
          <w:tcPr>
            <w:tcW w:w="679" w:type="dxa"/>
          </w:tcPr>
          <w:p w14:paraId="5717B9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c>
          <w:tcPr>
            <w:tcW w:w="663" w:type="dxa"/>
          </w:tcPr>
          <w:p w14:paraId="7FFF11C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c>
          <w:tcPr>
            <w:tcW w:w="663" w:type="dxa"/>
          </w:tcPr>
          <w:p w14:paraId="70E474D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c>
          <w:tcPr>
            <w:tcW w:w="679" w:type="dxa"/>
          </w:tcPr>
          <w:p w14:paraId="77A1092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400</w:t>
            </w:r>
          </w:p>
        </w:tc>
        <w:tc>
          <w:tcPr>
            <w:tcW w:w="662" w:type="dxa"/>
          </w:tcPr>
          <w:p w14:paraId="1ACF412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w:t>
            </w:r>
          </w:p>
        </w:tc>
        <w:tc>
          <w:tcPr>
            <w:tcW w:w="663" w:type="dxa"/>
          </w:tcPr>
          <w:p w14:paraId="2FF46D4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w:t>
            </w:r>
          </w:p>
        </w:tc>
        <w:tc>
          <w:tcPr>
            <w:tcW w:w="710" w:type="dxa"/>
          </w:tcPr>
          <w:p w14:paraId="077C3D0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80</w:t>
            </w:r>
          </w:p>
        </w:tc>
      </w:tr>
      <w:tr w14:paraId="61EE79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61" w:type="dxa"/>
            <w:vMerge w:val="continue"/>
            <w:tcBorders>
              <w:top w:val="nil"/>
              <w:bottom w:val="nil"/>
            </w:tcBorders>
          </w:tcPr>
          <w:p w14:paraId="06F289DD">
            <w:pPr>
              <w:spacing w:line="240" w:lineRule="auto"/>
              <w:jc w:val="center"/>
              <w:rPr>
                <w:color w:val="000000" w:themeColor="text1"/>
                <w:sz w:val="21"/>
                <w:szCs w:val="21"/>
                <w:highlight w:val="none"/>
                <w14:textFill>
                  <w14:solidFill>
                    <w14:schemeClr w14:val="tx1"/>
                  </w14:solidFill>
                </w14:textFill>
              </w:rPr>
            </w:pPr>
          </w:p>
        </w:tc>
        <w:tc>
          <w:tcPr>
            <w:tcW w:w="1347" w:type="dxa"/>
          </w:tcPr>
          <w:p w14:paraId="0E700D0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4</w:t>
            </w:r>
          </w:p>
        </w:tc>
        <w:tc>
          <w:tcPr>
            <w:tcW w:w="663" w:type="dxa"/>
          </w:tcPr>
          <w:p w14:paraId="35960A5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700</w:t>
            </w:r>
          </w:p>
        </w:tc>
        <w:tc>
          <w:tcPr>
            <w:tcW w:w="663" w:type="dxa"/>
          </w:tcPr>
          <w:p w14:paraId="13AE765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470</w:t>
            </w:r>
          </w:p>
        </w:tc>
        <w:tc>
          <w:tcPr>
            <w:tcW w:w="679" w:type="dxa"/>
          </w:tcPr>
          <w:p w14:paraId="7D8DA3E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350</w:t>
            </w:r>
          </w:p>
        </w:tc>
        <w:tc>
          <w:tcPr>
            <w:tcW w:w="663" w:type="dxa"/>
          </w:tcPr>
          <w:p w14:paraId="21B3CA5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700</w:t>
            </w:r>
          </w:p>
        </w:tc>
        <w:tc>
          <w:tcPr>
            <w:tcW w:w="663" w:type="dxa"/>
          </w:tcPr>
          <w:p w14:paraId="3F35F24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470</w:t>
            </w:r>
          </w:p>
        </w:tc>
        <w:tc>
          <w:tcPr>
            <w:tcW w:w="679" w:type="dxa"/>
          </w:tcPr>
          <w:p w14:paraId="400D868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350</w:t>
            </w:r>
          </w:p>
        </w:tc>
        <w:tc>
          <w:tcPr>
            <w:tcW w:w="662" w:type="dxa"/>
          </w:tcPr>
          <w:p w14:paraId="1C91BE2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380</w:t>
            </w:r>
          </w:p>
        </w:tc>
        <w:tc>
          <w:tcPr>
            <w:tcW w:w="663" w:type="dxa"/>
          </w:tcPr>
          <w:p w14:paraId="3BBF4BA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250</w:t>
            </w:r>
          </w:p>
        </w:tc>
        <w:tc>
          <w:tcPr>
            <w:tcW w:w="710" w:type="dxa"/>
          </w:tcPr>
          <w:p w14:paraId="4CECBA0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190</w:t>
            </w:r>
          </w:p>
        </w:tc>
      </w:tr>
      <w:tr w14:paraId="2FCC43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61" w:type="dxa"/>
            <w:vMerge w:val="continue"/>
            <w:tcBorders>
              <w:top w:val="nil"/>
            </w:tcBorders>
          </w:tcPr>
          <w:p w14:paraId="6BB7DEE3">
            <w:pPr>
              <w:spacing w:line="240" w:lineRule="auto"/>
              <w:jc w:val="center"/>
              <w:rPr>
                <w:color w:val="000000" w:themeColor="text1"/>
                <w:sz w:val="21"/>
                <w:szCs w:val="21"/>
                <w:highlight w:val="none"/>
                <w14:textFill>
                  <w14:solidFill>
                    <w14:schemeClr w14:val="tx1"/>
                  </w14:solidFill>
                </w14:textFill>
              </w:rPr>
            </w:pPr>
          </w:p>
        </w:tc>
        <w:tc>
          <w:tcPr>
            <w:tcW w:w="1347" w:type="dxa"/>
          </w:tcPr>
          <w:p w14:paraId="6224D6A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&gt;4</w:t>
            </w:r>
          </w:p>
        </w:tc>
        <w:tc>
          <w:tcPr>
            <w:tcW w:w="663" w:type="dxa"/>
          </w:tcPr>
          <w:p w14:paraId="3E43A7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530</w:t>
            </w:r>
          </w:p>
        </w:tc>
        <w:tc>
          <w:tcPr>
            <w:tcW w:w="663" w:type="dxa"/>
          </w:tcPr>
          <w:p w14:paraId="022E46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350</w:t>
            </w:r>
          </w:p>
        </w:tc>
        <w:tc>
          <w:tcPr>
            <w:tcW w:w="679" w:type="dxa"/>
          </w:tcPr>
          <w:p w14:paraId="1CCCBE3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260</w:t>
            </w:r>
          </w:p>
        </w:tc>
        <w:tc>
          <w:tcPr>
            <w:tcW w:w="663" w:type="dxa"/>
          </w:tcPr>
          <w:p w14:paraId="02F444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530</w:t>
            </w:r>
          </w:p>
        </w:tc>
        <w:tc>
          <w:tcPr>
            <w:tcW w:w="663" w:type="dxa"/>
          </w:tcPr>
          <w:p w14:paraId="0300B20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350</w:t>
            </w:r>
          </w:p>
        </w:tc>
        <w:tc>
          <w:tcPr>
            <w:tcW w:w="679" w:type="dxa"/>
          </w:tcPr>
          <w:p w14:paraId="34CB940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260</w:t>
            </w:r>
          </w:p>
        </w:tc>
        <w:tc>
          <w:tcPr>
            <w:tcW w:w="662" w:type="dxa"/>
          </w:tcPr>
          <w:p w14:paraId="1D4375F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290</w:t>
            </w:r>
          </w:p>
        </w:tc>
        <w:tc>
          <w:tcPr>
            <w:tcW w:w="663" w:type="dxa"/>
          </w:tcPr>
          <w:p w14:paraId="26D5CF5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190</w:t>
            </w:r>
          </w:p>
        </w:tc>
        <w:tc>
          <w:tcPr>
            <w:tcW w:w="710" w:type="dxa"/>
          </w:tcPr>
          <w:p w14:paraId="232296C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140</w:t>
            </w:r>
          </w:p>
        </w:tc>
      </w:tr>
      <w:tr w14:paraId="1FEF5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61" w:type="dxa"/>
            <w:vMerge w:val="restart"/>
            <w:tcBorders>
              <w:bottom w:val="nil"/>
            </w:tcBorders>
          </w:tcPr>
          <w:p w14:paraId="5143ED3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B</w:t>
            </w:r>
          </w:p>
        </w:tc>
        <w:tc>
          <w:tcPr>
            <w:tcW w:w="1347" w:type="dxa"/>
          </w:tcPr>
          <w:p w14:paraId="6BD1620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005" w:type="dxa"/>
            <w:gridSpan w:val="3"/>
          </w:tcPr>
          <w:p w14:paraId="7E72F2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w:t>
            </w:r>
          </w:p>
        </w:tc>
        <w:tc>
          <w:tcPr>
            <w:tcW w:w="2005" w:type="dxa"/>
            <w:gridSpan w:val="3"/>
          </w:tcPr>
          <w:p w14:paraId="5648B5B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0.015</w:t>
            </w:r>
          </w:p>
        </w:tc>
        <w:tc>
          <w:tcPr>
            <w:tcW w:w="2035" w:type="dxa"/>
            <w:gridSpan w:val="3"/>
          </w:tcPr>
          <w:p w14:paraId="21F77D2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0.015</w:t>
            </w:r>
          </w:p>
        </w:tc>
      </w:tr>
      <w:tr w14:paraId="4B4C01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61" w:type="dxa"/>
            <w:vMerge w:val="continue"/>
            <w:tcBorders>
              <w:top w:val="nil"/>
            </w:tcBorders>
          </w:tcPr>
          <w:p w14:paraId="165D5995">
            <w:pPr>
              <w:spacing w:line="240" w:lineRule="auto"/>
              <w:jc w:val="center"/>
              <w:rPr>
                <w:color w:val="000000" w:themeColor="text1"/>
                <w:sz w:val="21"/>
                <w:szCs w:val="21"/>
                <w:highlight w:val="none"/>
                <w14:textFill>
                  <w14:solidFill>
                    <w14:schemeClr w14:val="tx1"/>
                  </w14:solidFill>
                </w14:textFill>
              </w:rPr>
            </w:pPr>
          </w:p>
        </w:tc>
        <w:tc>
          <w:tcPr>
            <w:tcW w:w="1347" w:type="dxa"/>
          </w:tcPr>
          <w:p w14:paraId="2B95DD8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&gt;2</w:t>
            </w:r>
          </w:p>
        </w:tc>
        <w:tc>
          <w:tcPr>
            <w:tcW w:w="2005" w:type="dxa"/>
            <w:gridSpan w:val="3"/>
          </w:tcPr>
          <w:p w14:paraId="4779EB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0.021</w:t>
            </w:r>
          </w:p>
        </w:tc>
        <w:tc>
          <w:tcPr>
            <w:tcW w:w="2005" w:type="dxa"/>
            <w:gridSpan w:val="3"/>
          </w:tcPr>
          <w:p w14:paraId="74487AE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0.036</w:t>
            </w:r>
          </w:p>
        </w:tc>
        <w:tc>
          <w:tcPr>
            <w:tcW w:w="2035" w:type="dxa"/>
            <w:gridSpan w:val="3"/>
          </w:tcPr>
          <w:p w14:paraId="0F046A6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0.036</w:t>
            </w:r>
          </w:p>
        </w:tc>
      </w:tr>
      <w:tr w14:paraId="4E4DEC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61" w:type="dxa"/>
            <w:vMerge w:val="restart"/>
            <w:tcBorders>
              <w:bottom w:val="nil"/>
            </w:tcBorders>
          </w:tcPr>
          <w:p w14:paraId="6033982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p>
        </w:tc>
        <w:tc>
          <w:tcPr>
            <w:tcW w:w="1347" w:type="dxa"/>
          </w:tcPr>
          <w:p w14:paraId="488D2B7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005" w:type="dxa"/>
            <w:gridSpan w:val="3"/>
          </w:tcPr>
          <w:p w14:paraId="10DE435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1.85</w:t>
            </w:r>
          </w:p>
        </w:tc>
        <w:tc>
          <w:tcPr>
            <w:tcW w:w="2005" w:type="dxa"/>
            <w:gridSpan w:val="3"/>
          </w:tcPr>
          <w:p w14:paraId="1F342C1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1.79</w:t>
            </w:r>
          </w:p>
        </w:tc>
        <w:tc>
          <w:tcPr>
            <w:tcW w:w="2035" w:type="dxa"/>
            <w:gridSpan w:val="3"/>
          </w:tcPr>
          <w:p w14:paraId="0AF8330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1.79</w:t>
            </w:r>
          </w:p>
        </w:tc>
      </w:tr>
      <w:tr w14:paraId="305DCC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61" w:type="dxa"/>
            <w:vMerge w:val="continue"/>
            <w:tcBorders>
              <w:top w:val="nil"/>
              <w:bottom w:val="single" w:color="auto" w:sz="4" w:space="0"/>
            </w:tcBorders>
          </w:tcPr>
          <w:p w14:paraId="0540975B">
            <w:pPr>
              <w:spacing w:line="240" w:lineRule="auto"/>
              <w:jc w:val="center"/>
              <w:rPr>
                <w:color w:val="000000" w:themeColor="text1"/>
                <w:sz w:val="21"/>
                <w:szCs w:val="21"/>
                <w:highlight w:val="none"/>
                <w14:textFill>
                  <w14:solidFill>
                    <w14:schemeClr w14:val="tx1"/>
                  </w14:solidFill>
                </w14:textFill>
              </w:rPr>
            </w:pPr>
          </w:p>
        </w:tc>
        <w:tc>
          <w:tcPr>
            <w:tcW w:w="1347" w:type="dxa"/>
            <w:tcBorders>
              <w:bottom w:val="single" w:color="auto" w:sz="4" w:space="0"/>
            </w:tcBorders>
          </w:tcPr>
          <w:p w14:paraId="261C173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&gt;2</w:t>
            </w:r>
          </w:p>
        </w:tc>
        <w:tc>
          <w:tcPr>
            <w:tcW w:w="2005" w:type="dxa"/>
            <w:gridSpan w:val="3"/>
            <w:tcBorders>
              <w:bottom w:val="single" w:color="auto" w:sz="4" w:space="0"/>
            </w:tcBorders>
          </w:tcPr>
          <w:p w14:paraId="69019E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1.85</w:t>
            </w:r>
          </w:p>
        </w:tc>
        <w:tc>
          <w:tcPr>
            <w:tcW w:w="2005" w:type="dxa"/>
            <w:gridSpan w:val="3"/>
            <w:tcBorders>
              <w:bottom w:val="single" w:color="auto" w:sz="4" w:space="0"/>
            </w:tcBorders>
          </w:tcPr>
          <w:p w14:paraId="4953F81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1.77</w:t>
            </w:r>
          </w:p>
        </w:tc>
        <w:tc>
          <w:tcPr>
            <w:tcW w:w="2035" w:type="dxa"/>
            <w:gridSpan w:val="3"/>
            <w:tcBorders>
              <w:bottom w:val="single" w:color="auto" w:sz="4" w:space="0"/>
            </w:tcBorders>
          </w:tcPr>
          <w:p w14:paraId="2733E70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1.77</w:t>
            </w:r>
          </w:p>
        </w:tc>
      </w:tr>
      <w:tr w14:paraId="0891BB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61" w:type="dxa"/>
            <w:vMerge w:val="restart"/>
            <w:tcBorders>
              <w:top w:val="single" w:color="auto" w:sz="4" w:space="0"/>
              <w:left w:val="single" w:color="auto" w:sz="4" w:space="0"/>
              <w:bottom w:val="single" w:color="auto" w:sz="4" w:space="0"/>
              <w:right w:val="single" w:color="auto" w:sz="4" w:space="0"/>
            </w:tcBorders>
          </w:tcPr>
          <w:p w14:paraId="355A93C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D</w:t>
            </w:r>
          </w:p>
        </w:tc>
        <w:tc>
          <w:tcPr>
            <w:tcW w:w="1347" w:type="dxa"/>
            <w:tcBorders>
              <w:top w:val="single" w:color="auto" w:sz="4" w:space="0"/>
              <w:left w:val="single" w:color="auto" w:sz="4" w:space="0"/>
              <w:bottom w:val="single" w:color="auto" w:sz="4" w:space="0"/>
              <w:right w:val="single" w:color="auto" w:sz="4" w:space="0"/>
            </w:tcBorders>
          </w:tcPr>
          <w:p w14:paraId="2AD35E8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005" w:type="dxa"/>
            <w:gridSpan w:val="3"/>
            <w:tcBorders>
              <w:top w:val="single" w:color="auto" w:sz="4" w:space="0"/>
              <w:left w:val="single" w:color="auto" w:sz="4" w:space="0"/>
              <w:bottom w:val="single" w:color="auto" w:sz="4" w:space="0"/>
              <w:right w:val="single" w:color="auto" w:sz="4" w:space="0"/>
            </w:tcBorders>
          </w:tcPr>
          <w:p w14:paraId="447295E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0.78</w:t>
            </w:r>
          </w:p>
        </w:tc>
        <w:tc>
          <w:tcPr>
            <w:tcW w:w="2005" w:type="dxa"/>
            <w:gridSpan w:val="3"/>
            <w:tcBorders>
              <w:top w:val="single" w:color="auto" w:sz="4" w:space="0"/>
              <w:left w:val="single" w:color="auto" w:sz="4" w:space="0"/>
              <w:bottom w:val="single" w:color="auto" w:sz="4" w:space="0"/>
              <w:right w:val="single" w:color="auto" w:sz="4" w:space="0"/>
            </w:tcBorders>
          </w:tcPr>
          <w:p w14:paraId="78FA84E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0.78</w:t>
            </w:r>
          </w:p>
        </w:tc>
        <w:tc>
          <w:tcPr>
            <w:tcW w:w="2035" w:type="dxa"/>
            <w:gridSpan w:val="3"/>
            <w:tcBorders>
              <w:top w:val="single" w:color="auto" w:sz="4" w:space="0"/>
              <w:left w:val="single" w:color="auto" w:sz="4" w:space="0"/>
              <w:bottom w:val="single" w:color="auto" w:sz="4" w:space="0"/>
              <w:right w:val="single" w:color="auto" w:sz="4" w:space="0"/>
            </w:tcBorders>
          </w:tcPr>
          <w:p w14:paraId="4D5BF4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0.57</w:t>
            </w:r>
          </w:p>
        </w:tc>
      </w:tr>
      <w:tr w14:paraId="1F1C87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61" w:type="dxa"/>
            <w:vMerge w:val="continue"/>
            <w:tcBorders>
              <w:top w:val="single" w:color="auto" w:sz="4" w:space="0"/>
              <w:left w:val="single" w:color="auto" w:sz="4" w:space="0"/>
              <w:bottom w:val="single" w:color="auto" w:sz="4" w:space="0"/>
              <w:right w:val="single" w:color="auto" w:sz="4" w:space="0"/>
            </w:tcBorders>
          </w:tcPr>
          <w:p w14:paraId="6B690598">
            <w:pPr>
              <w:spacing w:line="240" w:lineRule="auto"/>
              <w:jc w:val="center"/>
              <w:rPr>
                <w:color w:val="000000" w:themeColor="text1"/>
                <w:sz w:val="21"/>
                <w:szCs w:val="21"/>
                <w:highlight w:val="none"/>
                <w14:textFill>
                  <w14:solidFill>
                    <w14:schemeClr w14:val="tx1"/>
                  </w14:solidFill>
                </w14:textFill>
              </w:rPr>
            </w:pPr>
          </w:p>
        </w:tc>
        <w:tc>
          <w:tcPr>
            <w:tcW w:w="1347" w:type="dxa"/>
            <w:tcBorders>
              <w:top w:val="single" w:color="auto" w:sz="4" w:space="0"/>
              <w:left w:val="single" w:color="auto" w:sz="4" w:space="0"/>
              <w:bottom w:val="single" w:color="auto" w:sz="4" w:space="0"/>
              <w:right w:val="single" w:color="auto" w:sz="4" w:space="0"/>
            </w:tcBorders>
          </w:tcPr>
          <w:p w14:paraId="210E021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&gt;2</w:t>
            </w:r>
          </w:p>
        </w:tc>
        <w:tc>
          <w:tcPr>
            <w:tcW w:w="2005" w:type="dxa"/>
            <w:gridSpan w:val="3"/>
            <w:tcBorders>
              <w:top w:val="single" w:color="auto" w:sz="4" w:space="0"/>
              <w:left w:val="single" w:color="auto" w:sz="4" w:space="0"/>
              <w:bottom w:val="single" w:color="auto" w:sz="4" w:space="0"/>
              <w:right w:val="single" w:color="auto" w:sz="4" w:space="0"/>
            </w:tcBorders>
          </w:tcPr>
          <w:p w14:paraId="7EDC070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0.84</w:t>
            </w:r>
          </w:p>
        </w:tc>
        <w:tc>
          <w:tcPr>
            <w:tcW w:w="2005" w:type="dxa"/>
            <w:gridSpan w:val="3"/>
            <w:tcBorders>
              <w:top w:val="single" w:color="auto" w:sz="4" w:space="0"/>
              <w:left w:val="single" w:color="auto" w:sz="4" w:space="0"/>
              <w:bottom w:val="single" w:color="auto" w:sz="4" w:space="0"/>
              <w:right w:val="single" w:color="auto" w:sz="4" w:space="0"/>
            </w:tcBorders>
          </w:tcPr>
          <w:p w14:paraId="015DBFB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0.84</w:t>
            </w:r>
          </w:p>
        </w:tc>
        <w:tc>
          <w:tcPr>
            <w:tcW w:w="2035" w:type="dxa"/>
            <w:gridSpan w:val="3"/>
            <w:tcBorders>
              <w:top w:val="single" w:color="auto" w:sz="4" w:space="0"/>
              <w:left w:val="single" w:color="auto" w:sz="4" w:space="0"/>
              <w:bottom w:val="single" w:color="auto" w:sz="4" w:space="0"/>
              <w:right w:val="single" w:color="auto" w:sz="4" w:space="0"/>
            </w:tcBorders>
          </w:tcPr>
          <w:p w14:paraId="43E646D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0.76</w:t>
            </w:r>
          </w:p>
        </w:tc>
      </w:tr>
      <w:tr w14:paraId="0B90FB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8353" w:type="dxa"/>
            <w:gridSpan w:val="11"/>
            <w:tcBorders>
              <w:top w:val="single" w:color="auto" w:sz="4" w:space="0"/>
              <w:left w:val="single" w:color="auto" w:sz="4" w:space="0"/>
              <w:bottom w:val="single" w:color="auto" w:sz="4" w:space="0"/>
              <w:right w:val="single" w:color="auto" w:sz="4" w:space="0"/>
            </w:tcBorders>
          </w:tcPr>
          <w:p w14:paraId="454E9925">
            <w:pPr>
              <w:spacing w:line="240" w:lineRule="auto"/>
              <w:ind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注*工业企业大气污染源构成分为三类：</w:t>
            </w:r>
          </w:p>
          <w:p w14:paraId="2CB0FBE3">
            <w:pPr>
              <w:spacing w:line="240" w:lineRule="auto"/>
              <w:ind w:firstLine="420" w:firstLineChars="20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I类：与无组织排放源共存的同种有害气体的排气筒的排放量，大于标准规定的允许排放量的三分之一者；</w:t>
            </w:r>
          </w:p>
          <w:p w14:paraId="3687CFDE">
            <w:pPr>
              <w:spacing w:line="240" w:lineRule="auto"/>
              <w:ind w:firstLine="420" w:firstLineChars="200"/>
              <w:rPr>
                <w:rFonts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14:textFill>
                  <w14:solidFill>
                    <w14:schemeClr w14:val="tx1"/>
                  </w14:solidFill>
                </w14:textFill>
              </w:rPr>
              <w:t>Ⅱ类</w:t>
            </w:r>
            <w:r>
              <w:rPr>
                <w:rFonts w:ascii="Times New Roman" w:hAnsi="Times New Roman" w:eastAsia="宋体" w:cs="宋体"/>
                <w:color w:val="000000" w:themeColor="text1"/>
                <w:sz w:val="21"/>
                <w:szCs w:val="21"/>
                <w:highlight w:val="none"/>
                <w14:textFill>
                  <w14:solidFill>
                    <w14:schemeClr w14:val="tx1"/>
                  </w14:solidFill>
                </w14:textFill>
              </w:rPr>
              <w:t>：与无组织排放源共存的排放同种有害气体的排气筒的排放量，小于标准规定的允许排放量的三分之一，或虽无排放同种大气污染物之排气筒共存，但无组织排放的有害物质的容许浓度指标是按急性反应指标确定者；</w:t>
            </w:r>
          </w:p>
          <w:p w14:paraId="37983AC6">
            <w:pPr>
              <w:spacing w:line="240" w:lineRule="auto"/>
              <w:ind w:firstLine="420" w:firstLineChars="200"/>
              <w:rPr>
                <w:color w:val="000000" w:themeColor="text1"/>
                <w:sz w:val="21"/>
                <w:szCs w:val="21"/>
                <w:highlight w:val="none"/>
                <w14:textFill>
                  <w14:solidFill>
                    <w14:schemeClr w14:val="tx1"/>
                  </w14:solidFill>
                </w14:textFill>
              </w:rPr>
            </w:pPr>
            <w:r>
              <w:rPr>
                <w:rFonts w:ascii="Times New Roman" w:hAnsi="Times New Roman" w:eastAsia="宋体" w:cs="宋体"/>
                <w:color w:val="000000" w:themeColor="text1"/>
                <w:sz w:val="21"/>
                <w:szCs w:val="21"/>
                <w:highlight w:val="none"/>
                <w14:textFill>
                  <w14:solidFill>
                    <w14:schemeClr w14:val="tx1"/>
                  </w14:solidFill>
                </w14:textFill>
              </w:rPr>
              <w:t>III类：无排放同种有害物质的排气筒与无组织排放源共存，且无组织排放的有害物质的容许浓度是按慢性反应指标确定者。</w:t>
            </w:r>
          </w:p>
        </w:tc>
      </w:tr>
    </w:tbl>
    <w:p w14:paraId="7BC9B5B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计算结果，按照卫生防护距离标准制定方法的规定：当按两种或两种以上有害气体的Qc/Cm计算卫生防护距离在同一级别时，该类工业企业的卫生防护距离提高一级。按照卫生防护距离设置要求，根据卫生防护距离估算结果，本项目卫生防护距离为以整个厂区边界为起点的100m范围。</w:t>
      </w:r>
    </w:p>
    <w:p w14:paraId="4D0D9A22">
      <w:pPr>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fldChar w:fldCharType="begin"/>
      </w:r>
      <w:r>
        <w:rPr>
          <w:b/>
          <w:bCs/>
          <w:color w:val="000000" w:themeColor="text1"/>
          <w:highlight w:val="none"/>
          <w14:textFill>
            <w14:solidFill>
              <w14:schemeClr w14:val="tx1"/>
            </w14:solidFill>
          </w14:textFill>
        </w:rPr>
        <w:instrText xml:space="preserve"> HYPERLINK "5.2.1.5" </w:instrText>
      </w:r>
      <w:r>
        <w:rPr>
          <w:b/>
          <w:bCs/>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5.2.1.5</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 xml:space="preserve"> 大气环境影响评价自查表</w:t>
      </w:r>
    </w:p>
    <w:p w14:paraId="36C472C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项目大气环境影响评价自查表具体情况见表5.2-1</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w:t>
      </w:r>
    </w:p>
    <w:p w14:paraId="6565A70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表5.2-1</w:t>
      </w:r>
      <w:r>
        <w:rPr>
          <w:rFonts w:hint="eastAsia"/>
          <w:b/>
          <w:bCs/>
          <w:color w:val="000000" w:themeColor="text1"/>
          <w:sz w:val="21"/>
          <w:szCs w:val="21"/>
          <w:highlight w:val="none"/>
          <w:lang w:val="en-US" w:eastAsia="zh-CN"/>
          <w14:textFill>
            <w14:solidFill>
              <w14:schemeClr w14:val="tx1"/>
            </w14:solidFill>
          </w14:textFill>
        </w:rPr>
        <w:t>7</w:t>
      </w:r>
      <w:r>
        <w:rPr>
          <w:b/>
          <w:bCs/>
          <w:color w:val="000000" w:themeColor="text1"/>
          <w:sz w:val="21"/>
          <w:szCs w:val="21"/>
          <w:highlight w:val="none"/>
          <w14:textFill>
            <w14:solidFill>
              <w14:schemeClr w14:val="tx1"/>
            </w14:solidFill>
          </w14:textFill>
        </w:rPr>
        <w:t xml:space="preserve">  大气环境影响评价自查表</w:t>
      </w:r>
    </w:p>
    <w:tbl>
      <w:tblPr>
        <w:tblStyle w:val="58"/>
        <w:tblW w:w="8336" w:type="dxa"/>
        <w:tblInd w:w="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80"/>
        <w:gridCol w:w="1247"/>
        <w:gridCol w:w="1087"/>
        <w:gridCol w:w="561"/>
        <w:gridCol w:w="639"/>
        <w:gridCol w:w="637"/>
        <w:gridCol w:w="415"/>
        <w:gridCol w:w="788"/>
        <w:gridCol w:w="133"/>
        <w:gridCol w:w="495"/>
        <w:gridCol w:w="220"/>
        <w:gridCol w:w="810"/>
        <w:gridCol w:w="524"/>
      </w:tblGrid>
      <w:tr w14:paraId="2089D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54" w:hRule="atLeast"/>
        </w:trPr>
        <w:tc>
          <w:tcPr>
            <w:tcW w:w="2027" w:type="dxa"/>
            <w:gridSpan w:val="2"/>
            <w:vAlign w:val="center"/>
          </w:tcPr>
          <w:p w14:paraId="1DB64B5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工作内容</w:t>
            </w:r>
          </w:p>
        </w:tc>
        <w:tc>
          <w:tcPr>
            <w:tcW w:w="6309" w:type="dxa"/>
            <w:gridSpan w:val="11"/>
            <w:vAlign w:val="center"/>
          </w:tcPr>
          <w:p w14:paraId="40FEF10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自查项目</w:t>
            </w:r>
          </w:p>
        </w:tc>
      </w:tr>
      <w:tr w14:paraId="0BA6C7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80" w:type="dxa"/>
            <w:vMerge w:val="restart"/>
            <w:tcBorders>
              <w:bottom w:val="nil"/>
            </w:tcBorders>
            <w:vAlign w:val="center"/>
          </w:tcPr>
          <w:p w14:paraId="64A9F33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评价等级与范</w:t>
            </w:r>
          </w:p>
          <w:p w14:paraId="763A061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围</w:t>
            </w:r>
          </w:p>
        </w:tc>
        <w:tc>
          <w:tcPr>
            <w:tcW w:w="1247" w:type="dxa"/>
            <w:vAlign w:val="center"/>
          </w:tcPr>
          <w:p w14:paraId="06FE4F0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评价等级</w:t>
            </w:r>
          </w:p>
        </w:tc>
        <w:tc>
          <w:tcPr>
            <w:tcW w:w="2924" w:type="dxa"/>
            <w:gridSpan w:val="4"/>
            <w:vAlign w:val="center"/>
          </w:tcPr>
          <w:p w14:paraId="47501575">
            <w:pPr>
              <w:spacing w:line="240" w:lineRule="auto"/>
              <w:jc w:val="center"/>
              <w:rPr>
                <w:rFonts w:ascii="宋体" w:hAnsi="宋体"/>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一级</w:t>
            </w:r>
            <w:r>
              <w:rPr>
                <w:color w:val="000000" w:themeColor="text1"/>
                <w:sz w:val="21"/>
                <w:szCs w:val="21"/>
                <w:highlight w:val="none"/>
                <w14:textFill>
                  <w14:solidFill>
                    <w14:schemeClr w14:val="tx1"/>
                  </w14:solidFill>
                </w14:textFill>
              </w:rPr>
              <w:sym w:font="Wingdings" w:char="00A8"/>
            </w:r>
          </w:p>
        </w:tc>
        <w:tc>
          <w:tcPr>
            <w:tcW w:w="2051" w:type="dxa"/>
            <w:gridSpan w:val="5"/>
            <w:vAlign w:val="center"/>
          </w:tcPr>
          <w:p w14:paraId="663C8EC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二级</w:t>
            </w:r>
            <w:r>
              <w:rPr>
                <w:color w:val="000000" w:themeColor="text1"/>
                <w:sz w:val="21"/>
                <w:szCs w:val="21"/>
                <w:highlight w:val="none"/>
                <w14:textFill>
                  <w14:solidFill>
                    <w14:schemeClr w14:val="tx1"/>
                  </w14:solidFill>
                </w14:textFill>
              </w:rPr>
              <w:sym w:font="Wingdings" w:char="00FE"/>
            </w:r>
          </w:p>
        </w:tc>
        <w:tc>
          <w:tcPr>
            <w:tcW w:w="1334" w:type="dxa"/>
            <w:gridSpan w:val="2"/>
            <w:vAlign w:val="center"/>
          </w:tcPr>
          <w:p w14:paraId="2D12547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三级</w:t>
            </w:r>
            <w:r>
              <w:rPr>
                <w:color w:val="000000" w:themeColor="text1"/>
                <w:sz w:val="21"/>
                <w:szCs w:val="21"/>
                <w:highlight w:val="none"/>
                <w14:textFill>
                  <w14:solidFill>
                    <w14:schemeClr w14:val="tx1"/>
                  </w14:solidFill>
                </w14:textFill>
              </w:rPr>
              <w:sym w:font="Wingdings" w:char="00A8"/>
            </w:r>
          </w:p>
        </w:tc>
      </w:tr>
      <w:tr w14:paraId="19E09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62" w:hRule="atLeast"/>
        </w:trPr>
        <w:tc>
          <w:tcPr>
            <w:tcW w:w="780" w:type="dxa"/>
            <w:vMerge w:val="continue"/>
            <w:tcBorders>
              <w:top w:val="nil"/>
            </w:tcBorders>
            <w:vAlign w:val="center"/>
          </w:tcPr>
          <w:p w14:paraId="3866C30B">
            <w:pPr>
              <w:spacing w:line="240" w:lineRule="auto"/>
              <w:jc w:val="center"/>
              <w:rPr>
                <w:color w:val="000000" w:themeColor="text1"/>
                <w:sz w:val="21"/>
                <w:szCs w:val="21"/>
                <w:highlight w:val="none"/>
                <w14:textFill>
                  <w14:solidFill>
                    <w14:schemeClr w14:val="tx1"/>
                  </w14:solidFill>
                </w14:textFill>
              </w:rPr>
            </w:pPr>
          </w:p>
        </w:tc>
        <w:tc>
          <w:tcPr>
            <w:tcW w:w="1247" w:type="dxa"/>
            <w:vAlign w:val="center"/>
          </w:tcPr>
          <w:p w14:paraId="596FEE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评价范围</w:t>
            </w:r>
          </w:p>
        </w:tc>
        <w:tc>
          <w:tcPr>
            <w:tcW w:w="2924" w:type="dxa"/>
            <w:gridSpan w:val="4"/>
            <w:vAlign w:val="center"/>
          </w:tcPr>
          <w:p w14:paraId="308EDE4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边长=50km</w:t>
            </w:r>
            <w:r>
              <w:rPr>
                <w:color w:val="000000" w:themeColor="text1"/>
                <w:sz w:val="21"/>
                <w:szCs w:val="21"/>
                <w:highlight w:val="none"/>
                <w14:textFill>
                  <w14:solidFill>
                    <w14:schemeClr w14:val="tx1"/>
                  </w14:solidFill>
                </w14:textFill>
              </w:rPr>
              <w:sym w:font="Wingdings" w:char="00A8"/>
            </w:r>
          </w:p>
        </w:tc>
        <w:tc>
          <w:tcPr>
            <w:tcW w:w="2051" w:type="dxa"/>
            <w:gridSpan w:val="5"/>
            <w:vAlign w:val="center"/>
          </w:tcPr>
          <w:p w14:paraId="44386DA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边长=5～50km</w:t>
            </w:r>
            <w:r>
              <w:rPr>
                <w:color w:val="000000" w:themeColor="text1"/>
                <w:sz w:val="21"/>
                <w:szCs w:val="21"/>
                <w:highlight w:val="none"/>
                <w14:textFill>
                  <w14:solidFill>
                    <w14:schemeClr w14:val="tx1"/>
                  </w14:solidFill>
                </w14:textFill>
              </w:rPr>
              <w:sym w:font="Wingdings" w:char="00A8"/>
            </w:r>
          </w:p>
        </w:tc>
        <w:tc>
          <w:tcPr>
            <w:tcW w:w="1334" w:type="dxa"/>
            <w:gridSpan w:val="2"/>
            <w:vAlign w:val="center"/>
          </w:tcPr>
          <w:p w14:paraId="48AE3F5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边长=5km</w:t>
            </w:r>
            <w:r>
              <w:rPr>
                <w:color w:val="000000" w:themeColor="text1"/>
                <w:sz w:val="21"/>
                <w:szCs w:val="21"/>
                <w:highlight w:val="none"/>
                <w14:textFill>
                  <w14:solidFill>
                    <w14:schemeClr w14:val="tx1"/>
                  </w14:solidFill>
                </w14:textFill>
              </w:rPr>
              <w:sym w:font="Wingdings" w:char="00FE"/>
            </w:r>
          </w:p>
        </w:tc>
      </w:tr>
      <w:tr w14:paraId="680199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780" w:type="dxa"/>
            <w:vMerge w:val="restart"/>
            <w:tcBorders>
              <w:bottom w:val="nil"/>
            </w:tcBorders>
            <w:vAlign w:val="center"/>
          </w:tcPr>
          <w:p w14:paraId="481C990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评价因 子</w:t>
            </w:r>
          </w:p>
        </w:tc>
        <w:tc>
          <w:tcPr>
            <w:tcW w:w="1247" w:type="dxa"/>
            <w:vAlign w:val="center"/>
          </w:tcPr>
          <w:p w14:paraId="2B95FAB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SO</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+NOx排放量</w:t>
            </w:r>
          </w:p>
        </w:tc>
        <w:tc>
          <w:tcPr>
            <w:tcW w:w="1648" w:type="dxa"/>
            <w:gridSpan w:val="2"/>
            <w:vAlign w:val="center"/>
          </w:tcPr>
          <w:p w14:paraId="6C01142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≥2000t/a</w:t>
            </w:r>
            <w:r>
              <w:rPr>
                <w:color w:val="000000" w:themeColor="text1"/>
                <w:sz w:val="21"/>
                <w:szCs w:val="21"/>
                <w:highlight w:val="none"/>
                <w14:textFill>
                  <w14:solidFill>
                    <w14:schemeClr w14:val="tx1"/>
                  </w14:solidFill>
                </w14:textFill>
              </w:rPr>
              <w:sym w:font="Wingdings" w:char="00A8"/>
            </w:r>
          </w:p>
        </w:tc>
        <w:tc>
          <w:tcPr>
            <w:tcW w:w="1691" w:type="dxa"/>
            <w:gridSpan w:val="3"/>
            <w:vAlign w:val="center"/>
          </w:tcPr>
          <w:p w14:paraId="52E197A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500</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2000t/a</w:t>
            </w:r>
            <w:r>
              <w:rPr>
                <w:color w:val="000000" w:themeColor="text1"/>
                <w:sz w:val="21"/>
                <w:szCs w:val="21"/>
                <w:highlight w:val="none"/>
                <w14:textFill>
                  <w14:solidFill>
                    <w14:schemeClr w14:val="tx1"/>
                  </w14:solidFill>
                </w14:textFill>
              </w:rPr>
              <w:sym w:font="Wingdings" w:char="00A8"/>
            </w:r>
          </w:p>
        </w:tc>
        <w:tc>
          <w:tcPr>
            <w:tcW w:w="2970" w:type="dxa"/>
            <w:gridSpan w:val="6"/>
            <w:vAlign w:val="center"/>
          </w:tcPr>
          <w:p w14:paraId="5897F00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&lt;500t/a</w:t>
            </w:r>
            <w:r>
              <w:rPr>
                <w:color w:val="000000" w:themeColor="text1"/>
                <w:sz w:val="21"/>
                <w:szCs w:val="21"/>
                <w:highlight w:val="none"/>
                <w14:textFill>
                  <w14:solidFill>
                    <w14:schemeClr w14:val="tx1"/>
                  </w14:solidFill>
                </w14:textFill>
              </w:rPr>
              <w:sym w:font="Wingdings" w:char="00FE"/>
            </w:r>
          </w:p>
        </w:tc>
      </w:tr>
      <w:tr w14:paraId="53713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9" w:hRule="atLeast"/>
        </w:trPr>
        <w:tc>
          <w:tcPr>
            <w:tcW w:w="780" w:type="dxa"/>
            <w:vMerge w:val="continue"/>
            <w:tcBorders>
              <w:top w:val="nil"/>
            </w:tcBorders>
            <w:vAlign w:val="center"/>
          </w:tcPr>
          <w:p w14:paraId="2700ABDD">
            <w:pPr>
              <w:spacing w:line="240" w:lineRule="auto"/>
              <w:jc w:val="center"/>
              <w:rPr>
                <w:color w:val="000000" w:themeColor="text1"/>
                <w:sz w:val="21"/>
                <w:szCs w:val="21"/>
                <w:highlight w:val="none"/>
                <w14:textFill>
                  <w14:solidFill>
                    <w14:schemeClr w14:val="tx1"/>
                  </w14:solidFill>
                </w14:textFill>
              </w:rPr>
            </w:pPr>
          </w:p>
        </w:tc>
        <w:tc>
          <w:tcPr>
            <w:tcW w:w="1247" w:type="dxa"/>
            <w:vAlign w:val="center"/>
          </w:tcPr>
          <w:p w14:paraId="34EDEB7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评价因子</w:t>
            </w:r>
          </w:p>
        </w:tc>
        <w:tc>
          <w:tcPr>
            <w:tcW w:w="3339" w:type="dxa"/>
            <w:gridSpan w:val="5"/>
            <w:vAlign w:val="center"/>
          </w:tcPr>
          <w:p w14:paraId="2963D83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其他污染物（NH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TSp</w:t>
            </w:r>
            <w:r>
              <w:rPr>
                <w:color w:val="000000" w:themeColor="text1"/>
                <w:sz w:val="21"/>
                <w:szCs w:val="21"/>
                <w:highlight w:val="none"/>
                <w14:textFill>
                  <w14:solidFill>
                    <w14:schemeClr w14:val="tx1"/>
                  </w14:solidFill>
                </w14:textFill>
              </w:rPr>
              <w:t>）</w:t>
            </w:r>
          </w:p>
        </w:tc>
        <w:tc>
          <w:tcPr>
            <w:tcW w:w="2970" w:type="dxa"/>
            <w:gridSpan w:val="6"/>
            <w:vAlign w:val="center"/>
          </w:tcPr>
          <w:p w14:paraId="55C2F2E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包括二次PM2.5</w:t>
            </w:r>
            <w:r>
              <w:rPr>
                <w:color w:val="000000" w:themeColor="text1"/>
                <w:sz w:val="21"/>
                <w:szCs w:val="21"/>
                <w:highlight w:val="none"/>
                <w14:textFill>
                  <w14:solidFill>
                    <w14:schemeClr w14:val="tx1"/>
                  </w14:solidFill>
                </w14:textFill>
              </w:rPr>
              <w:sym w:font="Wingdings" w:char="00A8"/>
            </w:r>
          </w:p>
          <w:p w14:paraId="7EE51F9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不包括二次PM2.5</w:t>
            </w:r>
            <w:r>
              <w:rPr>
                <w:color w:val="000000" w:themeColor="text1"/>
                <w:sz w:val="21"/>
                <w:szCs w:val="21"/>
                <w:highlight w:val="none"/>
                <w14:textFill>
                  <w14:solidFill>
                    <w14:schemeClr w14:val="tx1"/>
                  </w14:solidFill>
                </w14:textFill>
              </w:rPr>
              <w:sym w:font="Wingdings" w:char="00FE"/>
            </w:r>
          </w:p>
        </w:tc>
      </w:tr>
      <w:tr w14:paraId="07D77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780" w:type="dxa"/>
            <w:vAlign w:val="center"/>
          </w:tcPr>
          <w:p w14:paraId="48E8225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评价标 准</w:t>
            </w:r>
          </w:p>
        </w:tc>
        <w:tc>
          <w:tcPr>
            <w:tcW w:w="1247" w:type="dxa"/>
            <w:vAlign w:val="center"/>
          </w:tcPr>
          <w:p w14:paraId="5BF70B3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评价标准</w:t>
            </w:r>
          </w:p>
        </w:tc>
        <w:tc>
          <w:tcPr>
            <w:tcW w:w="1648" w:type="dxa"/>
            <w:gridSpan w:val="2"/>
            <w:vAlign w:val="center"/>
          </w:tcPr>
          <w:p w14:paraId="3ACD80F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国家标准</w:t>
            </w:r>
            <w:r>
              <w:rPr>
                <w:color w:val="000000" w:themeColor="text1"/>
                <w:sz w:val="21"/>
                <w:szCs w:val="21"/>
                <w:highlight w:val="none"/>
                <w14:textFill>
                  <w14:solidFill>
                    <w14:schemeClr w14:val="tx1"/>
                  </w14:solidFill>
                </w14:textFill>
              </w:rPr>
              <w:sym w:font="Wingdings" w:char="00FE"/>
            </w:r>
          </w:p>
        </w:tc>
        <w:tc>
          <w:tcPr>
            <w:tcW w:w="1691" w:type="dxa"/>
            <w:gridSpan w:val="3"/>
            <w:vAlign w:val="center"/>
          </w:tcPr>
          <w:p w14:paraId="3E2BB24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地方标准</w:t>
            </w:r>
            <w:r>
              <w:rPr>
                <w:color w:val="000000" w:themeColor="text1"/>
                <w:sz w:val="21"/>
                <w:szCs w:val="21"/>
                <w:highlight w:val="none"/>
                <w14:textFill>
                  <w14:solidFill>
                    <w14:schemeClr w14:val="tx1"/>
                  </w14:solidFill>
                </w14:textFill>
              </w:rPr>
              <w:sym w:font="Wingdings" w:char="00A8"/>
            </w:r>
          </w:p>
        </w:tc>
        <w:tc>
          <w:tcPr>
            <w:tcW w:w="1636" w:type="dxa"/>
            <w:gridSpan w:val="4"/>
            <w:vAlign w:val="center"/>
          </w:tcPr>
          <w:p w14:paraId="4B1AA60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附录D</w:t>
            </w:r>
            <w:r>
              <w:rPr>
                <w:color w:val="000000" w:themeColor="text1"/>
                <w:sz w:val="21"/>
                <w:szCs w:val="21"/>
                <w:highlight w:val="none"/>
                <w14:textFill>
                  <w14:solidFill>
                    <w14:schemeClr w14:val="tx1"/>
                  </w14:solidFill>
                </w14:textFill>
              </w:rPr>
              <w:sym w:font="Wingdings" w:char="00FE"/>
            </w:r>
          </w:p>
        </w:tc>
        <w:tc>
          <w:tcPr>
            <w:tcW w:w="1334" w:type="dxa"/>
            <w:gridSpan w:val="2"/>
            <w:vAlign w:val="center"/>
          </w:tcPr>
          <w:p w14:paraId="679C85D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其他标准</w:t>
            </w:r>
            <w:r>
              <w:rPr>
                <w:color w:val="000000" w:themeColor="text1"/>
                <w:sz w:val="21"/>
                <w:szCs w:val="21"/>
                <w:highlight w:val="none"/>
                <w14:textFill>
                  <w14:solidFill>
                    <w14:schemeClr w14:val="tx1"/>
                  </w14:solidFill>
                </w14:textFill>
              </w:rPr>
              <w:sym w:font="Wingdings" w:char="00A8"/>
            </w:r>
          </w:p>
        </w:tc>
      </w:tr>
      <w:tr w14:paraId="4DDE26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80" w:type="dxa"/>
            <w:vMerge w:val="restart"/>
            <w:tcBorders>
              <w:bottom w:val="nil"/>
            </w:tcBorders>
            <w:vAlign w:val="center"/>
          </w:tcPr>
          <w:p w14:paraId="798C82F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现状评 价</w:t>
            </w:r>
          </w:p>
        </w:tc>
        <w:tc>
          <w:tcPr>
            <w:tcW w:w="1247" w:type="dxa"/>
            <w:vAlign w:val="center"/>
          </w:tcPr>
          <w:p w14:paraId="76FDC53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评价功能区</w:t>
            </w:r>
          </w:p>
        </w:tc>
        <w:tc>
          <w:tcPr>
            <w:tcW w:w="2287" w:type="dxa"/>
            <w:gridSpan w:val="3"/>
            <w:vAlign w:val="center"/>
          </w:tcPr>
          <w:p w14:paraId="6E82E51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一类</w:t>
            </w:r>
            <w:r>
              <w:rPr>
                <w:color w:val="000000" w:themeColor="text1"/>
                <w:sz w:val="21"/>
                <w:szCs w:val="21"/>
                <w:highlight w:val="none"/>
                <w14:textFill>
                  <w14:solidFill>
                    <w14:schemeClr w14:val="tx1"/>
                  </w14:solidFill>
                </w14:textFill>
              </w:rPr>
              <w:sym w:font="Wingdings" w:char="00A8"/>
            </w:r>
          </w:p>
        </w:tc>
        <w:tc>
          <w:tcPr>
            <w:tcW w:w="1973" w:type="dxa"/>
            <w:gridSpan w:val="4"/>
            <w:tcBorders>
              <w:right w:val="single" w:color="000000" w:sz="2" w:space="0"/>
            </w:tcBorders>
            <w:vAlign w:val="center"/>
          </w:tcPr>
          <w:p w14:paraId="1C5697B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二类</w:t>
            </w:r>
            <w:r>
              <w:rPr>
                <w:color w:val="000000" w:themeColor="text1"/>
                <w:sz w:val="21"/>
                <w:szCs w:val="21"/>
                <w:highlight w:val="none"/>
                <w14:textFill>
                  <w14:solidFill>
                    <w14:schemeClr w14:val="tx1"/>
                  </w14:solidFill>
                </w14:textFill>
              </w:rPr>
              <w:sym w:font="Wingdings" w:char="00FE"/>
            </w:r>
          </w:p>
        </w:tc>
        <w:tc>
          <w:tcPr>
            <w:tcW w:w="2049" w:type="dxa"/>
            <w:gridSpan w:val="4"/>
            <w:tcBorders>
              <w:left w:val="single" w:color="000000" w:sz="2" w:space="0"/>
            </w:tcBorders>
            <w:vAlign w:val="center"/>
          </w:tcPr>
          <w:p w14:paraId="07BCD69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一类区和二类区</w:t>
            </w:r>
            <w:r>
              <w:rPr>
                <w:color w:val="000000" w:themeColor="text1"/>
                <w:sz w:val="21"/>
                <w:szCs w:val="21"/>
                <w:highlight w:val="none"/>
                <w14:textFill>
                  <w14:solidFill>
                    <w14:schemeClr w14:val="tx1"/>
                  </w14:solidFill>
                </w14:textFill>
              </w:rPr>
              <w:sym w:font="Wingdings" w:char="00A8"/>
            </w:r>
          </w:p>
        </w:tc>
      </w:tr>
      <w:tr w14:paraId="52C65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80" w:type="dxa"/>
            <w:vMerge w:val="continue"/>
            <w:tcBorders>
              <w:top w:val="nil"/>
              <w:bottom w:val="nil"/>
            </w:tcBorders>
            <w:vAlign w:val="center"/>
          </w:tcPr>
          <w:p w14:paraId="684B6E0F">
            <w:pPr>
              <w:spacing w:line="240" w:lineRule="auto"/>
              <w:jc w:val="center"/>
              <w:rPr>
                <w:color w:val="000000" w:themeColor="text1"/>
                <w:sz w:val="21"/>
                <w:szCs w:val="21"/>
                <w:highlight w:val="none"/>
                <w14:textFill>
                  <w14:solidFill>
                    <w14:schemeClr w14:val="tx1"/>
                  </w14:solidFill>
                </w14:textFill>
              </w:rPr>
            </w:pPr>
          </w:p>
        </w:tc>
        <w:tc>
          <w:tcPr>
            <w:tcW w:w="1247" w:type="dxa"/>
            <w:vAlign w:val="center"/>
          </w:tcPr>
          <w:p w14:paraId="15F0485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评价基准年</w:t>
            </w:r>
          </w:p>
        </w:tc>
        <w:tc>
          <w:tcPr>
            <w:tcW w:w="6309" w:type="dxa"/>
            <w:gridSpan w:val="11"/>
            <w:vAlign w:val="center"/>
          </w:tcPr>
          <w:p w14:paraId="19D6916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（202</w:t>
            </w:r>
            <w:r>
              <w:rPr>
                <w:rFonts w:hint="eastAsia"/>
                <w:color w:val="000000" w:themeColor="text1"/>
                <w:sz w:val="21"/>
                <w:szCs w:val="21"/>
                <w:highlight w:val="none"/>
                <w:lang w:val="en-US" w:eastAsia="zh-CN"/>
                <w14:textFill>
                  <w14:solidFill>
                    <w14:schemeClr w14:val="tx1"/>
                  </w14:solidFill>
                </w14:textFill>
              </w:rPr>
              <w:t>3</w:t>
            </w:r>
            <w:r>
              <w:rPr>
                <w:color w:val="000000" w:themeColor="text1"/>
                <w:sz w:val="21"/>
                <w:szCs w:val="21"/>
                <w:highlight w:val="none"/>
                <w14:textFill>
                  <w14:solidFill>
                    <w14:schemeClr w14:val="tx1"/>
                  </w14:solidFill>
                </w14:textFill>
              </w:rPr>
              <w:t>）年</w:t>
            </w:r>
          </w:p>
        </w:tc>
      </w:tr>
      <w:tr w14:paraId="1768A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1" w:hRule="atLeast"/>
        </w:trPr>
        <w:tc>
          <w:tcPr>
            <w:tcW w:w="780" w:type="dxa"/>
            <w:vMerge w:val="continue"/>
            <w:tcBorders>
              <w:top w:val="nil"/>
              <w:bottom w:val="nil"/>
            </w:tcBorders>
            <w:vAlign w:val="center"/>
          </w:tcPr>
          <w:p w14:paraId="43066F1F">
            <w:pPr>
              <w:spacing w:line="240" w:lineRule="auto"/>
              <w:jc w:val="center"/>
              <w:rPr>
                <w:color w:val="000000" w:themeColor="text1"/>
                <w:sz w:val="21"/>
                <w:szCs w:val="21"/>
                <w:highlight w:val="none"/>
                <w14:textFill>
                  <w14:solidFill>
                    <w14:schemeClr w14:val="tx1"/>
                  </w14:solidFill>
                </w14:textFill>
              </w:rPr>
            </w:pPr>
          </w:p>
        </w:tc>
        <w:tc>
          <w:tcPr>
            <w:tcW w:w="1247" w:type="dxa"/>
            <w:vAlign w:val="center"/>
          </w:tcPr>
          <w:p w14:paraId="0ED96E5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环境空气质量现状调查数据来源</w:t>
            </w:r>
          </w:p>
        </w:tc>
        <w:tc>
          <w:tcPr>
            <w:tcW w:w="2287" w:type="dxa"/>
            <w:gridSpan w:val="3"/>
            <w:vAlign w:val="center"/>
          </w:tcPr>
          <w:p w14:paraId="616096F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长期例行监测数据</w:t>
            </w:r>
            <w:r>
              <w:rPr>
                <w:color w:val="000000" w:themeColor="text1"/>
                <w:sz w:val="21"/>
                <w:szCs w:val="21"/>
                <w:highlight w:val="none"/>
                <w14:textFill>
                  <w14:solidFill>
                    <w14:schemeClr w14:val="tx1"/>
                  </w14:solidFill>
                </w14:textFill>
              </w:rPr>
              <w:sym w:font="Wingdings" w:char="00A8"/>
            </w:r>
          </w:p>
        </w:tc>
        <w:tc>
          <w:tcPr>
            <w:tcW w:w="1973" w:type="dxa"/>
            <w:gridSpan w:val="4"/>
            <w:tcBorders>
              <w:right w:val="single" w:color="000000" w:sz="2" w:space="0"/>
            </w:tcBorders>
            <w:vAlign w:val="center"/>
          </w:tcPr>
          <w:p w14:paraId="0DBBA87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主管部门发布的数据 </w:t>
            </w:r>
            <w:r>
              <w:rPr>
                <w:color w:val="000000" w:themeColor="text1"/>
                <w:sz w:val="21"/>
                <w:szCs w:val="21"/>
                <w:highlight w:val="none"/>
                <w14:textFill>
                  <w14:solidFill>
                    <w14:schemeClr w14:val="tx1"/>
                  </w14:solidFill>
                </w14:textFill>
              </w:rPr>
              <w:sym w:font="Wingdings" w:char="00FE"/>
            </w:r>
          </w:p>
        </w:tc>
        <w:tc>
          <w:tcPr>
            <w:tcW w:w="2049" w:type="dxa"/>
            <w:gridSpan w:val="4"/>
            <w:tcBorders>
              <w:left w:val="single" w:color="000000" w:sz="2" w:space="0"/>
            </w:tcBorders>
            <w:vAlign w:val="center"/>
          </w:tcPr>
          <w:p w14:paraId="7E45A1A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现状补充监测</w:t>
            </w:r>
            <w:r>
              <w:rPr>
                <w:color w:val="000000" w:themeColor="text1"/>
                <w:sz w:val="21"/>
                <w:szCs w:val="21"/>
                <w:highlight w:val="none"/>
                <w14:textFill>
                  <w14:solidFill>
                    <w14:schemeClr w14:val="tx1"/>
                  </w14:solidFill>
                </w14:textFill>
              </w:rPr>
              <w:sym w:font="Wingdings" w:char="00FE"/>
            </w:r>
          </w:p>
        </w:tc>
      </w:tr>
      <w:tr w14:paraId="341DC5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80" w:type="dxa"/>
            <w:vMerge w:val="continue"/>
            <w:tcBorders>
              <w:top w:val="nil"/>
            </w:tcBorders>
            <w:vAlign w:val="center"/>
          </w:tcPr>
          <w:p w14:paraId="57A1E9C2">
            <w:pPr>
              <w:spacing w:line="240" w:lineRule="auto"/>
              <w:jc w:val="center"/>
              <w:rPr>
                <w:color w:val="000000" w:themeColor="text1"/>
                <w:sz w:val="21"/>
                <w:szCs w:val="21"/>
                <w:highlight w:val="none"/>
                <w14:textFill>
                  <w14:solidFill>
                    <w14:schemeClr w14:val="tx1"/>
                  </w14:solidFill>
                </w14:textFill>
              </w:rPr>
            </w:pPr>
          </w:p>
        </w:tc>
        <w:tc>
          <w:tcPr>
            <w:tcW w:w="1247" w:type="dxa"/>
            <w:vAlign w:val="center"/>
          </w:tcPr>
          <w:p w14:paraId="179179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现状评价</w:t>
            </w:r>
          </w:p>
        </w:tc>
        <w:tc>
          <w:tcPr>
            <w:tcW w:w="3339" w:type="dxa"/>
            <w:gridSpan w:val="5"/>
            <w:vAlign w:val="center"/>
          </w:tcPr>
          <w:p w14:paraId="7AC6A02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达标区</w:t>
            </w:r>
            <w:r>
              <w:rPr>
                <w:color w:val="000000" w:themeColor="text1"/>
                <w:sz w:val="21"/>
                <w:szCs w:val="21"/>
                <w:highlight w:val="none"/>
                <w14:textFill>
                  <w14:solidFill>
                    <w14:schemeClr w14:val="tx1"/>
                  </w14:solidFill>
                </w14:textFill>
              </w:rPr>
              <w:sym w:font="Wingdings" w:char="00FE"/>
            </w:r>
          </w:p>
        </w:tc>
        <w:tc>
          <w:tcPr>
            <w:tcW w:w="2970" w:type="dxa"/>
            <w:gridSpan w:val="6"/>
            <w:vAlign w:val="center"/>
          </w:tcPr>
          <w:p w14:paraId="6D1E72D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不达标区</w:t>
            </w:r>
            <w:r>
              <w:rPr>
                <w:color w:val="000000" w:themeColor="text1"/>
                <w:sz w:val="21"/>
                <w:szCs w:val="21"/>
                <w:highlight w:val="none"/>
                <w14:textFill>
                  <w14:solidFill>
                    <w14:schemeClr w14:val="tx1"/>
                  </w14:solidFill>
                </w14:textFill>
              </w:rPr>
              <w:sym w:font="Wingdings" w:char="00A8"/>
            </w:r>
          </w:p>
        </w:tc>
      </w:tr>
      <w:tr w14:paraId="37A61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2" w:hRule="atLeast"/>
        </w:trPr>
        <w:tc>
          <w:tcPr>
            <w:tcW w:w="780" w:type="dxa"/>
            <w:vAlign w:val="center"/>
          </w:tcPr>
          <w:p w14:paraId="248437E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污染源</w:t>
            </w:r>
          </w:p>
          <w:p w14:paraId="24FDC90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调查</w:t>
            </w:r>
          </w:p>
        </w:tc>
        <w:tc>
          <w:tcPr>
            <w:tcW w:w="1247" w:type="dxa"/>
            <w:vAlign w:val="center"/>
          </w:tcPr>
          <w:p w14:paraId="3C61BD7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调查内容</w:t>
            </w:r>
          </w:p>
        </w:tc>
        <w:tc>
          <w:tcPr>
            <w:tcW w:w="2287" w:type="dxa"/>
            <w:gridSpan w:val="3"/>
            <w:tcBorders>
              <w:right w:val="single" w:color="000000" w:sz="2" w:space="0"/>
            </w:tcBorders>
            <w:vAlign w:val="center"/>
          </w:tcPr>
          <w:p w14:paraId="3F91BDE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本项目正常排放源</w:t>
            </w:r>
            <w:r>
              <w:rPr>
                <w:color w:val="000000" w:themeColor="text1"/>
                <w:sz w:val="21"/>
                <w:szCs w:val="21"/>
                <w:highlight w:val="none"/>
                <w14:textFill>
                  <w14:solidFill>
                    <w14:schemeClr w14:val="tx1"/>
                  </w14:solidFill>
                </w14:textFill>
              </w:rPr>
              <w:sym w:font="Wingdings" w:char="00FE"/>
            </w:r>
          </w:p>
          <w:p w14:paraId="49BAA70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本项目非正常排放源</w:t>
            </w:r>
            <w:r>
              <w:rPr>
                <w:color w:val="000000" w:themeColor="text1"/>
                <w:sz w:val="21"/>
                <w:szCs w:val="21"/>
                <w:highlight w:val="none"/>
                <w14:textFill>
                  <w14:solidFill>
                    <w14:schemeClr w14:val="tx1"/>
                  </w14:solidFill>
                </w14:textFill>
              </w:rPr>
              <w:sym w:font="Wingdings" w:char="00A8"/>
            </w:r>
          </w:p>
          <w:p w14:paraId="4CE883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现有污染源</w:t>
            </w:r>
            <w:r>
              <w:rPr>
                <w:color w:val="000000" w:themeColor="text1"/>
                <w:sz w:val="21"/>
                <w:szCs w:val="21"/>
                <w:highlight w:val="none"/>
                <w14:textFill>
                  <w14:solidFill>
                    <w14:schemeClr w14:val="tx1"/>
                  </w14:solidFill>
                </w14:textFill>
              </w:rPr>
              <w:sym w:font="Wingdings" w:char="00A8"/>
            </w:r>
          </w:p>
        </w:tc>
        <w:tc>
          <w:tcPr>
            <w:tcW w:w="1052" w:type="dxa"/>
            <w:gridSpan w:val="2"/>
            <w:tcBorders>
              <w:left w:val="single" w:color="000000" w:sz="2" w:space="0"/>
            </w:tcBorders>
            <w:vAlign w:val="center"/>
          </w:tcPr>
          <w:p w14:paraId="3D2DAF3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拟替代的污染源</w:t>
            </w:r>
            <w:r>
              <w:rPr>
                <w:color w:val="000000" w:themeColor="text1"/>
                <w:sz w:val="21"/>
                <w:szCs w:val="21"/>
                <w:highlight w:val="none"/>
                <w14:textFill>
                  <w14:solidFill>
                    <w14:schemeClr w14:val="tx1"/>
                  </w14:solidFill>
                </w14:textFill>
              </w:rPr>
              <w:sym w:font="Wingdings" w:char="00A8"/>
            </w:r>
          </w:p>
        </w:tc>
        <w:tc>
          <w:tcPr>
            <w:tcW w:w="1636" w:type="dxa"/>
            <w:gridSpan w:val="4"/>
            <w:vAlign w:val="center"/>
          </w:tcPr>
          <w:p w14:paraId="1A33480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其他在建、拟建</w:t>
            </w:r>
          </w:p>
          <w:p w14:paraId="2EA9ED9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项目污染源</w:t>
            </w:r>
            <w:r>
              <w:rPr>
                <w:color w:val="000000" w:themeColor="text1"/>
                <w:sz w:val="21"/>
                <w:szCs w:val="21"/>
                <w:highlight w:val="none"/>
                <w14:textFill>
                  <w14:solidFill>
                    <w14:schemeClr w14:val="tx1"/>
                  </w14:solidFill>
                </w14:textFill>
              </w:rPr>
              <w:sym w:font="Wingdings" w:char="00A8"/>
            </w:r>
          </w:p>
        </w:tc>
        <w:tc>
          <w:tcPr>
            <w:tcW w:w="1334" w:type="dxa"/>
            <w:gridSpan w:val="2"/>
            <w:vAlign w:val="center"/>
          </w:tcPr>
          <w:p w14:paraId="239E8FE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区域污染源</w:t>
            </w:r>
            <w:r>
              <w:rPr>
                <w:color w:val="000000" w:themeColor="text1"/>
                <w:sz w:val="21"/>
                <w:szCs w:val="21"/>
                <w:highlight w:val="none"/>
                <w14:textFill>
                  <w14:solidFill>
                    <w14:schemeClr w14:val="tx1"/>
                  </w14:solidFill>
                </w14:textFill>
              </w:rPr>
              <w:sym w:font="Wingdings" w:char="00A8"/>
            </w:r>
          </w:p>
        </w:tc>
      </w:tr>
      <w:tr w14:paraId="061E2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97" w:hRule="atLeast"/>
        </w:trPr>
        <w:tc>
          <w:tcPr>
            <w:tcW w:w="780" w:type="dxa"/>
            <w:vMerge w:val="restart"/>
            <w:tcBorders>
              <w:bottom w:val="nil"/>
            </w:tcBorders>
            <w:vAlign w:val="center"/>
          </w:tcPr>
          <w:p w14:paraId="1617B70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大气环 境影响 预测与 评价</w:t>
            </w:r>
          </w:p>
        </w:tc>
        <w:tc>
          <w:tcPr>
            <w:tcW w:w="1247" w:type="dxa"/>
            <w:vAlign w:val="center"/>
          </w:tcPr>
          <w:p w14:paraId="45C9B42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预测模型</w:t>
            </w:r>
          </w:p>
        </w:tc>
        <w:tc>
          <w:tcPr>
            <w:tcW w:w="1087" w:type="dxa"/>
            <w:vAlign w:val="center"/>
          </w:tcPr>
          <w:p w14:paraId="09412B2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AERMOD </w:t>
            </w:r>
            <w:r>
              <w:rPr>
                <w:color w:val="000000" w:themeColor="text1"/>
                <w:sz w:val="21"/>
                <w:szCs w:val="21"/>
                <w:highlight w:val="none"/>
                <w14:textFill>
                  <w14:solidFill>
                    <w14:schemeClr w14:val="tx1"/>
                  </w14:solidFill>
                </w14:textFill>
              </w:rPr>
              <w:sym w:font="Wingdings" w:char="00A8"/>
            </w:r>
          </w:p>
        </w:tc>
        <w:tc>
          <w:tcPr>
            <w:tcW w:w="561" w:type="dxa"/>
            <w:vAlign w:val="center"/>
          </w:tcPr>
          <w:p w14:paraId="637D847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ADMS </w:t>
            </w:r>
            <w:r>
              <w:rPr>
                <w:color w:val="000000" w:themeColor="text1"/>
                <w:sz w:val="21"/>
                <w:szCs w:val="21"/>
                <w:highlight w:val="none"/>
                <w14:textFill>
                  <w14:solidFill>
                    <w14:schemeClr w14:val="tx1"/>
                  </w14:solidFill>
                </w14:textFill>
              </w:rPr>
              <w:sym w:font="Wingdings" w:char="00A8"/>
            </w:r>
          </w:p>
        </w:tc>
        <w:tc>
          <w:tcPr>
            <w:tcW w:w="1276" w:type="dxa"/>
            <w:gridSpan w:val="2"/>
            <w:vAlign w:val="center"/>
          </w:tcPr>
          <w:p w14:paraId="69014A6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AUSTAL2000</w:t>
            </w:r>
            <w:r>
              <w:rPr>
                <w:color w:val="000000" w:themeColor="text1"/>
                <w:sz w:val="21"/>
                <w:szCs w:val="21"/>
                <w:highlight w:val="none"/>
                <w14:textFill>
                  <w14:solidFill>
                    <w14:schemeClr w14:val="tx1"/>
                  </w14:solidFill>
                </w14:textFill>
              </w:rPr>
              <w:sym w:font="Wingdings" w:char="00A8"/>
            </w:r>
          </w:p>
        </w:tc>
        <w:tc>
          <w:tcPr>
            <w:tcW w:w="1203" w:type="dxa"/>
            <w:gridSpan w:val="2"/>
            <w:tcBorders>
              <w:right w:val="single" w:color="000000" w:sz="2" w:space="0"/>
            </w:tcBorders>
            <w:vAlign w:val="center"/>
          </w:tcPr>
          <w:p w14:paraId="25BAE6D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EDMS/AEDT</w:t>
            </w:r>
            <w:r>
              <w:rPr>
                <w:color w:val="000000" w:themeColor="text1"/>
                <w:sz w:val="21"/>
                <w:szCs w:val="21"/>
                <w:highlight w:val="none"/>
                <w14:textFill>
                  <w14:solidFill>
                    <w14:schemeClr w14:val="tx1"/>
                  </w14:solidFill>
                </w14:textFill>
              </w:rPr>
              <w:sym w:font="Wingdings" w:char="00A8"/>
            </w:r>
          </w:p>
        </w:tc>
        <w:tc>
          <w:tcPr>
            <w:tcW w:w="848" w:type="dxa"/>
            <w:gridSpan w:val="3"/>
            <w:tcBorders>
              <w:left w:val="single" w:color="000000" w:sz="2" w:space="0"/>
              <w:right w:val="single" w:color="000000" w:sz="2" w:space="0"/>
            </w:tcBorders>
            <w:vAlign w:val="center"/>
          </w:tcPr>
          <w:p w14:paraId="04CEE32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CALPUFF</w:t>
            </w:r>
            <w:r>
              <w:rPr>
                <w:color w:val="000000" w:themeColor="text1"/>
                <w:sz w:val="21"/>
                <w:szCs w:val="21"/>
                <w:highlight w:val="none"/>
                <w14:textFill>
                  <w14:solidFill>
                    <w14:schemeClr w14:val="tx1"/>
                  </w14:solidFill>
                </w14:textFill>
              </w:rPr>
              <w:sym w:font="Wingdings" w:char="00A8"/>
            </w:r>
          </w:p>
        </w:tc>
        <w:tc>
          <w:tcPr>
            <w:tcW w:w="810" w:type="dxa"/>
            <w:tcBorders>
              <w:left w:val="single" w:color="000000" w:sz="2" w:space="0"/>
            </w:tcBorders>
            <w:vAlign w:val="center"/>
          </w:tcPr>
          <w:p w14:paraId="276044D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网格模型</w:t>
            </w:r>
            <w:r>
              <w:rPr>
                <w:color w:val="000000" w:themeColor="text1"/>
                <w:sz w:val="21"/>
                <w:szCs w:val="21"/>
                <w:highlight w:val="none"/>
                <w14:textFill>
                  <w14:solidFill>
                    <w14:schemeClr w14:val="tx1"/>
                  </w14:solidFill>
                </w14:textFill>
              </w:rPr>
              <w:sym w:font="Wingdings" w:char="00A8"/>
            </w:r>
          </w:p>
        </w:tc>
        <w:tc>
          <w:tcPr>
            <w:tcW w:w="524" w:type="dxa"/>
            <w:vAlign w:val="center"/>
          </w:tcPr>
          <w:p w14:paraId="0BCE40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 xml:space="preserve">其他 </w:t>
            </w:r>
            <w:r>
              <w:rPr>
                <w:color w:val="000000" w:themeColor="text1"/>
                <w:sz w:val="21"/>
                <w:szCs w:val="21"/>
                <w:highlight w:val="none"/>
                <w14:textFill>
                  <w14:solidFill>
                    <w14:schemeClr w14:val="tx1"/>
                  </w14:solidFill>
                </w14:textFill>
              </w:rPr>
              <w:sym w:font="Wingdings" w:char="00FE"/>
            </w:r>
          </w:p>
        </w:tc>
      </w:tr>
      <w:tr w14:paraId="5A263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80" w:type="dxa"/>
            <w:vMerge w:val="continue"/>
            <w:tcBorders>
              <w:top w:val="nil"/>
              <w:bottom w:val="nil"/>
            </w:tcBorders>
            <w:vAlign w:val="center"/>
          </w:tcPr>
          <w:p w14:paraId="39DCB39E">
            <w:pPr>
              <w:spacing w:line="240" w:lineRule="auto"/>
              <w:jc w:val="center"/>
              <w:rPr>
                <w:color w:val="000000" w:themeColor="text1"/>
                <w:sz w:val="21"/>
                <w:szCs w:val="21"/>
                <w:highlight w:val="none"/>
                <w14:textFill>
                  <w14:solidFill>
                    <w14:schemeClr w14:val="tx1"/>
                  </w14:solidFill>
                </w14:textFill>
              </w:rPr>
            </w:pPr>
          </w:p>
        </w:tc>
        <w:tc>
          <w:tcPr>
            <w:tcW w:w="1247" w:type="dxa"/>
            <w:vAlign w:val="center"/>
          </w:tcPr>
          <w:p w14:paraId="4FD8139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预测范围</w:t>
            </w:r>
          </w:p>
        </w:tc>
        <w:tc>
          <w:tcPr>
            <w:tcW w:w="1648" w:type="dxa"/>
            <w:gridSpan w:val="2"/>
            <w:tcBorders>
              <w:right w:val="single" w:color="000000" w:sz="2" w:space="0"/>
            </w:tcBorders>
            <w:vAlign w:val="center"/>
          </w:tcPr>
          <w:p w14:paraId="4C50EEA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边长≥50km</w:t>
            </w:r>
            <w:r>
              <w:rPr>
                <w:color w:val="000000" w:themeColor="text1"/>
                <w:sz w:val="21"/>
                <w:szCs w:val="21"/>
                <w:highlight w:val="none"/>
                <w14:textFill>
                  <w14:solidFill>
                    <w14:schemeClr w14:val="tx1"/>
                  </w14:solidFill>
                </w14:textFill>
              </w:rPr>
              <w:sym w:font="Wingdings" w:char="00A8"/>
            </w:r>
          </w:p>
        </w:tc>
        <w:tc>
          <w:tcPr>
            <w:tcW w:w="3107" w:type="dxa"/>
            <w:gridSpan w:val="6"/>
            <w:tcBorders>
              <w:left w:val="single" w:color="000000" w:sz="2" w:space="0"/>
              <w:right w:val="single" w:color="000000" w:sz="2" w:space="0"/>
            </w:tcBorders>
            <w:vAlign w:val="center"/>
          </w:tcPr>
          <w:p w14:paraId="7A8A998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边长5～50km</w:t>
            </w:r>
            <w:r>
              <w:rPr>
                <w:color w:val="000000" w:themeColor="text1"/>
                <w:sz w:val="21"/>
                <w:szCs w:val="21"/>
                <w:highlight w:val="none"/>
                <w14:textFill>
                  <w14:solidFill>
                    <w14:schemeClr w14:val="tx1"/>
                  </w14:solidFill>
                </w14:textFill>
              </w:rPr>
              <w:sym w:font="Wingdings" w:char="00A8"/>
            </w:r>
          </w:p>
        </w:tc>
        <w:tc>
          <w:tcPr>
            <w:tcW w:w="1554" w:type="dxa"/>
            <w:gridSpan w:val="3"/>
            <w:tcBorders>
              <w:left w:val="single" w:color="000000" w:sz="2" w:space="0"/>
            </w:tcBorders>
            <w:vAlign w:val="center"/>
          </w:tcPr>
          <w:p w14:paraId="59BF682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边长=5km</w:t>
            </w:r>
            <w:r>
              <w:rPr>
                <w:color w:val="000000" w:themeColor="text1"/>
                <w:sz w:val="21"/>
                <w:szCs w:val="21"/>
                <w:highlight w:val="none"/>
                <w14:textFill>
                  <w14:solidFill>
                    <w14:schemeClr w14:val="tx1"/>
                  </w14:solidFill>
                </w14:textFill>
              </w:rPr>
              <w:sym w:font="Wingdings" w:char="00FE"/>
            </w:r>
          </w:p>
        </w:tc>
      </w:tr>
      <w:tr w14:paraId="5BDC5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9" w:hRule="atLeast"/>
        </w:trPr>
        <w:tc>
          <w:tcPr>
            <w:tcW w:w="780" w:type="dxa"/>
            <w:vMerge w:val="continue"/>
            <w:tcBorders>
              <w:top w:val="nil"/>
              <w:bottom w:val="nil"/>
            </w:tcBorders>
            <w:vAlign w:val="center"/>
          </w:tcPr>
          <w:p w14:paraId="4471F46E">
            <w:pPr>
              <w:spacing w:line="240" w:lineRule="auto"/>
              <w:jc w:val="center"/>
              <w:rPr>
                <w:color w:val="000000" w:themeColor="text1"/>
                <w:sz w:val="21"/>
                <w:szCs w:val="21"/>
                <w:highlight w:val="none"/>
                <w14:textFill>
                  <w14:solidFill>
                    <w14:schemeClr w14:val="tx1"/>
                  </w14:solidFill>
                </w14:textFill>
              </w:rPr>
            </w:pPr>
          </w:p>
        </w:tc>
        <w:tc>
          <w:tcPr>
            <w:tcW w:w="1247" w:type="dxa"/>
            <w:vAlign w:val="center"/>
          </w:tcPr>
          <w:p w14:paraId="5CDF300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预测因子</w:t>
            </w:r>
          </w:p>
        </w:tc>
        <w:tc>
          <w:tcPr>
            <w:tcW w:w="3339" w:type="dxa"/>
            <w:gridSpan w:val="5"/>
            <w:vAlign w:val="center"/>
          </w:tcPr>
          <w:p w14:paraId="3E31ED0E">
            <w:pPr>
              <w:widowControl/>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预测因子(NH</w:t>
            </w:r>
            <w:r>
              <w:rPr>
                <w:color w:val="000000" w:themeColor="text1"/>
                <w:sz w:val="21"/>
                <w:szCs w:val="21"/>
                <w:highlight w:val="none"/>
                <w:vertAlign w:val="sub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TSP</w:t>
            </w:r>
            <w:r>
              <w:rPr>
                <w:color w:val="000000" w:themeColor="text1"/>
                <w:sz w:val="21"/>
                <w:szCs w:val="21"/>
                <w:highlight w:val="none"/>
                <w14:textFill>
                  <w14:solidFill>
                    <w14:schemeClr w14:val="tx1"/>
                  </w14:solidFill>
                </w14:textFill>
              </w:rPr>
              <w:t>)</w:t>
            </w:r>
          </w:p>
        </w:tc>
        <w:tc>
          <w:tcPr>
            <w:tcW w:w="2970" w:type="dxa"/>
            <w:gridSpan w:val="6"/>
            <w:vAlign w:val="center"/>
          </w:tcPr>
          <w:p w14:paraId="0EF0DB4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包括二次PM2.5</w:t>
            </w:r>
            <w:r>
              <w:rPr>
                <w:color w:val="000000" w:themeColor="text1"/>
                <w:sz w:val="21"/>
                <w:szCs w:val="21"/>
                <w:highlight w:val="none"/>
                <w14:textFill>
                  <w14:solidFill>
                    <w14:schemeClr w14:val="tx1"/>
                  </w14:solidFill>
                </w14:textFill>
              </w:rPr>
              <w:sym w:font="Wingdings" w:char="00A8"/>
            </w:r>
          </w:p>
          <w:p w14:paraId="7EC9962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不包括二次PM2.5</w:t>
            </w:r>
            <w:r>
              <w:rPr>
                <w:color w:val="000000" w:themeColor="text1"/>
                <w:sz w:val="21"/>
                <w:szCs w:val="21"/>
                <w:highlight w:val="none"/>
                <w14:textFill>
                  <w14:solidFill>
                    <w14:schemeClr w14:val="tx1"/>
                  </w14:solidFill>
                </w14:textFill>
              </w:rPr>
              <w:sym w:font="Wingdings" w:char="00FE"/>
            </w:r>
          </w:p>
        </w:tc>
      </w:tr>
      <w:tr w14:paraId="4A3D4B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21" w:hRule="atLeast"/>
        </w:trPr>
        <w:tc>
          <w:tcPr>
            <w:tcW w:w="780" w:type="dxa"/>
            <w:vMerge w:val="continue"/>
            <w:tcBorders>
              <w:top w:val="nil"/>
              <w:bottom w:val="nil"/>
            </w:tcBorders>
            <w:vAlign w:val="center"/>
          </w:tcPr>
          <w:p w14:paraId="75A8147B">
            <w:pPr>
              <w:spacing w:line="240" w:lineRule="auto"/>
              <w:jc w:val="center"/>
              <w:rPr>
                <w:color w:val="000000" w:themeColor="text1"/>
                <w:sz w:val="21"/>
                <w:szCs w:val="21"/>
                <w:highlight w:val="none"/>
                <w14:textFill>
                  <w14:solidFill>
                    <w14:schemeClr w14:val="tx1"/>
                  </w14:solidFill>
                </w14:textFill>
              </w:rPr>
            </w:pPr>
          </w:p>
        </w:tc>
        <w:tc>
          <w:tcPr>
            <w:tcW w:w="1247" w:type="dxa"/>
            <w:vAlign w:val="center"/>
          </w:tcPr>
          <w:p w14:paraId="62A3D4D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正常排放短</w:t>
            </w:r>
          </w:p>
          <w:p w14:paraId="0B68B92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期浓度贡献</w:t>
            </w:r>
          </w:p>
          <w:p w14:paraId="7E0B7BF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值</w:t>
            </w:r>
          </w:p>
        </w:tc>
        <w:tc>
          <w:tcPr>
            <w:tcW w:w="3339" w:type="dxa"/>
            <w:gridSpan w:val="5"/>
            <w:vAlign w:val="center"/>
          </w:tcPr>
          <w:p w14:paraId="4900C5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本项目</w:t>
            </w:r>
            <w:r>
              <w:rPr>
                <w:color w:val="000000" w:themeColor="text1"/>
                <w:sz w:val="21"/>
                <w:szCs w:val="21"/>
                <w:highlight w:val="none"/>
                <w14:textFill>
                  <w14:solidFill>
                    <w14:schemeClr w14:val="tx1"/>
                  </w14:solidFill>
                </w14:textFill>
              </w:rPr>
              <w:t>最大占标率≤100%</w:t>
            </w:r>
            <w:r>
              <w:rPr>
                <w:color w:val="000000" w:themeColor="text1"/>
                <w:sz w:val="21"/>
                <w:szCs w:val="21"/>
                <w:highlight w:val="none"/>
                <w14:textFill>
                  <w14:solidFill>
                    <w14:schemeClr w14:val="tx1"/>
                  </w14:solidFill>
                </w14:textFill>
              </w:rPr>
              <w:sym w:font="Wingdings" w:char="00A8"/>
            </w:r>
          </w:p>
        </w:tc>
        <w:tc>
          <w:tcPr>
            <w:tcW w:w="2970" w:type="dxa"/>
            <w:gridSpan w:val="6"/>
            <w:vAlign w:val="center"/>
          </w:tcPr>
          <w:p w14:paraId="5B54BDB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本项目</w:t>
            </w:r>
            <w:r>
              <w:rPr>
                <w:color w:val="000000" w:themeColor="text1"/>
                <w:sz w:val="21"/>
                <w:szCs w:val="21"/>
                <w:highlight w:val="none"/>
                <w14:textFill>
                  <w14:solidFill>
                    <w14:schemeClr w14:val="tx1"/>
                  </w14:solidFill>
                </w14:textFill>
              </w:rPr>
              <w:t>最大占标率&gt;100%</w:t>
            </w:r>
            <w:r>
              <w:rPr>
                <w:color w:val="000000" w:themeColor="text1"/>
                <w:sz w:val="21"/>
                <w:szCs w:val="21"/>
                <w:highlight w:val="none"/>
                <w14:textFill>
                  <w14:solidFill>
                    <w14:schemeClr w14:val="tx1"/>
                  </w14:solidFill>
                </w14:textFill>
              </w:rPr>
              <w:sym w:font="Wingdings" w:char="00A8"/>
            </w:r>
          </w:p>
        </w:tc>
      </w:tr>
      <w:tr w14:paraId="1FBCA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8" w:hRule="atLeast"/>
        </w:trPr>
        <w:tc>
          <w:tcPr>
            <w:tcW w:w="780" w:type="dxa"/>
            <w:vMerge w:val="continue"/>
            <w:tcBorders>
              <w:top w:val="nil"/>
              <w:bottom w:val="nil"/>
            </w:tcBorders>
            <w:vAlign w:val="center"/>
          </w:tcPr>
          <w:p w14:paraId="6CC382E7">
            <w:pPr>
              <w:spacing w:line="240" w:lineRule="auto"/>
              <w:jc w:val="center"/>
              <w:rPr>
                <w:color w:val="000000" w:themeColor="text1"/>
                <w:sz w:val="21"/>
                <w:szCs w:val="21"/>
                <w:highlight w:val="none"/>
                <w14:textFill>
                  <w14:solidFill>
                    <w14:schemeClr w14:val="tx1"/>
                  </w14:solidFill>
                </w14:textFill>
              </w:rPr>
            </w:pPr>
          </w:p>
        </w:tc>
        <w:tc>
          <w:tcPr>
            <w:tcW w:w="1247" w:type="dxa"/>
            <w:vMerge w:val="restart"/>
            <w:tcBorders>
              <w:bottom w:val="nil"/>
            </w:tcBorders>
            <w:vAlign w:val="center"/>
          </w:tcPr>
          <w:p w14:paraId="288B1E4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正常排放年均浓度贡献值</w:t>
            </w:r>
          </w:p>
        </w:tc>
        <w:tc>
          <w:tcPr>
            <w:tcW w:w="1648" w:type="dxa"/>
            <w:gridSpan w:val="2"/>
            <w:vAlign w:val="center"/>
          </w:tcPr>
          <w:p w14:paraId="67F24F2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一类区</w:t>
            </w:r>
          </w:p>
        </w:tc>
        <w:tc>
          <w:tcPr>
            <w:tcW w:w="1691" w:type="dxa"/>
            <w:gridSpan w:val="3"/>
            <w:vAlign w:val="center"/>
          </w:tcPr>
          <w:p w14:paraId="7401A69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本项目</w:t>
            </w:r>
            <w:r>
              <w:rPr>
                <w:color w:val="000000" w:themeColor="text1"/>
                <w:sz w:val="21"/>
                <w:szCs w:val="21"/>
                <w:highlight w:val="none"/>
                <w14:textFill>
                  <w14:solidFill>
                    <w14:schemeClr w14:val="tx1"/>
                  </w14:solidFill>
                </w14:textFill>
              </w:rPr>
              <w:t>最大占标率≤10%</w:t>
            </w:r>
            <w:r>
              <w:rPr>
                <w:color w:val="000000" w:themeColor="text1"/>
                <w:sz w:val="21"/>
                <w:szCs w:val="21"/>
                <w:highlight w:val="none"/>
                <w14:textFill>
                  <w14:solidFill>
                    <w14:schemeClr w14:val="tx1"/>
                  </w14:solidFill>
                </w14:textFill>
              </w:rPr>
              <w:sym w:font="Wingdings" w:char="00A8"/>
            </w:r>
          </w:p>
        </w:tc>
        <w:tc>
          <w:tcPr>
            <w:tcW w:w="2970" w:type="dxa"/>
            <w:gridSpan w:val="6"/>
            <w:vAlign w:val="center"/>
          </w:tcPr>
          <w:p w14:paraId="2A265E6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本项目</w:t>
            </w:r>
            <w:r>
              <w:rPr>
                <w:color w:val="000000" w:themeColor="text1"/>
                <w:sz w:val="21"/>
                <w:szCs w:val="21"/>
                <w:highlight w:val="none"/>
                <w14:textFill>
                  <w14:solidFill>
                    <w14:schemeClr w14:val="tx1"/>
                  </w14:solidFill>
                </w14:textFill>
              </w:rPr>
              <w:t>最大占标率&gt;10%</w:t>
            </w:r>
            <w:r>
              <w:rPr>
                <w:color w:val="000000" w:themeColor="text1"/>
                <w:sz w:val="21"/>
                <w:szCs w:val="21"/>
                <w:highlight w:val="none"/>
                <w14:textFill>
                  <w14:solidFill>
                    <w14:schemeClr w14:val="tx1"/>
                  </w14:solidFill>
                </w14:textFill>
              </w:rPr>
              <w:sym w:font="Wingdings" w:char="00A8"/>
            </w:r>
          </w:p>
        </w:tc>
      </w:tr>
      <w:tr w14:paraId="73A0E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14" w:hRule="atLeast"/>
        </w:trPr>
        <w:tc>
          <w:tcPr>
            <w:tcW w:w="780" w:type="dxa"/>
            <w:vMerge w:val="continue"/>
            <w:tcBorders>
              <w:top w:val="nil"/>
              <w:bottom w:val="nil"/>
            </w:tcBorders>
            <w:vAlign w:val="center"/>
          </w:tcPr>
          <w:p w14:paraId="4E0D9B81">
            <w:pPr>
              <w:spacing w:line="240" w:lineRule="auto"/>
              <w:jc w:val="center"/>
              <w:rPr>
                <w:color w:val="000000" w:themeColor="text1"/>
                <w:sz w:val="21"/>
                <w:szCs w:val="21"/>
                <w:highlight w:val="none"/>
                <w14:textFill>
                  <w14:solidFill>
                    <w14:schemeClr w14:val="tx1"/>
                  </w14:solidFill>
                </w14:textFill>
              </w:rPr>
            </w:pPr>
          </w:p>
        </w:tc>
        <w:tc>
          <w:tcPr>
            <w:tcW w:w="1247" w:type="dxa"/>
            <w:vMerge w:val="continue"/>
            <w:tcBorders>
              <w:top w:val="nil"/>
              <w:bottom w:val="single" w:color="000000" w:sz="2" w:space="0"/>
            </w:tcBorders>
            <w:vAlign w:val="center"/>
          </w:tcPr>
          <w:p w14:paraId="71E3EAE1">
            <w:pPr>
              <w:spacing w:line="240" w:lineRule="auto"/>
              <w:jc w:val="center"/>
              <w:rPr>
                <w:color w:val="000000" w:themeColor="text1"/>
                <w:sz w:val="21"/>
                <w:szCs w:val="21"/>
                <w:highlight w:val="none"/>
                <w14:textFill>
                  <w14:solidFill>
                    <w14:schemeClr w14:val="tx1"/>
                  </w14:solidFill>
                </w14:textFill>
              </w:rPr>
            </w:pPr>
          </w:p>
        </w:tc>
        <w:tc>
          <w:tcPr>
            <w:tcW w:w="1648" w:type="dxa"/>
            <w:gridSpan w:val="2"/>
            <w:tcBorders>
              <w:bottom w:val="single" w:color="000000" w:sz="2" w:space="0"/>
            </w:tcBorders>
            <w:vAlign w:val="center"/>
          </w:tcPr>
          <w:p w14:paraId="0C354B6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二类区</w:t>
            </w:r>
          </w:p>
        </w:tc>
        <w:tc>
          <w:tcPr>
            <w:tcW w:w="1691" w:type="dxa"/>
            <w:gridSpan w:val="3"/>
            <w:tcBorders>
              <w:bottom w:val="single" w:color="000000" w:sz="2" w:space="0"/>
            </w:tcBorders>
            <w:vAlign w:val="center"/>
          </w:tcPr>
          <w:p w14:paraId="2639A99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本项目</w:t>
            </w:r>
            <w:r>
              <w:rPr>
                <w:color w:val="000000" w:themeColor="text1"/>
                <w:sz w:val="21"/>
                <w:szCs w:val="21"/>
                <w:highlight w:val="none"/>
                <w14:textFill>
                  <w14:solidFill>
                    <w14:schemeClr w14:val="tx1"/>
                  </w14:solidFill>
                </w14:textFill>
              </w:rPr>
              <w:t>最大占标率 ≤30%</w:t>
            </w:r>
            <w:r>
              <w:rPr>
                <w:color w:val="000000" w:themeColor="text1"/>
                <w:sz w:val="21"/>
                <w:szCs w:val="21"/>
                <w:highlight w:val="none"/>
                <w14:textFill>
                  <w14:solidFill>
                    <w14:schemeClr w14:val="tx1"/>
                  </w14:solidFill>
                </w14:textFill>
              </w:rPr>
              <w:sym w:font="Wingdings" w:char="00FE"/>
            </w:r>
          </w:p>
        </w:tc>
        <w:tc>
          <w:tcPr>
            <w:tcW w:w="2970" w:type="dxa"/>
            <w:gridSpan w:val="6"/>
            <w:tcBorders>
              <w:bottom w:val="single" w:color="000000" w:sz="2" w:space="0"/>
            </w:tcBorders>
            <w:vAlign w:val="center"/>
          </w:tcPr>
          <w:p w14:paraId="688780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本项目</w:t>
            </w:r>
            <w:r>
              <w:rPr>
                <w:color w:val="000000" w:themeColor="text1"/>
                <w:sz w:val="21"/>
                <w:szCs w:val="21"/>
                <w:highlight w:val="none"/>
                <w14:textFill>
                  <w14:solidFill>
                    <w14:schemeClr w14:val="tx1"/>
                  </w14:solidFill>
                </w14:textFill>
              </w:rPr>
              <w:t>最大占标率&gt;30%</w:t>
            </w:r>
            <w:r>
              <w:rPr>
                <w:color w:val="000000" w:themeColor="text1"/>
                <w:sz w:val="21"/>
                <w:szCs w:val="21"/>
                <w:highlight w:val="none"/>
                <w14:textFill>
                  <w14:solidFill>
                    <w14:schemeClr w14:val="tx1"/>
                  </w14:solidFill>
                </w14:textFill>
              </w:rPr>
              <w:sym w:font="Wingdings" w:char="00A8"/>
            </w:r>
          </w:p>
        </w:tc>
      </w:tr>
      <w:tr w14:paraId="457C4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63" w:hRule="atLeast"/>
        </w:trPr>
        <w:tc>
          <w:tcPr>
            <w:tcW w:w="780" w:type="dxa"/>
            <w:vMerge w:val="continue"/>
            <w:tcBorders>
              <w:top w:val="nil"/>
              <w:bottom w:val="nil"/>
            </w:tcBorders>
            <w:vAlign w:val="center"/>
          </w:tcPr>
          <w:p w14:paraId="63AE3DB2">
            <w:pPr>
              <w:spacing w:line="240" w:lineRule="auto"/>
              <w:jc w:val="center"/>
              <w:rPr>
                <w:color w:val="000000" w:themeColor="text1"/>
                <w:sz w:val="21"/>
                <w:szCs w:val="21"/>
                <w:highlight w:val="none"/>
                <w14:textFill>
                  <w14:solidFill>
                    <w14:schemeClr w14:val="tx1"/>
                  </w14:solidFill>
                </w14:textFill>
              </w:rPr>
            </w:pPr>
          </w:p>
        </w:tc>
        <w:tc>
          <w:tcPr>
            <w:tcW w:w="1247" w:type="dxa"/>
            <w:tcBorders>
              <w:top w:val="single" w:color="000000" w:sz="2" w:space="0"/>
            </w:tcBorders>
            <w:vAlign w:val="center"/>
          </w:tcPr>
          <w:p w14:paraId="44EBE75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非正常1h浓度贡献值</w:t>
            </w:r>
          </w:p>
        </w:tc>
        <w:tc>
          <w:tcPr>
            <w:tcW w:w="1648" w:type="dxa"/>
            <w:gridSpan w:val="2"/>
            <w:tcBorders>
              <w:top w:val="single" w:color="000000" w:sz="2" w:space="0"/>
            </w:tcBorders>
            <w:vAlign w:val="center"/>
          </w:tcPr>
          <w:p w14:paraId="0EEB9FF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非正常持续时长（/）h</w:t>
            </w:r>
          </w:p>
        </w:tc>
        <w:tc>
          <w:tcPr>
            <w:tcW w:w="3327" w:type="dxa"/>
            <w:gridSpan w:val="7"/>
            <w:tcBorders>
              <w:top w:val="single" w:color="000000" w:sz="2" w:space="0"/>
            </w:tcBorders>
            <w:vAlign w:val="center"/>
          </w:tcPr>
          <w:p w14:paraId="644B5B5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非正常</w:t>
            </w:r>
            <w:r>
              <w:rPr>
                <w:color w:val="000000" w:themeColor="text1"/>
                <w:sz w:val="21"/>
                <w:szCs w:val="21"/>
                <w:highlight w:val="none"/>
                <w14:textFill>
                  <w14:solidFill>
                    <w14:schemeClr w14:val="tx1"/>
                  </w14:solidFill>
                </w14:textFill>
              </w:rPr>
              <w:t>占标率≤100%</w:t>
            </w:r>
            <w:r>
              <w:rPr>
                <w:color w:val="000000" w:themeColor="text1"/>
                <w:sz w:val="21"/>
                <w:szCs w:val="21"/>
                <w:highlight w:val="none"/>
                <w14:textFill>
                  <w14:solidFill>
                    <w14:schemeClr w14:val="tx1"/>
                  </w14:solidFill>
                </w14:textFill>
              </w:rPr>
              <w:sym w:font="Wingdings" w:char="00FE"/>
            </w:r>
          </w:p>
        </w:tc>
        <w:tc>
          <w:tcPr>
            <w:tcW w:w="1334" w:type="dxa"/>
            <w:gridSpan w:val="2"/>
            <w:tcBorders>
              <w:top w:val="single" w:color="000000" w:sz="2" w:space="0"/>
              <w:right w:val="single" w:color="000000" w:sz="2" w:space="0"/>
            </w:tcBorders>
            <w:vAlign w:val="center"/>
          </w:tcPr>
          <w:p w14:paraId="6D01931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非正常</w:t>
            </w:r>
            <w:r>
              <w:rPr>
                <w:color w:val="000000" w:themeColor="text1"/>
                <w:sz w:val="21"/>
                <w:szCs w:val="21"/>
                <w:highlight w:val="none"/>
                <w14:textFill>
                  <w14:solidFill>
                    <w14:schemeClr w14:val="tx1"/>
                  </w14:solidFill>
                </w14:textFill>
              </w:rPr>
              <w:t>占标率&gt;100%</w:t>
            </w:r>
            <w:r>
              <w:rPr>
                <w:color w:val="000000" w:themeColor="text1"/>
                <w:sz w:val="21"/>
                <w:szCs w:val="21"/>
                <w:highlight w:val="none"/>
                <w14:textFill>
                  <w14:solidFill>
                    <w14:schemeClr w14:val="tx1"/>
                  </w14:solidFill>
                </w14:textFill>
              </w:rPr>
              <w:sym w:font="Wingdings" w:char="00A8"/>
            </w:r>
          </w:p>
        </w:tc>
      </w:tr>
      <w:tr w14:paraId="1CCCC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780" w:type="dxa"/>
            <w:vMerge w:val="continue"/>
            <w:tcBorders>
              <w:top w:val="nil"/>
              <w:bottom w:val="nil"/>
            </w:tcBorders>
            <w:vAlign w:val="center"/>
          </w:tcPr>
          <w:p w14:paraId="69F7B2C8">
            <w:pPr>
              <w:spacing w:line="240" w:lineRule="auto"/>
              <w:jc w:val="center"/>
              <w:rPr>
                <w:color w:val="000000" w:themeColor="text1"/>
                <w:sz w:val="21"/>
                <w:szCs w:val="21"/>
                <w:highlight w:val="none"/>
                <w14:textFill>
                  <w14:solidFill>
                    <w14:schemeClr w14:val="tx1"/>
                  </w14:solidFill>
                </w14:textFill>
              </w:rPr>
            </w:pPr>
          </w:p>
        </w:tc>
        <w:tc>
          <w:tcPr>
            <w:tcW w:w="2334" w:type="dxa"/>
            <w:gridSpan w:val="2"/>
            <w:vAlign w:val="center"/>
          </w:tcPr>
          <w:p w14:paraId="726B03F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保证率日平均浓度和年平均浓度叠加值</w:t>
            </w:r>
          </w:p>
        </w:tc>
        <w:tc>
          <w:tcPr>
            <w:tcW w:w="2252" w:type="dxa"/>
            <w:gridSpan w:val="4"/>
            <w:vAlign w:val="center"/>
          </w:tcPr>
          <w:p w14:paraId="3ABC825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叠加</w:t>
            </w:r>
            <w:r>
              <w:rPr>
                <w:color w:val="000000" w:themeColor="text1"/>
                <w:sz w:val="21"/>
                <w:szCs w:val="21"/>
                <w:highlight w:val="none"/>
                <w14:textFill>
                  <w14:solidFill>
                    <w14:schemeClr w14:val="tx1"/>
                  </w14:solidFill>
                </w14:textFill>
              </w:rPr>
              <w:t>达标</w:t>
            </w:r>
            <w:r>
              <w:rPr>
                <w:color w:val="000000" w:themeColor="text1"/>
                <w:sz w:val="21"/>
                <w:szCs w:val="21"/>
                <w:highlight w:val="none"/>
                <w14:textFill>
                  <w14:solidFill>
                    <w14:schemeClr w14:val="tx1"/>
                  </w14:solidFill>
                </w14:textFill>
              </w:rPr>
              <w:sym w:font="Wingdings" w:char="00FE"/>
            </w:r>
          </w:p>
        </w:tc>
        <w:tc>
          <w:tcPr>
            <w:tcW w:w="2970" w:type="dxa"/>
            <w:gridSpan w:val="6"/>
            <w:tcBorders>
              <w:right w:val="single" w:color="000000" w:sz="2" w:space="0"/>
            </w:tcBorders>
            <w:vAlign w:val="center"/>
          </w:tcPr>
          <w:p w14:paraId="57966FA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color w:val="000000" w:themeColor="text1"/>
                <w:sz w:val="21"/>
                <w:szCs w:val="21"/>
                <w:highlight w:val="none"/>
                <w:vertAlign w:val="subscript"/>
                <w14:textFill>
                  <w14:solidFill>
                    <w14:schemeClr w14:val="tx1"/>
                  </w14:solidFill>
                </w14:textFill>
              </w:rPr>
              <w:t>叠加</w:t>
            </w:r>
            <w:r>
              <w:rPr>
                <w:color w:val="000000" w:themeColor="text1"/>
                <w:sz w:val="21"/>
                <w:szCs w:val="21"/>
                <w:highlight w:val="none"/>
                <w14:textFill>
                  <w14:solidFill>
                    <w14:schemeClr w14:val="tx1"/>
                  </w14:solidFill>
                </w14:textFill>
              </w:rPr>
              <w:t>不达标</w:t>
            </w:r>
            <w:r>
              <w:rPr>
                <w:color w:val="000000" w:themeColor="text1"/>
                <w:sz w:val="21"/>
                <w:szCs w:val="21"/>
                <w:highlight w:val="none"/>
                <w14:textFill>
                  <w14:solidFill>
                    <w14:schemeClr w14:val="tx1"/>
                  </w14:solidFill>
                </w14:textFill>
              </w:rPr>
              <w:sym w:font="Wingdings" w:char="00A8"/>
            </w:r>
          </w:p>
        </w:tc>
      </w:tr>
      <w:tr w14:paraId="3E3DA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780" w:type="dxa"/>
            <w:vMerge w:val="continue"/>
            <w:tcBorders>
              <w:top w:val="nil"/>
            </w:tcBorders>
            <w:vAlign w:val="center"/>
          </w:tcPr>
          <w:p w14:paraId="3C72A312">
            <w:pPr>
              <w:spacing w:line="240" w:lineRule="auto"/>
              <w:jc w:val="center"/>
              <w:rPr>
                <w:color w:val="000000" w:themeColor="text1"/>
                <w:sz w:val="21"/>
                <w:szCs w:val="21"/>
                <w:highlight w:val="none"/>
                <w14:textFill>
                  <w14:solidFill>
                    <w14:schemeClr w14:val="tx1"/>
                  </w14:solidFill>
                </w14:textFill>
              </w:rPr>
            </w:pPr>
          </w:p>
        </w:tc>
        <w:tc>
          <w:tcPr>
            <w:tcW w:w="2334" w:type="dxa"/>
            <w:gridSpan w:val="2"/>
            <w:vAlign w:val="center"/>
          </w:tcPr>
          <w:p w14:paraId="26123ED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区域环境质量的整体变化情况</w:t>
            </w:r>
          </w:p>
        </w:tc>
        <w:tc>
          <w:tcPr>
            <w:tcW w:w="2252" w:type="dxa"/>
            <w:gridSpan w:val="4"/>
            <w:vAlign w:val="center"/>
          </w:tcPr>
          <w:p w14:paraId="735BEFC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k≤-20%</w:t>
            </w:r>
            <w:r>
              <w:rPr>
                <w:color w:val="000000" w:themeColor="text1"/>
                <w:sz w:val="21"/>
                <w:szCs w:val="21"/>
                <w:highlight w:val="none"/>
                <w14:textFill>
                  <w14:solidFill>
                    <w14:schemeClr w14:val="tx1"/>
                  </w14:solidFill>
                </w14:textFill>
              </w:rPr>
              <w:sym w:font="Wingdings" w:char="00A8"/>
            </w:r>
          </w:p>
        </w:tc>
        <w:tc>
          <w:tcPr>
            <w:tcW w:w="2970" w:type="dxa"/>
            <w:gridSpan w:val="6"/>
            <w:tcBorders>
              <w:right w:val="single" w:color="000000" w:sz="2" w:space="0"/>
            </w:tcBorders>
            <w:vAlign w:val="center"/>
          </w:tcPr>
          <w:p w14:paraId="194305F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k&gt;-20%</w:t>
            </w:r>
            <w:r>
              <w:rPr>
                <w:color w:val="000000" w:themeColor="text1"/>
                <w:sz w:val="21"/>
                <w:szCs w:val="21"/>
                <w:highlight w:val="none"/>
                <w14:textFill>
                  <w14:solidFill>
                    <w14:schemeClr w14:val="tx1"/>
                  </w14:solidFill>
                </w14:textFill>
              </w:rPr>
              <w:sym w:font="Wingdings" w:char="00A8"/>
            </w:r>
          </w:p>
        </w:tc>
      </w:tr>
      <w:tr w14:paraId="4DC680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48" w:hRule="atLeast"/>
        </w:trPr>
        <w:tc>
          <w:tcPr>
            <w:tcW w:w="780" w:type="dxa"/>
            <w:vMerge w:val="restart"/>
            <w:tcBorders>
              <w:bottom w:val="nil"/>
              <w:right w:val="single" w:color="000000" w:sz="2" w:space="0"/>
            </w:tcBorders>
            <w:vAlign w:val="center"/>
          </w:tcPr>
          <w:p w14:paraId="621F3CB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环境监 测计划</w:t>
            </w:r>
          </w:p>
        </w:tc>
        <w:tc>
          <w:tcPr>
            <w:tcW w:w="2334" w:type="dxa"/>
            <w:gridSpan w:val="2"/>
            <w:tcBorders>
              <w:left w:val="single" w:color="000000" w:sz="2" w:space="0"/>
            </w:tcBorders>
            <w:vAlign w:val="center"/>
          </w:tcPr>
          <w:p w14:paraId="7FF3C2D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污染源监测</w:t>
            </w:r>
          </w:p>
        </w:tc>
        <w:tc>
          <w:tcPr>
            <w:tcW w:w="1837" w:type="dxa"/>
            <w:gridSpan w:val="3"/>
            <w:vAlign w:val="center"/>
          </w:tcPr>
          <w:p w14:paraId="11BEA6B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监测因子：（NH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w:t>
            </w:r>
            <w:r>
              <w:rPr>
                <w:rFonts w:hint="eastAsia"/>
                <w:color w:val="000000" w:themeColor="text1"/>
                <w:sz w:val="21"/>
                <w:szCs w:val="21"/>
                <w:highlight w:val="none"/>
                <w:lang w:val="en-US" w:eastAsia="zh-CN"/>
                <w14:textFill>
                  <w14:solidFill>
                    <w14:schemeClr w14:val="tx1"/>
                  </w14:solidFill>
                </w14:textFill>
              </w:rPr>
              <w:t>TSP、</w:t>
            </w:r>
            <w:r>
              <w:rPr>
                <w:color w:val="000000" w:themeColor="text1"/>
                <w:sz w:val="21"/>
                <w:szCs w:val="21"/>
                <w:highlight w:val="none"/>
                <w14:textFill>
                  <w14:solidFill>
                    <w14:schemeClr w14:val="tx1"/>
                  </w14:solidFill>
                </w14:textFill>
              </w:rPr>
              <w:t>臭气浓度）</w:t>
            </w:r>
          </w:p>
        </w:tc>
        <w:tc>
          <w:tcPr>
            <w:tcW w:w="2051" w:type="dxa"/>
            <w:gridSpan w:val="5"/>
            <w:tcBorders>
              <w:right w:val="single" w:color="000000" w:sz="2" w:space="0"/>
            </w:tcBorders>
            <w:vAlign w:val="center"/>
          </w:tcPr>
          <w:p w14:paraId="083EC2F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有组织废气监测</w:t>
            </w:r>
            <w:r>
              <w:rPr>
                <w:color w:val="000000" w:themeColor="text1"/>
                <w:sz w:val="21"/>
                <w:szCs w:val="21"/>
                <w:highlight w:val="none"/>
                <w14:textFill>
                  <w14:solidFill>
                    <w14:schemeClr w14:val="tx1"/>
                  </w14:solidFill>
                </w14:textFill>
              </w:rPr>
              <w:sym w:font="Wingdings" w:char="00A8"/>
            </w:r>
          </w:p>
          <w:p w14:paraId="743B7CE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无组织废气监测</w:t>
            </w:r>
            <w:r>
              <w:rPr>
                <w:color w:val="000000" w:themeColor="text1"/>
                <w:sz w:val="21"/>
                <w:szCs w:val="21"/>
                <w:highlight w:val="none"/>
                <w14:textFill>
                  <w14:solidFill>
                    <w14:schemeClr w14:val="tx1"/>
                  </w14:solidFill>
                </w14:textFill>
              </w:rPr>
              <w:sym w:font="Wingdings" w:char="00FE"/>
            </w:r>
          </w:p>
        </w:tc>
        <w:tc>
          <w:tcPr>
            <w:tcW w:w="1334" w:type="dxa"/>
            <w:gridSpan w:val="2"/>
            <w:tcBorders>
              <w:left w:val="single" w:color="000000" w:sz="2" w:space="0"/>
              <w:right w:val="single" w:color="000000" w:sz="2" w:space="0"/>
            </w:tcBorders>
            <w:vAlign w:val="center"/>
          </w:tcPr>
          <w:p w14:paraId="5D32222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无监测</w:t>
            </w:r>
            <w:r>
              <w:rPr>
                <w:color w:val="000000" w:themeColor="text1"/>
                <w:sz w:val="21"/>
                <w:szCs w:val="21"/>
                <w:highlight w:val="none"/>
                <w14:textFill>
                  <w14:solidFill>
                    <w14:schemeClr w14:val="tx1"/>
                  </w14:solidFill>
                </w14:textFill>
              </w:rPr>
              <w:sym w:font="Wingdings" w:char="00A8"/>
            </w:r>
          </w:p>
        </w:tc>
      </w:tr>
      <w:tr w14:paraId="5B697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49" w:hRule="atLeast"/>
        </w:trPr>
        <w:tc>
          <w:tcPr>
            <w:tcW w:w="780" w:type="dxa"/>
            <w:vMerge w:val="continue"/>
            <w:tcBorders>
              <w:top w:val="nil"/>
              <w:right w:val="single" w:color="000000" w:sz="2" w:space="0"/>
            </w:tcBorders>
            <w:vAlign w:val="center"/>
          </w:tcPr>
          <w:p w14:paraId="7E0FDF96">
            <w:pPr>
              <w:spacing w:line="240" w:lineRule="auto"/>
              <w:jc w:val="center"/>
              <w:rPr>
                <w:color w:val="000000" w:themeColor="text1"/>
                <w:sz w:val="21"/>
                <w:szCs w:val="21"/>
                <w:highlight w:val="none"/>
                <w14:textFill>
                  <w14:solidFill>
                    <w14:schemeClr w14:val="tx1"/>
                  </w14:solidFill>
                </w14:textFill>
              </w:rPr>
            </w:pPr>
          </w:p>
        </w:tc>
        <w:tc>
          <w:tcPr>
            <w:tcW w:w="2334" w:type="dxa"/>
            <w:gridSpan w:val="2"/>
            <w:tcBorders>
              <w:left w:val="single" w:color="000000" w:sz="2" w:space="0"/>
            </w:tcBorders>
            <w:vAlign w:val="center"/>
          </w:tcPr>
          <w:p w14:paraId="3DA81B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环境质量监测</w:t>
            </w:r>
          </w:p>
        </w:tc>
        <w:tc>
          <w:tcPr>
            <w:tcW w:w="1837" w:type="dxa"/>
            <w:gridSpan w:val="3"/>
            <w:vAlign w:val="center"/>
          </w:tcPr>
          <w:p w14:paraId="226DF81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监测因子：（/）</w:t>
            </w:r>
          </w:p>
        </w:tc>
        <w:tc>
          <w:tcPr>
            <w:tcW w:w="2051" w:type="dxa"/>
            <w:gridSpan w:val="5"/>
            <w:tcBorders>
              <w:right w:val="single" w:color="000000" w:sz="2" w:space="0"/>
            </w:tcBorders>
            <w:vAlign w:val="center"/>
          </w:tcPr>
          <w:p w14:paraId="10DD64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监测点位数（/）</w:t>
            </w:r>
          </w:p>
        </w:tc>
        <w:tc>
          <w:tcPr>
            <w:tcW w:w="1334" w:type="dxa"/>
            <w:gridSpan w:val="2"/>
            <w:tcBorders>
              <w:left w:val="single" w:color="000000" w:sz="2" w:space="0"/>
              <w:right w:val="single" w:color="000000" w:sz="2" w:space="0"/>
            </w:tcBorders>
            <w:vAlign w:val="center"/>
          </w:tcPr>
          <w:p w14:paraId="0C927AA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无监测</w:t>
            </w:r>
            <w:r>
              <w:rPr>
                <w:color w:val="000000" w:themeColor="text1"/>
                <w:sz w:val="21"/>
                <w:szCs w:val="21"/>
                <w:highlight w:val="none"/>
                <w14:textFill>
                  <w14:solidFill>
                    <w14:schemeClr w14:val="tx1"/>
                  </w14:solidFill>
                </w14:textFill>
              </w:rPr>
              <w:sym w:font="Wingdings" w:char="00FE"/>
            </w:r>
          </w:p>
        </w:tc>
      </w:tr>
      <w:tr w14:paraId="2A166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5" w:hRule="atLeast"/>
        </w:trPr>
        <w:tc>
          <w:tcPr>
            <w:tcW w:w="780" w:type="dxa"/>
            <w:vMerge w:val="restart"/>
            <w:tcBorders>
              <w:right w:val="single" w:color="000000" w:sz="2" w:space="0"/>
            </w:tcBorders>
            <w:vAlign w:val="center"/>
          </w:tcPr>
          <w:p w14:paraId="7D72C64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评价结 论</w:t>
            </w:r>
          </w:p>
        </w:tc>
        <w:tc>
          <w:tcPr>
            <w:tcW w:w="2334" w:type="dxa"/>
            <w:gridSpan w:val="2"/>
            <w:tcBorders>
              <w:left w:val="single" w:color="000000" w:sz="2" w:space="0"/>
              <w:right w:val="single" w:color="000000" w:sz="2" w:space="0"/>
            </w:tcBorders>
            <w:vAlign w:val="center"/>
          </w:tcPr>
          <w:p w14:paraId="6682F7E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环境影响</w:t>
            </w:r>
          </w:p>
        </w:tc>
        <w:tc>
          <w:tcPr>
            <w:tcW w:w="5222" w:type="dxa"/>
            <w:gridSpan w:val="10"/>
            <w:tcBorders>
              <w:right w:val="single" w:color="000000" w:sz="2" w:space="0"/>
            </w:tcBorders>
            <w:vAlign w:val="center"/>
          </w:tcPr>
          <w:p w14:paraId="60E5E20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可以接受</w:t>
            </w:r>
            <w:r>
              <w:rPr>
                <w:color w:val="000000" w:themeColor="text1"/>
                <w:sz w:val="21"/>
                <w:szCs w:val="21"/>
                <w:highlight w:val="none"/>
                <w14:textFill>
                  <w14:solidFill>
                    <w14:schemeClr w14:val="tx1"/>
                  </w14:solidFill>
                </w14:textFill>
              </w:rPr>
              <w:sym w:font="Wingdings" w:char="00FE"/>
            </w:r>
            <w:r>
              <w:rPr>
                <w:color w:val="000000" w:themeColor="text1"/>
                <w:sz w:val="21"/>
                <w:szCs w:val="21"/>
                <w:highlight w:val="none"/>
                <w14:textFill>
                  <w14:solidFill>
                    <w14:schemeClr w14:val="tx1"/>
                  </w14:solidFill>
                </w14:textFill>
              </w:rPr>
              <w:t xml:space="preserve">                       不可以接受</w:t>
            </w:r>
            <w:r>
              <w:rPr>
                <w:color w:val="000000" w:themeColor="text1"/>
                <w:sz w:val="21"/>
                <w:szCs w:val="21"/>
                <w:highlight w:val="none"/>
                <w14:textFill>
                  <w14:solidFill>
                    <w14:schemeClr w14:val="tx1"/>
                  </w14:solidFill>
                </w14:textFill>
              </w:rPr>
              <w:sym w:font="Wingdings" w:char="00A8"/>
            </w:r>
          </w:p>
        </w:tc>
      </w:tr>
      <w:tr w14:paraId="57521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52" w:hRule="atLeast"/>
        </w:trPr>
        <w:tc>
          <w:tcPr>
            <w:tcW w:w="780" w:type="dxa"/>
            <w:vMerge w:val="continue"/>
            <w:tcBorders>
              <w:right w:val="single" w:color="000000" w:sz="2" w:space="0"/>
            </w:tcBorders>
            <w:vAlign w:val="center"/>
          </w:tcPr>
          <w:p w14:paraId="327287CE">
            <w:pPr>
              <w:spacing w:line="240" w:lineRule="auto"/>
              <w:jc w:val="center"/>
              <w:rPr>
                <w:color w:val="000000" w:themeColor="text1"/>
                <w:sz w:val="21"/>
                <w:szCs w:val="21"/>
                <w:highlight w:val="none"/>
                <w14:textFill>
                  <w14:solidFill>
                    <w14:schemeClr w14:val="tx1"/>
                  </w14:solidFill>
                </w14:textFill>
              </w:rPr>
            </w:pPr>
          </w:p>
        </w:tc>
        <w:tc>
          <w:tcPr>
            <w:tcW w:w="2334" w:type="dxa"/>
            <w:gridSpan w:val="2"/>
            <w:tcBorders>
              <w:left w:val="single" w:color="000000" w:sz="2" w:space="0"/>
              <w:bottom w:val="single" w:color="000000" w:sz="2" w:space="0"/>
              <w:right w:val="single" w:color="000000" w:sz="2" w:space="0"/>
            </w:tcBorders>
            <w:vAlign w:val="center"/>
          </w:tcPr>
          <w:p w14:paraId="12246E0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大气环境防护距离</w:t>
            </w:r>
          </w:p>
        </w:tc>
        <w:tc>
          <w:tcPr>
            <w:tcW w:w="5222" w:type="dxa"/>
            <w:gridSpan w:val="10"/>
            <w:tcBorders>
              <w:bottom w:val="single" w:color="000000" w:sz="2" w:space="0"/>
              <w:right w:val="single" w:color="000000" w:sz="2" w:space="0"/>
            </w:tcBorders>
            <w:vAlign w:val="center"/>
          </w:tcPr>
          <w:p w14:paraId="3B6C1CB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距（/）厂界最远（/）m</w:t>
            </w:r>
          </w:p>
        </w:tc>
      </w:tr>
      <w:tr w14:paraId="129AB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18" w:hRule="atLeast"/>
        </w:trPr>
        <w:tc>
          <w:tcPr>
            <w:tcW w:w="2027" w:type="dxa"/>
            <w:gridSpan w:val="2"/>
            <w:vAlign w:val="center"/>
          </w:tcPr>
          <w:p w14:paraId="2399E33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污染源年排放量</w:t>
            </w:r>
          </w:p>
        </w:tc>
        <w:tc>
          <w:tcPr>
            <w:tcW w:w="1648" w:type="dxa"/>
            <w:gridSpan w:val="2"/>
            <w:tcBorders>
              <w:top w:val="single" w:color="000000" w:sz="2" w:space="0"/>
            </w:tcBorders>
            <w:vAlign w:val="center"/>
          </w:tcPr>
          <w:p w14:paraId="087D1C3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SO</w:t>
            </w:r>
            <w:r>
              <w:rPr>
                <w:color w:val="000000" w:themeColor="text1"/>
                <w:sz w:val="21"/>
                <w:szCs w:val="21"/>
                <w:highlight w:val="none"/>
                <w:vertAlign w:val="subscript"/>
                <w14:textFill>
                  <w14:solidFill>
                    <w14:schemeClr w14:val="tx1"/>
                  </w14:solidFill>
                </w14:textFill>
              </w:rPr>
              <w:t>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(/)t/a</w:t>
            </w:r>
          </w:p>
        </w:tc>
        <w:tc>
          <w:tcPr>
            <w:tcW w:w="1691" w:type="dxa"/>
            <w:gridSpan w:val="3"/>
            <w:tcBorders>
              <w:top w:val="single" w:color="000000" w:sz="2" w:space="0"/>
              <w:right w:val="single" w:color="000000" w:sz="2" w:space="0"/>
            </w:tcBorders>
            <w:vAlign w:val="center"/>
          </w:tcPr>
          <w:p w14:paraId="6CFA2B5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NOx</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(/)t/a</w:t>
            </w:r>
          </w:p>
        </w:tc>
        <w:tc>
          <w:tcPr>
            <w:tcW w:w="1636" w:type="dxa"/>
            <w:gridSpan w:val="4"/>
            <w:tcBorders>
              <w:top w:val="single" w:color="000000" w:sz="2" w:space="0"/>
              <w:left w:val="single" w:color="000000" w:sz="2" w:space="0"/>
            </w:tcBorders>
            <w:vAlign w:val="center"/>
          </w:tcPr>
          <w:p w14:paraId="63CACB3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颗粒物</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0.126</w:t>
            </w:r>
            <w:r>
              <w:rPr>
                <w:color w:val="000000" w:themeColor="text1"/>
                <w:sz w:val="21"/>
                <w:szCs w:val="21"/>
                <w:highlight w:val="none"/>
                <w14:textFill>
                  <w14:solidFill>
                    <w14:schemeClr w14:val="tx1"/>
                  </w14:solidFill>
                </w14:textFill>
              </w:rPr>
              <w:t>)t/a</w:t>
            </w:r>
          </w:p>
        </w:tc>
        <w:tc>
          <w:tcPr>
            <w:tcW w:w="1334" w:type="dxa"/>
            <w:gridSpan w:val="2"/>
            <w:tcBorders>
              <w:top w:val="single" w:color="000000" w:sz="2" w:space="0"/>
            </w:tcBorders>
            <w:vAlign w:val="center"/>
          </w:tcPr>
          <w:p w14:paraId="6142680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VOCs</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(/)t/a</w:t>
            </w:r>
          </w:p>
        </w:tc>
      </w:tr>
      <w:tr w14:paraId="367961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8336" w:type="dxa"/>
            <w:gridSpan w:val="13"/>
            <w:vAlign w:val="center"/>
          </w:tcPr>
          <w:p w14:paraId="18D2D1C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注：</w:t>
            </w:r>
            <w:r>
              <w:rPr>
                <w:rFonts w:hint="eastAsia" w:ascii="宋体" w:hAnsi="宋体"/>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sym w:font="Wingdings" w:char="00A8"/>
            </w:r>
            <w:r>
              <w:rPr>
                <w:rFonts w:hint="eastAsia" w:ascii="宋体" w:hAnsi="宋体"/>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填</w:t>
            </w:r>
            <w:r>
              <w:rPr>
                <w:rFonts w:hint="eastAsia" w:ascii="宋体" w:hAnsi="宋体"/>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w:t>
            </w:r>
            <w:r>
              <w:rPr>
                <w:rFonts w:hint="eastAsia" w:ascii="宋体" w:hAnsi="宋体"/>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  )</w:t>
            </w:r>
            <w:r>
              <w:rPr>
                <w:rFonts w:hint="eastAsia" w:ascii="宋体" w:hAnsi="宋体"/>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为内容填写项</w:t>
            </w:r>
          </w:p>
        </w:tc>
      </w:tr>
    </w:tbl>
    <w:p w14:paraId="6B5B3FB6">
      <w:pPr>
        <w:pStyle w:val="4"/>
        <w:rPr>
          <w:color w:val="000000" w:themeColor="text1"/>
          <w:highlight w:val="none"/>
          <w14:textFill>
            <w14:solidFill>
              <w14:schemeClr w14:val="tx1"/>
            </w14:solidFill>
          </w14:textFill>
        </w:rPr>
      </w:pPr>
      <w:bookmarkStart w:id="217" w:name="_Toc812"/>
      <w:r>
        <w:rPr>
          <w:color w:val="000000" w:themeColor="text1"/>
          <w:highlight w:val="none"/>
          <w14:textFill>
            <w14:solidFill>
              <w14:schemeClr w14:val="tx1"/>
            </w14:solidFill>
          </w14:textFill>
        </w:rPr>
        <w:t>5.2.2运营期水环境影响分析</w:t>
      </w:r>
      <w:bookmarkEnd w:id="217"/>
    </w:p>
    <w:p w14:paraId="741EE906">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"5.2.2.1"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5.2.2.1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地表水环境影响分析</w:t>
      </w:r>
    </w:p>
    <w:p w14:paraId="2874654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本项目废水主要为生活污水、养殖废水（猪尿），猪舍产生的粪污经漏缝地板+虹吸管道吸入圈舍底部</w:t>
      </w:r>
      <w:r>
        <w:rPr>
          <w:rFonts w:hint="eastAsia"/>
          <w:color w:val="000000" w:themeColor="text1"/>
          <w:highlight w:val="none"/>
          <w:lang w:eastAsia="zh-CN"/>
          <w14:textFill>
            <w14:solidFill>
              <w14:schemeClr w14:val="tx1"/>
            </w14:solidFill>
          </w14:textFill>
        </w:rPr>
        <w:t>堆粪池</w:t>
      </w:r>
      <w:r>
        <w:rPr>
          <w:color w:val="000000" w:themeColor="text1"/>
          <w:highlight w:val="none"/>
          <w14:textFill>
            <w14:solidFill>
              <w14:schemeClr w14:val="tx1"/>
            </w14:solidFill>
          </w14:textFill>
        </w:rPr>
        <w:t>，收集的粪污经干湿分离，尿液和生活废水一起进入</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经厌氧发酵后，处理后作为液体有机肥料农用，因此，本项目无外排污水。</w:t>
      </w:r>
    </w:p>
    <w:p w14:paraId="2C94B4A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（1）液体有机肥还田可行性分析</w:t>
      </w:r>
    </w:p>
    <w:p w14:paraId="6706567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①液体有机肥</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处理工艺的可行性分析</w:t>
      </w:r>
    </w:p>
    <w:p w14:paraId="41F26B0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猪舍里产生的尿、粪及冲洗水经漏粪板漏入下方的漏粪沟内，然后通过虹吸作用排入</w:t>
      </w:r>
      <w:r>
        <w:rPr>
          <w:rFonts w:hint="eastAsia"/>
          <w:color w:val="000000" w:themeColor="text1"/>
          <w:highlight w:val="none"/>
          <w14:textFill>
            <w14:solidFill>
              <w14:schemeClr w14:val="tx1"/>
            </w14:solidFill>
          </w14:textFill>
        </w:rPr>
        <w:t>集</w:t>
      </w:r>
      <w:r>
        <w:rPr>
          <w:color w:val="000000" w:themeColor="text1"/>
          <w:highlight w:val="none"/>
          <w14:textFill>
            <w14:solidFill>
              <w14:schemeClr w14:val="tx1"/>
            </w14:solidFill>
          </w14:textFill>
        </w:rPr>
        <w:t>粪池，再送入固液分离系统，分离后固体部分运至</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堆肥后外售，液体部分进入液体池，定期由输送泵输送至</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进行液体肥生产。</w:t>
      </w:r>
    </w:p>
    <w:p w14:paraId="16D552A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本项目所设计的</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具有防渗防蒸发厌氧处理，最终无害化发酵形成液体有机肥。包括：</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由安全膜、报警系统、底膜及浮动膜（覆膜），安全排气孔等组成。</w:t>
      </w:r>
    </w:p>
    <w:p w14:paraId="34E8CE5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固液分离后的液体部分存储在底膜和浮动膜之间的空间里，随着进入的液体量不断增加，浮动膜会慢慢浮起。粪污水在双层膜内部经厌氧发酵后，成为液体有机肥还田，方案可行。</w:t>
      </w:r>
    </w:p>
    <w:p w14:paraId="4D63EF9E">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的底层采用1.5m厚度粘土或原土夯实的防渗方式，渗透系数不大于1.0×10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cm/s，之上铺设一层1mm厚的高密度聚乙烯（HDPE）膜（渗透系数K&lt;10</w:t>
      </w:r>
      <w:r>
        <w:rPr>
          <w:color w:val="000000" w:themeColor="text1"/>
          <w:highlight w:val="none"/>
          <w:vertAlign w:val="superscript"/>
          <w14:textFill>
            <w14:solidFill>
              <w14:schemeClr w14:val="tx1"/>
            </w14:solidFill>
          </w14:textFill>
        </w:rPr>
        <w:t>-10</w:t>
      </w:r>
      <w:r>
        <w:rPr>
          <w:color w:val="000000" w:themeColor="text1"/>
          <w:highlight w:val="none"/>
          <w14:textFill>
            <w14:solidFill>
              <w14:schemeClr w14:val="tx1"/>
            </w14:solidFill>
          </w14:textFill>
        </w:rPr>
        <w:t>cm/s），在安全膜以上是底膜，底膜与浮动膜形成密闭无缝隙的</w:t>
      </w:r>
      <w:r>
        <w:rPr>
          <w:rFonts w:hint="eastAsia"/>
          <w:color w:val="000000" w:themeColor="text1"/>
          <w:highlight w:val="none"/>
          <w14:textFill>
            <w14:solidFill>
              <w14:schemeClr w14:val="tx1"/>
            </w14:solidFill>
          </w14:textFill>
        </w:rPr>
        <w:t>袋</w:t>
      </w:r>
      <w:r>
        <w:rPr>
          <w:color w:val="000000" w:themeColor="text1"/>
          <w:highlight w:val="none"/>
          <w14:textFill>
            <w14:solidFill>
              <w14:schemeClr w14:val="tx1"/>
            </w14:solidFill>
          </w14:textFill>
        </w:rPr>
        <w:t>囊，充装肥水。采取以上措施后，液体有机肥储存可以做到防渗漏。</w:t>
      </w:r>
    </w:p>
    <w:p w14:paraId="521E977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本项目产生畜禽废水经固液分离设备、</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处理后，全部转变为液体有机肥后施用于项目周边农田。因此，本工程最终无废水排放。</w:t>
      </w:r>
    </w:p>
    <w:p w14:paraId="4DDA090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（2）有机肥综合利用可行性分析</w:t>
      </w:r>
    </w:p>
    <w:p w14:paraId="5553E19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①有机肥营养成分及用途</w:t>
      </w:r>
    </w:p>
    <w:p w14:paraId="77EB7E5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厌氧发酵是由众多微生物参与的非常复杂的分解转化过程，有机肥中的可溶物只有很少部分是物料中残留下来的，大部分是经分解转化后新生成的，这些可溶物主要是种类繁多的有机物及各种离子组成，目前，有机肥中已检测出含有各类氨基酸、维生素、蛋白质、</w:t>
      </w:r>
      <w:r>
        <w:rPr>
          <w:rFonts w:hint="eastAsia"/>
          <w:color w:val="000000" w:themeColor="text1"/>
          <w:highlight w:val="none"/>
          <w14:textFill>
            <w14:solidFill>
              <w14:schemeClr w14:val="tx1"/>
            </w14:solidFill>
          </w14:textFill>
        </w:rPr>
        <w:t>赤霉素</w:t>
      </w:r>
      <w:r>
        <w:rPr>
          <w:color w:val="000000" w:themeColor="text1"/>
          <w:highlight w:val="none"/>
          <w14:textFill>
            <w14:solidFill>
              <w14:schemeClr w14:val="tx1"/>
            </w14:solidFill>
          </w14:textFill>
        </w:rPr>
        <w:t>、生长素，糖类核酸以及植物生长所需的抗生素，是一种优质的有机肥料和饲料，目前应用比较广泛的是作为有机肥料施用于农田。有机肥一般根外施用，其营养成分可直接被农作物吸收，参与光合作用，从而增加产量，提高品质。此外，对部分病虫害有较好的防治作用。根据相关资料介绍，长期施用有机肥农作物产量可提高10%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30%，农产品质量提高1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2个档次。</w:t>
      </w:r>
    </w:p>
    <w:p w14:paraId="2D35395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②有机肥液施用方案</w:t>
      </w:r>
    </w:p>
    <w:p w14:paraId="64722BF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养殖废水处理后作为液体有机肥料施用于农田，采用施肥管道将有机肥</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铺设到施肥田地和灌溉（滴灌或喷灌）追肥方式，通过水力将液肥中营养物质带入植物根系，从而营养整个植株。</w:t>
      </w:r>
    </w:p>
    <w:p w14:paraId="5A9AF21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本项目产生畜禽废水经</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发酵处理后，上层清液的pH值在6.8~7.5之间，可施用于项目周边农田。</w:t>
      </w:r>
    </w:p>
    <w:p w14:paraId="548FE55B">
      <w:pPr>
        <w:widowControl w:val="0"/>
        <w:autoSpaceDE w:val="0"/>
        <w:autoSpaceDN w:val="0"/>
        <w:snapToGrid w:val="0"/>
        <w:spacing w:line="360" w:lineRule="auto"/>
        <w:ind w:firstLine="480" w:firstLineChars="200"/>
        <w:jc w:val="both"/>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本项目有机肥主要用于</w:t>
      </w:r>
      <w:r>
        <w:rPr>
          <w:rFonts w:hint="eastAsia" w:cs="Times New Roman"/>
          <w:color w:val="000000" w:themeColor="text1"/>
          <w:highlight w:val="none"/>
          <w:shd w:val="clear" w:color="auto" w:fill="auto"/>
          <w:lang w:val="en-US" w:eastAsia="zh-CN"/>
          <w14:textFill>
            <w14:solidFill>
              <w14:schemeClr w14:val="tx1"/>
            </w14:solidFill>
          </w14:textFill>
        </w:rPr>
        <w:t>农田</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r>
        <w:rPr>
          <w:rFonts w:hint="eastAsia" w:cs="Times New Roman"/>
          <w:color w:val="000000" w:themeColor="text1"/>
          <w:highlight w:val="none"/>
          <w:shd w:val="clear" w:color="auto" w:fill="auto"/>
          <w:lang w:val="en-US" w:eastAsia="zh-CN"/>
          <w14:textFill>
            <w14:solidFill>
              <w14:schemeClr w14:val="tx1"/>
            </w14:solidFill>
          </w14:textFill>
        </w:rPr>
        <w:t>农田</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每年翻地施用基肥，可以增强土壤持续肥力，可在翻耕前</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3</w:t>
      </w:r>
      <w:r>
        <w:rPr>
          <w:rFonts w:hint="eastAsia" w:cs="Times New Roman"/>
          <w:color w:val="000000" w:themeColor="text1"/>
          <w:highlight w:val="none"/>
          <w:shd w:val="clear" w:color="auto" w:fill="auto"/>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5天灌施有机液泡田，翻耕时再灌液体有机肥，带水旋耕平整。一方面将有机肥液中养分与泥土充分混匀，另一方面便于田面平整；此后从苗期开始至灌浆结束，</w:t>
      </w:r>
      <w:r>
        <w:rPr>
          <w:rFonts w:hint="eastAsia" w:cs="Times New Roman"/>
          <w:color w:val="000000" w:themeColor="text1"/>
          <w:highlight w:val="none"/>
          <w:shd w:val="clear" w:color="auto" w:fill="auto"/>
          <w:lang w:val="en-US" w:eastAsia="zh-CN"/>
          <w14:textFill>
            <w14:solidFill>
              <w14:schemeClr w14:val="tx1"/>
            </w14:solidFill>
          </w14:textFill>
        </w:rPr>
        <w:t>农田</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还应进行四次追肥。本项目</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有机液肥</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通过管网进入</w:t>
      </w:r>
      <w:r>
        <w:rPr>
          <w:rFonts w:hint="eastAsia" w:cs="Times New Roman"/>
          <w:color w:val="000000" w:themeColor="text1"/>
          <w:highlight w:val="none"/>
          <w:shd w:val="clear" w:color="auto" w:fill="auto"/>
          <w:lang w:val="en-US" w:eastAsia="zh-CN"/>
          <w14:textFill>
            <w14:solidFill>
              <w14:schemeClr w14:val="tx1"/>
            </w14:solidFill>
          </w14:textFill>
        </w:rPr>
        <w:t>农田</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配水池进行调节灌溉。</w:t>
      </w:r>
    </w:p>
    <w:p w14:paraId="5705BCF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③区域对液体有机肥养分的消纳能力</w:t>
      </w:r>
    </w:p>
    <w:p w14:paraId="149F0212">
      <w:pPr>
        <w:ind w:firstLine="480" w:firstLine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①粪肥养分供给量</w:t>
      </w:r>
    </w:p>
    <w:p w14:paraId="7A9EBDED">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val="0"/>
          <w:bCs w:val="0"/>
          <w:color w:val="000000" w:themeColor="text1"/>
          <w:szCs w:val="24"/>
          <w:highlight w:val="none"/>
          <w14:textFill>
            <w14:solidFill>
              <w14:schemeClr w14:val="tx1"/>
            </w14:solidFill>
          </w14:textFill>
        </w:rPr>
      </w:pPr>
      <w:r>
        <w:rPr>
          <w:rFonts w:ascii="Times New Roman" w:hAnsi="Times New Roman" w:eastAsia="宋体" w:cs="Times New Roman"/>
          <w:b w:val="0"/>
          <w:bCs w:val="0"/>
          <w:color w:val="000000" w:themeColor="text1"/>
          <w:szCs w:val="24"/>
          <w:highlight w:val="none"/>
          <w14:textFill>
            <w14:solidFill>
              <w14:schemeClr w14:val="tx1"/>
            </w14:solidFill>
          </w14:textFill>
        </w:rPr>
        <w:t>根据上述分析，</w:t>
      </w:r>
      <w:r>
        <w:rPr>
          <w:rFonts w:hint="eastAsia" w:cs="Times New Roman"/>
          <w:b w:val="0"/>
          <w:bCs w:val="0"/>
          <w:color w:val="000000" w:themeColor="text1"/>
          <w:szCs w:val="24"/>
          <w:highlight w:val="none"/>
          <w:lang w:eastAsia="zh-CN"/>
          <w14:textFill>
            <w14:solidFill>
              <w14:schemeClr w14:val="tx1"/>
            </w14:solidFill>
          </w14:textFill>
        </w:rPr>
        <w:t>项目</w:t>
      </w:r>
      <w:r>
        <w:rPr>
          <w:rFonts w:ascii="Times New Roman" w:hAnsi="Times New Roman" w:eastAsia="宋体" w:cs="Times New Roman"/>
          <w:b w:val="0"/>
          <w:bCs w:val="0"/>
          <w:color w:val="000000" w:themeColor="text1"/>
          <w:szCs w:val="24"/>
          <w:highlight w:val="none"/>
          <w14:textFill>
            <w14:solidFill>
              <w14:schemeClr w14:val="tx1"/>
            </w14:solidFill>
          </w14:textFill>
        </w:rPr>
        <w:t>产生沼液</w:t>
      </w:r>
      <w:r>
        <w:rPr>
          <w:rFonts w:hint="eastAsia" w:cs="Times New Roman"/>
          <w:b w:val="0"/>
          <w:bCs w:val="0"/>
          <w:color w:val="000000" w:themeColor="text1"/>
          <w:szCs w:val="24"/>
          <w:highlight w:val="none"/>
          <w:lang w:val="en-US" w:eastAsia="zh-CN"/>
          <w14:textFill>
            <w14:solidFill>
              <w14:schemeClr w14:val="tx1"/>
            </w14:solidFill>
          </w14:textFill>
        </w:rPr>
        <w:t>45420.39</w:t>
      </w:r>
      <w:r>
        <w:rPr>
          <w:rFonts w:ascii="Times New Roman" w:hAnsi="Times New Roman" w:eastAsia="宋体" w:cs="Times New Roman"/>
          <w:b w:val="0"/>
          <w:bCs w:val="0"/>
          <w:color w:val="000000" w:themeColor="text1"/>
          <w:szCs w:val="24"/>
          <w:highlight w:val="none"/>
          <w14:textFill>
            <w14:solidFill>
              <w14:schemeClr w14:val="tx1"/>
            </w14:solidFill>
          </w14:textFill>
        </w:rPr>
        <w:t>m</w:t>
      </w:r>
      <w:r>
        <w:rPr>
          <w:rFonts w:ascii="Times New Roman" w:hAnsi="Times New Roman" w:eastAsia="宋体" w:cs="Times New Roman"/>
          <w:b w:val="0"/>
          <w:bCs w:val="0"/>
          <w:color w:val="000000" w:themeColor="text1"/>
          <w:szCs w:val="24"/>
          <w:highlight w:val="none"/>
          <w:vertAlign w:val="superscript"/>
          <w14:textFill>
            <w14:solidFill>
              <w14:schemeClr w14:val="tx1"/>
            </w14:solidFill>
          </w14:textFill>
        </w:rPr>
        <w:t>3</w:t>
      </w:r>
      <w:r>
        <w:rPr>
          <w:rFonts w:ascii="Times New Roman" w:hAnsi="Times New Roman" w:eastAsia="宋体" w:cs="Times New Roman"/>
          <w:b w:val="0"/>
          <w:bCs w:val="0"/>
          <w:color w:val="000000" w:themeColor="text1"/>
          <w:szCs w:val="24"/>
          <w:highlight w:val="none"/>
          <w14:textFill>
            <w14:solidFill>
              <w14:schemeClr w14:val="tx1"/>
            </w14:solidFill>
          </w14:textFill>
        </w:rPr>
        <w:t>/a，在黑膜发酵池处理后（</w:t>
      </w:r>
      <w:r>
        <w:rPr>
          <w:rFonts w:hint="eastAsia" w:eastAsia="宋体" w:cs="宋体"/>
          <w:color w:val="000000" w:themeColor="text1"/>
          <w:highlight w:val="none"/>
          <w:lang w:val="en-US" w:eastAsia="zh-CN"/>
          <w14:textFill>
            <w14:solidFill>
              <w14:schemeClr w14:val="tx1"/>
            </w14:solidFill>
          </w14:textFill>
        </w:rPr>
        <w:t>11125</w:t>
      </w:r>
      <w:r>
        <w:rPr>
          <w:rFonts w:ascii="Times New Roman" w:hAnsi="Times New Roman" w:eastAsia="宋体" w:cs="Times New Roman"/>
          <w:b w:val="0"/>
          <w:bCs w:val="0"/>
          <w:color w:val="000000" w:themeColor="text1"/>
          <w:szCs w:val="24"/>
          <w:highlight w:val="none"/>
          <w14:textFill>
            <w14:solidFill>
              <w14:schemeClr w14:val="tx1"/>
            </w14:solidFill>
          </w14:textFill>
        </w:rPr>
        <w:t>m</w:t>
      </w:r>
      <w:r>
        <w:rPr>
          <w:rFonts w:ascii="Times New Roman" w:hAnsi="Times New Roman" w:eastAsia="宋体" w:cs="Times New Roman"/>
          <w:b w:val="0"/>
          <w:bCs w:val="0"/>
          <w:color w:val="000000" w:themeColor="text1"/>
          <w:szCs w:val="24"/>
          <w:highlight w:val="none"/>
          <w:vertAlign w:val="superscript"/>
          <w14:textFill>
            <w14:solidFill>
              <w14:schemeClr w14:val="tx1"/>
            </w14:solidFill>
          </w14:textFill>
        </w:rPr>
        <w:t>3</w:t>
      </w:r>
      <w:r>
        <w:rPr>
          <w:rFonts w:hint="eastAsia" w:ascii="Times New Roman" w:hAnsi="Times New Roman" w:eastAsia="宋体" w:cs="Times New Roman"/>
          <w:b w:val="0"/>
          <w:bCs w:val="0"/>
          <w:color w:val="000000" w:themeColor="text1"/>
          <w:szCs w:val="24"/>
          <w:highlight w:val="none"/>
          <w:vertAlign w:val="baseline"/>
          <w:lang w:val="en-US" w:eastAsia="zh-CN"/>
          <w14:textFill>
            <w14:solidFill>
              <w14:schemeClr w14:val="tx1"/>
            </w14:solidFill>
          </w14:textFill>
        </w:rPr>
        <w:t>*2</w:t>
      </w:r>
      <w:r>
        <w:rPr>
          <w:rFonts w:ascii="Times New Roman" w:hAnsi="Times New Roman" w:eastAsia="宋体" w:cs="Times New Roman"/>
          <w:b w:val="0"/>
          <w:bCs w:val="0"/>
          <w:color w:val="000000" w:themeColor="text1"/>
          <w:szCs w:val="24"/>
          <w:highlight w:val="none"/>
          <w14:textFill>
            <w14:solidFill>
              <w14:schemeClr w14:val="tx1"/>
            </w14:solidFill>
          </w14:textFill>
        </w:rPr>
        <w:t>）暂存在沼液储存池。</w:t>
      </w:r>
    </w:p>
    <w:p w14:paraId="5159B948">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val="0"/>
          <w:bCs w:val="0"/>
          <w:color w:val="000000" w:themeColor="text1"/>
          <w:szCs w:val="24"/>
          <w:highlight w:val="none"/>
          <w14:textFill>
            <w14:solidFill>
              <w14:schemeClr w14:val="tx1"/>
            </w14:solidFill>
          </w14:textFill>
        </w:rPr>
      </w:pPr>
      <w:r>
        <w:rPr>
          <w:rFonts w:ascii="Times New Roman" w:hAnsi="Times New Roman" w:eastAsia="宋体" w:cs="Times New Roman"/>
          <w:b w:val="0"/>
          <w:bCs w:val="0"/>
          <w:color w:val="000000" w:themeColor="text1"/>
          <w:szCs w:val="24"/>
          <w:highlight w:val="none"/>
          <w14:textFill>
            <w14:solidFill>
              <w14:schemeClr w14:val="tx1"/>
            </w14:solidFill>
          </w14:textFill>
        </w:rPr>
        <w:t>类比</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相同</w:t>
      </w:r>
      <w:r>
        <w:rPr>
          <w:rFonts w:ascii="Times New Roman" w:hAnsi="Times New Roman" w:eastAsia="宋体" w:cs="Times New Roman"/>
          <w:b w:val="0"/>
          <w:bCs w:val="0"/>
          <w:color w:val="000000" w:themeColor="text1"/>
          <w:szCs w:val="24"/>
          <w:highlight w:val="none"/>
          <w14:textFill>
            <w14:solidFill>
              <w14:schemeClr w14:val="tx1"/>
            </w14:solidFill>
          </w14:textFill>
        </w:rPr>
        <w:t>项目沼液分析报告</w:t>
      </w:r>
      <w:r>
        <w:rPr>
          <w:rFonts w:hint="eastAsia" w:ascii="Times New Roman" w:hAnsi="Times New Roman" w:eastAsia="宋体" w:cs="Times New Roman"/>
          <w:b w:val="0"/>
          <w:bCs w:val="0"/>
          <w:color w:val="000000" w:themeColor="text1"/>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见附件</w:t>
      </w:r>
      <w:r>
        <w:rPr>
          <w:rFonts w:hint="eastAsia" w:ascii="Times New Roman" w:hAnsi="Times New Roman" w:eastAsia="宋体" w:cs="Times New Roman"/>
          <w:b w:val="0"/>
          <w:bCs w:val="0"/>
          <w:color w:val="000000" w:themeColor="text1"/>
          <w:szCs w:val="24"/>
          <w:highlight w:val="none"/>
          <w:lang w:eastAsia="zh-CN"/>
          <w14:textFill>
            <w14:solidFill>
              <w14:schemeClr w14:val="tx1"/>
            </w14:solidFill>
          </w14:textFill>
        </w:rPr>
        <w:t>）</w:t>
      </w:r>
      <w:r>
        <w:rPr>
          <w:rFonts w:ascii="Times New Roman" w:hAnsi="Times New Roman" w:eastAsia="宋体" w:cs="Times New Roman"/>
          <w:b w:val="0"/>
          <w:bCs w:val="0"/>
          <w:color w:val="000000" w:themeColor="text1"/>
          <w:szCs w:val="24"/>
          <w:highlight w:val="none"/>
          <w14:textFill>
            <w14:solidFill>
              <w14:schemeClr w14:val="tx1"/>
            </w14:solidFill>
          </w14:textFill>
        </w:rPr>
        <w:t>，沼液中沼液成分为氨氮（843mg/L）、COD（4230mg/L）、铜（未检出）、锌（0.05mg/L）、总磷（43mg/L）等，分析报告见附件。沼液中含有大量可被作物吸收利用的为N元素。</w:t>
      </w:r>
      <w:r>
        <w:rPr>
          <w:rFonts w:hint="eastAsia" w:cs="Times New Roman"/>
          <w:b w:val="0"/>
          <w:bCs w:val="0"/>
          <w:color w:val="000000" w:themeColor="text1"/>
          <w:szCs w:val="24"/>
          <w:highlight w:val="none"/>
          <w:lang w:eastAsia="zh-CN"/>
          <w14:textFill>
            <w14:solidFill>
              <w14:schemeClr w14:val="tx1"/>
            </w14:solidFill>
          </w14:textFill>
        </w:rPr>
        <w:t>项目</w:t>
      </w:r>
      <w:r>
        <w:rPr>
          <w:rFonts w:ascii="Times New Roman" w:hAnsi="Times New Roman" w:eastAsia="宋体" w:cs="Times New Roman"/>
          <w:b w:val="0"/>
          <w:bCs w:val="0"/>
          <w:color w:val="000000" w:themeColor="text1"/>
          <w:szCs w:val="24"/>
          <w:highlight w:val="none"/>
          <w14:textFill>
            <w14:solidFill>
              <w14:schemeClr w14:val="tx1"/>
            </w14:solidFill>
          </w14:textFill>
        </w:rPr>
        <w:t>产生沼液</w:t>
      </w:r>
      <w:r>
        <w:rPr>
          <w:rFonts w:hint="eastAsia" w:cs="Times New Roman"/>
          <w:b w:val="0"/>
          <w:bCs w:val="0"/>
          <w:color w:val="000000" w:themeColor="text1"/>
          <w:szCs w:val="24"/>
          <w:highlight w:val="none"/>
          <w:lang w:val="en-US" w:eastAsia="zh-CN"/>
          <w14:textFill>
            <w14:solidFill>
              <w14:schemeClr w14:val="tx1"/>
            </w14:solidFill>
          </w14:textFill>
        </w:rPr>
        <w:t>45420.39</w:t>
      </w:r>
      <w:r>
        <w:rPr>
          <w:rFonts w:ascii="Times New Roman" w:hAnsi="Times New Roman" w:eastAsia="宋体" w:cs="Times New Roman"/>
          <w:b w:val="0"/>
          <w:bCs w:val="0"/>
          <w:color w:val="000000" w:themeColor="text1"/>
          <w:szCs w:val="24"/>
          <w:highlight w:val="none"/>
          <w14:textFill>
            <w14:solidFill>
              <w14:schemeClr w14:val="tx1"/>
            </w14:solidFill>
          </w14:textFill>
        </w:rPr>
        <w:t>m</w:t>
      </w:r>
      <w:r>
        <w:rPr>
          <w:rFonts w:ascii="Times New Roman" w:hAnsi="Times New Roman" w:eastAsia="宋体" w:cs="Times New Roman"/>
          <w:b w:val="0"/>
          <w:bCs w:val="0"/>
          <w:color w:val="000000" w:themeColor="text1"/>
          <w:szCs w:val="24"/>
          <w:highlight w:val="none"/>
          <w:vertAlign w:val="superscript"/>
          <w14:textFill>
            <w14:solidFill>
              <w14:schemeClr w14:val="tx1"/>
            </w14:solidFill>
          </w14:textFill>
        </w:rPr>
        <w:t>3</w:t>
      </w:r>
      <w:r>
        <w:rPr>
          <w:rFonts w:ascii="Times New Roman" w:hAnsi="Times New Roman" w:eastAsia="宋体" w:cs="Times New Roman"/>
          <w:b w:val="0"/>
          <w:bCs w:val="0"/>
          <w:color w:val="000000" w:themeColor="text1"/>
          <w:szCs w:val="24"/>
          <w:highlight w:val="none"/>
          <w14:textFill>
            <w14:solidFill>
              <w14:schemeClr w14:val="tx1"/>
            </w14:solidFill>
          </w14:textFill>
        </w:rPr>
        <w:t>/a，氨氮浓度按843mg/L，工程沼液中的氨氮总含量为</w:t>
      </w:r>
      <w:r>
        <w:rPr>
          <w:rFonts w:hint="eastAsia" w:cs="Times New Roman"/>
          <w:b w:val="0"/>
          <w:bCs w:val="0"/>
          <w:color w:val="000000" w:themeColor="text1"/>
          <w:szCs w:val="24"/>
          <w:highlight w:val="none"/>
          <w:lang w:val="en-US" w:eastAsia="zh-CN"/>
          <w14:textFill>
            <w14:solidFill>
              <w14:schemeClr w14:val="tx1"/>
            </w14:solidFill>
          </w14:textFill>
        </w:rPr>
        <w:t>38.289</w:t>
      </w:r>
      <w:r>
        <w:rPr>
          <w:rFonts w:ascii="Times New Roman" w:hAnsi="Times New Roman" w:eastAsia="宋体" w:cs="Times New Roman"/>
          <w:b w:val="0"/>
          <w:bCs w:val="0"/>
          <w:color w:val="000000" w:themeColor="text1"/>
          <w:szCs w:val="24"/>
          <w:highlight w:val="none"/>
          <w14:textFill>
            <w14:solidFill>
              <w14:schemeClr w14:val="tx1"/>
            </w14:solidFill>
          </w14:textFill>
        </w:rPr>
        <w:t>t/a，沼液中氨氮含量为总氮的80%左右，则沼液中总氮含量为</w:t>
      </w:r>
      <w:r>
        <w:rPr>
          <w:rFonts w:hint="eastAsia" w:cs="Times New Roman"/>
          <w:b w:val="0"/>
          <w:bCs w:val="0"/>
          <w:color w:val="000000" w:themeColor="text1"/>
          <w:szCs w:val="24"/>
          <w:highlight w:val="none"/>
          <w:lang w:val="en-US" w:eastAsia="zh-CN"/>
          <w14:textFill>
            <w14:solidFill>
              <w14:schemeClr w14:val="tx1"/>
            </w14:solidFill>
          </w14:textFill>
        </w:rPr>
        <w:t>47.86</w:t>
      </w:r>
      <w:r>
        <w:rPr>
          <w:rFonts w:ascii="Times New Roman" w:hAnsi="Times New Roman" w:eastAsia="宋体" w:cs="Times New Roman"/>
          <w:b w:val="0"/>
          <w:bCs w:val="0"/>
          <w:color w:val="000000" w:themeColor="text1"/>
          <w:szCs w:val="24"/>
          <w:highlight w:val="none"/>
          <w14:textFill>
            <w14:solidFill>
              <w14:schemeClr w14:val="tx1"/>
            </w14:solidFill>
          </w14:textFill>
        </w:rPr>
        <w:t>t/a。</w:t>
      </w:r>
    </w:p>
    <w:p w14:paraId="6B429826">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val="0"/>
          <w:bCs w:val="0"/>
          <w:color w:val="000000" w:themeColor="text1"/>
          <w:szCs w:val="24"/>
          <w:highlight w:val="none"/>
          <w14:textFill>
            <w14:solidFill>
              <w14:schemeClr w14:val="tx1"/>
            </w14:solidFill>
          </w14:textFill>
        </w:rPr>
      </w:pPr>
      <w:r>
        <w:rPr>
          <w:rFonts w:ascii="Times New Roman" w:hAnsi="Times New Roman" w:eastAsia="宋体" w:cs="Times New Roman"/>
          <w:b w:val="0"/>
          <w:bCs w:val="0"/>
          <w:color w:val="000000" w:themeColor="text1"/>
          <w:szCs w:val="24"/>
          <w:highlight w:val="none"/>
          <w14:textFill>
            <w14:solidFill>
              <w14:schemeClr w14:val="tx1"/>
            </w14:solidFill>
          </w14:textFill>
        </w:rPr>
        <w:t>根据《畜禽粪污土地承载力测算技术指南》，固体粪便堆肥、污水氧化塘贮存或厌氧发酵后农田利用为主的，粪污收集处理过程中氮留存率推荐值为62%。则粪肥养分供给量为：</w:t>
      </w:r>
    </w:p>
    <w:p w14:paraId="6DCBA298">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val="0"/>
          <w:bCs w:val="0"/>
          <w:color w:val="000000" w:themeColor="text1"/>
          <w:szCs w:val="24"/>
          <w:highlight w:val="none"/>
          <w14:textFill>
            <w14:solidFill>
              <w14:schemeClr w14:val="tx1"/>
            </w14:solidFill>
          </w14:textFill>
        </w:rPr>
      </w:pPr>
      <w:r>
        <w:rPr>
          <w:rFonts w:ascii="Times New Roman" w:hAnsi="Times New Roman" w:eastAsia="宋体" w:cs="Times New Roman"/>
          <w:b w:val="0"/>
          <w:bCs w:val="0"/>
          <w:color w:val="000000" w:themeColor="text1"/>
          <w:szCs w:val="24"/>
          <w:highlight w:val="none"/>
          <w14:textFill>
            <w14:solidFill>
              <w14:schemeClr w14:val="tx1"/>
            </w14:solidFill>
          </w14:textFill>
        </w:rPr>
        <w:t>粪肥养分供给量=</w:t>
      </w:r>
      <w:r>
        <w:rPr>
          <w:rFonts w:hint="eastAsia" w:cs="Times New Roman"/>
          <w:b w:val="0"/>
          <w:bCs w:val="0"/>
          <w:color w:val="000000" w:themeColor="text1"/>
          <w:szCs w:val="24"/>
          <w:highlight w:val="none"/>
          <w:lang w:val="en-US" w:eastAsia="zh-CN"/>
          <w14:textFill>
            <w14:solidFill>
              <w14:schemeClr w14:val="tx1"/>
            </w14:solidFill>
          </w14:textFill>
        </w:rPr>
        <w:t>47.86</w:t>
      </w:r>
      <w:r>
        <w:rPr>
          <w:rFonts w:ascii="Times New Roman" w:hAnsi="Times New Roman" w:eastAsia="宋体" w:cs="Times New Roman"/>
          <w:b w:val="0"/>
          <w:bCs w:val="0"/>
          <w:color w:val="000000" w:themeColor="text1"/>
          <w:szCs w:val="24"/>
          <w:highlight w:val="none"/>
          <w14:textFill>
            <w14:solidFill>
              <w14:schemeClr w14:val="tx1"/>
            </w14:solidFill>
          </w14:textFill>
        </w:rPr>
        <w:t>×62%=</w:t>
      </w:r>
      <w:r>
        <w:rPr>
          <w:rFonts w:hint="eastAsia" w:cs="Times New Roman"/>
          <w:b w:val="0"/>
          <w:bCs w:val="0"/>
          <w:color w:val="000000" w:themeColor="text1"/>
          <w:szCs w:val="24"/>
          <w:highlight w:val="none"/>
          <w:lang w:val="en-US" w:eastAsia="zh-CN"/>
          <w14:textFill>
            <w14:solidFill>
              <w14:schemeClr w14:val="tx1"/>
            </w14:solidFill>
          </w14:textFill>
        </w:rPr>
        <w:t>29.67</w:t>
      </w:r>
      <w:r>
        <w:rPr>
          <w:rFonts w:ascii="Times New Roman" w:hAnsi="Times New Roman" w:eastAsia="宋体" w:cs="Times New Roman"/>
          <w:b w:val="0"/>
          <w:bCs w:val="0"/>
          <w:color w:val="000000" w:themeColor="text1"/>
          <w:szCs w:val="24"/>
          <w:highlight w:val="none"/>
          <w14:textFill>
            <w14:solidFill>
              <w14:schemeClr w14:val="tx1"/>
            </w14:solidFill>
          </w14:textFill>
        </w:rPr>
        <w:t>t/a。</w:t>
      </w:r>
    </w:p>
    <w:p w14:paraId="088346B8">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val="0"/>
          <w:bCs w:val="0"/>
          <w:color w:val="000000" w:themeColor="text1"/>
          <w:szCs w:val="24"/>
          <w:highlight w:val="none"/>
          <w14:textFill>
            <w14:solidFill>
              <w14:schemeClr w14:val="tx1"/>
            </w14:solidFill>
          </w14:textFill>
        </w:rPr>
      </w:pPr>
      <w:r>
        <w:rPr>
          <w:rFonts w:ascii="Times New Roman" w:hAnsi="Times New Roman" w:eastAsia="宋体" w:cs="Times New Roman"/>
          <w:b w:val="0"/>
          <w:bCs w:val="0"/>
          <w:color w:val="000000" w:themeColor="text1"/>
          <w:szCs w:val="24"/>
          <w:highlight w:val="none"/>
          <w14:textFill>
            <w14:solidFill>
              <w14:schemeClr w14:val="tx1"/>
            </w14:solidFill>
          </w14:textFill>
        </w:rPr>
        <w:t>②农田消纳能力</w:t>
      </w:r>
    </w:p>
    <w:p w14:paraId="00E8C614">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b w:val="0"/>
          <w:bCs w:val="0"/>
          <w:color w:val="000000" w:themeColor="text1"/>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本次评价以玉米作为污水消纳地上种植的植物进行估算，新疆地区</w:t>
      </w:r>
      <w:r>
        <w:rPr>
          <w:rFonts w:ascii="Times New Roman" w:hAnsi="Times New Roman" w:eastAsia="宋体" w:cs="Times New Roman"/>
          <w:b w:val="0"/>
          <w:bCs w:val="0"/>
          <w:color w:val="000000" w:themeColor="text1"/>
          <w:szCs w:val="24"/>
          <w:highlight w:val="none"/>
          <w14:textFill>
            <w14:solidFill>
              <w14:schemeClr w14:val="tx1"/>
            </w14:solidFill>
          </w14:textFill>
        </w:rPr>
        <w:t>玉米产量水平在</w:t>
      </w:r>
      <w:r>
        <w:rPr>
          <w:rFonts w:hint="eastAsia" w:ascii="Times New Roman" w:hAnsi="Times New Roman" w:eastAsia="宋体" w:cs="Times New Roman"/>
          <w:b w:val="0"/>
          <w:bCs w:val="0"/>
          <w:color w:val="000000" w:themeColor="text1"/>
          <w:szCs w:val="24"/>
          <w:highlight w:val="none"/>
          <w:lang w:val="en-US" w:eastAsia="zh-CN"/>
          <w14:textFill>
            <w14:solidFill>
              <w14:schemeClr w14:val="tx1"/>
            </w14:solidFill>
          </w14:textFill>
        </w:rPr>
        <w:t>800</w:t>
      </w:r>
      <w:r>
        <w:rPr>
          <w:rFonts w:ascii="Times New Roman" w:hAnsi="Times New Roman" w:eastAsia="宋体" w:cs="Times New Roman"/>
          <w:b w:val="0"/>
          <w:bCs w:val="0"/>
          <w:color w:val="000000" w:themeColor="text1"/>
          <w:szCs w:val="24"/>
          <w:highlight w:val="none"/>
          <w14:textFill>
            <w14:solidFill>
              <w14:schemeClr w14:val="tx1"/>
            </w14:solidFill>
          </w14:textFill>
        </w:rPr>
        <w:t>kg/亩。根据《畜禽粪污土地承载力测算技术指南》，每形成100kg玉米需要吸收氮量2.3kg，则：</w:t>
      </w:r>
    </w:p>
    <w:p w14:paraId="4C5113C7">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单位土地每年养分需求量=</w:t>
      </w:r>
      <w:r>
        <w:rPr>
          <w:rFonts w:hint="eastAsia" w:ascii="Times New Roman" w:hAnsi="Times New Roman"/>
          <w:color w:val="000000" w:themeColor="text1"/>
          <w:highlight w:val="none"/>
          <w:lang w:val="en-US" w:eastAsia="zh-CN"/>
          <w14:textFill>
            <w14:solidFill>
              <w14:schemeClr w14:val="tx1"/>
            </w14:solidFill>
          </w14:textFill>
        </w:rPr>
        <w:t>8</w:t>
      </w:r>
      <w:r>
        <w:rPr>
          <w:rFonts w:ascii="Times New Roman" w:hAnsi="Times New Roman"/>
          <w:color w:val="000000" w:themeColor="text1"/>
          <w:highlight w:val="none"/>
          <w14:textFill>
            <w14:solidFill>
              <w14:schemeClr w14:val="tx1"/>
            </w14:solidFill>
          </w14:textFill>
        </w:rPr>
        <w:t>×</w:t>
      </w:r>
      <w:r>
        <w:rPr>
          <w:rFonts w:hint="eastAsia" w:ascii="Times New Roman" w:hAnsi="Times New Roman"/>
          <w:color w:val="000000" w:themeColor="text1"/>
          <w:highlight w:val="none"/>
          <w:lang w:val="en-US" w:eastAsia="zh-CN"/>
          <w14:textFill>
            <w14:solidFill>
              <w14:schemeClr w14:val="tx1"/>
            </w14:solidFill>
          </w14:textFill>
        </w:rPr>
        <w:t>2.3</w:t>
      </w:r>
      <w:r>
        <w:rPr>
          <w:rFonts w:ascii="Times New Roman" w:hAnsi="Times New Roman"/>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18.4</w:t>
      </w:r>
      <w:r>
        <w:rPr>
          <w:rFonts w:ascii="Times New Roman" w:hAnsi="Times New Roman"/>
          <w:color w:val="000000" w:themeColor="text1"/>
          <w:highlight w:val="none"/>
          <w14:textFill>
            <w14:solidFill>
              <w14:schemeClr w14:val="tx1"/>
            </w14:solidFill>
          </w14:textFill>
        </w:rPr>
        <w:t>kg/亩。</w:t>
      </w:r>
    </w:p>
    <w:p w14:paraId="6B61869E">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drawing>
          <wp:anchor distT="0" distB="0" distL="114300" distR="114300" simplePos="0" relativeHeight="251695104" behindDoc="0" locked="0" layoutInCell="1" allowOverlap="1">
            <wp:simplePos x="0" y="0"/>
            <wp:positionH relativeFrom="column">
              <wp:posOffset>563245</wp:posOffset>
            </wp:positionH>
            <wp:positionV relativeFrom="paragraph">
              <wp:posOffset>477520</wp:posOffset>
            </wp:positionV>
            <wp:extent cx="3860165" cy="542925"/>
            <wp:effectExtent l="0" t="0" r="6985" b="9525"/>
            <wp:wrapNone/>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44"/>
                    <a:stretch>
                      <a:fillRect/>
                    </a:stretch>
                  </pic:blipFill>
                  <pic:spPr>
                    <a:xfrm>
                      <a:off x="0" y="0"/>
                      <a:ext cx="3860165" cy="542925"/>
                    </a:xfrm>
                    <a:prstGeom prst="rect">
                      <a:avLst/>
                    </a:prstGeom>
                    <a:noFill/>
                    <a:ln>
                      <a:noFill/>
                    </a:ln>
                  </pic:spPr>
                </pic:pic>
              </a:graphicData>
            </a:graphic>
          </wp:anchor>
        </w:drawing>
      </w:r>
      <w:r>
        <w:rPr>
          <w:rFonts w:ascii="Times New Roman" w:hAnsi="Times New Roman"/>
          <w:color w:val="000000" w:themeColor="text1"/>
          <w:highlight w:val="none"/>
          <w14:textFill>
            <w14:solidFill>
              <w14:schemeClr w14:val="tx1"/>
            </w14:solidFill>
          </w14:textFill>
        </w:rPr>
        <w:t>根据不同土壤肥力下，单位土地养分需求量、施肥比例、粪肥占施肥比例和粪肥当季利用效率测算，计算方法如下：</w:t>
      </w:r>
    </w:p>
    <w:p w14:paraId="6124706D">
      <w:pPr>
        <w:pStyle w:val="17"/>
        <w:keepNext w:val="0"/>
        <w:keepLines w:val="0"/>
        <w:pageBreakBefore w:val="0"/>
        <w:widowControl/>
        <w:kinsoku/>
        <w:wordWrap w:val="0"/>
        <w:overflowPunct/>
        <w:topLinePunct w:val="0"/>
        <w:autoSpaceDE/>
        <w:autoSpaceDN/>
        <w:bidi w:val="0"/>
        <w:adjustRightInd/>
        <w:snapToGrid/>
        <w:spacing w:line="360" w:lineRule="auto"/>
        <w:textAlignment w:val="auto"/>
        <w:rPr>
          <w:rFonts w:ascii="Times New Roman" w:hAnsi="Times New Roman"/>
          <w:color w:val="000000" w:themeColor="text1"/>
          <w:highlight w:val="none"/>
          <w14:textFill>
            <w14:solidFill>
              <w14:schemeClr w14:val="tx1"/>
            </w14:solidFill>
          </w14:textFill>
        </w:rPr>
      </w:pPr>
    </w:p>
    <w:p w14:paraId="69ED364D">
      <w:pPr>
        <w:keepNext w:val="0"/>
        <w:keepLines w:val="0"/>
        <w:pageBreakBefore w:val="0"/>
        <w:widowControl/>
        <w:kinsoku/>
        <w:wordWrap w:val="0"/>
        <w:overflowPunct/>
        <w:topLinePunct w:val="0"/>
        <w:autoSpaceDE/>
        <w:autoSpaceDN/>
        <w:bidi w:val="0"/>
        <w:adjustRightInd/>
        <w:snapToGrid/>
        <w:spacing w:line="360" w:lineRule="auto"/>
        <w:textAlignment w:val="auto"/>
        <w:rPr>
          <w:rFonts w:ascii="Times New Roman" w:hAnsi="Times New Roman"/>
          <w:color w:val="000000" w:themeColor="text1"/>
          <w:highlight w:val="none"/>
          <w14:textFill>
            <w14:solidFill>
              <w14:schemeClr w14:val="tx1"/>
            </w14:solidFill>
          </w14:textFill>
        </w:rPr>
      </w:pPr>
    </w:p>
    <w:p w14:paraId="16D9F887">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单位土地养分需求量为规模养殖场单位面积配套土地种植的各类植物在目标产量下的氮（磷）养分需求量之和，各类作物的目标产品可以根据当地平均产量确定，具体参照区域植物养分需求量计算。</w:t>
      </w:r>
    </w:p>
    <w:p w14:paraId="28F54D52">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施肥供给养分占比根据土壤中氮养分确定，本次取值45%。</w:t>
      </w:r>
    </w:p>
    <w:p w14:paraId="1443FE7B">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粪肥占施肥比例根据当地实际情况确定，本次取值50%。</w:t>
      </w:r>
    </w:p>
    <w:p w14:paraId="7720B5E5">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粪肥中氮素当季利用率推荐值为25%—30%，本次取值25%。</w:t>
      </w:r>
    </w:p>
    <w:p w14:paraId="6E79F66B">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单位土地粪肥养分需求量=</w:t>
      </w:r>
      <w:r>
        <w:rPr>
          <w:rFonts w:hint="eastAsia"/>
          <w:color w:val="000000" w:themeColor="text1"/>
          <w:highlight w:val="none"/>
          <w:lang w:val="en-US" w:eastAsia="zh-CN"/>
          <w14:textFill>
            <w14:solidFill>
              <w14:schemeClr w14:val="tx1"/>
            </w14:solidFill>
          </w14:textFill>
        </w:rPr>
        <w:t>18.4</w:t>
      </w:r>
      <w:r>
        <w:rPr>
          <w:rFonts w:ascii="Times New Roman" w:hAnsi="Times New Roman"/>
          <w:color w:val="000000" w:themeColor="text1"/>
          <w:highlight w:val="none"/>
          <w14:textFill>
            <w14:solidFill>
              <w14:schemeClr w14:val="tx1"/>
            </w14:solidFill>
          </w14:textFill>
        </w:rPr>
        <w:t>×45%×50%/25%=</w:t>
      </w:r>
      <w:r>
        <w:rPr>
          <w:rFonts w:hint="eastAsia"/>
          <w:color w:val="000000" w:themeColor="text1"/>
          <w:highlight w:val="none"/>
          <w:lang w:val="en-US" w:eastAsia="zh-CN"/>
          <w14:textFill>
            <w14:solidFill>
              <w14:schemeClr w14:val="tx1"/>
            </w14:solidFill>
          </w14:textFill>
        </w:rPr>
        <w:t>16.56</w:t>
      </w:r>
      <w:r>
        <w:rPr>
          <w:rFonts w:ascii="Times New Roman" w:hAnsi="Times New Roman"/>
          <w:color w:val="000000" w:themeColor="text1"/>
          <w:highlight w:val="none"/>
          <w14:textFill>
            <w14:solidFill>
              <w14:schemeClr w14:val="tx1"/>
            </w14:solidFill>
          </w14:textFill>
        </w:rPr>
        <w:t>kg/亩。</w:t>
      </w:r>
    </w:p>
    <w:p w14:paraId="75F1479C">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因此，</w:t>
      </w: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消纳地面积=</w:t>
      </w:r>
      <w:r>
        <w:rPr>
          <w:rFonts w:hint="eastAsia" w:cs="Times New Roman"/>
          <w:b w:val="0"/>
          <w:bCs w:val="0"/>
          <w:color w:val="000000" w:themeColor="text1"/>
          <w:szCs w:val="24"/>
          <w:highlight w:val="none"/>
          <w:lang w:val="en-US" w:eastAsia="zh-CN"/>
          <w14:textFill>
            <w14:solidFill>
              <w14:schemeClr w14:val="tx1"/>
            </w14:solidFill>
          </w14:textFill>
        </w:rPr>
        <w:t>29.67</w:t>
      </w:r>
      <w:r>
        <w:rPr>
          <w:color w:val="000000" w:themeColor="text1"/>
          <w:highlight w:val="none"/>
          <w14:textFill>
            <w14:solidFill>
              <w14:schemeClr w14:val="tx1"/>
            </w14:solidFill>
          </w14:textFill>
        </w:rPr>
        <w:t>×1000/</w:t>
      </w:r>
      <w:r>
        <w:rPr>
          <w:rFonts w:hint="eastAsia"/>
          <w:color w:val="000000" w:themeColor="text1"/>
          <w:highlight w:val="none"/>
          <w:lang w:val="en-US" w:eastAsia="zh-CN"/>
          <w14:textFill>
            <w14:solidFill>
              <w14:schemeClr w14:val="tx1"/>
            </w14:solidFill>
          </w14:textFill>
        </w:rPr>
        <w:t>16.56</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1792</w:t>
      </w:r>
      <w:r>
        <w:rPr>
          <w:color w:val="000000" w:themeColor="text1"/>
          <w:highlight w:val="none"/>
          <w14:textFill>
            <w14:solidFill>
              <w14:schemeClr w14:val="tx1"/>
            </w14:solidFill>
          </w14:textFill>
        </w:rPr>
        <w:t>亩。</w:t>
      </w:r>
    </w:p>
    <w:p w14:paraId="3DA87D79">
      <w:pPr>
        <w:keepNext w:val="0"/>
        <w:keepLines w:val="0"/>
        <w:pageBreakBefore w:val="0"/>
        <w:widowControl/>
        <w:kinsoku/>
        <w:wordWrap w:val="0"/>
        <w:overflowPunct/>
        <w:topLinePunct w:val="0"/>
        <w:autoSpaceDE/>
        <w:autoSpaceDN/>
        <w:bidi w:val="0"/>
        <w:adjustRightInd/>
        <w:snapToGrid/>
        <w:spacing w:line="360" w:lineRule="auto"/>
        <w:ind w:firstLine="480" w:firstLineChars="200"/>
        <w:textAlignment w:val="auto"/>
        <w:rPr>
          <w:rFonts w:hint="eastAsia"/>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为避免长期施用沼液对土壤产生不利影响，考虑两年轮作一次，则消纳地面积=</w:t>
      </w:r>
      <w:r>
        <w:rPr>
          <w:rFonts w:hint="eastAsia"/>
          <w:color w:val="000000" w:themeColor="text1"/>
          <w:highlight w:val="none"/>
          <w:lang w:val="en-US" w:eastAsia="zh-CN"/>
          <w14:textFill>
            <w14:solidFill>
              <w14:schemeClr w14:val="tx1"/>
            </w14:solidFill>
          </w14:textFill>
        </w:rPr>
        <w:t>1792</w:t>
      </w:r>
      <w:r>
        <w:rPr>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3584</w:t>
      </w:r>
      <w:r>
        <w:rPr>
          <w:color w:val="000000" w:themeColor="text1"/>
          <w:highlight w:val="none"/>
          <w14:textFill>
            <w14:solidFill>
              <w14:schemeClr w14:val="tx1"/>
            </w14:solidFill>
          </w14:textFill>
        </w:rPr>
        <w:t>亩。</w:t>
      </w:r>
    </w:p>
    <w:p w14:paraId="24E28890">
      <w:pPr>
        <w:pStyle w:val="71"/>
        <w:bidi w:val="0"/>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建设单位将指定专人负责沼液还田工作，在施肥季节各区域轮作施肥，且公司已与胡杨河市125团16连签订了粪肥消纳协议，约定由16连提供4000亩农田用于本项目的沼液消纳，可以满足本项目液肥及有机肥还田的消纳需求，不会造成对还田区域的过量施肥，液肥均被周边农地消纳完毕，不会有过量的废肥以面源的方式对当地地下水、土壤等产生影响。</w:t>
      </w:r>
    </w:p>
    <w:p w14:paraId="6A1203CF">
      <w:pPr>
        <w:pStyle w:val="5"/>
        <w:numPr>
          <w:ilvl w:val="3"/>
          <w:numId w:val="0"/>
        </w:numPr>
        <w:bidi w:val="0"/>
        <w:spacing w:line="360" w:lineRule="auto"/>
        <w:ind w:leftChars="0"/>
        <w:rPr>
          <w:rFonts w:hint="default"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pPr>
      <w:bookmarkStart w:id="218" w:name="_Toc19468"/>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5.2.2.</w:t>
      </w:r>
      <w:r>
        <w:rPr>
          <w:rFonts w:hint="eastAsia" w:cs="Times New Roman"/>
          <w:bCs/>
          <w:color w:val="000000" w:themeColor="text1"/>
          <w:highlight w:val="none"/>
          <w:shd w:val="clear" w:color="auto" w:fill="auto"/>
          <w:lang w:val="en-US" w:eastAsia="zh-CN"/>
          <w14:textFill>
            <w14:solidFill>
              <w14:schemeClr w14:val="tx1"/>
            </w14:solidFill>
          </w14:textFill>
        </w:rPr>
        <w:t>2</w:t>
      </w: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地表水环境影响评价自查表</w:t>
      </w:r>
    </w:p>
    <w:p w14:paraId="148A0395">
      <w:pPr>
        <w:widowControl w:val="0"/>
        <w:autoSpaceDE w:val="0"/>
        <w:autoSpaceDN w:val="0"/>
        <w:snapToGrid w:val="0"/>
        <w:spacing w:line="360" w:lineRule="auto"/>
        <w:ind w:firstLine="480" w:firstLineChars="2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本项目与地表水体无水力联系，对其无直接环境影响，地表水自查情况见表5.2-</w:t>
      </w:r>
      <w:r>
        <w:rPr>
          <w:rFonts w:hint="eastAsia" w:cs="Times New Roman"/>
          <w:color w:val="000000" w:themeColor="text1"/>
          <w:highlight w:val="none"/>
          <w:shd w:val="clear" w:color="auto" w:fill="auto"/>
          <w:lang w:val="en-US" w:eastAsia="zh-CN"/>
          <w14:textFill>
            <w14:solidFill>
              <w14:schemeClr w14:val="tx1"/>
            </w14:solidFill>
          </w14:textFill>
        </w:rPr>
        <w:t>18</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p w14:paraId="48C8AA9F">
      <w:pPr>
        <w:snapToGrid w:val="0"/>
        <w:spacing w:line="240" w:lineRule="auto"/>
        <w:ind w:firstLine="422" w:firstLineChars="200"/>
        <w:jc w:val="center"/>
        <w:rPr>
          <w:rFonts w:hint="default" w:ascii="Times New Roman" w:hAnsi="Times New Roman" w:eastAsia="宋体" w:cs="Times New Roman"/>
          <w:b/>
          <w:color w:val="000000" w:themeColor="text1"/>
          <w:sz w:val="21"/>
          <w:szCs w:val="21"/>
          <w:highlight w:val="none"/>
          <w:shd w:val="clear" w:color="auto" w:fill="auto"/>
          <w:lang w:val="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shd w:val="clear" w:color="auto" w:fill="auto"/>
          <w:lang w:val="zh-CN"/>
          <w14:textFill>
            <w14:solidFill>
              <w14:schemeClr w14:val="tx1"/>
            </w14:solidFill>
          </w14:textFill>
        </w:rPr>
        <w:t>表</w:t>
      </w:r>
      <w:r>
        <w:rPr>
          <w:rFonts w:hint="default" w:ascii="Times New Roman" w:hAnsi="Times New Roman" w:eastAsia="宋体" w:cs="Times New Roman"/>
          <w:b/>
          <w:color w:val="000000" w:themeColor="text1"/>
          <w:sz w:val="21"/>
          <w:szCs w:val="21"/>
          <w:highlight w:val="none"/>
          <w:shd w:val="clear" w:color="auto" w:fill="auto"/>
          <w:lang w:val="zh-CN"/>
          <w14:textFill>
            <w14:solidFill>
              <w14:schemeClr w14:val="tx1"/>
            </w14:solidFill>
          </w14:textFill>
        </w:rPr>
        <w:t>5.2-</w:t>
      </w:r>
      <w:r>
        <w:rPr>
          <w:rFonts w:hint="eastAsia" w:cs="Times New Roman"/>
          <w:b/>
          <w:color w:val="000000" w:themeColor="text1"/>
          <w:sz w:val="21"/>
          <w:szCs w:val="21"/>
          <w:highlight w:val="none"/>
          <w:shd w:val="clear" w:color="auto" w:fill="auto"/>
          <w:lang w:val="en-US" w:eastAsia="zh-CN"/>
          <w14:textFill>
            <w14:solidFill>
              <w14:schemeClr w14:val="tx1"/>
            </w14:solidFill>
          </w14:textFill>
        </w:rPr>
        <w:t>18</w:t>
      </w:r>
      <w:r>
        <w:rPr>
          <w:rFonts w:hint="default" w:ascii="Times New Roman" w:hAnsi="Times New Roman" w:eastAsia="宋体" w:cs="Times New Roman"/>
          <w:b/>
          <w:color w:val="000000" w:themeColor="text1"/>
          <w:sz w:val="21"/>
          <w:szCs w:val="21"/>
          <w:highlight w:val="none"/>
          <w:shd w:val="clear" w:color="auto" w:fill="auto"/>
          <w:lang w:val="zh-CN"/>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shd w:val="clear" w:color="auto" w:fill="auto"/>
          <w:lang w:val="zh-CN"/>
          <w14:textFill>
            <w14:solidFill>
              <w14:schemeClr w14:val="tx1"/>
            </w14:solidFill>
          </w14:textFill>
        </w:rPr>
        <w:t xml:space="preserve"> 建设项目地表水环境影响评价自查表</w:t>
      </w:r>
    </w:p>
    <w:tbl>
      <w:tblPr>
        <w:tblStyle w:val="3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458"/>
        <w:gridCol w:w="1197"/>
        <w:gridCol w:w="131"/>
        <w:gridCol w:w="645"/>
        <w:gridCol w:w="150"/>
        <w:gridCol w:w="781"/>
        <w:gridCol w:w="281"/>
        <w:gridCol w:w="337"/>
        <w:gridCol w:w="463"/>
        <w:gridCol w:w="160"/>
        <w:gridCol w:w="231"/>
        <w:gridCol w:w="178"/>
        <w:gridCol w:w="784"/>
        <w:gridCol w:w="48"/>
        <w:gridCol w:w="1246"/>
      </w:tblGrid>
      <w:tr w14:paraId="19E1B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pct"/>
            <w:gridSpan w:val="2"/>
            <w:vAlign w:val="center"/>
          </w:tcPr>
          <w:p w14:paraId="626F64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工作内容</w:t>
            </w:r>
          </w:p>
        </w:tc>
        <w:tc>
          <w:tcPr>
            <w:tcW w:w="3907" w:type="pct"/>
            <w:gridSpan w:val="14"/>
            <w:vAlign w:val="center"/>
          </w:tcPr>
          <w:p w14:paraId="094681B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自查项目</w:t>
            </w:r>
          </w:p>
        </w:tc>
      </w:tr>
      <w:tr w14:paraId="09EFC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16BA17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w:t>
            </w:r>
          </w:p>
          <w:p w14:paraId="1F61F10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响</w:t>
            </w:r>
          </w:p>
          <w:p w14:paraId="057A05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识</w:t>
            </w:r>
          </w:p>
          <w:p w14:paraId="153F44B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别</w:t>
            </w:r>
          </w:p>
        </w:tc>
        <w:tc>
          <w:tcPr>
            <w:tcW w:w="857" w:type="pct"/>
            <w:vAlign w:val="center"/>
          </w:tcPr>
          <w:p w14:paraId="66301D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影响类型</w:t>
            </w:r>
          </w:p>
        </w:tc>
        <w:tc>
          <w:tcPr>
            <w:tcW w:w="3907" w:type="pct"/>
            <w:gridSpan w:val="14"/>
            <w:vAlign w:val="center"/>
          </w:tcPr>
          <w:p w14:paraId="09E9CC33">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水污染影响型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；水文要素影响型</w:t>
            </w:r>
            <w:r>
              <w:rPr>
                <w:rFonts w:hint="eastAsia" w:cs="Times New Roman"/>
                <w:color w:val="000000" w:themeColor="text1"/>
                <w:sz w:val="21"/>
                <w:szCs w:val="21"/>
                <w:highlight w:val="none"/>
                <w:lang w:eastAsia="zh-CN"/>
                <w14:textFill>
                  <w14:solidFill>
                    <w14:schemeClr w14:val="tx1"/>
                  </w14:solidFill>
                </w14:textFill>
              </w:rPr>
              <w:t>□</w:t>
            </w:r>
          </w:p>
        </w:tc>
      </w:tr>
      <w:tr w14:paraId="1ED0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31D5A8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5B7F8FB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水环境保护目标</w:t>
            </w:r>
          </w:p>
        </w:tc>
        <w:tc>
          <w:tcPr>
            <w:tcW w:w="3907" w:type="pct"/>
            <w:gridSpan w:val="14"/>
            <w:vAlign w:val="center"/>
          </w:tcPr>
          <w:p w14:paraId="005279E9">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饮用水水源保护区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；饮用水取水口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；涉水的自然保护区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；重要湿地</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；重点保护与珍稀水生生物的栖息地</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；重要水生生物的自然产卵场及索饵场、越冬场和洄游通道、天然渔场等渔业水体</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；涉水的风景名胜区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2A09F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1E31F3C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58527F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影响途径</w:t>
            </w:r>
          </w:p>
        </w:tc>
        <w:tc>
          <w:tcPr>
            <w:tcW w:w="2076" w:type="pct"/>
            <w:gridSpan w:val="7"/>
            <w:vAlign w:val="center"/>
          </w:tcPr>
          <w:p w14:paraId="600BAF8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水污染影响型</w:t>
            </w:r>
          </w:p>
        </w:tc>
        <w:tc>
          <w:tcPr>
            <w:tcW w:w="1832" w:type="pct"/>
            <w:gridSpan w:val="7"/>
            <w:vAlign w:val="center"/>
          </w:tcPr>
          <w:p w14:paraId="067CC4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水文要素影响型</w:t>
            </w:r>
          </w:p>
        </w:tc>
      </w:tr>
      <w:tr w14:paraId="1A6AC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671A26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428CAF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6" w:type="pct"/>
            <w:gridSpan w:val="7"/>
            <w:vAlign w:val="center"/>
          </w:tcPr>
          <w:p w14:paraId="005CB444">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直接排放</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；间接排放</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05635149">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；径流</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；水域面积</w:t>
            </w:r>
            <w:r>
              <w:rPr>
                <w:rFonts w:hint="eastAsia" w:cs="Times New Roman"/>
                <w:color w:val="000000" w:themeColor="text1"/>
                <w:sz w:val="21"/>
                <w:szCs w:val="21"/>
                <w:highlight w:val="none"/>
                <w:lang w:eastAsia="zh-CN"/>
                <w14:textFill>
                  <w14:solidFill>
                    <w14:schemeClr w14:val="tx1"/>
                  </w14:solidFill>
                </w14:textFill>
              </w:rPr>
              <w:t>□</w:t>
            </w:r>
          </w:p>
        </w:tc>
      </w:tr>
      <w:tr w14:paraId="1939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1E3E8A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2A8D3C7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影响因子</w:t>
            </w:r>
          </w:p>
        </w:tc>
        <w:tc>
          <w:tcPr>
            <w:tcW w:w="2076" w:type="pct"/>
            <w:gridSpan w:val="7"/>
            <w:vAlign w:val="center"/>
          </w:tcPr>
          <w:p w14:paraId="05780800">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持久性污染物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；有毒有害污染物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；非持久性污染物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；pH值</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；热污染</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；富营养化</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38E3DF20">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水温</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；水位（水深）</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；流速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；流量</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626E6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pct"/>
            <w:gridSpan w:val="2"/>
            <w:vMerge w:val="restart"/>
            <w:vAlign w:val="center"/>
          </w:tcPr>
          <w:p w14:paraId="5EF3C8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评价等级</w:t>
            </w:r>
          </w:p>
        </w:tc>
        <w:tc>
          <w:tcPr>
            <w:tcW w:w="2076" w:type="pct"/>
            <w:gridSpan w:val="7"/>
            <w:vAlign w:val="center"/>
          </w:tcPr>
          <w:p w14:paraId="7448C84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水污染影响型</w:t>
            </w:r>
          </w:p>
        </w:tc>
        <w:tc>
          <w:tcPr>
            <w:tcW w:w="1832" w:type="pct"/>
            <w:gridSpan w:val="7"/>
            <w:vAlign w:val="center"/>
          </w:tcPr>
          <w:p w14:paraId="5896958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水文要素影响型</w:t>
            </w:r>
          </w:p>
        </w:tc>
      </w:tr>
      <w:tr w14:paraId="3B0FB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pct"/>
            <w:gridSpan w:val="2"/>
            <w:vMerge w:val="continue"/>
            <w:vAlign w:val="center"/>
          </w:tcPr>
          <w:p w14:paraId="78E615A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6" w:type="pct"/>
            <w:gridSpan w:val="7"/>
            <w:vAlign w:val="center"/>
          </w:tcPr>
          <w:p w14:paraId="1CC84269">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；三级A</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；三级B</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4FA562E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；二级</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；三级</w:t>
            </w:r>
            <w:r>
              <w:rPr>
                <w:rFonts w:hint="eastAsia" w:cs="Times New Roman"/>
                <w:color w:val="000000" w:themeColor="text1"/>
                <w:sz w:val="21"/>
                <w:szCs w:val="21"/>
                <w:highlight w:val="none"/>
                <w:lang w:eastAsia="zh-CN"/>
                <w14:textFill>
                  <w14:solidFill>
                    <w14:schemeClr w14:val="tx1"/>
                  </w14:solidFill>
                </w14:textFill>
              </w:rPr>
              <w:t>□</w:t>
            </w:r>
          </w:p>
        </w:tc>
      </w:tr>
      <w:tr w14:paraId="2D697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5A4EEC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w:t>
            </w:r>
          </w:p>
          <w:p w14:paraId="306BC1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状</w:t>
            </w:r>
          </w:p>
          <w:p w14:paraId="213C966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w:t>
            </w:r>
          </w:p>
          <w:p w14:paraId="3F8B98B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查</w:t>
            </w:r>
          </w:p>
        </w:tc>
        <w:tc>
          <w:tcPr>
            <w:tcW w:w="857" w:type="pct"/>
            <w:vMerge w:val="restart"/>
            <w:vAlign w:val="center"/>
          </w:tcPr>
          <w:p w14:paraId="66FCEBE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区域污染源</w:t>
            </w:r>
          </w:p>
        </w:tc>
        <w:tc>
          <w:tcPr>
            <w:tcW w:w="2076" w:type="pct"/>
            <w:gridSpan w:val="7"/>
            <w:vAlign w:val="center"/>
          </w:tcPr>
          <w:p w14:paraId="1D0B72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调查项目</w:t>
            </w:r>
          </w:p>
        </w:tc>
        <w:tc>
          <w:tcPr>
            <w:tcW w:w="1832" w:type="pct"/>
            <w:gridSpan w:val="7"/>
            <w:vAlign w:val="center"/>
          </w:tcPr>
          <w:p w14:paraId="3023B2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数据来源</w:t>
            </w:r>
          </w:p>
        </w:tc>
      </w:tr>
      <w:tr w14:paraId="1E76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743C3D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35D3708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62" w:type="pct"/>
            <w:gridSpan w:val="3"/>
            <w:vAlign w:val="center"/>
          </w:tcPr>
          <w:p w14:paraId="3867E4C3">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已建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；在建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；拟建</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c>
          <w:tcPr>
            <w:tcW w:w="913" w:type="pct"/>
            <w:gridSpan w:val="4"/>
            <w:vAlign w:val="center"/>
          </w:tcPr>
          <w:p w14:paraId="362BA227">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拟替代的污染源</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17765EC5">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排污许可证</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；环评</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；环保验收</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；既有实测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；现场监测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；入河排放口数据</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1745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7FE8811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3A66EA3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受影响水体水环境质量</w:t>
            </w:r>
          </w:p>
        </w:tc>
        <w:tc>
          <w:tcPr>
            <w:tcW w:w="2076" w:type="pct"/>
            <w:gridSpan w:val="7"/>
            <w:vAlign w:val="center"/>
          </w:tcPr>
          <w:p w14:paraId="03D1C9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调查时期</w:t>
            </w:r>
          </w:p>
        </w:tc>
        <w:tc>
          <w:tcPr>
            <w:tcW w:w="1832" w:type="pct"/>
            <w:gridSpan w:val="7"/>
            <w:vAlign w:val="center"/>
          </w:tcPr>
          <w:p w14:paraId="5F3467C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数据来源</w:t>
            </w:r>
          </w:p>
        </w:tc>
      </w:tr>
      <w:tr w14:paraId="0D73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10D543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0A996A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6" w:type="pct"/>
            <w:gridSpan w:val="7"/>
            <w:vAlign w:val="center"/>
          </w:tcPr>
          <w:p w14:paraId="3D7CEA8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丰水期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；平水期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；枯水期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；冰封期</w:t>
            </w:r>
            <w:r>
              <w:rPr>
                <w:rFonts w:hint="eastAsia" w:cs="Times New Roman"/>
                <w:color w:val="000000" w:themeColor="text1"/>
                <w:sz w:val="21"/>
                <w:szCs w:val="21"/>
                <w:highlight w:val="none"/>
                <w:lang w:eastAsia="zh-CN"/>
                <w14:textFill>
                  <w14:solidFill>
                    <w14:schemeClr w14:val="tx1"/>
                  </w14:solidFill>
                </w14:textFill>
              </w:rPr>
              <w:t>□</w:t>
            </w:r>
          </w:p>
          <w:p w14:paraId="751DC00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春季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；夏季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；秋季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1533705F">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生态环境保护主管部门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；补充监测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6310B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359D93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061115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区域水资源开发利用状况</w:t>
            </w:r>
          </w:p>
        </w:tc>
        <w:tc>
          <w:tcPr>
            <w:tcW w:w="3907" w:type="pct"/>
            <w:gridSpan w:val="14"/>
            <w:vAlign w:val="center"/>
          </w:tcPr>
          <w:p w14:paraId="2C6A16A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未开发</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；开发量40%以下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；开发量40%以上</w:t>
            </w:r>
            <w:r>
              <w:rPr>
                <w:rFonts w:hint="eastAsia" w:cs="Times New Roman"/>
                <w:color w:val="000000" w:themeColor="text1"/>
                <w:sz w:val="21"/>
                <w:szCs w:val="21"/>
                <w:highlight w:val="none"/>
                <w:lang w:eastAsia="zh-CN"/>
                <w14:textFill>
                  <w14:solidFill>
                    <w14:schemeClr w14:val="tx1"/>
                  </w14:solidFill>
                </w14:textFill>
              </w:rPr>
              <w:t>□</w:t>
            </w:r>
          </w:p>
        </w:tc>
      </w:tr>
      <w:tr w14:paraId="697A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5669D98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277AC4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水文情势调查</w:t>
            </w:r>
          </w:p>
        </w:tc>
        <w:tc>
          <w:tcPr>
            <w:tcW w:w="2076" w:type="pct"/>
            <w:gridSpan w:val="7"/>
            <w:vAlign w:val="center"/>
          </w:tcPr>
          <w:p w14:paraId="37C7A3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调查时期</w:t>
            </w:r>
          </w:p>
        </w:tc>
        <w:tc>
          <w:tcPr>
            <w:tcW w:w="1832" w:type="pct"/>
            <w:gridSpan w:val="7"/>
            <w:vAlign w:val="center"/>
          </w:tcPr>
          <w:p w14:paraId="56B991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数据来源</w:t>
            </w:r>
          </w:p>
        </w:tc>
      </w:tr>
      <w:tr w14:paraId="3CFB3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2635E1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360EF29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076" w:type="pct"/>
            <w:gridSpan w:val="7"/>
            <w:vAlign w:val="center"/>
          </w:tcPr>
          <w:p w14:paraId="2DC93A50">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丰水期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；平水期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；枯水期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；冰封期</w:t>
            </w:r>
            <w:r>
              <w:rPr>
                <w:rFonts w:hint="eastAsia" w:cs="Times New Roman"/>
                <w:color w:val="000000" w:themeColor="text1"/>
                <w:sz w:val="21"/>
                <w:szCs w:val="21"/>
                <w:highlight w:val="none"/>
                <w:lang w:eastAsia="zh-CN"/>
                <w14:textFill>
                  <w14:solidFill>
                    <w14:schemeClr w14:val="tx1"/>
                  </w14:solidFill>
                </w14:textFill>
              </w:rPr>
              <w:t>；</w:t>
            </w:r>
          </w:p>
          <w:p w14:paraId="63D2FF20">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春季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；夏季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；秋季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eastAsia" w:cs="Times New Roman"/>
                <w:color w:val="000000" w:themeColor="text1"/>
                <w:sz w:val="21"/>
                <w:szCs w:val="21"/>
                <w:highlight w:val="none"/>
                <w:lang w:eastAsia="zh-CN"/>
                <w14:textFill>
                  <w14:solidFill>
                    <w14:schemeClr w14:val="tx1"/>
                  </w14:solidFill>
                </w14:textFill>
              </w:rPr>
              <w:t>□</w:t>
            </w:r>
          </w:p>
        </w:tc>
        <w:tc>
          <w:tcPr>
            <w:tcW w:w="1832" w:type="pct"/>
            <w:gridSpan w:val="7"/>
            <w:vAlign w:val="center"/>
          </w:tcPr>
          <w:p w14:paraId="5927266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水行政主管部门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；补充监测</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1685D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0386E9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0FD585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补充监测</w:t>
            </w:r>
          </w:p>
        </w:tc>
        <w:tc>
          <w:tcPr>
            <w:tcW w:w="1877" w:type="pct"/>
            <w:gridSpan w:val="6"/>
            <w:vAlign w:val="center"/>
          </w:tcPr>
          <w:p w14:paraId="399D4B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监测时期</w:t>
            </w:r>
          </w:p>
        </w:tc>
        <w:tc>
          <w:tcPr>
            <w:tcW w:w="808" w:type="pct"/>
            <w:gridSpan w:val="5"/>
            <w:vAlign w:val="center"/>
          </w:tcPr>
          <w:p w14:paraId="6A7A5D8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p>
        </w:tc>
        <w:tc>
          <w:tcPr>
            <w:tcW w:w="1222" w:type="pct"/>
            <w:gridSpan w:val="3"/>
            <w:vAlign w:val="center"/>
          </w:tcPr>
          <w:p w14:paraId="64B8AE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监测断面或点位</w:t>
            </w:r>
          </w:p>
        </w:tc>
      </w:tr>
      <w:tr w14:paraId="3A21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740C71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0C7017C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77" w:type="pct"/>
            <w:gridSpan w:val="6"/>
            <w:vAlign w:val="center"/>
          </w:tcPr>
          <w:p w14:paraId="7F48D86A">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丰水期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；平水期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；枯水期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；冰封期</w:t>
            </w:r>
            <w:r>
              <w:rPr>
                <w:rFonts w:hint="eastAsia" w:cs="Times New Roman"/>
                <w:color w:val="000000" w:themeColor="text1"/>
                <w:sz w:val="21"/>
                <w:szCs w:val="21"/>
                <w:highlight w:val="none"/>
                <w:lang w:eastAsia="zh-CN"/>
                <w14:textFill>
                  <w14:solidFill>
                    <w14:schemeClr w14:val="tx1"/>
                  </w14:solidFill>
                </w14:textFill>
              </w:rPr>
              <w:t>□</w:t>
            </w:r>
          </w:p>
          <w:p w14:paraId="0E6F5DD6">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春季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；夏季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；秋季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eastAsia" w:cs="Times New Roman"/>
                <w:color w:val="000000" w:themeColor="text1"/>
                <w:sz w:val="21"/>
                <w:szCs w:val="21"/>
                <w:highlight w:val="none"/>
                <w:lang w:eastAsia="zh-CN"/>
                <w14:textFill>
                  <w14:solidFill>
                    <w14:schemeClr w14:val="tx1"/>
                  </w14:solidFill>
                </w14:textFill>
              </w:rPr>
              <w:t>□</w:t>
            </w:r>
          </w:p>
        </w:tc>
        <w:tc>
          <w:tcPr>
            <w:tcW w:w="808" w:type="pct"/>
            <w:gridSpan w:val="5"/>
            <w:vAlign w:val="center"/>
          </w:tcPr>
          <w:p w14:paraId="3EF2135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222" w:type="pct"/>
            <w:gridSpan w:val="3"/>
            <w:vAlign w:val="center"/>
          </w:tcPr>
          <w:p w14:paraId="33FD5D53">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监测断面或点位个数（</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）个</w:t>
            </w:r>
          </w:p>
        </w:tc>
      </w:tr>
      <w:tr w14:paraId="166DA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62C5A2C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现</w:t>
            </w:r>
          </w:p>
          <w:p w14:paraId="1CD285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状</w:t>
            </w:r>
          </w:p>
          <w:p w14:paraId="5018C6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w:t>
            </w:r>
          </w:p>
          <w:p w14:paraId="3C3EA9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价</w:t>
            </w:r>
          </w:p>
        </w:tc>
        <w:tc>
          <w:tcPr>
            <w:tcW w:w="857" w:type="pct"/>
            <w:vAlign w:val="center"/>
          </w:tcPr>
          <w:p w14:paraId="425D071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评价范围</w:t>
            </w:r>
          </w:p>
        </w:tc>
        <w:tc>
          <w:tcPr>
            <w:tcW w:w="3907" w:type="pct"/>
            <w:gridSpan w:val="14"/>
            <w:vAlign w:val="center"/>
          </w:tcPr>
          <w:p w14:paraId="73008355">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河流：长度（ </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）km；湖库、河口及近岸海域：面积（/）km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r>
      <w:tr w14:paraId="54E60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484108F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59178A6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评价因子</w:t>
            </w:r>
          </w:p>
        </w:tc>
        <w:tc>
          <w:tcPr>
            <w:tcW w:w="3907" w:type="pct"/>
            <w:gridSpan w:val="14"/>
            <w:vAlign w:val="center"/>
          </w:tcPr>
          <w:p w14:paraId="58F96D5A">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30FB5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2C1537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4E6BB95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评价标准</w:t>
            </w:r>
          </w:p>
        </w:tc>
        <w:tc>
          <w:tcPr>
            <w:tcW w:w="3907" w:type="pct"/>
            <w:gridSpan w:val="14"/>
            <w:vAlign w:val="center"/>
          </w:tcPr>
          <w:p w14:paraId="1CF23DE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河流、湖库、河口：Ⅰ类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；Ⅱ类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；Ⅲ类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；Ⅳ类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；Ⅴ类</w:t>
            </w:r>
            <w:r>
              <w:rPr>
                <w:rFonts w:hint="eastAsia" w:cs="Times New Roman"/>
                <w:color w:val="000000" w:themeColor="text1"/>
                <w:sz w:val="21"/>
                <w:szCs w:val="21"/>
                <w:highlight w:val="none"/>
                <w:lang w:eastAsia="zh-CN"/>
                <w14:textFill>
                  <w14:solidFill>
                    <w14:schemeClr w14:val="tx1"/>
                  </w14:solidFill>
                </w14:textFill>
              </w:rPr>
              <w:t>□</w:t>
            </w:r>
          </w:p>
          <w:p w14:paraId="5B82BA31">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近岸海域：第一类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；第二类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；第三类</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；第四类</w:t>
            </w:r>
            <w:r>
              <w:rPr>
                <w:rFonts w:hint="eastAsia" w:cs="Times New Roman"/>
                <w:color w:val="000000" w:themeColor="text1"/>
                <w:sz w:val="21"/>
                <w:szCs w:val="21"/>
                <w:highlight w:val="none"/>
                <w:lang w:eastAsia="zh-CN"/>
                <w14:textFill>
                  <w14:solidFill>
                    <w14:schemeClr w14:val="tx1"/>
                  </w14:solidFill>
                </w14:textFill>
              </w:rPr>
              <w:t>□</w:t>
            </w:r>
          </w:p>
          <w:p w14:paraId="520D54A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规划年评价标准（/）</w:t>
            </w:r>
          </w:p>
        </w:tc>
      </w:tr>
      <w:tr w14:paraId="5ACED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1CDB0E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7A1C1DD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评价时期</w:t>
            </w:r>
          </w:p>
        </w:tc>
        <w:tc>
          <w:tcPr>
            <w:tcW w:w="3907" w:type="pct"/>
            <w:gridSpan w:val="14"/>
            <w:vAlign w:val="center"/>
          </w:tcPr>
          <w:p w14:paraId="05B6432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丰水期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；平水期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；枯水期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；冰封期</w:t>
            </w:r>
            <w:r>
              <w:rPr>
                <w:rFonts w:hint="eastAsia" w:cs="Times New Roman"/>
                <w:color w:val="000000" w:themeColor="text1"/>
                <w:sz w:val="21"/>
                <w:szCs w:val="21"/>
                <w:highlight w:val="none"/>
                <w:lang w:eastAsia="zh-CN"/>
                <w14:textFill>
                  <w14:solidFill>
                    <w14:schemeClr w14:val="tx1"/>
                  </w14:solidFill>
                </w14:textFill>
              </w:rPr>
              <w:t>□</w:t>
            </w:r>
          </w:p>
          <w:p w14:paraId="1073FD1A">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春季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；夏季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；秋季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eastAsia" w:cs="Times New Roman"/>
                <w:color w:val="000000" w:themeColor="text1"/>
                <w:sz w:val="21"/>
                <w:szCs w:val="21"/>
                <w:highlight w:val="none"/>
                <w:lang w:eastAsia="zh-CN"/>
                <w14:textFill>
                  <w14:solidFill>
                    <w14:schemeClr w14:val="tx1"/>
                  </w14:solidFill>
                </w14:textFill>
              </w:rPr>
              <w:t>□</w:t>
            </w:r>
          </w:p>
        </w:tc>
      </w:tr>
      <w:tr w14:paraId="1F05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0B506BF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3C7DF41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评价结论</w:t>
            </w:r>
          </w:p>
        </w:tc>
        <w:tc>
          <w:tcPr>
            <w:tcW w:w="3146" w:type="pct"/>
            <w:gridSpan w:val="12"/>
            <w:vAlign w:val="center"/>
          </w:tcPr>
          <w:p w14:paraId="5A691C36">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水环境功能区或水功能区、近岸海域环境功能区水质达标状况</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；不达标</w:t>
            </w:r>
            <w:r>
              <w:rPr>
                <w:rFonts w:hint="eastAsia" w:cs="Times New Roman"/>
                <w:color w:val="000000" w:themeColor="text1"/>
                <w:sz w:val="21"/>
                <w:szCs w:val="21"/>
                <w:highlight w:val="none"/>
                <w:lang w:eastAsia="zh-CN"/>
                <w14:textFill>
                  <w14:solidFill>
                    <w14:schemeClr w14:val="tx1"/>
                  </w14:solidFill>
                </w14:textFill>
              </w:rPr>
              <w:t>□</w:t>
            </w:r>
          </w:p>
          <w:p w14:paraId="44CC3DB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水环境控制单元或断面水质达标状况</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；不达标</w:t>
            </w:r>
            <w:r>
              <w:rPr>
                <w:rFonts w:hint="eastAsia" w:cs="Times New Roman"/>
                <w:color w:val="000000" w:themeColor="text1"/>
                <w:sz w:val="21"/>
                <w:szCs w:val="21"/>
                <w:highlight w:val="none"/>
                <w:lang w:eastAsia="zh-CN"/>
                <w14:textFill>
                  <w14:solidFill>
                    <w14:schemeClr w14:val="tx1"/>
                  </w14:solidFill>
                </w14:textFill>
              </w:rPr>
              <w:t>□</w:t>
            </w:r>
          </w:p>
          <w:p w14:paraId="03A63D7D">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水环境保护目标质量状况</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；不达标</w:t>
            </w:r>
            <w:r>
              <w:rPr>
                <w:rFonts w:hint="eastAsia" w:cs="Times New Roman"/>
                <w:color w:val="000000" w:themeColor="text1"/>
                <w:sz w:val="21"/>
                <w:szCs w:val="21"/>
                <w:highlight w:val="none"/>
                <w:lang w:eastAsia="zh-CN"/>
                <w14:textFill>
                  <w14:solidFill>
                    <w14:schemeClr w14:val="tx1"/>
                  </w14:solidFill>
                </w14:textFill>
              </w:rPr>
              <w:t>□</w:t>
            </w:r>
          </w:p>
          <w:p w14:paraId="217EA8AE">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对照断面、控制断面等代表性断面的水质状况</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：达标</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；不达标</w:t>
            </w:r>
            <w:r>
              <w:rPr>
                <w:rFonts w:hint="eastAsia" w:cs="Times New Roman"/>
                <w:color w:val="000000" w:themeColor="text1"/>
                <w:sz w:val="21"/>
                <w:szCs w:val="21"/>
                <w:highlight w:val="none"/>
                <w:lang w:eastAsia="zh-CN"/>
                <w14:textFill>
                  <w14:solidFill>
                    <w14:schemeClr w14:val="tx1"/>
                  </w14:solidFill>
                </w14:textFill>
              </w:rPr>
              <w:t>□</w:t>
            </w:r>
          </w:p>
          <w:p w14:paraId="055C9D68">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底泥污染评价</w:t>
            </w:r>
            <w:r>
              <w:rPr>
                <w:rFonts w:hint="eastAsia" w:cs="Times New Roman"/>
                <w:color w:val="000000" w:themeColor="text1"/>
                <w:sz w:val="21"/>
                <w:szCs w:val="21"/>
                <w:highlight w:val="none"/>
                <w:lang w:eastAsia="zh-CN"/>
                <w14:textFill>
                  <w14:solidFill>
                    <w14:schemeClr w14:val="tx1"/>
                  </w14:solidFill>
                </w14:textFill>
              </w:rPr>
              <w:t>□</w:t>
            </w:r>
          </w:p>
          <w:p w14:paraId="069380A4">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水资源与开发利用程度及其水文情势评价</w:t>
            </w:r>
            <w:r>
              <w:rPr>
                <w:rFonts w:hint="eastAsia" w:cs="Times New Roman"/>
                <w:color w:val="000000" w:themeColor="text1"/>
                <w:sz w:val="21"/>
                <w:szCs w:val="21"/>
                <w:highlight w:val="none"/>
                <w:lang w:eastAsia="zh-CN"/>
                <w14:textFill>
                  <w14:solidFill>
                    <w14:schemeClr w14:val="tx1"/>
                  </w14:solidFill>
                </w14:textFill>
              </w:rPr>
              <w:t>□</w:t>
            </w:r>
          </w:p>
          <w:p w14:paraId="3B83181F">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水环境质量回顾评价</w:t>
            </w:r>
            <w:r>
              <w:rPr>
                <w:rFonts w:hint="eastAsia" w:cs="Times New Roman"/>
                <w:color w:val="000000" w:themeColor="text1"/>
                <w:sz w:val="21"/>
                <w:szCs w:val="21"/>
                <w:highlight w:val="none"/>
                <w:lang w:eastAsia="zh-CN"/>
                <w14:textFill>
                  <w14:solidFill>
                    <w14:schemeClr w14:val="tx1"/>
                  </w14:solidFill>
                </w14:textFill>
              </w:rPr>
              <w:t>□</w:t>
            </w:r>
          </w:p>
          <w:p w14:paraId="781DA2A5">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流域（区域）水资源（包括水能资源）与开发利用总体状况、生态流量管理要求与现状满足程度、建设项目占用水域空间的水流状况与河湖演变状况</w:t>
            </w:r>
            <w:r>
              <w:rPr>
                <w:rFonts w:hint="eastAsia" w:cs="Times New Roman"/>
                <w:color w:val="000000" w:themeColor="text1"/>
                <w:sz w:val="21"/>
                <w:szCs w:val="21"/>
                <w:highlight w:val="none"/>
                <w:lang w:eastAsia="zh-CN"/>
                <w14:textFill>
                  <w14:solidFill>
                    <w14:schemeClr w14:val="tx1"/>
                  </w14:solidFill>
                </w14:textFill>
              </w:rPr>
              <w:t>□</w:t>
            </w:r>
          </w:p>
        </w:tc>
        <w:tc>
          <w:tcPr>
            <w:tcW w:w="761" w:type="pct"/>
            <w:gridSpan w:val="2"/>
            <w:vAlign w:val="center"/>
          </w:tcPr>
          <w:p w14:paraId="49CBE407">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达标区</w:t>
            </w:r>
            <w:r>
              <w:rPr>
                <w:rFonts w:hint="eastAsia" w:cs="Times New Roman"/>
                <w:color w:val="000000" w:themeColor="text1"/>
                <w:sz w:val="21"/>
                <w:szCs w:val="21"/>
                <w:highlight w:val="none"/>
                <w:lang w:eastAsia="zh-CN"/>
                <w14:textFill>
                  <w14:solidFill>
                    <w14:schemeClr w14:val="tx1"/>
                  </w14:solidFill>
                </w14:textFill>
              </w:rPr>
              <w:t>☑</w:t>
            </w:r>
          </w:p>
          <w:p w14:paraId="1A25FFCA">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不达标区</w:t>
            </w:r>
            <w:r>
              <w:rPr>
                <w:rFonts w:hint="eastAsia" w:cs="Times New Roman"/>
                <w:color w:val="000000" w:themeColor="text1"/>
                <w:sz w:val="21"/>
                <w:szCs w:val="21"/>
                <w:highlight w:val="none"/>
                <w:lang w:eastAsia="zh-CN"/>
                <w14:textFill>
                  <w14:solidFill>
                    <w14:schemeClr w14:val="tx1"/>
                  </w14:solidFill>
                </w14:textFill>
              </w:rPr>
              <w:t>□</w:t>
            </w:r>
          </w:p>
        </w:tc>
      </w:tr>
      <w:tr w14:paraId="0EDF8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189529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w:t>
            </w:r>
          </w:p>
          <w:p w14:paraId="38A3EE9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响</w:t>
            </w:r>
          </w:p>
          <w:p w14:paraId="5BA131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w:t>
            </w:r>
          </w:p>
          <w:p w14:paraId="36E5E11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测</w:t>
            </w:r>
          </w:p>
        </w:tc>
        <w:tc>
          <w:tcPr>
            <w:tcW w:w="857" w:type="pct"/>
            <w:vAlign w:val="center"/>
          </w:tcPr>
          <w:p w14:paraId="6A4341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预测范围</w:t>
            </w:r>
          </w:p>
        </w:tc>
        <w:tc>
          <w:tcPr>
            <w:tcW w:w="3907" w:type="pct"/>
            <w:gridSpan w:val="14"/>
            <w:vAlign w:val="center"/>
          </w:tcPr>
          <w:p w14:paraId="34FA0134">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河流：长度（/）km；湖库、河口及近岸海域：面积（/）km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p>
        </w:tc>
      </w:tr>
      <w:tr w14:paraId="0AEA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006FFFA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5163FDC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预测因子</w:t>
            </w:r>
          </w:p>
        </w:tc>
        <w:tc>
          <w:tcPr>
            <w:tcW w:w="3907" w:type="pct"/>
            <w:gridSpan w:val="14"/>
            <w:vAlign w:val="center"/>
          </w:tcPr>
          <w:p w14:paraId="156001C4">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4026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64D01E4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4247D0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预测时期</w:t>
            </w:r>
          </w:p>
        </w:tc>
        <w:tc>
          <w:tcPr>
            <w:tcW w:w="3907" w:type="pct"/>
            <w:gridSpan w:val="14"/>
            <w:vAlign w:val="center"/>
          </w:tcPr>
          <w:p w14:paraId="0C4BF115">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丰水期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；平水期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；枯水期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；冰封期</w:t>
            </w:r>
            <w:r>
              <w:rPr>
                <w:rFonts w:hint="eastAsia" w:cs="Times New Roman"/>
                <w:color w:val="000000" w:themeColor="text1"/>
                <w:sz w:val="21"/>
                <w:szCs w:val="21"/>
                <w:highlight w:val="none"/>
                <w:lang w:eastAsia="zh-CN"/>
                <w14:textFill>
                  <w14:solidFill>
                    <w14:schemeClr w14:val="tx1"/>
                  </w14:solidFill>
                </w14:textFill>
              </w:rPr>
              <w:t>□</w:t>
            </w:r>
          </w:p>
          <w:p w14:paraId="7C2D4800">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春季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；夏季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；秋季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；冬季</w:t>
            </w:r>
            <w:r>
              <w:rPr>
                <w:rFonts w:hint="eastAsia" w:cs="Times New Roman"/>
                <w:color w:val="000000" w:themeColor="text1"/>
                <w:sz w:val="21"/>
                <w:szCs w:val="21"/>
                <w:highlight w:val="none"/>
                <w:lang w:eastAsia="zh-CN"/>
                <w14:textFill>
                  <w14:solidFill>
                    <w14:schemeClr w14:val="tx1"/>
                  </w14:solidFill>
                </w14:textFill>
              </w:rPr>
              <w:t>□</w:t>
            </w:r>
          </w:p>
          <w:p w14:paraId="4C3F8607">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设计水文条件</w:t>
            </w:r>
            <w:r>
              <w:rPr>
                <w:rFonts w:hint="eastAsia" w:cs="Times New Roman"/>
                <w:color w:val="000000" w:themeColor="text1"/>
                <w:sz w:val="21"/>
                <w:szCs w:val="21"/>
                <w:highlight w:val="none"/>
                <w:lang w:eastAsia="zh-CN"/>
                <w14:textFill>
                  <w14:solidFill>
                    <w14:schemeClr w14:val="tx1"/>
                  </w14:solidFill>
                </w14:textFill>
              </w:rPr>
              <w:t>□</w:t>
            </w:r>
          </w:p>
        </w:tc>
      </w:tr>
      <w:tr w14:paraId="26B4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0E9BF1E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33A6AC0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预测情景</w:t>
            </w:r>
          </w:p>
        </w:tc>
        <w:tc>
          <w:tcPr>
            <w:tcW w:w="3907" w:type="pct"/>
            <w:gridSpan w:val="14"/>
            <w:vAlign w:val="center"/>
          </w:tcPr>
          <w:p w14:paraId="777FC1BD">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建设期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；生产运行期</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；服务期满后</w:t>
            </w:r>
            <w:r>
              <w:rPr>
                <w:rFonts w:hint="eastAsia" w:cs="Times New Roman"/>
                <w:color w:val="000000" w:themeColor="text1"/>
                <w:sz w:val="21"/>
                <w:szCs w:val="21"/>
                <w:highlight w:val="none"/>
                <w:lang w:eastAsia="zh-CN"/>
                <w14:textFill>
                  <w14:solidFill>
                    <w14:schemeClr w14:val="tx1"/>
                  </w14:solidFill>
                </w14:textFill>
              </w:rPr>
              <w:t>□</w:t>
            </w:r>
          </w:p>
          <w:p w14:paraId="6C9D43AD">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正常工况</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；非正常工况</w:t>
            </w:r>
            <w:r>
              <w:rPr>
                <w:rFonts w:hint="eastAsia" w:cs="Times New Roman"/>
                <w:color w:val="000000" w:themeColor="text1"/>
                <w:sz w:val="21"/>
                <w:szCs w:val="21"/>
                <w:highlight w:val="none"/>
                <w:lang w:eastAsia="zh-CN"/>
                <w14:textFill>
                  <w14:solidFill>
                    <w14:schemeClr w14:val="tx1"/>
                  </w14:solidFill>
                </w14:textFill>
              </w:rPr>
              <w:t>□</w:t>
            </w:r>
          </w:p>
          <w:p w14:paraId="1A61248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污染控制和减缓措施方案</w:t>
            </w:r>
            <w:r>
              <w:rPr>
                <w:rFonts w:hint="eastAsia" w:cs="Times New Roman"/>
                <w:color w:val="000000" w:themeColor="text1"/>
                <w:sz w:val="21"/>
                <w:szCs w:val="21"/>
                <w:highlight w:val="none"/>
                <w:lang w:eastAsia="zh-CN"/>
                <w14:textFill>
                  <w14:solidFill>
                    <w14:schemeClr w14:val="tx1"/>
                  </w14:solidFill>
                </w14:textFill>
              </w:rPr>
              <w:t>□</w:t>
            </w:r>
          </w:p>
          <w:p w14:paraId="03B9CD13">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区（流）域环境质量改善目标要求情景</w:t>
            </w:r>
            <w:r>
              <w:rPr>
                <w:rFonts w:hint="eastAsia" w:cs="Times New Roman"/>
                <w:color w:val="000000" w:themeColor="text1"/>
                <w:sz w:val="21"/>
                <w:szCs w:val="21"/>
                <w:highlight w:val="none"/>
                <w:lang w:eastAsia="zh-CN"/>
                <w14:textFill>
                  <w14:solidFill>
                    <w14:schemeClr w14:val="tx1"/>
                  </w14:solidFill>
                </w14:textFill>
              </w:rPr>
              <w:t>□</w:t>
            </w:r>
          </w:p>
        </w:tc>
      </w:tr>
      <w:tr w14:paraId="18BC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31B6DC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7541E65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预测方法</w:t>
            </w:r>
          </w:p>
        </w:tc>
        <w:tc>
          <w:tcPr>
            <w:tcW w:w="3907" w:type="pct"/>
            <w:gridSpan w:val="14"/>
            <w:vAlign w:val="center"/>
          </w:tcPr>
          <w:p w14:paraId="3545308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数值解</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：解析</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p w14:paraId="63BB7257">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导则推荐模式</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4EF8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2BB8CA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影</w:t>
            </w:r>
          </w:p>
          <w:p w14:paraId="5FFE2C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响</w:t>
            </w:r>
          </w:p>
          <w:p w14:paraId="74C34B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w:t>
            </w:r>
          </w:p>
          <w:p w14:paraId="4E6100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价</w:t>
            </w:r>
          </w:p>
        </w:tc>
        <w:tc>
          <w:tcPr>
            <w:tcW w:w="857" w:type="pct"/>
            <w:vAlign w:val="center"/>
          </w:tcPr>
          <w:p w14:paraId="68F77D0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水污染控制和水环境影响减缓措施有效性评价</w:t>
            </w:r>
          </w:p>
        </w:tc>
        <w:tc>
          <w:tcPr>
            <w:tcW w:w="3907" w:type="pct"/>
            <w:gridSpan w:val="14"/>
            <w:vAlign w:val="center"/>
          </w:tcPr>
          <w:p w14:paraId="195E61C6">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区（流）域水环境质量改善目标</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；替代削减源</w:t>
            </w:r>
            <w:r>
              <w:rPr>
                <w:rFonts w:hint="eastAsia" w:cs="Times New Roman"/>
                <w:color w:val="000000" w:themeColor="text1"/>
                <w:sz w:val="21"/>
                <w:szCs w:val="21"/>
                <w:highlight w:val="none"/>
                <w:lang w:eastAsia="zh-CN"/>
                <w14:textFill>
                  <w14:solidFill>
                    <w14:schemeClr w14:val="tx1"/>
                  </w14:solidFill>
                </w14:textFill>
              </w:rPr>
              <w:t>□</w:t>
            </w:r>
          </w:p>
        </w:tc>
      </w:tr>
      <w:tr w14:paraId="31B34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0DD6112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0D68268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水环境影响评价</w:t>
            </w:r>
          </w:p>
        </w:tc>
        <w:tc>
          <w:tcPr>
            <w:tcW w:w="3907" w:type="pct"/>
            <w:gridSpan w:val="14"/>
            <w:vAlign w:val="center"/>
          </w:tcPr>
          <w:p w14:paraId="5DBFEF0A">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排放口混合区外满足水环境管理要求</w:t>
            </w:r>
            <w:r>
              <w:rPr>
                <w:rFonts w:hint="eastAsia" w:cs="Times New Roman"/>
                <w:color w:val="000000" w:themeColor="text1"/>
                <w:sz w:val="21"/>
                <w:szCs w:val="21"/>
                <w:highlight w:val="none"/>
                <w:lang w:eastAsia="zh-CN"/>
                <w14:textFill>
                  <w14:solidFill>
                    <w14:schemeClr w14:val="tx1"/>
                  </w14:solidFill>
                </w14:textFill>
              </w:rPr>
              <w:t>□</w:t>
            </w:r>
          </w:p>
          <w:p w14:paraId="3419A269">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水环境功能区或水功能区、近岸海域环境功能区水质达标</w:t>
            </w:r>
            <w:r>
              <w:rPr>
                <w:rFonts w:hint="eastAsia" w:cs="Times New Roman"/>
                <w:color w:val="000000" w:themeColor="text1"/>
                <w:sz w:val="21"/>
                <w:szCs w:val="21"/>
                <w:highlight w:val="none"/>
                <w:lang w:eastAsia="zh-CN"/>
                <w14:textFill>
                  <w14:solidFill>
                    <w14:schemeClr w14:val="tx1"/>
                  </w14:solidFill>
                </w14:textFill>
              </w:rPr>
              <w:t>□</w:t>
            </w:r>
          </w:p>
          <w:p w14:paraId="796B2457">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满足水环境保护目标水域水环境质量要求</w:t>
            </w:r>
            <w:r>
              <w:rPr>
                <w:rFonts w:hint="eastAsia" w:cs="Times New Roman"/>
                <w:color w:val="000000" w:themeColor="text1"/>
                <w:sz w:val="21"/>
                <w:szCs w:val="21"/>
                <w:highlight w:val="none"/>
                <w:lang w:eastAsia="zh-CN"/>
                <w14:textFill>
                  <w14:solidFill>
                    <w14:schemeClr w14:val="tx1"/>
                  </w14:solidFill>
                </w14:textFill>
              </w:rPr>
              <w:t>□</w:t>
            </w:r>
          </w:p>
          <w:p w14:paraId="55D26965">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水环境控制单元或断面水质达标</w:t>
            </w:r>
            <w:r>
              <w:rPr>
                <w:rFonts w:hint="eastAsia" w:cs="Times New Roman"/>
                <w:color w:val="000000" w:themeColor="text1"/>
                <w:sz w:val="21"/>
                <w:szCs w:val="21"/>
                <w:highlight w:val="none"/>
                <w:lang w:eastAsia="zh-CN"/>
                <w14:textFill>
                  <w14:solidFill>
                    <w14:schemeClr w14:val="tx1"/>
                  </w14:solidFill>
                </w14:textFill>
              </w:rPr>
              <w:t>□</w:t>
            </w:r>
          </w:p>
          <w:p w14:paraId="030B0230">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满足重点水污染物排放总量控制指标要求，重点行业建设项目，主要污染物排放满足等量或减量替代要求</w:t>
            </w:r>
            <w:r>
              <w:rPr>
                <w:rFonts w:hint="eastAsia" w:cs="Times New Roman"/>
                <w:color w:val="000000" w:themeColor="text1"/>
                <w:sz w:val="21"/>
                <w:szCs w:val="21"/>
                <w:highlight w:val="none"/>
                <w:lang w:eastAsia="zh-CN"/>
                <w14:textFill>
                  <w14:solidFill>
                    <w14:schemeClr w14:val="tx1"/>
                  </w14:solidFill>
                </w14:textFill>
              </w:rPr>
              <w:t>□</w:t>
            </w:r>
          </w:p>
          <w:p w14:paraId="0F5D9AE8">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满足区（流）域水环境质量改善目标要求</w:t>
            </w:r>
            <w:r>
              <w:rPr>
                <w:rFonts w:hint="eastAsia" w:cs="Times New Roman"/>
                <w:color w:val="000000" w:themeColor="text1"/>
                <w:sz w:val="21"/>
                <w:szCs w:val="21"/>
                <w:highlight w:val="none"/>
                <w:lang w:eastAsia="zh-CN"/>
                <w14:textFill>
                  <w14:solidFill>
                    <w14:schemeClr w14:val="tx1"/>
                  </w14:solidFill>
                </w14:textFill>
              </w:rPr>
              <w:t>□</w:t>
            </w:r>
          </w:p>
          <w:p w14:paraId="2ACD2DCB">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水文要素影响型建设项目同时应包括水文情势变化评价、主要水文特征值影响评价、生态流量符合性评价</w:t>
            </w:r>
            <w:r>
              <w:rPr>
                <w:rFonts w:hint="eastAsia" w:cs="Times New Roman"/>
                <w:color w:val="000000" w:themeColor="text1"/>
                <w:sz w:val="21"/>
                <w:szCs w:val="21"/>
                <w:highlight w:val="none"/>
                <w:lang w:eastAsia="zh-CN"/>
                <w14:textFill>
                  <w14:solidFill>
                    <w14:schemeClr w14:val="tx1"/>
                  </w14:solidFill>
                </w14:textFill>
              </w:rPr>
              <w:t>□</w:t>
            </w:r>
          </w:p>
          <w:p w14:paraId="5AC9A9E1">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对于新设或调整入河（湖库、近岸海域）排放口的建设项目，应包括排放口设置的环境合理性评价</w:t>
            </w:r>
            <w:r>
              <w:rPr>
                <w:rFonts w:hint="eastAsia" w:cs="Times New Roman"/>
                <w:color w:val="000000" w:themeColor="text1"/>
                <w:sz w:val="21"/>
                <w:szCs w:val="21"/>
                <w:highlight w:val="none"/>
                <w:lang w:eastAsia="zh-CN"/>
                <w14:textFill>
                  <w14:solidFill>
                    <w14:schemeClr w14:val="tx1"/>
                  </w14:solidFill>
                </w14:textFill>
              </w:rPr>
              <w:t>□</w:t>
            </w:r>
          </w:p>
          <w:p w14:paraId="3F03B58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满足生态保护红线、水环境质量底线、资源利用上线和环境准入清单管理要求</w:t>
            </w:r>
            <w:r>
              <w:rPr>
                <w:rFonts w:hint="eastAsia" w:cs="Times New Roman"/>
                <w:color w:val="000000" w:themeColor="text1"/>
                <w:sz w:val="21"/>
                <w:szCs w:val="21"/>
                <w:highlight w:val="none"/>
                <w:lang w:eastAsia="zh-CN"/>
                <w14:textFill>
                  <w14:solidFill>
                    <w14:schemeClr w14:val="tx1"/>
                  </w14:solidFill>
                </w14:textFill>
              </w:rPr>
              <w:t>□</w:t>
            </w:r>
          </w:p>
        </w:tc>
      </w:tr>
      <w:tr w14:paraId="37BFE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5D9E077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0BAE33A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污染源排放量核算</w:t>
            </w:r>
          </w:p>
        </w:tc>
        <w:tc>
          <w:tcPr>
            <w:tcW w:w="1251" w:type="pct"/>
            <w:gridSpan w:val="4"/>
            <w:vAlign w:val="center"/>
          </w:tcPr>
          <w:p w14:paraId="7E3C12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污染物名称</w:t>
            </w:r>
          </w:p>
        </w:tc>
        <w:tc>
          <w:tcPr>
            <w:tcW w:w="1329" w:type="pct"/>
            <w:gridSpan w:val="6"/>
            <w:vAlign w:val="center"/>
          </w:tcPr>
          <w:p w14:paraId="5899EB9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排放量/（t/a）</w:t>
            </w:r>
          </w:p>
        </w:tc>
        <w:tc>
          <w:tcPr>
            <w:tcW w:w="1327" w:type="pct"/>
            <w:gridSpan w:val="4"/>
            <w:vAlign w:val="center"/>
          </w:tcPr>
          <w:p w14:paraId="0B4DFB6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排放浓度/（mg/L）</w:t>
            </w:r>
          </w:p>
        </w:tc>
      </w:tr>
      <w:tr w14:paraId="694D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2D6E1A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7E32A45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51" w:type="pct"/>
            <w:gridSpan w:val="4"/>
            <w:vAlign w:val="center"/>
          </w:tcPr>
          <w:p w14:paraId="6A02BCE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29" w:type="pct"/>
            <w:gridSpan w:val="6"/>
            <w:vAlign w:val="center"/>
          </w:tcPr>
          <w:p w14:paraId="48F8118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327" w:type="pct"/>
            <w:gridSpan w:val="4"/>
            <w:vAlign w:val="center"/>
          </w:tcPr>
          <w:p w14:paraId="6A71A1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272F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5173A9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56ED12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替代源排放情况</w:t>
            </w:r>
          </w:p>
        </w:tc>
        <w:tc>
          <w:tcPr>
            <w:tcW w:w="704" w:type="pct"/>
            <w:vAlign w:val="center"/>
          </w:tcPr>
          <w:p w14:paraId="17C3626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污染源名称</w:t>
            </w:r>
          </w:p>
        </w:tc>
        <w:tc>
          <w:tcPr>
            <w:tcW w:w="1007" w:type="pct"/>
            <w:gridSpan w:val="4"/>
            <w:vAlign w:val="center"/>
          </w:tcPr>
          <w:p w14:paraId="37FD95B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排污许可证编号</w:t>
            </w:r>
          </w:p>
        </w:tc>
        <w:tc>
          <w:tcPr>
            <w:tcW w:w="733" w:type="pct"/>
            <w:gridSpan w:val="4"/>
            <w:vAlign w:val="center"/>
          </w:tcPr>
          <w:p w14:paraId="1D5E99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污染物名称</w:t>
            </w:r>
          </w:p>
        </w:tc>
        <w:tc>
          <w:tcPr>
            <w:tcW w:w="731" w:type="pct"/>
            <w:gridSpan w:val="4"/>
            <w:vAlign w:val="center"/>
          </w:tcPr>
          <w:p w14:paraId="19A950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排放量/（t/a）</w:t>
            </w:r>
          </w:p>
        </w:tc>
        <w:tc>
          <w:tcPr>
            <w:tcW w:w="731" w:type="pct"/>
            <w:vAlign w:val="center"/>
          </w:tcPr>
          <w:p w14:paraId="068C1B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排放浓度/（mg/L）</w:t>
            </w:r>
          </w:p>
        </w:tc>
      </w:tr>
      <w:tr w14:paraId="777BA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4554C67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6E44739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04" w:type="pct"/>
            <w:vAlign w:val="center"/>
          </w:tcPr>
          <w:p w14:paraId="67FF8BC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007" w:type="pct"/>
            <w:gridSpan w:val="4"/>
            <w:vAlign w:val="center"/>
          </w:tcPr>
          <w:p w14:paraId="5C51F5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33" w:type="pct"/>
            <w:gridSpan w:val="4"/>
            <w:vAlign w:val="center"/>
          </w:tcPr>
          <w:p w14:paraId="4E8416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31" w:type="pct"/>
            <w:gridSpan w:val="4"/>
            <w:vAlign w:val="center"/>
          </w:tcPr>
          <w:p w14:paraId="0B0CBB2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731" w:type="pct"/>
            <w:vAlign w:val="center"/>
          </w:tcPr>
          <w:p w14:paraId="308DFF2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06277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5E4310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34CE92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生态流量确定</w:t>
            </w:r>
          </w:p>
        </w:tc>
        <w:tc>
          <w:tcPr>
            <w:tcW w:w="3907" w:type="pct"/>
            <w:gridSpan w:val="14"/>
            <w:vAlign w:val="center"/>
          </w:tcPr>
          <w:p w14:paraId="65428D13">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生态流量：一般水期（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/s；鱼类繁殖期（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/s；其他（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/s</w:t>
            </w:r>
          </w:p>
          <w:p w14:paraId="1B83390C">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生态水位：一般水期（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）m；鱼类繁殖期（</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）m；其他（</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p>
        </w:tc>
      </w:tr>
      <w:tr w14:paraId="7FFA3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restart"/>
            <w:vAlign w:val="center"/>
          </w:tcPr>
          <w:p w14:paraId="4D181D1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防</w:t>
            </w:r>
          </w:p>
          <w:p w14:paraId="1D99A1A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治</w:t>
            </w:r>
          </w:p>
          <w:p w14:paraId="6F7B155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措</w:t>
            </w:r>
          </w:p>
          <w:p w14:paraId="20FFFA5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施</w:t>
            </w:r>
          </w:p>
        </w:tc>
        <w:tc>
          <w:tcPr>
            <w:tcW w:w="857" w:type="pct"/>
            <w:vAlign w:val="center"/>
          </w:tcPr>
          <w:p w14:paraId="336610C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环保措施</w:t>
            </w:r>
          </w:p>
        </w:tc>
        <w:tc>
          <w:tcPr>
            <w:tcW w:w="3907" w:type="pct"/>
            <w:gridSpan w:val="14"/>
            <w:vAlign w:val="center"/>
          </w:tcPr>
          <w:p w14:paraId="2894FD8F">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污水处理设施</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；水文减缓设施</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；生态流量保障设施</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；区域削减</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；依托其他工程措施</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；其他</w:t>
            </w:r>
            <w:r>
              <w:rPr>
                <w:rFonts w:hint="eastAsia" w:cs="Times New Roman"/>
                <w:color w:val="000000" w:themeColor="text1"/>
                <w:sz w:val="21"/>
                <w:szCs w:val="21"/>
                <w:highlight w:val="none"/>
                <w:lang w:eastAsia="zh-CN"/>
                <w14:textFill>
                  <w14:solidFill>
                    <w14:schemeClr w14:val="tx1"/>
                  </w14:solidFill>
                </w14:textFill>
              </w:rPr>
              <w:t>□</w:t>
            </w:r>
          </w:p>
        </w:tc>
      </w:tr>
      <w:tr w14:paraId="4AE6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42BA094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restart"/>
            <w:vAlign w:val="center"/>
          </w:tcPr>
          <w:p w14:paraId="033D14F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监测计划</w:t>
            </w:r>
          </w:p>
        </w:tc>
        <w:tc>
          <w:tcPr>
            <w:tcW w:w="782" w:type="pct"/>
            <w:gridSpan w:val="2"/>
            <w:vAlign w:val="center"/>
          </w:tcPr>
          <w:p w14:paraId="0BEAC7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567" w:type="pct"/>
            <w:gridSpan w:val="6"/>
            <w:vAlign w:val="center"/>
          </w:tcPr>
          <w:p w14:paraId="171D1F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环境质量</w:t>
            </w:r>
          </w:p>
        </w:tc>
        <w:tc>
          <w:tcPr>
            <w:tcW w:w="1558" w:type="pct"/>
            <w:gridSpan w:val="6"/>
            <w:vAlign w:val="center"/>
          </w:tcPr>
          <w:p w14:paraId="41B8851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w:t>
            </w:r>
          </w:p>
        </w:tc>
      </w:tr>
      <w:tr w14:paraId="6EA33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25EB58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06FD34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82" w:type="pct"/>
            <w:gridSpan w:val="2"/>
            <w:vAlign w:val="center"/>
          </w:tcPr>
          <w:p w14:paraId="3827D7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监测方式</w:t>
            </w:r>
          </w:p>
        </w:tc>
        <w:tc>
          <w:tcPr>
            <w:tcW w:w="1567" w:type="pct"/>
            <w:gridSpan w:val="6"/>
            <w:vAlign w:val="center"/>
          </w:tcPr>
          <w:p w14:paraId="427CED0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手动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；自动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r>
              <w:rPr>
                <w:rFonts w:hint="eastAsia" w:cs="Times New Roman"/>
                <w:color w:val="000000" w:themeColor="text1"/>
                <w:sz w:val="21"/>
                <w:szCs w:val="21"/>
                <w:highlight w:val="none"/>
                <w:lang w:eastAsia="zh-CN"/>
                <w14:textFill>
                  <w14:solidFill>
                    <w14:schemeClr w14:val="tx1"/>
                  </w14:solidFill>
                </w14:textFill>
              </w:rPr>
              <w:t>□</w:t>
            </w:r>
          </w:p>
        </w:tc>
        <w:tc>
          <w:tcPr>
            <w:tcW w:w="1558" w:type="pct"/>
            <w:gridSpan w:val="6"/>
            <w:vAlign w:val="center"/>
          </w:tcPr>
          <w:p w14:paraId="4CF685D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手动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；自动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；无监测</w:t>
            </w:r>
            <w:r>
              <w:rPr>
                <w:rFonts w:hint="eastAsia" w:cs="Times New Roman"/>
                <w:color w:val="000000" w:themeColor="text1"/>
                <w:sz w:val="21"/>
                <w:szCs w:val="21"/>
                <w:highlight w:val="none"/>
                <w:lang w:eastAsia="zh-CN"/>
                <w14:textFill>
                  <w14:solidFill>
                    <w14:schemeClr w14:val="tx1"/>
                  </w14:solidFill>
                </w14:textFill>
              </w:rPr>
              <w:t>□</w:t>
            </w:r>
          </w:p>
        </w:tc>
      </w:tr>
      <w:tr w14:paraId="3BB8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52CB2A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0A467C4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82" w:type="pct"/>
            <w:gridSpan w:val="2"/>
            <w:vAlign w:val="center"/>
          </w:tcPr>
          <w:p w14:paraId="2E98CE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监测点位</w:t>
            </w:r>
          </w:p>
        </w:tc>
        <w:tc>
          <w:tcPr>
            <w:tcW w:w="1567" w:type="pct"/>
            <w:gridSpan w:val="6"/>
            <w:vAlign w:val="center"/>
          </w:tcPr>
          <w:p w14:paraId="7DF808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558" w:type="pct"/>
            <w:gridSpan w:val="6"/>
            <w:vAlign w:val="center"/>
          </w:tcPr>
          <w:p w14:paraId="1C77DA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2A5A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334AC7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Merge w:val="continue"/>
            <w:vAlign w:val="center"/>
          </w:tcPr>
          <w:p w14:paraId="36AAC68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82" w:type="pct"/>
            <w:gridSpan w:val="2"/>
            <w:vAlign w:val="center"/>
          </w:tcPr>
          <w:p w14:paraId="28612A0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监测因子</w:t>
            </w:r>
          </w:p>
        </w:tc>
        <w:tc>
          <w:tcPr>
            <w:tcW w:w="1567" w:type="pct"/>
            <w:gridSpan w:val="6"/>
            <w:vAlign w:val="center"/>
          </w:tcPr>
          <w:p w14:paraId="274FCE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558" w:type="pct"/>
            <w:gridSpan w:val="6"/>
            <w:vAlign w:val="center"/>
          </w:tcPr>
          <w:p w14:paraId="1B5F6F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r>
      <w:tr w14:paraId="57BD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 w:type="pct"/>
            <w:vMerge w:val="continue"/>
            <w:vAlign w:val="center"/>
          </w:tcPr>
          <w:p w14:paraId="05FB004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857" w:type="pct"/>
            <w:vAlign w:val="center"/>
          </w:tcPr>
          <w:p w14:paraId="2A78FF9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污染物排放清单</w:t>
            </w:r>
          </w:p>
        </w:tc>
        <w:tc>
          <w:tcPr>
            <w:tcW w:w="3907" w:type="pct"/>
            <w:gridSpan w:val="14"/>
            <w:vAlign w:val="center"/>
          </w:tcPr>
          <w:p w14:paraId="28209AA8">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color w:val="000000" w:themeColor="text1"/>
                <w:sz w:val="21"/>
                <w:szCs w:val="21"/>
                <w:highlight w:val="none"/>
                <w:lang w:eastAsia="zh-CN"/>
                <w14:textFill>
                  <w14:solidFill>
                    <w14:schemeClr w14:val="tx1"/>
                  </w14:solidFill>
                </w14:textFill>
              </w:rPr>
              <w:t>□</w:t>
            </w:r>
          </w:p>
        </w:tc>
      </w:tr>
      <w:tr w14:paraId="25E4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93" w:type="pct"/>
            <w:gridSpan w:val="2"/>
            <w:vAlign w:val="center"/>
          </w:tcPr>
          <w:p w14:paraId="18F0A6C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评价结论</w:t>
            </w:r>
          </w:p>
        </w:tc>
        <w:tc>
          <w:tcPr>
            <w:tcW w:w="3907" w:type="pct"/>
            <w:gridSpan w:val="14"/>
            <w:vAlign w:val="center"/>
          </w:tcPr>
          <w:p w14:paraId="06CCF7B2">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可以接受</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；不可以接受</w:t>
            </w:r>
            <w:r>
              <w:rPr>
                <w:rFonts w:hint="eastAsia" w:cs="Times New Roman"/>
                <w:color w:val="000000" w:themeColor="text1"/>
                <w:sz w:val="21"/>
                <w:szCs w:val="21"/>
                <w:highlight w:val="none"/>
                <w:lang w:eastAsia="zh-CN"/>
                <w14:textFill>
                  <w14:solidFill>
                    <w14:schemeClr w14:val="tx1"/>
                  </w14:solidFill>
                </w14:textFill>
              </w:rPr>
              <w:t>□</w:t>
            </w:r>
          </w:p>
        </w:tc>
      </w:tr>
      <w:tr w14:paraId="3650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6"/>
            <w:vAlign w:val="center"/>
          </w:tcPr>
          <w:p w14:paraId="2A7045B5">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注：“</w:t>
            </w:r>
            <w:r>
              <w:rPr>
                <w:rFonts w:hint="eastAsia"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”为勾选项，可√；“（ ）”为内容填写项；“备注”为其他补充内容。</w:t>
            </w:r>
          </w:p>
        </w:tc>
      </w:tr>
    </w:tbl>
    <w:p w14:paraId="2B58D50F">
      <w:pPr>
        <w:pStyle w:val="4"/>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5.2.3地下水环境影响评价</w:t>
      </w:r>
      <w:bookmarkEnd w:id="218"/>
    </w:p>
    <w:p w14:paraId="390DD3BD">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"5.3.2.1"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5.3.2.</w:t>
      </w:r>
      <w:r>
        <w:rPr>
          <w:rFonts w:hint="eastAsia"/>
          <w:b/>
          <w:bCs/>
          <w:color w:val="000000" w:themeColor="text1"/>
          <w:highlight w:val="none"/>
          <w:lang w:val="en-US" w:eastAsia="zh-CN"/>
          <w14:textFill>
            <w14:solidFill>
              <w14:schemeClr w14:val="tx1"/>
            </w14:solidFill>
          </w14:textFill>
        </w:rPr>
        <w:t>1</w:t>
      </w:r>
      <w:r>
        <w:rPr>
          <w:rFonts w:hint="eastAsia"/>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 xml:space="preserve"> 地下水污染类型和</w:t>
      </w:r>
      <w:r>
        <w:rPr>
          <w:rFonts w:hint="eastAsia"/>
          <w:b/>
          <w:bCs/>
          <w:color w:val="000000" w:themeColor="text1"/>
          <w:highlight w:val="none"/>
          <w14:textFill>
            <w14:solidFill>
              <w14:schemeClr w14:val="tx1"/>
            </w14:solidFill>
          </w14:textFill>
        </w:rPr>
        <w:t>途径</w:t>
      </w:r>
    </w:p>
    <w:p w14:paraId="75C3034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的污染类型一般有四类：一类是工业污染，其污染物种类多为有毒、有害的物质，如酚、砷、汞、镉、铬等，或者是有机的剧毒污染物，如三四苯并芘、三氯乙烯、三氯乙醛、石油类等，这类污染物对地下水威胁很大；第二类污染类型是生活污染，由生活污水、生活垃圾排放造成，污染物主要是氨氮、硝酸盐氮、亚硝酸盐氮、磷、洗涤剂等；第三类污染类型是农业污染，农家肥料、化肥、农药、杀虫剂的大量使用，使有毒、有害、有机的污染物逐渐进入地下水中造成污染；第四类污染属自然污染，指在剥蚀、侵蚀、风化的作用下，一些易溶解、易流散的有害矿藏迁移到地下水中污染了地下水，如硫、磷、铅、汞、砷、盐、氟、放射性等矿藏。本项目涉及的主要是第三类污染源。</w:t>
      </w:r>
    </w:p>
    <w:p w14:paraId="72CDB72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的污染途径分两种，一种是直接污染：地下水污染物通过直接的方式到达含水层污染地下水，如直接进入含水层的渗坑、渗井、岩洞、废井等。另一种是间接污染途径：污染物不能直接到达含水层，要通过中间的媒介物质再渗入到含水层污染地下水，如大气降尘、污水、废渣进入农田，或污水流入河流、湖泊、水库再通过覆盖层渗入含水层污染地下水。本项目环境保护措施及风险防范主要涉及间接污染。</w:t>
      </w:r>
    </w:p>
    <w:p w14:paraId="3AB91953">
      <w:pP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5.3.2.</w:t>
      </w:r>
      <w:r>
        <w:rPr>
          <w:rFonts w:hint="eastAsia"/>
          <w:b/>
          <w:bCs/>
          <w:color w:val="000000" w:themeColor="text1"/>
          <w:highlight w:val="none"/>
          <w:lang w:val="en-US" w:eastAsia="zh-CN"/>
          <w14:textFill>
            <w14:solidFill>
              <w14:schemeClr w14:val="tx1"/>
            </w14:solidFill>
          </w14:textFill>
        </w:rPr>
        <w:t>2</w:t>
      </w:r>
      <w:r>
        <w:rPr>
          <w:b/>
          <w:bCs/>
          <w:color w:val="000000" w:themeColor="text1"/>
          <w:highlight w:val="none"/>
          <w14:textFill>
            <w14:solidFill>
              <w14:schemeClr w14:val="tx1"/>
            </w14:solidFill>
          </w14:textFill>
        </w:rPr>
        <w:t>地下水环境影响分析</w:t>
      </w:r>
    </w:p>
    <w:p w14:paraId="2833CD9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（1）项目排水对地下水环境的影响分析</w:t>
      </w:r>
    </w:p>
    <w:p w14:paraId="34E92ED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1）正常情况下排水的影响</w:t>
      </w:r>
    </w:p>
    <w:p w14:paraId="47B273F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本项目废水主要为生活污水、养殖废水，属于可生化降解性高、适合微生物处理、无毒有害的废水。本项目废水采用《畜禽粪污资源化利用行动方案》（2017-2020）中推荐的</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污水肥料化利用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模式。该模式是生态处理模式，需要修建集粪池、</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。根据工程设计方案，项目</w:t>
      </w:r>
      <w:r>
        <w:rPr>
          <w:rFonts w:hint="eastAsia"/>
          <w:color w:val="000000" w:themeColor="text1"/>
          <w:highlight w:val="none"/>
          <w:lang w:eastAsia="zh-CN"/>
          <w14:textFill>
            <w14:solidFill>
              <w14:schemeClr w14:val="tx1"/>
            </w14:solidFill>
          </w14:textFill>
        </w:rPr>
        <w:t>集粪池</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等均采用混凝土防渗结构，</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采用下层铺设黏土层（K≤10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cm/s）后，上层采用HDPE防渗膜进行防渗，因此，在构筑物严格防渗条件下，正常情况不会造成污染物下渗污染地下水。</w:t>
      </w:r>
      <w:r>
        <w:rPr>
          <w:rFonts w:hint="eastAsia"/>
          <w:color w:val="000000" w:themeColor="text1"/>
          <w:highlight w:val="none"/>
          <w14:textFill>
            <w14:solidFill>
              <w14:schemeClr w14:val="tx1"/>
            </w14:solidFill>
          </w14:textFill>
        </w:rPr>
        <w:t>此外</w:t>
      </w:r>
      <w:r>
        <w:rPr>
          <w:color w:val="000000" w:themeColor="text1"/>
          <w:highlight w:val="none"/>
          <w14:textFill>
            <w14:solidFill>
              <w14:schemeClr w14:val="tx1"/>
            </w14:solidFill>
          </w14:textFill>
        </w:rPr>
        <w:t>，养废水殖厌氧无害化处理后变成液体肥料，液肥满足《</w:t>
      </w:r>
      <w:r>
        <w:rPr>
          <w:rFonts w:hint="eastAsia"/>
          <w:color w:val="000000" w:themeColor="text1"/>
          <w:highlight w:val="none"/>
          <w14:textFill>
            <w14:solidFill>
              <w14:schemeClr w14:val="tx1"/>
            </w14:solidFill>
          </w14:textFill>
        </w:rPr>
        <w:t>粪便无害化卫生要求</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GB 7959-2012</w:t>
      </w:r>
      <w:r>
        <w:rPr>
          <w:color w:val="000000" w:themeColor="text1"/>
          <w:highlight w:val="none"/>
          <w14:textFill>
            <w14:solidFill>
              <w14:schemeClr w14:val="tx1"/>
            </w14:solidFill>
          </w14:textFill>
        </w:rPr>
        <w:t>）中有关规定，达标液肥中污染物含量较低，施肥于周边农田，故对附近地下水环境影响较微。</w:t>
      </w:r>
    </w:p>
    <w:p w14:paraId="0431A96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2）非正常情况下排水的影响</w:t>
      </w:r>
    </w:p>
    <w:p w14:paraId="08FC7E45">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①情景设置</w:t>
      </w:r>
    </w:p>
    <w:p w14:paraId="1FFBFEE8">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养殖区均采用干清粪工艺，猪粪堆场为相对干燥场所，主要废水为猪尿、粪便渗滤液，产生量少。此次评价主要以养殖区厌氧发酵系统设施出现事故状态下进行评价，按照其中一个黑膜池底部</w:t>
      </w:r>
      <w:r>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破损的泄漏情景进行非正常情况下地下水预测。</w:t>
      </w:r>
    </w:p>
    <w:p w14:paraId="72B802BF">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②预测时段</w:t>
      </w:r>
    </w:p>
    <w:p w14:paraId="5C8AC32C">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根据《环境影响评价技术导则 地下水环境》（HJ610-2016），结合本项目特点，将生产运营期的地下水环境影响预测时段限定为100天、365天（1年）和1000天。</w:t>
      </w:r>
    </w:p>
    <w:p w14:paraId="300D510C">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③预测范围</w:t>
      </w:r>
    </w:p>
    <w:p w14:paraId="351683C9">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根据本项目区域地下水补径排特征，预测重点为本项目厂址及下游区域。</w:t>
      </w:r>
    </w:p>
    <w:p w14:paraId="0005CBA3">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④预测因子</w:t>
      </w:r>
    </w:p>
    <w:p w14:paraId="2186D3B8">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本项目选取COD、NH</w:t>
      </w:r>
      <w:r>
        <w:rPr>
          <w:rFonts w:hint="eastAsia" w:ascii="Times New Roman" w:hAnsi="Times New Roman" w:eastAsia="宋体" w:cs="Times New Roman"/>
          <w:color w:val="000000" w:themeColor="text1"/>
          <w:highlight w:val="none"/>
          <w:shd w:val="clear" w:color="auto" w:fill="auto"/>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-N作为预测因子。</w:t>
      </w:r>
    </w:p>
    <w:p w14:paraId="6128FC18">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⑤地下水污染物水质标准</w:t>
      </w:r>
    </w:p>
    <w:p w14:paraId="47373E1C">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根据非正常状况分析情景设定主要污染物的分布位置，本次模拟选定优先控制污染物，预测在非正常条件有防渗情景下，污染物在地下水中迁移过程，进一步分析污染物影响范围、超标范围和迁出场区后浓度变化。</w:t>
      </w:r>
    </w:p>
    <w:p w14:paraId="4EFF8D94">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其中，选取的废水污染因子为COD，而地下水环境的评价因子为高锰酸盐指数，为使污染因子COD与评价因子高锰酸盐指数在数值关系上对应统一，在模型计算过程中，参照国内学者胡大琼（云南省水文水资源局普洱分局）《高锰酸盐指数与化学需氧量相关关系探讨》一文得出的高锰酸盐指数与化学需氧量线性回归方程Y=4.76X+2.61（X为高锰酸盐指数，Y为COD）进行换算，得项目COD评价标准浓度为16.89mg/L。高锰酸盐指数和氨氮评价标准参照《地下水质量标准》（GB/T14848-2017）中的</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instrText xml:space="preserve"> = 3 \* ROMAN </w:instrTex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III</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类标准。各评价因子检出限及评价标准</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instrText xml:space="preserve"> HYPERLINK \l "bookmark41" \o "Current Document" \h </w:instrTex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见表</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end"/>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begin"/>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instrText xml:space="preserve"> HYPERLINK \l "bookmark41" \o "Current Document" \h </w:instrTex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separate"/>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5.2-19。</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fldChar w:fldCharType="end"/>
      </w:r>
    </w:p>
    <w:p w14:paraId="213DDB55">
      <w:pPr>
        <w:snapToGrid w:val="0"/>
        <w:spacing w:line="360" w:lineRule="auto"/>
        <w:ind w:firstLine="422" w:firstLineChars="200"/>
        <w:jc w:val="cente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表5.2-</w:t>
      </w:r>
      <w:r>
        <w:rPr>
          <w:rFonts w:hint="eastAsia" w:cs="Times New Roman"/>
          <w:b/>
          <w:color w:val="000000" w:themeColor="text1"/>
          <w:sz w:val="21"/>
          <w:szCs w:val="21"/>
          <w:highlight w:val="none"/>
          <w:shd w:val="clear" w:color="auto" w:fill="auto"/>
          <w:lang w:val="en-US" w:eastAsia="zh-CN"/>
          <w14:textFill>
            <w14:solidFill>
              <w14:schemeClr w14:val="tx1"/>
            </w14:solidFill>
          </w14:textFill>
        </w:rPr>
        <w:t>19</w:t>
      </w:r>
      <w:r>
        <w:rPr>
          <w:rFonts w:hint="eastAsia" w:ascii="Times New Roman" w:hAnsi="Times New Roman" w:cs="Times New Roman"/>
          <w:b/>
          <w:color w:val="000000" w:themeColor="text1"/>
          <w:sz w:val="21"/>
          <w:szCs w:val="21"/>
          <w:highlight w:val="none"/>
          <w:shd w:val="clear" w:color="auto" w:fill="auto"/>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 xml:space="preserve">  污染物水质标准限值</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4"/>
        <w:gridCol w:w="2658"/>
        <w:gridCol w:w="4034"/>
      </w:tblGrid>
      <w:tr w14:paraId="409CF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Align w:val="center"/>
          </w:tcPr>
          <w:p w14:paraId="521C4757">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污染物因子</w:t>
            </w:r>
          </w:p>
        </w:tc>
        <w:tc>
          <w:tcPr>
            <w:tcW w:w="1560" w:type="pct"/>
            <w:vAlign w:val="center"/>
          </w:tcPr>
          <w:p w14:paraId="247A212D">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标准限制（mg/L）</w:t>
            </w:r>
          </w:p>
        </w:tc>
        <w:tc>
          <w:tcPr>
            <w:tcW w:w="2368" w:type="pct"/>
            <w:vAlign w:val="center"/>
          </w:tcPr>
          <w:p w14:paraId="59AA1A74">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标准来源</w:t>
            </w:r>
          </w:p>
        </w:tc>
      </w:tr>
      <w:tr w14:paraId="08EB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Align w:val="center"/>
          </w:tcPr>
          <w:p w14:paraId="4493E362">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高锰酸盐指数</w:t>
            </w:r>
          </w:p>
        </w:tc>
        <w:tc>
          <w:tcPr>
            <w:tcW w:w="1560" w:type="pct"/>
            <w:vAlign w:val="center"/>
          </w:tcPr>
          <w:p w14:paraId="61EFA47F">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3.0</w:t>
            </w:r>
          </w:p>
        </w:tc>
        <w:tc>
          <w:tcPr>
            <w:tcW w:w="2368" w:type="pct"/>
            <w:vMerge w:val="restart"/>
            <w:vAlign w:val="center"/>
          </w:tcPr>
          <w:p w14:paraId="46E73F37">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《地下水质量标准》（GB/T14848-2017）Ⅲ类</w:t>
            </w:r>
          </w:p>
        </w:tc>
      </w:tr>
      <w:tr w14:paraId="2FA7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Align w:val="center"/>
          </w:tcPr>
          <w:p w14:paraId="42B4EC59">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COD</w:t>
            </w:r>
          </w:p>
        </w:tc>
        <w:tc>
          <w:tcPr>
            <w:tcW w:w="1560" w:type="pct"/>
            <w:vAlign w:val="center"/>
          </w:tcPr>
          <w:p w14:paraId="4E1721E7">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16.89</w:t>
            </w:r>
          </w:p>
        </w:tc>
        <w:tc>
          <w:tcPr>
            <w:tcW w:w="2368" w:type="pct"/>
            <w:vMerge w:val="continue"/>
            <w:vAlign w:val="center"/>
          </w:tcPr>
          <w:p w14:paraId="279EFFC1">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p>
        </w:tc>
      </w:tr>
      <w:tr w14:paraId="308A6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71" w:type="pct"/>
            <w:vAlign w:val="center"/>
          </w:tcPr>
          <w:p w14:paraId="1405B24D">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NH</w:t>
            </w:r>
            <w:r>
              <w:rPr>
                <w:rFonts w:hint="eastAsia" w:ascii="Times New Roman" w:hAnsi="Times New Roman" w:eastAsia="宋体" w:cs="Times New Roman"/>
                <w:color w:val="000000" w:themeColor="text1"/>
                <w:sz w:val="21"/>
                <w:szCs w:val="21"/>
                <w:highlight w:val="none"/>
                <w:shd w:val="clear" w:color="auto" w:fill="auto"/>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-N</w:t>
            </w:r>
          </w:p>
        </w:tc>
        <w:tc>
          <w:tcPr>
            <w:tcW w:w="1560" w:type="pct"/>
            <w:vAlign w:val="center"/>
          </w:tcPr>
          <w:p w14:paraId="404DF09C">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t>0.5</w:t>
            </w:r>
          </w:p>
        </w:tc>
        <w:tc>
          <w:tcPr>
            <w:tcW w:w="2368" w:type="pct"/>
            <w:vMerge w:val="continue"/>
            <w:vAlign w:val="center"/>
          </w:tcPr>
          <w:p w14:paraId="024FE228">
            <w:pPr>
              <w:pStyle w:val="71"/>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宋体" w:cs="Times New Roman"/>
                <w:color w:val="000000" w:themeColor="text1"/>
                <w:sz w:val="21"/>
                <w:szCs w:val="21"/>
                <w:highlight w:val="none"/>
                <w:shd w:val="clear" w:color="auto" w:fill="auto"/>
                <w:lang w:val="en-US" w:eastAsia="zh-CN"/>
                <w14:textFill>
                  <w14:solidFill>
                    <w14:schemeClr w14:val="tx1"/>
                  </w14:solidFill>
                </w14:textFill>
              </w:rPr>
            </w:pPr>
          </w:p>
        </w:tc>
      </w:tr>
    </w:tbl>
    <w:p w14:paraId="5E6ECFF4">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⑥预测模型</w:t>
      </w:r>
    </w:p>
    <w:p w14:paraId="2E17779A">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本次地下水污染模拟过程未考虑污染物在含水层中的吸附、挥发、生物化学反应，模型中各项参数予以保守性考虑。选择理由如下：</w:t>
      </w:r>
    </w:p>
    <w:p w14:paraId="51A94DA5">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从保守角度考虑，假设污染质在运移中不与含水层介质发生反应，可以被认为是保守型污染质，只按保守型污染质来计算，即只考虑运移过程中的对流、弥散作用。</w:t>
      </w:r>
    </w:p>
    <w:p w14:paraId="3DFB1589">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有机污染物在地下水中的运移非常复杂，影响因素除对流、弥散作用以外，还存在物理、化学、微生物等作用，这些作用常常会使污染浓度衰减。目前国际上对这些作用参数的准确获取还存在着困难。</w:t>
      </w:r>
    </w:p>
    <w:p w14:paraId="2AD56F06">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本次地下水环境影响预测采用《环境影响评价技术导则 地下水环境》（HJ610-2016）推荐的一维稳定流动一维水动力弥散问题，概化条件为一维半无限长多孔介质柱体，一端为定浓度边界。其解析解为：</w:t>
      </w:r>
    </w:p>
    <w:p w14:paraId="66ABBBA9">
      <w:pPr>
        <w:pStyle w:val="71"/>
        <w:snapToGrid w:val="0"/>
        <w:spacing w:line="360" w:lineRule="auto"/>
        <w:ind w:left="0" w:leftChars="0" w:firstLine="0" w:firstLineChars="0"/>
        <w:jc w:val="cente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object>
          <v:shape id="_x0000_i1028" o:spt="75" type="#_x0000_t75" style="height:43.05pt;width:244.95pt;" o:ole="t" filled="f" o:preferrelative="t" stroked="f" coordsize="21600,21600">
            <v:path/>
            <v:fill on="f" focussize="0,0"/>
            <v:stroke on="f" joinstyle="miter"/>
            <v:imagedata r:id="rId46" o:title=""/>
            <o:lock v:ext="edit" aspectratio="t"/>
            <w10:wrap type="none"/>
            <w10:anchorlock/>
          </v:shape>
          <o:OLEObject Type="Embed" ProgID="Equation.AxMath" ShapeID="_x0000_i1028" DrawAspect="Content" ObjectID="_1468075728" r:id="rId45">
            <o:LockedField>false</o:LockedField>
          </o:OLEObject>
        </w:object>
      </w:r>
    </w:p>
    <w:p w14:paraId="002CE9F0">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式中：x——距注入点的距离，m；</w:t>
      </w:r>
    </w:p>
    <w:p w14:paraId="12FE445E">
      <w:pPr>
        <w:pStyle w:val="71"/>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t——时间，d；</w:t>
      </w:r>
    </w:p>
    <w:p w14:paraId="07992D70">
      <w:pPr>
        <w:pStyle w:val="71"/>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C（x，t）——t时刻x处的示踪剂浓度，g/L；</w:t>
      </w:r>
    </w:p>
    <w:p w14:paraId="60B3A144">
      <w:pPr>
        <w:pStyle w:val="71"/>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C</w:t>
      </w:r>
      <w:r>
        <w:rPr>
          <w:rFonts w:hint="eastAsia" w:ascii="Times New Roman" w:hAnsi="Times New Roman" w:eastAsia="宋体" w:cs="Times New Roman"/>
          <w:color w:val="000000" w:themeColor="text1"/>
          <w:highlight w:val="none"/>
          <w:shd w:val="clear" w:color="auto" w:fill="auto"/>
          <w:vertAlign w:val="subscript"/>
          <w:lang w:val="en-US" w:eastAsia="zh-CN"/>
          <w14:textFill>
            <w14:solidFill>
              <w14:schemeClr w14:val="tx1"/>
            </w14:solidFill>
          </w14:textFill>
        </w:rPr>
        <w:t>0</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——注入的示踪剂浓度，g/L；</w:t>
      </w:r>
    </w:p>
    <w:p w14:paraId="6574277A">
      <w:pPr>
        <w:pStyle w:val="71"/>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u——水流速度，m/d；</w:t>
      </w:r>
    </w:p>
    <w:p w14:paraId="5A952607">
      <w:pPr>
        <w:pStyle w:val="71"/>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D</w:t>
      </w:r>
      <w:r>
        <w:rPr>
          <w:rFonts w:hint="eastAsia" w:ascii="Times New Roman" w:hAnsi="Times New Roman" w:eastAsia="宋体" w:cs="Times New Roman"/>
          <w:color w:val="000000" w:themeColor="text1"/>
          <w:highlight w:val="none"/>
          <w:shd w:val="clear" w:color="auto" w:fill="auto"/>
          <w:vertAlign w:val="subscript"/>
          <w:lang w:val="en-US" w:eastAsia="zh-CN"/>
          <w14:textFill>
            <w14:solidFill>
              <w14:schemeClr w14:val="tx1"/>
            </w14:solidFill>
          </w14:textFill>
        </w:rPr>
        <w:t>L</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——纵向弥散系数，m</w:t>
      </w:r>
      <w:r>
        <w:rPr>
          <w:rFonts w:hint="eastAsia" w:ascii="Times New Roman" w:hAnsi="Times New Roman" w:eastAsia="宋体" w:cs="Times New Roman"/>
          <w:color w:val="000000" w:themeColor="text1"/>
          <w:highlight w:val="none"/>
          <w:shd w:val="clear" w:color="auto" w:fill="auto"/>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/d；</w:t>
      </w:r>
    </w:p>
    <w:p w14:paraId="34C396CA">
      <w:pPr>
        <w:pStyle w:val="71"/>
        <w:snapToGrid w:val="0"/>
        <w:spacing w:line="360" w:lineRule="auto"/>
        <w:ind w:firstLine="1200" w:firstLineChars="50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erfc（）——余误差函数。</w:t>
      </w:r>
    </w:p>
    <w:p w14:paraId="07418EDB">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⑦水文地质参数</w:t>
      </w:r>
    </w:p>
    <w:p w14:paraId="4DD45CA6">
      <w:pPr>
        <w:adjustRightInd w:val="0"/>
        <w:snapToGrid w:val="0"/>
        <w:spacing w:line="360" w:lineRule="auto"/>
        <w:ind w:firstLine="480" w:firstLineChars="200"/>
        <w:rPr>
          <w:rFonts w:ascii="Times New Roman" w:hAnsi="Times New Roman"/>
          <w:color w:val="000000" w:themeColor="text1"/>
          <w:kern w:val="0"/>
          <w:sz w:val="24"/>
          <w:szCs w:val="28"/>
          <w:highlight w:val="none"/>
          <w14:textFill>
            <w14:solidFill>
              <w14:schemeClr w14:val="tx1"/>
            </w14:solidFill>
          </w14:textFill>
        </w:rPr>
      </w:pPr>
      <w:r>
        <w:rPr>
          <w:rFonts w:hint="eastAsia" w:ascii="Times New Roman" w:hAnsi="Times New Roman"/>
          <w:color w:val="000000" w:themeColor="text1"/>
          <w:kern w:val="0"/>
          <w:sz w:val="24"/>
          <w:szCs w:val="28"/>
          <w:highlight w:val="none"/>
          <w14:textFill>
            <w14:solidFill>
              <w14:schemeClr w14:val="tx1"/>
            </w14:solidFill>
          </w14:textFill>
        </w:rPr>
        <w:t>（6）模型参数选取</w:t>
      </w:r>
    </w:p>
    <w:p w14:paraId="0F76EDB5">
      <w:pPr>
        <w:adjustRightInd w:val="0"/>
        <w:snapToGrid w:val="0"/>
        <w:spacing w:line="360" w:lineRule="auto"/>
        <w:ind w:firstLine="480" w:firstLineChars="200"/>
        <w:rPr>
          <w:rFonts w:ascii="Times New Roman" w:hAnsi="Times New Roman"/>
          <w:color w:val="000000" w:themeColor="text1"/>
          <w:kern w:val="0"/>
          <w:sz w:val="24"/>
          <w:szCs w:val="28"/>
          <w:highlight w:val="none"/>
          <w14:textFill>
            <w14:solidFill>
              <w14:schemeClr w14:val="tx1"/>
            </w14:solidFill>
          </w14:textFill>
        </w:rPr>
      </w:pPr>
      <w:r>
        <w:rPr>
          <w:rFonts w:hint="eastAsia" w:ascii="宋体" w:hAnsi="宋体" w:cs="宋体"/>
          <w:color w:val="000000" w:themeColor="text1"/>
          <w:kern w:val="0"/>
          <w:sz w:val="24"/>
          <w:szCs w:val="28"/>
          <w:highlight w:val="none"/>
          <w14:textFill>
            <w14:solidFill>
              <w14:schemeClr w14:val="tx1"/>
            </w14:solidFill>
          </w14:textFill>
        </w:rPr>
        <w:t>①</w:t>
      </w:r>
      <w:r>
        <w:rPr>
          <w:rFonts w:hint="eastAsia" w:ascii="Times New Roman" w:hAnsi="Times New Roman"/>
          <w:color w:val="000000" w:themeColor="text1"/>
          <w:kern w:val="0"/>
          <w:sz w:val="24"/>
          <w:szCs w:val="28"/>
          <w:highlight w:val="none"/>
          <w14:textFill>
            <w14:solidFill>
              <w14:schemeClr w14:val="tx1"/>
            </w14:solidFill>
          </w14:textFill>
        </w:rPr>
        <w:t>水文地质参数</w:t>
      </w:r>
    </w:p>
    <w:p w14:paraId="51BF78E8">
      <w:pPr>
        <w:adjustRightInd w:val="0"/>
        <w:snapToGrid w:val="0"/>
        <w:spacing w:line="360" w:lineRule="auto"/>
        <w:ind w:firstLine="480" w:firstLineChars="200"/>
        <w:rPr>
          <w:rFonts w:ascii="Times New Roman" w:hAnsi="Times New Roman"/>
          <w:color w:val="000000" w:themeColor="text1"/>
          <w:sz w:val="24"/>
          <w:szCs w:val="24"/>
          <w:highlight w:val="none"/>
          <w14:textFill>
            <w14:solidFill>
              <w14:schemeClr w14:val="tx1"/>
            </w14:solidFill>
          </w14:textFill>
        </w:rPr>
      </w:pPr>
      <w:r>
        <w:rPr>
          <w:rFonts w:hint="eastAsia" w:ascii="Times New Roman" w:hAnsi="Times New Roman"/>
          <w:color w:val="000000" w:themeColor="text1"/>
          <w:kern w:val="0"/>
          <w:sz w:val="24"/>
          <w:szCs w:val="28"/>
          <w:highlight w:val="none"/>
          <w14:textFill>
            <w14:solidFill>
              <w14:schemeClr w14:val="tx1"/>
            </w14:solidFill>
          </w14:textFill>
        </w:rPr>
        <w:t>受当地干旱气候及泉水溢出的水文地质影响，项目所在区域潜水水质极差，不具备开发利用价值，且潜水层并不连续，本次评价预测具有开发利用价值的微承压水层。根据水文地质资料及钻孔数据可知厂区砾砂微潜水含水层平均总厚度</w:t>
      </w:r>
      <w:r>
        <w:rPr>
          <w:rFonts w:ascii="Times New Roman" w:hAnsi="Times New Roman"/>
          <w:color w:val="000000" w:themeColor="text1"/>
          <w:kern w:val="0"/>
          <w:sz w:val="24"/>
          <w:szCs w:val="28"/>
          <w:highlight w:val="none"/>
          <w14:textFill>
            <w14:solidFill>
              <w14:schemeClr w14:val="tx1"/>
            </w14:solidFill>
          </w14:textFill>
        </w:rPr>
        <w:t>M</w:t>
      </w:r>
      <w:r>
        <w:rPr>
          <w:rFonts w:hint="eastAsia" w:ascii="Times New Roman" w:hAnsi="Times New Roman"/>
          <w:color w:val="000000" w:themeColor="text1"/>
          <w:kern w:val="0"/>
          <w:sz w:val="24"/>
          <w:szCs w:val="28"/>
          <w:highlight w:val="none"/>
          <w14:textFill>
            <w14:solidFill>
              <w14:schemeClr w14:val="tx1"/>
            </w14:solidFill>
          </w14:textFill>
        </w:rPr>
        <w:t>约为</w:t>
      </w:r>
      <w:r>
        <w:rPr>
          <w:rFonts w:ascii="Times New Roman" w:hAnsi="Times New Roman"/>
          <w:color w:val="000000" w:themeColor="text1"/>
          <w:kern w:val="0"/>
          <w:sz w:val="24"/>
          <w:szCs w:val="28"/>
          <w:highlight w:val="none"/>
          <w14:textFill>
            <w14:solidFill>
              <w14:schemeClr w14:val="tx1"/>
            </w14:solidFill>
          </w14:textFill>
        </w:rPr>
        <w:t>15m</w:t>
      </w:r>
      <w:r>
        <w:rPr>
          <w:rFonts w:hint="eastAsia" w:ascii="Times New Roman" w:hAnsi="Times New Roman"/>
          <w:color w:val="000000" w:themeColor="text1"/>
          <w:kern w:val="0"/>
          <w:sz w:val="24"/>
          <w:szCs w:val="28"/>
          <w:highlight w:val="none"/>
          <w14:textFill>
            <w14:solidFill>
              <w14:schemeClr w14:val="tx1"/>
            </w14:solidFill>
          </w14:textFill>
        </w:rPr>
        <w:t>；</w:t>
      </w:r>
      <w:r>
        <w:rPr>
          <w:rFonts w:hint="eastAsia" w:ascii="Times New Roman" w:hAnsi="Times New Roman"/>
          <w:color w:val="000000" w:themeColor="text1"/>
          <w:sz w:val="24"/>
          <w:szCs w:val="24"/>
          <w:highlight w:val="none"/>
          <w14:textFill>
            <w14:solidFill>
              <w14:schemeClr w14:val="tx1"/>
            </w14:solidFill>
          </w14:textFill>
        </w:rPr>
        <w:t>参考砾砂地层的有效孔隙度，将浅层含水层的平均有效孔隙度</w:t>
      </w:r>
      <w:r>
        <w:rPr>
          <w:rFonts w:ascii="Times New Roman" w:hAnsi="Times New Roman"/>
          <w:color w:val="000000" w:themeColor="text1"/>
          <w:sz w:val="24"/>
          <w:szCs w:val="24"/>
          <w:highlight w:val="none"/>
          <w14:textFill>
            <w14:solidFill>
              <w14:schemeClr w14:val="tx1"/>
            </w14:solidFill>
          </w14:textFill>
        </w:rPr>
        <w:t>n</w:t>
      </w:r>
      <w:r>
        <w:rPr>
          <w:rFonts w:hint="eastAsia" w:ascii="Times New Roman" w:hAnsi="Times New Roman"/>
          <w:color w:val="000000" w:themeColor="text1"/>
          <w:sz w:val="24"/>
          <w:szCs w:val="24"/>
          <w:highlight w:val="none"/>
          <w14:textFill>
            <w14:solidFill>
              <w14:schemeClr w14:val="tx1"/>
            </w14:solidFill>
          </w14:textFill>
        </w:rPr>
        <w:t>取值为</w:t>
      </w:r>
      <w:r>
        <w:rPr>
          <w:rFonts w:ascii="Times New Roman" w:hAnsi="Times New Roman"/>
          <w:color w:val="000000" w:themeColor="text1"/>
          <w:sz w:val="24"/>
          <w:szCs w:val="24"/>
          <w:highlight w:val="none"/>
          <w14:textFill>
            <w14:solidFill>
              <w14:schemeClr w14:val="tx1"/>
            </w14:solidFill>
          </w14:textFill>
        </w:rPr>
        <w:t>0.</w:t>
      </w:r>
      <w:r>
        <w:rPr>
          <w:rFonts w:hint="eastAsia" w:ascii="Times New Roman" w:hAnsi="Times New Roman"/>
          <w:color w:val="000000" w:themeColor="text1"/>
          <w:sz w:val="24"/>
          <w:szCs w:val="24"/>
          <w:highlight w:val="none"/>
          <w14:textFill>
            <w14:solidFill>
              <w14:schemeClr w14:val="tx1"/>
            </w14:solidFill>
          </w14:textFill>
        </w:rPr>
        <w:t>3；根据厂区附近</w:t>
      </w:r>
      <w:r>
        <w:rPr>
          <w:rFonts w:hint="eastAsia" w:ascii="Times New Roman" w:hAnsi="Times New Roman"/>
          <w:color w:val="000000" w:themeColor="text1"/>
          <w:sz w:val="24"/>
          <w:szCs w:val="24"/>
          <w:highlight w:val="none"/>
          <w:lang w:eastAsia="zh-CN"/>
          <w14:textFill>
            <w14:solidFill>
              <w14:schemeClr w14:val="tx1"/>
            </w14:solidFill>
          </w14:textFill>
        </w:rPr>
        <w:t>水文地质勘查</w:t>
      </w:r>
      <w:r>
        <w:rPr>
          <w:rFonts w:hint="eastAsia" w:ascii="Times New Roman" w:hAnsi="Times New Roman"/>
          <w:color w:val="000000" w:themeColor="text1"/>
          <w:sz w:val="24"/>
          <w:szCs w:val="24"/>
          <w:highlight w:val="none"/>
          <w14:textFill>
            <w14:solidFill>
              <w14:schemeClr w14:val="tx1"/>
            </w14:solidFill>
          </w14:textFill>
        </w:rPr>
        <w:t>资料，确定含水层渗透系数</w:t>
      </w:r>
      <w:r>
        <w:rPr>
          <w:rFonts w:ascii="Times New Roman" w:hAnsi="Times New Roman"/>
          <w:color w:val="000000" w:themeColor="text1"/>
          <w:sz w:val="24"/>
          <w:szCs w:val="24"/>
          <w:highlight w:val="none"/>
          <w14:textFill>
            <w14:solidFill>
              <w14:schemeClr w14:val="tx1"/>
            </w14:solidFill>
          </w14:textFill>
        </w:rPr>
        <w:t>K</w:t>
      </w:r>
      <w:r>
        <w:rPr>
          <w:rFonts w:hint="eastAsia" w:ascii="Times New Roman" w:hAnsi="Times New Roman"/>
          <w:color w:val="000000" w:themeColor="text1"/>
          <w:sz w:val="24"/>
          <w:szCs w:val="24"/>
          <w:highlight w:val="none"/>
          <w14:textFill>
            <w14:solidFill>
              <w14:schemeClr w14:val="tx1"/>
            </w14:solidFill>
          </w14:textFill>
        </w:rPr>
        <w:t>为</w:t>
      </w:r>
      <w:r>
        <w:rPr>
          <w:rFonts w:ascii="Times New Roman" w:hAnsi="Times New Roman"/>
          <w:color w:val="000000" w:themeColor="text1"/>
          <w:sz w:val="24"/>
          <w:szCs w:val="24"/>
          <w:highlight w:val="none"/>
          <w14:textFill>
            <w14:solidFill>
              <w14:schemeClr w14:val="tx1"/>
            </w14:solidFill>
          </w14:textFill>
        </w:rPr>
        <w:t>5.5m/d</w:t>
      </w:r>
      <w:r>
        <w:rPr>
          <w:rFonts w:hint="eastAsia" w:ascii="Times New Roman" w:hAnsi="Times New Roman"/>
          <w:color w:val="000000" w:themeColor="text1"/>
          <w:sz w:val="24"/>
          <w:szCs w:val="24"/>
          <w:highlight w:val="none"/>
          <w14:textFill>
            <w14:solidFill>
              <w14:schemeClr w14:val="tx1"/>
            </w14:solidFill>
          </w14:textFill>
        </w:rPr>
        <w:t>；同时由厂区附近区域等水位线图可知，厂区地下水径流方向与区域径流方向一致，水力坡度</w:t>
      </w:r>
      <w:r>
        <w:rPr>
          <w:rFonts w:ascii="Times New Roman" w:hAnsi="Times New Roman"/>
          <w:color w:val="000000" w:themeColor="text1"/>
          <w:sz w:val="24"/>
          <w:szCs w:val="24"/>
          <w:highlight w:val="none"/>
          <w14:textFill>
            <w14:solidFill>
              <w14:schemeClr w14:val="tx1"/>
            </w14:solidFill>
          </w14:textFill>
        </w:rPr>
        <w:t>I</w:t>
      </w:r>
      <w:r>
        <w:rPr>
          <w:rFonts w:hint="eastAsia" w:ascii="Times New Roman" w:hAnsi="Times New Roman"/>
          <w:color w:val="000000" w:themeColor="text1"/>
          <w:sz w:val="24"/>
          <w:szCs w:val="24"/>
          <w:highlight w:val="none"/>
          <w14:textFill>
            <w14:solidFill>
              <w14:schemeClr w14:val="tx1"/>
            </w14:solidFill>
          </w14:textFill>
        </w:rPr>
        <w:t>约为</w:t>
      </w:r>
      <w:r>
        <w:rPr>
          <w:rFonts w:ascii="Times New Roman" w:hAnsi="Times New Roman"/>
          <w:color w:val="000000" w:themeColor="text1"/>
          <w:sz w:val="24"/>
          <w:szCs w:val="24"/>
          <w:highlight w:val="none"/>
          <w14:textFill>
            <w14:solidFill>
              <w14:schemeClr w14:val="tx1"/>
            </w14:solidFill>
          </w14:textFill>
        </w:rPr>
        <w:t>0.004</w:t>
      </w:r>
      <w:r>
        <w:rPr>
          <w:rFonts w:hint="eastAsia" w:ascii="Times New Roman" w:hAnsi="Times New Roman"/>
          <w:color w:val="000000" w:themeColor="text1"/>
          <w:sz w:val="24"/>
          <w:szCs w:val="24"/>
          <w:highlight w:val="none"/>
          <w14:textFill>
            <w14:solidFill>
              <w14:schemeClr w14:val="tx1"/>
            </w14:solidFill>
          </w14:textFill>
        </w:rPr>
        <w:t>；水流实际平均流速</w:t>
      </w:r>
      <w:r>
        <w:rPr>
          <w:rFonts w:ascii="Times New Roman" w:hAnsi="Times New Roman"/>
          <w:color w:val="000000" w:themeColor="text1"/>
          <w:sz w:val="24"/>
          <w:szCs w:val="24"/>
          <w:highlight w:val="none"/>
          <w14:textFill>
            <w14:solidFill>
              <w14:schemeClr w14:val="tx1"/>
            </w14:solidFill>
          </w14:textFill>
        </w:rPr>
        <w:t>u=KI/n=5.5*0.004/0.3</w:t>
      </w:r>
      <w:r>
        <w:rPr>
          <w:rFonts w:hint="eastAsia" w:ascii="Times New Roman" w:hAnsi="Times New Roman"/>
          <w:color w:val="000000" w:themeColor="text1"/>
          <w:sz w:val="24"/>
          <w:szCs w:val="24"/>
          <w:highlight w:val="none"/>
          <w14:textFill>
            <w14:solidFill>
              <w14:schemeClr w14:val="tx1"/>
            </w14:solidFill>
          </w14:textFill>
        </w:rPr>
        <w:t>=</w:t>
      </w:r>
      <w:r>
        <w:rPr>
          <w:rFonts w:ascii="Times New Roman" w:hAnsi="Times New Roman"/>
          <w:color w:val="000000" w:themeColor="text1"/>
          <w:sz w:val="24"/>
          <w:szCs w:val="24"/>
          <w:highlight w:val="none"/>
          <w14:textFill>
            <w14:solidFill>
              <w14:schemeClr w14:val="tx1"/>
            </w14:solidFill>
          </w14:textFill>
        </w:rPr>
        <w:t>0.073m/d</w:t>
      </w:r>
      <w:r>
        <w:rPr>
          <w:rFonts w:hint="eastAsia" w:ascii="Times New Roman" w:hAnsi="Times New Roman"/>
          <w:color w:val="000000" w:themeColor="text1"/>
          <w:sz w:val="24"/>
          <w:szCs w:val="24"/>
          <w:highlight w:val="none"/>
          <w14:textFill>
            <w14:solidFill>
              <w14:schemeClr w14:val="tx1"/>
            </w14:solidFill>
          </w14:textFill>
        </w:rPr>
        <w:t>；</w:t>
      </w:r>
    </w:p>
    <w:p w14:paraId="3C927421">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参考</w:t>
      </w:r>
      <w:r>
        <w:rPr>
          <w:color w:val="000000" w:themeColor="text1"/>
          <w:sz w:val="24"/>
          <w:szCs w:val="24"/>
          <w:highlight w:val="none"/>
          <w14:textFill>
            <w14:solidFill>
              <w14:schemeClr w14:val="tx1"/>
            </w14:solidFill>
          </w14:textFill>
        </w:rPr>
        <w:t>Gelhar</w:t>
      </w:r>
      <w:r>
        <w:rPr>
          <w:rFonts w:hAnsi="宋体"/>
          <w:color w:val="000000" w:themeColor="text1"/>
          <w:sz w:val="24"/>
          <w:szCs w:val="24"/>
          <w:highlight w:val="none"/>
          <w14:textFill>
            <w14:solidFill>
              <w14:schemeClr w14:val="tx1"/>
            </w14:solidFill>
          </w14:textFill>
        </w:rPr>
        <w:t>等人关于纵向弥散度与观测尺度关系的理论，通常弥散度随着溶质运移距离的增加而加大，这种现象称之为水动力弥散尺度效应。其具体表现为：野外弥散试验所求出的弥散度远远大于在实验室所测出的值；即使是同一含水层，溶质运移距离越大，所计算出的弥散度也越大。将世界范围内所收集到的百余个水质模型中所使用的纵向弥散度</w:t>
      </w:r>
      <w:r>
        <w:rPr>
          <w:i/>
          <w:color w:val="000000" w:themeColor="text1"/>
          <w:sz w:val="24"/>
          <w:szCs w:val="24"/>
          <w:highlight w:val="none"/>
          <w14:textFill>
            <w14:solidFill>
              <w14:schemeClr w14:val="tx1"/>
            </w14:solidFill>
          </w14:textFill>
        </w:rPr>
        <w:t>α</w:t>
      </w:r>
      <w:r>
        <w:rPr>
          <w:color w:val="000000" w:themeColor="text1"/>
          <w:sz w:val="24"/>
          <w:szCs w:val="24"/>
          <w:highlight w:val="none"/>
          <w:vertAlign w:val="subscript"/>
          <w14:textFill>
            <w14:solidFill>
              <w14:schemeClr w14:val="tx1"/>
            </w14:solidFill>
          </w14:textFill>
        </w:rPr>
        <w:t>L</w:t>
      </w:r>
      <w:r>
        <w:rPr>
          <w:rFonts w:hAnsi="宋体"/>
          <w:color w:val="000000" w:themeColor="text1"/>
          <w:sz w:val="24"/>
          <w:szCs w:val="24"/>
          <w:highlight w:val="none"/>
          <w14:textFill>
            <w14:solidFill>
              <w14:schemeClr w14:val="tx1"/>
            </w14:solidFill>
          </w14:textFill>
        </w:rPr>
        <w:t>绘在双对数坐标纸上，从图上可以看出纵向弥散度</w:t>
      </w:r>
      <w:r>
        <w:rPr>
          <w:i/>
          <w:color w:val="000000" w:themeColor="text1"/>
          <w:sz w:val="24"/>
          <w:szCs w:val="24"/>
          <w:highlight w:val="none"/>
          <w14:textFill>
            <w14:solidFill>
              <w14:schemeClr w14:val="tx1"/>
            </w14:solidFill>
          </w14:textFill>
        </w:rPr>
        <w:t>α</w:t>
      </w:r>
      <w:r>
        <w:rPr>
          <w:color w:val="000000" w:themeColor="text1"/>
          <w:sz w:val="24"/>
          <w:szCs w:val="24"/>
          <w:highlight w:val="none"/>
          <w:vertAlign w:val="subscript"/>
          <w14:textFill>
            <w14:solidFill>
              <w14:schemeClr w14:val="tx1"/>
            </w14:solidFill>
          </w14:textFill>
        </w:rPr>
        <w:t>L</w:t>
      </w:r>
      <w:r>
        <w:rPr>
          <w:rFonts w:hAnsi="宋体"/>
          <w:color w:val="000000" w:themeColor="text1"/>
          <w:sz w:val="24"/>
          <w:szCs w:val="24"/>
          <w:highlight w:val="none"/>
          <w14:textFill>
            <w14:solidFill>
              <w14:schemeClr w14:val="tx1"/>
            </w14:solidFill>
          </w14:textFill>
        </w:rPr>
        <w:t>从整体上随着尺度的增加而增大（图</w:t>
      </w:r>
      <w:r>
        <w:rPr>
          <w:rFonts w:hint="eastAsia"/>
          <w:color w:val="000000" w:themeColor="text1"/>
          <w:sz w:val="24"/>
          <w:szCs w:val="24"/>
          <w:highlight w:val="none"/>
          <w14:textFill>
            <w14:solidFill>
              <w14:schemeClr w14:val="tx1"/>
            </w14:solidFill>
          </w14:textFill>
        </w:rPr>
        <w:t>5-4-</w:t>
      </w:r>
      <w:r>
        <w:rPr>
          <w:color w:val="000000" w:themeColor="text1"/>
          <w:sz w:val="24"/>
          <w:szCs w:val="24"/>
          <w:highlight w:val="none"/>
          <w14:textFill>
            <w14:solidFill>
              <w14:schemeClr w14:val="tx1"/>
            </w14:solidFill>
          </w14:textFill>
        </w:rPr>
        <w:t>4</w:t>
      </w:r>
      <w:r>
        <w:rPr>
          <w:rFonts w:hAnsi="宋体"/>
          <w:color w:val="000000" w:themeColor="text1"/>
          <w:sz w:val="24"/>
          <w:szCs w:val="24"/>
          <w:highlight w:val="none"/>
          <w14:textFill>
            <w14:solidFill>
              <w14:schemeClr w14:val="tx1"/>
            </w14:solidFill>
          </w14:textFill>
        </w:rPr>
        <w:t>）。基准尺度</w:t>
      </w:r>
      <w:r>
        <w:rPr>
          <w:color w:val="000000" w:themeColor="text1"/>
          <w:sz w:val="24"/>
          <w:szCs w:val="24"/>
          <w:highlight w:val="none"/>
          <w14:textFill>
            <w14:solidFill>
              <w14:schemeClr w14:val="tx1"/>
            </w14:solidFill>
          </w14:textFill>
        </w:rPr>
        <w:t>Ls</w:t>
      </w:r>
      <w:r>
        <w:rPr>
          <w:rFonts w:hAnsi="宋体"/>
          <w:color w:val="000000" w:themeColor="text1"/>
          <w:sz w:val="24"/>
          <w:szCs w:val="24"/>
          <w:highlight w:val="none"/>
          <w14:textFill>
            <w14:solidFill>
              <w14:schemeClr w14:val="tx1"/>
            </w14:solidFill>
          </w14:textFill>
        </w:rPr>
        <w:t>是指研究区大小的度量，一般用溶质运移到观测孔的最大距离表示，或用计算区的近似最大内径长度代替。</w:t>
      </w:r>
    </w:p>
    <w:p w14:paraId="39122B52">
      <w:pPr>
        <w:adjustRightInd w:val="0"/>
        <w:snapToGrid w:val="0"/>
        <w:spacing w:line="360" w:lineRule="auto"/>
        <w:ind w:firstLine="487" w:firstLineChars="203"/>
        <w:rPr>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因此，本次</w:t>
      </w:r>
      <w:r>
        <w:rPr>
          <w:rFonts w:hint="eastAsia" w:hAnsi="宋体"/>
          <w:color w:val="000000" w:themeColor="text1"/>
          <w:sz w:val="24"/>
          <w:szCs w:val="24"/>
          <w:highlight w:val="none"/>
          <w14:textFill>
            <w14:solidFill>
              <w14:schemeClr w14:val="tx1"/>
            </w14:solidFill>
          </w14:textFill>
        </w:rPr>
        <w:t>计算</w:t>
      </w:r>
      <w:r>
        <w:rPr>
          <w:rFonts w:hAnsi="宋体"/>
          <w:color w:val="000000" w:themeColor="text1"/>
          <w:sz w:val="24"/>
          <w:szCs w:val="24"/>
          <w:highlight w:val="none"/>
          <w14:textFill>
            <w14:solidFill>
              <w14:schemeClr w14:val="tx1"/>
            </w14:solidFill>
          </w14:textFill>
        </w:rPr>
        <w:t>取弥散度参数值取6.31</w:t>
      </w:r>
      <w:r>
        <w:rPr>
          <w:color w:val="000000" w:themeColor="text1"/>
          <w:sz w:val="24"/>
          <w:szCs w:val="24"/>
          <w:highlight w:val="none"/>
          <w14:textFill>
            <w14:solidFill>
              <w14:schemeClr w14:val="tx1"/>
            </w14:solidFill>
          </w14:textFill>
        </w:rPr>
        <w:t>m</w:t>
      </w:r>
      <w:r>
        <w:rPr>
          <w:rFonts w:hAnsi="宋体"/>
          <w:color w:val="000000" w:themeColor="text1"/>
          <w:sz w:val="24"/>
          <w:szCs w:val="24"/>
          <w:highlight w:val="none"/>
          <w14:textFill>
            <w14:solidFill>
              <w14:schemeClr w14:val="tx1"/>
            </w14:solidFill>
          </w14:textFill>
        </w:rPr>
        <w:t>。</w:t>
      </w:r>
    </w:p>
    <w:p w14:paraId="266E6363">
      <w:pPr>
        <w:spacing w:line="336" w:lineRule="auto"/>
        <w:jc w:val="center"/>
        <w:rPr>
          <w:color w:val="000000" w:themeColor="text1"/>
          <w:sz w:val="24"/>
          <w:szCs w:val="24"/>
          <w:highlight w:val="none"/>
          <w14:textFill>
            <w14:solidFill>
              <w14:schemeClr w14:val="tx1"/>
            </w14:solidFill>
          </w14:textFill>
        </w:rPr>
      </w:pPr>
      <w:r>
        <w:rPr>
          <w:color w:val="000000" w:themeColor="text1"/>
          <w:sz w:val="24"/>
          <w:szCs w:val="24"/>
          <w:highlight w:val="none"/>
          <w14:textFill>
            <w14:solidFill>
              <w14:schemeClr w14:val="tx1"/>
            </w14:solidFill>
          </w14:textFill>
        </w:rPr>
        <w:drawing>
          <wp:inline distT="0" distB="0" distL="114300" distR="114300">
            <wp:extent cx="3509010" cy="2788285"/>
            <wp:effectExtent l="0" t="0" r="15240" b="1206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47"/>
                    <a:srcRect l="9776" r="10300" b="12144"/>
                    <a:stretch>
                      <a:fillRect/>
                    </a:stretch>
                  </pic:blipFill>
                  <pic:spPr>
                    <a:xfrm>
                      <a:off x="0" y="0"/>
                      <a:ext cx="3509010" cy="2788285"/>
                    </a:xfrm>
                    <a:prstGeom prst="rect">
                      <a:avLst/>
                    </a:prstGeom>
                    <a:noFill/>
                    <a:ln>
                      <a:noFill/>
                    </a:ln>
                  </pic:spPr>
                </pic:pic>
              </a:graphicData>
            </a:graphic>
          </wp:inline>
        </w:drawing>
      </w:r>
    </w:p>
    <w:p w14:paraId="7BF597F0">
      <w:pPr>
        <w:adjustRightInd w:val="0"/>
        <w:snapToGrid w:val="0"/>
        <w:spacing w:line="360" w:lineRule="auto"/>
        <w:ind w:left="137" w:leftChars="57" w:firstLine="360" w:firstLineChars="150"/>
        <w:jc w:val="center"/>
        <w:rPr>
          <w:rFonts w:ascii="黑体" w:hAnsi="黑体" w:eastAsia="黑体"/>
          <w:bCs/>
          <w:color w:val="000000" w:themeColor="text1"/>
          <w:sz w:val="24"/>
          <w:szCs w:val="20"/>
          <w:highlight w:val="none"/>
          <w14:textFill>
            <w14:solidFill>
              <w14:schemeClr w14:val="tx1"/>
            </w14:solidFill>
          </w14:textFill>
        </w:rPr>
      </w:pPr>
      <w:r>
        <w:rPr>
          <w:rFonts w:ascii="黑体" w:hAnsi="黑体" w:eastAsia="黑体"/>
          <w:bCs/>
          <w:color w:val="000000" w:themeColor="text1"/>
          <w:sz w:val="24"/>
          <w:szCs w:val="20"/>
          <w:highlight w:val="none"/>
          <w14:textFill>
            <w14:solidFill>
              <w14:schemeClr w14:val="tx1"/>
            </w14:solidFill>
          </w14:textFill>
        </w:rPr>
        <w:t>图</w:t>
      </w:r>
      <w:r>
        <w:rPr>
          <w:rFonts w:hint="eastAsia" w:ascii="黑体" w:hAnsi="黑体" w:eastAsia="黑体"/>
          <w:bCs/>
          <w:color w:val="000000" w:themeColor="text1"/>
          <w:sz w:val="24"/>
          <w:szCs w:val="20"/>
          <w:highlight w:val="none"/>
          <w14:textFill>
            <w14:solidFill>
              <w14:schemeClr w14:val="tx1"/>
            </w14:solidFill>
          </w14:textFill>
        </w:rPr>
        <w:t>5-4-</w:t>
      </w:r>
      <w:r>
        <w:rPr>
          <w:rFonts w:ascii="黑体" w:hAnsi="黑体" w:eastAsia="黑体"/>
          <w:bCs/>
          <w:color w:val="000000" w:themeColor="text1"/>
          <w:sz w:val="24"/>
          <w:szCs w:val="20"/>
          <w:highlight w:val="none"/>
          <w14:textFill>
            <w14:solidFill>
              <w14:schemeClr w14:val="tx1"/>
            </w14:solidFill>
          </w14:textFill>
        </w:rPr>
        <w:t>4</w:t>
      </w:r>
      <w:r>
        <w:rPr>
          <w:rFonts w:hint="eastAsia" w:ascii="黑体" w:hAnsi="黑体" w:eastAsia="黑体"/>
          <w:bCs/>
          <w:color w:val="000000" w:themeColor="text1"/>
          <w:sz w:val="24"/>
          <w:szCs w:val="20"/>
          <w:highlight w:val="none"/>
          <w14:textFill>
            <w14:solidFill>
              <w14:schemeClr w14:val="tx1"/>
            </w14:solidFill>
          </w14:textFill>
        </w:rPr>
        <w:t xml:space="preserve">   </w:t>
      </w:r>
      <w:r>
        <w:rPr>
          <w:rFonts w:ascii="黑体" w:hAnsi="黑体" w:eastAsia="黑体"/>
          <w:bCs/>
          <w:color w:val="000000" w:themeColor="text1"/>
          <w:sz w:val="24"/>
          <w:szCs w:val="20"/>
          <w:highlight w:val="none"/>
          <w14:textFill>
            <w14:solidFill>
              <w14:schemeClr w14:val="tx1"/>
            </w14:solidFill>
          </w14:textFill>
        </w:rPr>
        <w:t>lgα</w:t>
      </w:r>
      <w:r>
        <w:rPr>
          <w:rFonts w:ascii="黑体" w:hAnsi="黑体" w:eastAsia="黑体"/>
          <w:bCs/>
          <w:color w:val="000000" w:themeColor="text1"/>
          <w:sz w:val="24"/>
          <w:szCs w:val="20"/>
          <w:highlight w:val="none"/>
          <w:vertAlign w:val="subscript"/>
          <w14:textFill>
            <w14:solidFill>
              <w14:schemeClr w14:val="tx1"/>
            </w14:solidFill>
          </w14:textFill>
        </w:rPr>
        <w:t>L</w:t>
      </w:r>
      <w:r>
        <w:rPr>
          <w:rFonts w:hint="eastAsia" w:ascii="黑体" w:hAnsi="黑体" w:eastAsia="黑体"/>
          <w:bCs/>
          <w:color w:val="000000" w:themeColor="text1"/>
          <w:sz w:val="24"/>
          <w:szCs w:val="20"/>
          <w:highlight w:val="none"/>
          <w14:textFill>
            <w14:solidFill>
              <w14:schemeClr w14:val="tx1"/>
            </w14:solidFill>
          </w14:textFill>
        </w:rPr>
        <w:t>—</w:t>
      </w:r>
      <w:r>
        <w:rPr>
          <w:rFonts w:ascii="黑体" w:hAnsi="黑体" w:eastAsia="黑体"/>
          <w:bCs/>
          <w:color w:val="000000" w:themeColor="text1"/>
          <w:sz w:val="24"/>
          <w:szCs w:val="20"/>
          <w:highlight w:val="none"/>
          <w14:textFill>
            <w14:solidFill>
              <w14:schemeClr w14:val="tx1"/>
            </w14:solidFill>
          </w14:textFill>
        </w:rPr>
        <w:t>lg</w:t>
      </w:r>
      <w:r>
        <w:rPr>
          <w:rFonts w:hint="eastAsia" w:ascii="黑体" w:hAnsi="黑体" w:eastAsia="黑体"/>
          <w:bCs/>
          <w:color w:val="000000" w:themeColor="text1"/>
          <w:sz w:val="24"/>
          <w:szCs w:val="20"/>
          <w:highlight w:val="none"/>
          <w14:textFill>
            <w14:solidFill>
              <w14:schemeClr w14:val="tx1"/>
            </w14:solidFill>
          </w14:textFill>
        </w:rPr>
        <w:t>L</w:t>
      </w:r>
      <w:r>
        <w:rPr>
          <w:rFonts w:hint="eastAsia" w:ascii="黑体" w:hAnsi="黑体" w:eastAsia="黑体"/>
          <w:bCs/>
          <w:color w:val="000000" w:themeColor="text1"/>
          <w:sz w:val="24"/>
          <w:szCs w:val="20"/>
          <w:highlight w:val="none"/>
          <w:vertAlign w:val="subscript"/>
          <w14:textFill>
            <w14:solidFill>
              <w14:schemeClr w14:val="tx1"/>
            </w14:solidFill>
          </w14:textFill>
        </w:rPr>
        <w:t>S</w:t>
      </w:r>
      <w:r>
        <w:rPr>
          <w:rFonts w:hint="eastAsia" w:ascii="黑体" w:hAnsi="黑体" w:eastAsia="黑体"/>
          <w:bCs/>
          <w:color w:val="000000" w:themeColor="text1"/>
          <w:sz w:val="24"/>
          <w:szCs w:val="20"/>
          <w:highlight w:val="none"/>
          <w14:textFill>
            <w14:solidFill>
              <w14:schemeClr w14:val="tx1"/>
            </w14:solidFill>
          </w14:textFill>
        </w:rPr>
        <w:t>关系图</w:t>
      </w:r>
    </w:p>
    <w:p w14:paraId="71A45D39">
      <w:pPr>
        <w:adjustRightInd w:val="0"/>
        <w:snapToGrid w:val="0"/>
        <w:spacing w:line="360" w:lineRule="auto"/>
        <w:ind w:firstLine="480" w:firstLineChars="200"/>
        <w:rPr>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由此计算项目区含水层中的纵向弥散系数</w:t>
      </w:r>
      <w:r>
        <w:rPr>
          <w:color w:val="000000" w:themeColor="text1"/>
          <w:sz w:val="24"/>
          <w:szCs w:val="24"/>
          <w:highlight w:val="none"/>
          <w14:textFill>
            <w14:solidFill>
              <w14:schemeClr w14:val="tx1"/>
            </w14:solidFill>
          </w14:textFill>
        </w:rPr>
        <w:t>D</w:t>
      </w:r>
      <w:r>
        <w:rPr>
          <w:color w:val="000000" w:themeColor="text1"/>
          <w:sz w:val="24"/>
          <w:szCs w:val="24"/>
          <w:highlight w:val="none"/>
          <w:vertAlign w:val="subscript"/>
          <w14:textFill>
            <w14:solidFill>
              <w14:schemeClr w14:val="tx1"/>
            </w14:solidFill>
          </w14:textFill>
        </w:rPr>
        <w:t>L</w:t>
      </w:r>
      <w:r>
        <w:rPr>
          <w:color w:val="000000" w:themeColor="text1"/>
          <w:sz w:val="24"/>
          <w:szCs w:val="24"/>
          <w:highlight w:val="none"/>
          <w14:textFill>
            <w14:solidFill>
              <w14:schemeClr w14:val="tx1"/>
            </w14:solidFill>
          </w14:textFill>
        </w:rPr>
        <w:t>=</w:t>
      </w:r>
      <w:r>
        <w:rPr>
          <w:rFonts w:hint="eastAsia" w:ascii="Times New Roman" w:hAnsi="Times New Roman"/>
          <w:color w:val="000000" w:themeColor="text1"/>
          <w:sz w:val="24"/>
          <w:szCs w:val="24"/>
          <w:highlight w:val="none"/>
          <w14:textFill>
            <w14:solidFill>
              <w14:schemeClr w14:val="tx1"/>
            </w14:solidFill>
          </w14:textFill>
        </w:rPr>
        <w:t>α</w:t>
      </w:r>
      <w:r>
        <w:rPr>
          <w:rFonts w:hint="eastAsia" w:ascii="Times New Roman" w:hAnsi="Times New Roman"/>
          <w:color w:val="000000" w:themeColor="text1"/>
          <w:sz w:val="24"/>
          <w:szCs w:val="24"/>
          <w:highlight w:val="none"/>
          <w:vertAlign w:val="subscript"/>
          <w14:textFill>
            <w14:solidFill>
              <w14:schemeClr w14:val="tx1"/>
            </w14:solidFill>
          </w14:textFill>
        </w:rPr>
        <w:t>L</w:t>
      </w:r>
      <w:r>
        <w:rPr>
          <w:rFonts w:hint="eastAsia" w:ascii="Times New Roman" w:hAnsi="Times New Roman"/>
          <w:color w:val="000000" w:themeColor="text1"/>
          <w:sz w:val="24"/>
          <w:szCs w:val="24"/>
          <w:highlight w:val="none"/>
          <w14:textFill>
            <w14:solidFill>
              <w14:schemeClr w14:val="tx1"/>
            </w14:solidFill>
          </w14:textFill>
        </w:rPr>
        <w:t>×u</w:t>
      </w:r>
      <w:r>
        <w:rPr>
          <w:color w:val="000000" w:themeColor="text1"/>
          <w:sz w:val="24"/>
          <w:szCs w:val="24"/>
          <w:highlight w:val="none"/>
          <w14:textFill>
            <w14:solidFill>
              <w14:schemeClr w14:val="tx1"/>
            </w14:solidFill>
          </w14:textFill>
        </w:rPr>
        <w:t>=6.31</w:t>
      </w:r>
      <w:r>
        <w:rPr>
          <w:rFonts w:hint="eastAsia"/>
          <w:color w:val="000000" w:themeColor="text1"/>
          <w:sz w:val="24"/>
          <w:szCs w:val="24"/>
          <w:highlight w:val="none"/>
          <w14:textFill>
            <w14:solidFill>
              <w14:schemeClr w14:val="tx1"/>
            </w14:solidFill>
          </w14:textFill>
        </w:rPr>
        <w:t>×</w:t>
      </w:r>
      <w:r>
        <w:rPr>
          <w:color w:val="000000" w:themeColor="text1"/>
          <w:sz w:val="24"/>
          <w:szCs w:val="24"/>
          <w:highlight w:val="none"/>
          <w14:textFill>
            <w14:solidFill>
              <w14:schemeClr w14:val="tx1"/>
            </w14:solidFill>
          </w14:textFill>
        </w:rPr>
        <w:t>0.073=0.46(m</w:t>
      </w:r>
      <w:r>
        <w:rPr>
          <w:color w:val="000000" w:themeColor="text1"/>
          <w:sz w:val="24"/>
          <w:szCs w:val="24"/>
          <w:highlight w:val="none"/>
          <w:vertAlign w:val="superscript"/>
          <w14:textFill>
            <w14:solidFill>
              <w14:schemeClr w14:val="tx1"/>
            </w14:solidFill>
          </w14:textFill>
        </w:rPr>
        <w:t>2</w:t>
      </w:r>
      <w:r>
        <w:rPr>
          <w:color w:val="000000" w:themeColor="text1"/>
          <w:sz w:val="24"/>
          <w:szCs w:val="24"/>
          <w:highlight w:val="none"/>
          <w14:textFill>
            <w14:solidFill>
              <w14:schemeClr w14:val="tx1"/>
            </w14:solidFill>
          </w14:textFill>
        </w:rPr>
        <w:t>/d)</w:t>
      </w:r>
      <w:r>
        <w:rPr>
          <w:rFonts w:hint="eastAsia"/>
          <w:color w:val="000000" w:themeColor="text1"/>
          <w:sz w:val="24"/>
          <w:szCs w:val="24"/>
          <w:highlight w:val="none"/>
          <w14:textFill>
            <w14:solidFill>
              <w14:schemeClr w14:val="tx1"/>
            </w14:solidFill>
          </w14:textFill>
        </w:rPr>
        <w:t>；</w:t>
      </w:r>
    </w:p>
    <w:p w14:paraId="1F02F191">
      <w:pPr>
        <w:adjustRightInd w:val="0"/>
        <w:snapToGrid w:val="0"/>
        <w:spacing w:line="360" w:lineRule="auto"/>
        <w:ind w:firstLine="480" w:firstLineChars="200"/>
        <w:rPr>
          <w:rFonts w:hint="eastAsia"/>
          <w:color w:val="000000" w:themeColor="text1"/>
          <w:sz w:val="24"/>
          <w:szCs w:val="24"/>
          <w:highlight w:val="none"/>
          <w14:textFill>
            <w14:solidFill>
              <w14:schemeClr w14:val="tx1"/>
            </w14:solidFill>
          </w14:textFill>
        </w:rPr>
      </w:pPr>
      <w:r>
        <w:rPr>
          <w:rFonts w:hAnsi="宋体"/>
          <w:color w:val="000000" w:themeColor="text1"/>
          <w:sz w:val="24"/>
          <w:szCs w:val="24"/>
          <w:highlight w:val="none"/>
          <w14:textFill>
            <w14:solidFill>
              <w14:schemeClr w14:val="tx1"/>
            </w14:solidFill>
          </w14:textFill>
        </w:rPr>
        <w:t>横向</w:t>
      </w:r>
      <w:r>
        <w:rPr>
          <w:color w:val="000000" w:themeColor="text1"/>
          <w:sz w:val="24"/>
          <w:szCs w:val="24"/>
          <w:highlight w:val="none"/>
          <w14:textFill>
            <w14:solidFill>
              <w14:schemeClr w14:val="tx1"/>
            </w14:solidFill>
          </w14:textFill>
        </w:rPr>
        <w:t>y</w:t>
      </w:r>
      <w:r>
        <w:rPr>
          <w:rFonts w:hAnsi="宋体"/>
          <w:color w:val="000000" w:themeColor="text1"/>
          <w:sz w:val="24"/>
          <w:szCs w:val="24"/>
          <w:highlight w:val="none"/>
          <w14:textFill>
            <w14:solidFill>
              <w14:schemeClr w14:val="tx1"/>
            </w14:solidFill>
          </w14:textFill>
        </w:rPr>
        <w:t>方向的弥散系数</w:t>
      </w:r>
      <w:r>
        <w:rPr>
          <w:color w:val="000000" w:themeColor="text1"/>
          <w:sz w:val="24"/>
          <w:szCs w:val="24"/>
          <w:highlight w:val="none"/>
          <w14:textFill>
            <w14:solidFill>
              <w14:schemeClr w14:val="tx1"/>
            </w14:solidFill>
          </w14:textFill>
        </w:rPr>
        <w:t>DT</w:t>
      </w:r>
      <w:r>
        <w:rPr>
          <w:rFonts w:hAnsi="宋体"/>
          <w:color w:val="000000" w:themeColor="text1"/>
          <w:sz w:val="24"/>
          <w:szCs w:val="24"/>
          <w:highlight w:val="none"/>
          <w14:textFill>
            <w14:solidFill>
              <w14:schemeClr w14:val="tx1"/>
            </w14:solidFill>
          </w14:textFill>
        </w:rPr>
        <w:t>：根据经验</w:t>
      </w:r>
      <w:r>
        <w:rPr>
          <w:color w:val="000000" w:themeColor="text1"/>
          <w:position w:val="-10"/>
          <w:sz w:val="24"/>
          <w:szCs w:val="24"/>
          <w:highlight w:val="none"/>
          <w14:textFill>
            <w14:solidFill>
              <w14:schemeClr w14:val="tx1"/>
            </w14:solidFill>
          </w14:textFill>
        </w:rPr>
        <w:object>
          <v:shape id="_x0000_i1029" o:spt="75" type="#_x0000_t75" style="height:18pt;width:80pt;" o:ole="t" filled="f" o:preferrelative="t" stroked="f" coordsize="21600,21600">
            <v:path/>
            <v:fill on="f" focussize="0,0"/>
            <v:stroke on="f"/>
            <v:imagedata r:id="rId49" o:title=""/>
            <o:lock v:ext="edit" aspectratio="t"/>
            <w10:wrap type="none"/>
            <w10:anchorlock/>
          </v:shape>
          <o:OLEObject Type="Embed" ProgID="Equation.3" ShapeID="_x0000_i1029" DrawAspect="Content" ObjectID="_1468075729" r:id="rId48">
            <o:LockedField>false</o:LockedField>
          </o:OLEObject>
        </w:object>
      </w:r>
      <w:r>
        <w:rPr>
          <w:rFonts w:hint="eastAsia"/>
          <w:color w:val="000000" w:themeColor="text1"/>
          <w:sz w:val="24"/>
          <w:szCs w:val="24"/>
          <w:highlight w:val="none"/>
          <w14:textFill>
            <w14:solidFill>
              <w14:schemeClr w14:val="tx1"/>
            </w14:solidFill>
          </w14:textFill>
        </w:rPr>
        <w:t>=</w:t>
      </w:r>
      <w:r>
        <w:rPr>
          <w:rFonts w:hint="eastAsia" w:hAnsi="宋体"/>
          <w:color w:val="000000" w:themeColor="text1"/>
          <w:sz w:val="24"/>
          <w:szCs w:val="24"/>
          <w:highlight w:val="none"/>
          <w14:textFill>
            <w14:solidFill>
              <w14:schemeClr w14:val="tx1"/>
            </w14:solidFill>
          </w14:textFill>
        </w:rPr>
        <w:t>0.</w:t>
      </w:r>
      <w:r>
        <w:rPr>
          <w:rFonts w:hAnsi="宋体"/>
          <w:color w:val="000000" w:themeColor="text1"/>
          <w:sz w:val="24"/>
          <w:szCs w:val="24"/>
          <w:highlight w:val="none"/>
          <w14:textFill>
            <w14:solidFill>
              <w14:schemeClr w14:val="tx1"/>
            </w14:solidFill>
          </w14:textFill>
        </w:rPr>
        <w:t>631</w:t>
      </w:r>
      <w:r>
        <w:rPr>
          <w:color w:val="000000" w:themeColor="text1"/>
          <w:sz w:val="24"/>
          <w:szCs w:val="24"/>
          <w:highlight w:val="none"/>
          <w14:textFill>
            <w14:solidFill>
              <w14:schemeClr w14:val="tx1"/>
            </w14:solidFill>
          </w14:textFill>
        </w:rPr>
        <w:t>m</w:t>
      </w:r>
      <w:r>
        <w:rPr>
          <w:rFonts w:hAnsi="宋体"/>
          <w:color w:val="000000" w:themeColor="text1"/>
          <w:sz w:val="24"/>
          <w:szCs w:val="24"/>
          <w:highlight w:val="none"/>
          <w14:textFill>
            <w14:solidFill>
              <w14:schemeClr w14:val="tx1"/>
            </w14:solidFill>
          </w14:textFill>
        </w:rPr>
        <w:t>，则</w:t>
      </w:r>
      <w:r>
        <w:rPr>
          <w:color w:val="000000" w:themeColor="text1"/>
          <w:sz w:val="24"/>
          <w:szCs w:val="24"/>
          <w:highlight w:val="none"/>
          <w14:textFill>
            <w14:solidFill>
              <w14:schemeClr w14:val="tx1"/>
            </w14:solidFill>
          </w14:textFill>
        </w:rPr>
        <w:t>D</w:t>
      </w:r>
      <w:r>
        <w:rPr>
          <w:color w:val="000000" w:themeColor="text1"/>
          <w:sz w:val="24"/>
          <w:szCs w:val="24"/>
          <w:highlight w:val="none"/>
          <w:vertAlign w:val="subscript"/>
          <w14:textFill>
            <w14:solidFill>
              <w14:schemeClr w14:val="tx1"/>
            </w14:solidFill>
          </w14:textFill>
        </w:rPr>
        <w:t>T</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14:textFill>
            <w14:solidFill>
              <w14:schemeClr w14:val="tx1"/>
            </w14:solidFill>
          </w14:textFill>
        </w:rPr>
        <w:t>0.</w:t>
      </w:r>
      <w:r>
        <w:rPr>
          <w:color w:val="000000" w:themeColor="text1"/>
          <w:sz w:val="24"/>
          <w:szCs w:val="24"/>
          <w:highlight w:val="none"/>
          <w14:textFill>
            <w14:solidFill>
              <w14:schemeClr w14:val="tx1"/>
            </w14:solidFill>
          </w14:textFill>
        </w:rPr>
        <w:t>046(m</w:t>
      </w:r>
      <w:r>
        <w:rPr>
          <w:color w:val="000000" w:themeColor="text1"/>
          <w:sz w:val="24"/>
          <w:szCs w:val="24"/>
          <w:highlight w:val="none"/>
          <w:vertAlign w:val="superscript"/>
          <w14:textFill>
            <w14:solidFill>
              <w14:schemeClr w14:val="tx1"/>
            </w14:solidFill>
          </w14:textFill>
        </w:rPr>
        <w:t>2</w:t>
      </w:r>
      <w:r>
        <w:rPr>
          <w:color w:val="000000" w:themeColor="text1"/>
          <w:sz w:val="24"/>
          <w:szCs w:val="24"/>
          <w:highlight w:val="none"/>
          <w14:textFill>
            <w14:solidFill>
              <w14:schemeClr w14:val="tx1"/>
            </w14:solidFill>
          </w14:textFill>
        </w:rPr>
        <w:t>/d)</w:t>
      </w:r>
      <w:r>
        <w:rPr>
          <w:rFonts w:hint="eastAsia"/>
          <w:color w:val="000000" w:themeColor="text1"/>
          <w:sz w:val="24"/>
          <w:szCs w:val="24"/>
          <w:highlight w:val="none"/>
          <w14:textFill>
            <w14:solidFill>
              <w14:schemeClr w14:val="tx1"/>
            </w14:solidFill>
          </w14:textFill>
        </w:rPr>
        <w:t>。</w:t>
      </w:r>
    </w:p>
    <w:p w14:paraId="45AFB32D">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⑧污染源强</w:t>
      </w:r>
    </w:p>
    <w:p w14:paraId="2BD609B4">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主要污染物为COD、氨氮。</w:t>
      </w:r>
    </w:p>
    <w:p w14:paraId="0AE0EDFB">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项目污水处理设施如果老化或破损渗漏，废水由包气带渗入地下，选取最大浓度作为本次源强浓度，其中COD为2585mg/L、NH3-N为256mg/L。</w:t>
      </w:r>
    </w:p>
    <w:p w14:paraId="07FB88CE">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⑨预测结果</w:t>
      </w:r>
    </w:p>
    <w:p w14:paraId="2C9A3E26">
      <w:pPr>
        <w:snapToGrid w:val="0"/>
        <w:spacing w:line="360" w:lineRule="auto"/>
        <w:ind w:firstLine="422" w:firstLineChars="200"/>
        <w:jc w:val="cente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表5.2-</w:t>
      </w:r>
      <w:r>
        <w:rPr>
          <w:rFonts w:hint="eastAsia" w:ascii="Times New Roman" w:hAnsi="Times New Roman" w:cs="Times New Roman"/>
          <w:b/>
          <w:color w:val="000000" w:themeColor="text1"/>
          <w:sz w:val="21"/>
          <w:szCs w:val="21"/>
          <w:highlight w:val="none"/>
          <w:shd w:val="clear" w:color="auto" w:fill="auto"/>
          <w:lang w:val="en-US" w:eastAsia="zh-CN"/>
          <w14:textFill>
            <w14:solidFill>
              <w14:schemeClr w14:val="tx1"/>
            </w14:solidFill>
          </w14:textFill>
        </w:rPr>
        <w:t>2</w:t>
      </w:r>
      <w:r>
        <w:rPr>
          <w:rFonts w:hint="eastAsia" w:cs="Times New Roman"/>
          <w:b/>
          <w:color w:val="000000" w:themeColor="text1"/>
          <w:sz w:val="21"/>
          <w:szCs w:val="21"/>
          <w:highlight w:val="none"/>
          <w:shd w:val="clear" w:color="auto" w:fill="auto"/>
          <w:lang w:val="en-US" w:eastAsia="zh-CN"/>
          <w14:textFill>
            <w14:solidFill>
              <w14:schemeClr w14:val="tx1"/>
            </w14:solidFill>
          </w14:textFill>
        </w:rPr>
        <w:t>0</w:t>
      </w:r>
      <w:r>
        <w:rPr>
          <w:rFonts w:hint="eastAsia" w:ascii="Times New Roman" w:hAnsi="Times New Roman" w:cs="Times New Roman"/>
          <w:b/>
          <w:color w:val="000000" w:themeColor="text1"/>
          <w:sz w:val="21"/>
          <w:szCs w:val="21"/>
          <w:highlight w:val="none"/>
          <w:shd w:val="clear" w:color="auto" w:fill="auto"/>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 xml:space="preserve"> 非正常渗漏影响预测结果表  单位：mg/L</w:t>
      </w:r>
    </w:p>
    <w:tbl>
      <w:tblPr>
        <w:tblStyle w:val="33"/>
        <w:tblW w:w="50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27"/>
        <w:gridCol w:w="1268"/>
        <w:gridCol w:w="1268"/>
        <w:gridCol w:w="1285"/>
        <w:gridCol w:w="1268"/>
        <w:gridCol w:w="1271"/>
        <w:gridCol w:w="1309"/>
      </w:tblGrid>
      <w:tr w14:paraId="79497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3" w:type="pct"/>
            <w:vMerge w:val="restart"/>
            <w:vAlign w:val="center"/>
          </w:tcPr>
          <w:p w14:paraId="3DD41A78">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距离（m）</w:t>
            </w:r>
          </w:p>
        </w:tc>
        <w:tc>
          <w:tcPr>
            <w:tcW w:w="4566" w:type="pct"/>
            <w:gridSpan w:val="6"/>
            <w:vAlign w:val="center"/>
          </w:tcPr>
          <w:p w14:paraId="429E37BC">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预测浓度（mg/L）</w:t>
            </w:r>
          </w:p>
        </w:tc>
      </w:tr>
      <w:tr w14:paraId="2827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3" w:type="pct"/>
            <w:vMerge w:val="continue"/>
            <w:vAlign w:val="center"/>
          </w:tcPr>
          <w:p w14:paraId="7F800A02">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275" w:type="pct"/>
            <w:gridSpan w:val="3"/>
            <w:vAlign w:val="center"/>
          </w:tcPr>
          <w:p w14:paraId="77973FA0">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2290" w:type="pct"/>
            <w:gridSpan w:val="3"/>
            <w:vAlign w:val="center"/>
          </w:tcPr>
          <w:p w14:paraId="78CAE80E">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r>
      <w:tr w14:paraId="0D59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3" w:type="pct"/>
            <w:vMerge w:val="continue"/>
            <w:vAlign w:val="center"/>
          </w:tcPr>
          <w:p w14:paraId="5BA6D97A">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755" w:type="pct"/>
            <w:vAlign w:val="center"/>
          </w:tcPr>
          <w:p w14:paraId="2E6D28ED">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100d</w:t>
            </w:r>
          </w:p>
        </w:tc>
        <w:tc>
          <w:tcPr>
            <w:tcW w:w="755" w:type="pct"/>
            <w:vAlign w:val="center"/>
          </w:tcPr>
          <w:p w14:paraId="1C5A6E07">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365d</w:t>
            </w:r>
          </w:p>
        </w:tc>
        <w:tc>
          <w:tcPr>
            <w:tcW w:w="764" w:type="pct"/>
            <w:vAlign w:val="center"/>
          </w:tcPr>
          <w:p w14:paraId="3EA22B88">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1000d</w:t>
            </w:r>
          </w:p>
        </w:tc>
        <w:tc>
          <w:tcPr>
            <w:tcW w:w="755" w:type="pct"/>
            <w:vAlign w:val="center"/>
          </w:tcPr>
          <w:p w14:paraId="5A391FDD">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100d</w:t>
            </w:r>
          </w:p>
        </w:tc>
        <w:tc>
          <w:tcPr>
            <w:tcW w:w="757" w:type="pct"/>
            <w:vAlign w:val="center"/>
          </w:tcPr>
          <w:p w14:paraId="1A269B4B">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365d</w:t>
            </w:r>
          </w:p>
        </w:tc>
        <w:tc>
          <w:tcPr>
            <w:tcW w:w="778" w:type="pct"/>
            <w:vAlign w:val="center"/>
          </w:tcPr>
          <w:p w14:paraId="2B05CF88">
            <w:pPr>
              <w:pStyle w:val="72"/>
              <w:keepNext w:val="0"/>
              <w:keepLines w:val="0"/>
              <w:pageBreakBefore w:val="0"/>
              <w:kinsoku/>
              <w:wordWrap/>
              <w:overflowPunct/>
              <w:topLinePunct w:val="0"/>
              <w:autoSpaceDE/>
              <w:autoSpaceDN/>
              <w:bidi w:val="0"/>
              <w:adjustRightInd/>
              <w:snapToGrid/>
              <w:ind w:left="0" w:left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1000d</w:t>
            </w:r>
          </w:p>
        </w:tc>
      </w:tr>
      <w:tr w14:paraId="74FFD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5E58CE3D">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68" w:type="dxa"/>
            <w:vAlign w:val="center"/>
          </w:tcPr>
          <w:p w14:paraId="3054528E">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2590</w:t>
            </w:r>
          </w:p>
        </w:tc>
        <w:tc>
          <w:tcPr>
            <w:tcW w:w="1268" w:type="dxa"/>
            <w:vAlign w:val="center"/>
          </w:tcPr>
          <w:p w14:paraId="6EAE2CC8">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2590</w:t>
            </w:r>
          </w:p>
        </w:tc>
        <w:tc>
          <w:tcPr>
            <w:tcW w:w="1285" w:type="dxa"/>
            <w:vAlign w:val="center"/>
          </w:tcPr>
          <w:p w14:paraId="5C73664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2590</w:t>
            </w:r>
          </w:p>
        </w:tc>
        <w:tc>
          <w:tcPr>
            <w:tcW w:w="1268" w:type="dxa"/>
            <w:vAlign w:val="center"/>
          </w:tcPr>
          <w:p w14:paraId="259F89D3">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256</w:t>
            </w:r>
          </w:p>
        </w:tc>
        <w:tc>
          <w:tcPr>
            <w:tcW w:w="1271" w:type="dxa"/>
            <w:vAlign w:val="center"/>
          </w:tcPr>
          <w:p w14:paraId="7CE4CA71">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256</w:t>
            </w:r>
          </w:p>
        </w:tc>
        <w:tc>
          <w:tcPr>
            <w:tcW w:w="1309" w:type="dxa"/>
            <w:vAlign w:val="center"/>
          </w:tcPr>
          <w:p w14:paraId="040F6CF3">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256</w:t>
            </w:r>
          </w:p>
        </w:tc>
      </w:tr>
      <w:tr w14:paraId="2D2A2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7456758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p>
        </w:tc>
        <w:tc>
          <w:tcPr>
            <w:tcW w:w="1268" w:type="dxa"/>
            <w:vAlign w:val="center"/>
          </w:tcPr>
          <w:p w14:paraId="34918272">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1460</w:t>
            </w:r>
          </w:p>
        </w:tc>
        <w:tc>
          <w:tcPr>
            <w:tcW w:w="1268" w:type="dxa"/>
            <w:vAlign w:val="center"/>
          </w:tcPr>
          <w:p w14:paraId="60508A4A">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2400</w:t>
            </w:r>
          </w:p>
        </w:tc>
        <w:tc>
          <w:tcPr>
            <w:tcW w:w="1285" w:type="dxa"/>
            <w:vAlign w:val="center"/>
          </w:tcPr>
          <w:p w14:paraId="003DADEA">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2580</w:t>
            </w:r>
          </w:p>
        </w:tc>
        <w:tc>
          <w:tcPr>
            <w:tcW w:w="1268" w:type="dxa"/>
            <w:vAlign w:val="center"/>
          </w:tcPr>
          <w:p w14:paraId="0463C082">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144</w:t>
            </w:r>
          </w:p>
        </w:tc>
        <w:tc>
          <w:tcPr>
            <w:tcW w:w="1271" w:type="dxa"/>
            <w:vAlign w:val="center"/>
          </w:tcPr>
          <w:p w14:paraId="2B491073">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238</w:t>
            </w:r>
          </w:p>
        </w:tc>
        <w:tc>
          <w:tcPr>
            <w:tcW w:w="1309" w:type="dxa"/>
            <w:vAlign w:val="center"/>
          </w:tcPr>
          <w:p w14:paraId="5A7A3D52">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255</w:t>
            </w:r>
          </w:p>
        </w:tc>
      </w:tr>
      <w:tr w14:paraId="6996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28671228">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c>
          <w:tcPr>
            <w:tcW w:w="1268" w:type="dxa"/>
            <w:vAlign w:val="center"/>
          </w:tcPr>
          <w:p w14:paraId="05DF6D88">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377</w:t>
            </w:r>
          </w:p>
        </w:tc>
        <w:tc>
          <w:tcPr>
            <w:tcW w:w="1268" w:type="dxa"/>
            <w:vAlign w:val="center"/>
          </w:tcPr>
          <w:p w14:paraId="4117004D">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2000</w:t>
            </w:r>
          </w:p>
        </w:tc>
        <w:tc>
          <w:tcPr>
            <w:tcW w:w="1285" w:type="dxa"/>
            <w:vAlign w:val="center"/>
          </w:tcPr>
          <w:p w14:paraId="63EC454F">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2550</w:t>
            </w:r>
          </w:p>
        </w:tc>
        <w:tc>
          <w:tcPr>
            <w:tcW w:w="1268" w:type="dxa"/>
            <w:vAlign w:val="center"/>
          </w:tcPr>
          <w:p w14:paraId="79C959D8">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37.3</w:t>
            </w:r>
          </w:p>
        </w:tc>
        <w:tc>
          <w:tcPr>
            <w:tcW w:w="1271" w:type="dxa"/>
            <w:vAlign w:val="center"/>
          </w:tcPr>
          <w:p w14:paraId="292E952D">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198</w:t>
            </w:r>
          </w:p>
        </w:tc>
        <w:tc>
          <w:tcPr>
            <w:tcW w:w="1309" w:type="dxa"/>
            <w:vAlign w:val="center"/>
          </w:tcPr>
          <w:p w14:paraId="5D7BC82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252</w:t>
            </w:r>
          </w:p>
        </w:tc>
      </w:tr>
      <w:tr w14:paraId="086C1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23EE82EE">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w:t>
            </w:r>
          </w:p>
        </w:tc>
        <w:tc>
          <w:tcPr>
            <w:tcW w:w="1268" w:type="dxa"/>
            <w:vAlign w:val="center"/>
          </w:tcPr>
          <w:p w14:paraId="403AB54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38.5</w:t>
            </w:r>
          </w:p>
        </w:tc>
        <w:tc>
          <w:tcPr>
            <w:tcW w:w="1268" w:type="dxa"/>
            <w:vAlign w:val="center"/>
          </w:tcPr>
          <w:p w14:paraId="2E8CFE3A">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1410</w:t>
            </w:r>
          </w:p>
        </w:tc>
        <w:tc>
          <w:tcPr>
            <w:tcW w:w="1285" w:type="dxa"/>
            <w:vAlign w:val="center"/>
          </w:tcPr>
          <w:p w14:paraId="69E97E22">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2490</w:t>
            </w:r>
          </w:p>
        </w:tc>
        <w:tc>
          <w:tcPr>
            <w:tcW w:w="1268" w:type="dxa"/>
            <w:vAlign w:val="center"/>
          </w:tcPr>
          <w:p w14:paraId="134945FF">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3.81</w:t>
            </w:r>
          </w:p>
        </w:tc>
        <w:tc>
          <w:tcPr>
            <w:tcW w:w="1271" w:type="dxa"/>
            <w:vAlign w:val="center"/>
          </w:tcPr>
          <w:p w14:paraId="1B0EFF42">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139</w:t>
            </w:r>
          </w:p>
        </w:tc>
        <w:tc>
          <w:tcPr>
            <w:tcW w:w="1309" w:type="dxa"/>
            <w:vAlign w:val="center"/>
          </w:tcPr>
          <w:p w14:paraId="60027CF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246</w:t>
            </w:r>
          </w:p>
        </w:tc>
      </w:tr>
      <w:tr w14:paraId="662F7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64861BDF">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40</w:t>
            </w:r>
          </w:p>
        </w:tc>
        <w:tc>
          <w:tcPr>
            <w:tcW w:w="1268" w:type="dxa"/>
            <w:vAlign w:val="center"/>
          </w:tcPr>
          <w:p w14:paraId="6AD7CC14">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1.45</w:t>
            </w:r>
          </w:p>
        </w:tc>
        <w:tc>
          <w:tcPr>
            <w:tcW w:w="1268" w:type="dxa"/>
            <w:vAlign w:val="center"/>
          </w:tcPr>
          <w:p w14:paraId="19480914">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807</w:t>
            </w:r>
          </w:p>
        </w:tc>
        <w:tc>
          <w:tcPr>
            <w:tcW w:w="1285" w:type="dxa"/>
            <w:vAlign w:val="center"/>
          </w:tcPr>
          <w:p w14:paraId="54C13E68">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2370</w:t>
            </w:r>
          </w:p>
        </w:tc>
        <w:tc>
          <w:tcPr>
            <w:tcW w:w="1268" w:type="dxa"/>
            <w:vAlign w:val="center"/>
          </w:tcPr>
          <w:p w14:paraId="2199830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0.143</w:t>
            </w:r>
          </w:p>
        </w:tc>
        <w:tc>
          <w:tcPr>
            <w:tcW w:w="1271" w:type="dxa"/>
            <w:vAlign w:val="center"/>
          </w:tcPr>
          <w:p w14:paraId="5370119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79.8</w:t>
            </w:r>
          </w:p>
        </w:tc>
        <w:tc>
          <w:tcPr>
            <w:tcW w:w="1309" w:type="dxa"/>
            <w:vAlign w:val="center"/>
          </w:tcPr>
          <w:p w14:paraId="45A24CC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235</w:t>
            </w:r>
          </w:p>
        </w:tc>
      </w:tr>
      <w:tr w14:paraId="32C1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0DE451D8">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50</w:t>
            </w:r>
          </w:p>
        </w:tc>
        <w:tc>
          <w:tcPr>
            <w:tcW w:w="1268" w:type="dxa"/>
            <w:vAlign w:val="center"/>
          </w:tcPr>
          <w:p w14:paraId="55A39E6C">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0.0194</w:t>
            </w:r>
          </w:p>
        </w:tc>
        <w:tc>
          <w:tcPr>
            <w:tcW w:w="1268" w:type="dxa"/>
            <w:vAlign w:val="center"/>
          </w:tcPr>
          <w:p w14:paraId="1428E5C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366</w:t>
            </w:r>
          </w:p>
        </w:tc>
        <w:tc>
          <w:tcPr>
            <w:tcW w:w="1285" w:type="dxa"/>
            <w:vAlign w:val="center"/>
          </w:tcPr>
          <w:p w14:paraId="3181BFC6">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2190</w:t>
            </w:r>
          </w:p>
        </w:tc>
        <w:tc>
          <w:tcPr>
            <w:tcW w:w="1268" w:type="dxa"/>
            <w:vAlign w:val="center"/>
          </w:tcPr>
          <w:p w14:paraId="59DE364C">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0.00192</w:t>
            </w:r>
          </w:p>
        </w:tc>
        <w:tc>
          <w:tcPr>
            <w:tcW w:w="1271" w:type="dxa"/>
            <w:vAlign w:val="center"/>
          </w:tcPr>
          <w:p w14:paraId="771EADFF">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36.2</w:t>
            </w:r>
          </w:p>
        </w:tc>
        <w:tc>
          <w:tcPr>
            <w:tcW w:w="1309" w:type="dxa"/>
            <w:vAlign w:val="center"/>
          </w:tcPr>
          <w:p w14:paraId="5DC8B8E3">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217</w:t>
            </w:r>
          </w:p>
        </w:tc>
      </w:tr>
      <w:tr w14:paraId="4ABD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79B5873A">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w:t>
            </w:r>
          </w:p>
        </w:tc>
        <w:tc>
          <w:tcPr>
            <w:tcW w:w="1268" w:type="dxa"/>
            <w:vAlign w:val="center"/>
          </w:tcPr>
          <w:p w14:paraId="3BA29C8C">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0.0000913</w:t>
            </w:r>
          </w:p>
        </w:tc>
        <w:tc>
          <w:tcPr>
            <w:tcW w:w="1268" w:type="dxa"/>
            <w:vAlign w:val="center"/>
          </w:tcPr>
          <w:p w14:paraId="32B26723">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w:t>
            </w:r>
          </w:p>
        </w:tc>
        <w:tc>
          <w:tcPr>
            <w:tcW w:w="1285" w:type="dxa"/>
            <w:vAlign w:val="center"/>
          </w:tcPr>
          <w:p w14:paraId="1B9CD887">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1930</w:t>
            </w:r>
          </w:p>
        </w:tc>
        <w:tc>
          <w:tcPr>
            <w:tcW w:w="1268" w:type="dxa"/>
            <w:vAlign w:val="center"/>
          </w:tcPr>
          <w:p w14:paraId="6815839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0.00000903</w:t>
            </w:r>
          </w:p>
        </w:tc>
        <w:tc>
          <w:tcPr>
            <w:tcW w:w="1271" w:type="dxa"/>
            <w:vAlign w:val="center"/>
          </w:tcPr>
          <w:p w14:paraId="3111D37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12.8</w:t>
            </w:r>
          </w:p>
        </w:tc>
        <w:tc>
          <w:tcPr>
            <w:tcW w:w="1309" w:type="dxa"/>
            <w:vAlign w:val="center"/>
          </w:tcPr>
          <w:p w14:paraId="44C9B3AB">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191</w:t>
            </w:r>
          </w:p>
        </w:tc>
      </w:tr>
      <w:tr w14:paraId="38D3F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05C17248">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70</w:t>
            </w:r>
          </w:p>
        </w:tc>
        <w:tc>
          <w:tcPr>
            <w:tcW w:w="1268" w:type="dxa"/>
            <w:vAlign w:val="center"/>
          </w:tcPr>
          <w:p w14:paraId="13AA6742">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0.000000149</w:t>
            </w:r>
          </w:p>
        </w:tc>
        <w:tc>
          <w:tcPr>
            <w:tcW w:w="1268" w:type="dxa"/>
            <w:vAlign w:val="center"/>
          </w:tcPr>
          <w:p w14:paraId="7E863977">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34.8</w:t>
            </w:r>
          </w:p>
        </w:tc>
        <w:tc>
          <w:tcPr>
            <w:tcW w:w="1285" w:type="dxa"/>
            <w:vAlign w:val="center"/>
          </w:tcPr>
          <w:p w14:paraId="6C31763A">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1600</w:t>
            </w:r>
          </w:p>
        </w:tc>
        <w:tc>
          <w:tcPr>
            <w:tcW w:w="1268" w:type="dxa"/>
            <w:vAlign w:val="center"/>
          </w:tcPr>
          <w:p w14:paraId="4B67FAD3">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1.47*10</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-8</w:t>
            </w:r>
          </w:p>
        </w:tc>
        <w:tc>
          <w:tcPr>
            <w:tcW w:w="1271" w:type="dxa"/>
            <w:vAlign w:val="center"/>
          </w:tcPr>
          <w:p w14:paraId="75B780A1">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3.45</w:t>
            </w:r>
          </w:p>
        </w:tc>
        <w:tc>
          <w:tcPr>
            <w:tcW w:w="1309" w:type="dxa"/>
            <w:vAlign w:val="center"/>
          </w:tcPr>
          <w:p w14:paraId="2162EE3C">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159</w:t>
            </w:r>
          </w:p>
        </w:tc>
      </w:tr>
      <w:tr w14:paraId="44AF5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7FC2358B">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w:t>
            </w:r>
          </w:p>
        </w:tc>
        <w:tc>
          <w:tcPr>
            <w:tcW w:w="1268" w:type="dxa"/>
            <w:vAlign w:val="center"/>
          </w:tcPr>
          <w:p w14:paraId="31005D4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4.83*10</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-11</w:t>
            </w:r>
          </w:p>
        </w:tc>
        <w:tc>
          <w:tcPr>
            <w:tcW w:w="1268" w:type="dxa"/>
            <w:vAlign w:val="center"/>
          </w:tcPr>
          <w:p w14:paraId="7C06E01F">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7.15</w:t>
            </w:r>
          </w:p>
        </w:tc>
        <w:tc>
          <w:tcPr>
            <w:tcW w:w="1285" w:type="dxa"/>
            <w:vAlign w:val="center"/>
          </w:tcPr>
          <w:p w14:paraId="3593F2B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1250</w:t>
            </w:r>
          </w:p>
        </w:tc>
        <w:tc>
          <w:tcPr>
            <w:tcW w:w="1268" w:type="dxa"/>
            <w:vAlign w:val="center"/>
          </w:tcPr>
          <w:p w14:paraId="0E464991">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4.77*10</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-12</w:t>
            </w:r>
          </w:p>
        </w:tc>
        <w:tc>
          <w:tcPr>
            <w:tcW w:w="1271" w:type="dxa"/>
            <w:vAlign w:val="center"/>
          </w:tcPr>
          <w:p w14:paraId="467300FC">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0.707</w:t>
            </w:r>
          </w:p>
        </w:tc>
        <w:tc>
          <w:tcPr>
            <w:tcW w:w="1309" w:type="dxa"/>
            <w:vAlign w:val="center"/>
          </w:tcPr>
          <w:p w14:paraId="03C2C44A">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124</w:t>
            </w:r>
          </w:p>
        </w:tc>
      </w:tr>
      <w:tr w14:paraId="5F39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14F46E7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c>
          <w:tcPr>
            <w:tcW w:w="1268" w:type="dxa"/>
            <w:vAlign w:val="center"/>
          </w:tcPr>
          <w:p w14:paraId="5B7B9F76">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68" w:type="dxa"/>
            <w:vAlign w:val="center"/>
          </w:tcPr>
          <w:p w14:paraId="1C123D0A">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1.11</w:t>
            </w:r>
          </w:p>
        </w:tc>
        <w:tc>
          <w:tcPr>
            <w:tcW w:w="1285" w:type="dxa"/>
            <w:vAlign w:val="center"/>
          </w:tcPr>
          <w:p w14:paraId="05B7515E">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903</w:t>
            </w:r>
          </w:p>
        </w:tc>
        <w:tc>
          <w:tcPr>
            <w:tcW w:w="1268" w:type="dxa"/>
            <w:vAlign w:val="center"/>
          </w:tcPr>
          <w:p w14:paraId="38DCDDA4">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71" w:type="dxa"/>
            <w:vAlign w:val="center"/>
          </w:tcPr>
          <w:p w14:paraId="4AFFA7DE">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0.11</w:t>
            </w:r>
          </w:p>
        </w:tc>
        <w:tc>
          <w:tcPr>
            <w:tcW w:w="1309" w:type="dxa"/>
            <w:vAlign w:val="center"/>
          </w:tcPr>
          <w:p w14:paraId="0F7167DF">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89.4</w:t>
            </w:r>
          </w:p>
        </w:tc>
      </w:tr>
      <w:tr w14:paraId="4F15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32C8E768">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w:t>
            </w:r>
          </w:p>
        </w:tc>
        <w:tc>
          <w:tcPr>
            <w:tcW w:w="1268" w:type="dxa"/>
            <w:vAlign w:val="center"/>
          </w:tcPr>
          <w:p w14:paraId="458E1EEC">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68" w:type="dxa"/>
            <w:vAlign w:val="center"/>
          </w:tcPr>
          <w:p w14:paraId="03F82824">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0.13</w:t>
            </w:r>
          </w:p>
        </w:tc>
        <w:tc>
          <w:tcPr>
            <w:tcW w:w="1285" w:type="dxa"/>
            <w:vAlign w:val="center"/>
          </w:tcPr>
          <w:p w14:paraId="56CA5AD1">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602</w:t>
            </w:r>
          </w:p>
        </w:tc>
        <w:tc>
          <w:tcPr>
            <w:tcW w:w="1268" w:type="dxa"/>
            <w:vAlign w:val="center"/>
          </w:tcPr>
          <w:p w14:paraId="7A7E5C60">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71" w:type="dxa"/>
            <w:vAlign w:val="center"/>
          </w:tcPr>
          <w:p w14:paraId="325FB7F2">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0.0128</w:t>
            </w:r>
          </w:p>
        </w:tc>
        <w:tc>
          <w:tcPr>
            <w:tcW w:w="1309" w:type="dxa"/>
            <w:vAlign w:val="center"/>
          </w:tcPr>
          <w:p w14:paraId="421FE1BC">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59.5</w:t>
            </w:r>
          </w:p>
        </w:tc>
      </w:tr>
      <w:tr w14:paraId="4AED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107A7C2C">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150</w:t>
            </w:r>
          </w:p>
        </w:tc>
        <w:tc>
          <w:tcPr>
            <w:tcW w:w="1268" w:type="dxa"/>
            <w:vAlign w:val="center"/>
          </w:tcPr>
          <w:p w14:paraId="6BB05A1A">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68" w:type="dxa"/>
            <w:vAlign w:val="center"/>
          </w:tcPr>
          <w:p w14:paraId="408711F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2.18*10</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-8</w:t>
            </w:r>
          </w:p>
        </w:tc>
        <w:tc>
          <w:tcPr>
            <w:tcW w:w="1285" w:type="dxa"/>
            <w:vAlign w:val="center"/>
          </w:tcPr>
          <w:p w14:paraId="22E50BFE">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20.3</w:t>
            </w:r>
          </w:p>
        </w:tc>
        <w:tc>
          <w:tcPr>
            <w:tcW w:w="1268" w:type="dxa"/>
            <w:vAlign w:val="center"/>
          </w:tcPr>
          <w:p w14:paraId="633B254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71" w:type="dxa"/>
            <w:vAlign w:val="center"/>
          </w:tcPr>
          <w:p w14:paraId="1E1FF8F1">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2.16*10</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-9</w:t>
            </w:r>
          </w:p>
        </w:tc>
        <w:tc>
          <w:tcPr>
            <w:tcW w:w="1309" w:type="dxa"/>
            <w:vAlign w:val="center"/>
          </w:tcPr>
          <w:p w14:paraId="25A5D1A0">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w:t>
            </w:r>
          </w:p>
        </w:tc>
      </w:tr>
      <w:tr w14:paraId="06BE2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439CF0F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200</w:t>
            </w:r>
          </w:p>
        </w:tc>
        <w:tc>
          <w:tcPr>
            <w:tcW w:w="1268" w:type="dxa"/>
            <w:vAlign w:val="center"/>
          </w:tcPr>
          <w:p w14:paraId="34AF7923">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68" w:type="dxa"/>
            <w:vAlign w:val="center"/>
          </w:tcPr>
          <w:p w14:paraId="148B1D74">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85" w:type="dxa"/>
            <w:vAlign w:val="center"/>
          </w:tcPr>
          <w:p w14:paraId="7C1C3091">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0.0366</w:t>
            </w:r>
          </w:p>
        </w:tc>
        <w:tc>
          <w:tcPr>
            <w:tcW w:w="1268" w:type="dxa"/>
            <w:vAlign w:val="center"/>
          </w:tcPr>
          <w:p w14:paraId="0813A163">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71" w:type="dxa"/>
            <w:vAlign w:val="center"/>
          </w:tcPr>
          <w:p w14:paraId="2794FE5E">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309" w:type="dxa"/>
            <w:vAlign w:val="center"/>
          </w:tcPr>
          <w:p w14:paraId="4D751E6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0.00362</w:t>
            </w:r>
          </w:p>
        </w:tc>
      </w:tr>
      <w:tr w14:paraId="39EF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01152451">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250</w:t>
            </w:r>
          </w:p>
        </w:tc>
        <w:tc>
          <w:tcPr>
            <w:tcW w:w="1268" w:type="dxa"/>
            <w:vAlign w:val="center"/>
          </w:tcPr>
          <w:p w14:paraId="4222EDD6">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68" w:type="dxa"/>
            <w:vAlign w:val="center"/>
          </w:tcPr>
          <w:p w14:paraId="66D69974">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85" w:type="dxa"/>
            <w:vAlign w:val="center"/>
          </w:tcPr>
          <w:p w14:paraId="3F824E2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0.00000696</w:t>
            </w:r>
          </w:p>
        </w:tc>
        <w:tc>
          <w:tcPr>
            <w:tcW w:w="1268" w:type="dxa"/>
            <w:vAlign w:val="center"/>
          </w:tcPr>
          <w:p w14:paraId="7A819D07">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71" w:type="dxa"/>
            <w:vAlign w:val="center"/>
          </w:tcPr>
          <w:p w14:paraId="7108462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309" w:type="dxa"/>
            <w:vAlign w:val="center"/>
          </w:tcPr>
          <w:p w14:paraId="7CD1CCF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0.000000689</w:t>
            </w:r>
          </w:p>
        </w:tc>
      </w:tr>
      <w:tr w14:paraId="3A618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62E4771E">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300</w:t>
            </w:r>
          </w:p>
        </w:tc>
        <w:tc>
          <w:tcPr>
            <w:tcW w:w="1268" w:type="dxa"/>
            <w:vAlign w:val="center"/>
          </w:tcPr>
          <w:p w14:paraId="22F3698A">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68" w:type="dxa"/>
            <w:vAlign w:val="center"/>
          </w:tcPr>
          <w:p w14:paraId="05BFB36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85" w:type="dxa"/>
            <w:vAlign w:val="center"/>
          </w:tcPr>
          <w:p w14:paraId="21FA8F51">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1.01*10</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-10</w:t>
            </w:r>
          </w:p>
        </w:tc>
        <w:tc>
          <w:tcPr>
            <w:tcW w:w="1268" w:type="dxa"/>
            <w:vAlign w:val="center"/>
          </w:tcPr>
          <w:p w14:paraId="7F2304F6">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71" w:type="dxa"/>
            <w:vAlign w:val="center"/>
          </w:tcPr>
          <w:p w14:paraId="44BB1942">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309" w:type="dxa"/>
            <w:vAlign w:val="center"/>
          </w:tcPr>
          <w:p w14:paraId="4B530865">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9.95*10</w:t>
            </w:r>
            <w:r>
              <w:rPr>
                <w:rFonts w:hint="eastAsia"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-12</w:t>
            </w:r>
          </w:p>
        </w:tc>
      </w:tr>
      <w:tr w14:paraId="6FD7A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27" w:type="dxa"/>
            <w:vAlign w:val="center"/>
          </w:tcPr>
          <w:p w14:paraId="1303BFF6">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350</w:t>
            </w:r>
          </w:p>
        </w:tc>
        <w:tc>
          <w:tcPr>
            <w:tcW w:w="1268" w:type="dxa"/>
            <w:vAlign w:val="center"/>
          </w:tcPr>
          <w:p w14:paraId="480DD1CB">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68" w:type="dxa"/>
            <w:vAlign w:val="center"/>
          </w:tcPr>
          <w:p w14:paraId="3DE1D4E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85" w:type="dxa"/>
            <w:vAlign w:val="center"/>
          </w:tcPr>
          <w:p w14:paraId="7E2B4877">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68" w:type="dxa"/>
            <w:vAlign w:val="center"/>
          </w:tcPr>
          <w:p w14:paraId="4CCF3B90">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71" w:type="dxa"/>
            <w:vAlign w:val="center"/>
          </w:tcPr>
          <w:p w14:paraId="76838CC6">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309" w:type="dxa"/>
            <w:vAlign w:val="center"/>
          </w:tcPr>
          <w:p w14:paraId="4619B10C">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14:paraId="099EC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3" w:type="pct"/>
            <w:vAlign w:val="center"/>
          </w:tcPr>
          <w:p w14:paraId="5017C03A">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00</w:t>
            </w:r>
          </w:p>
        </w:tc>
        <w:tc>
          <w:tcPr>
            <w:tcW w:w="755" w:type="pct"/>
            <w:vAlign w:val="center"/>
          </w:tcPr>
          <w:p w14:paraId="6D79E63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55" w:type="pct"/>
            <w:vAlign w:val="center"/>
          </w:tcPr>
          <w:p w14:paraId="641C011F">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64" w:type="pct"/>
            <w:vAlign w:val="center"/>
          </w:tcPr>
          <w:p w14:paraId="10196A20">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55" w:type="pct"/>
            <w:vAlign w:val="center"/>
          </w:tcPr>
          <w:p w14:paraId="78B041E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71" w:type="dxa"/>
            <w:vAlign w:val="center"/>
          </w:tcPr>
          <w:p w14:paraId="04D39AEE">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309" w:type="dxa"/>
            <w:vAlign w:val="center"/>
          </w:tcPr>
          <w:p w14:paraId="172F8C70">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14:paraId="47D36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33" w:type="pct"/>
            <w:vAlign w:val="center"/>
          </w:tcPr>
          <w:p w14:paraId="0F6564BF">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1000</w:t>
            </w:r>
          </w:p>
        </w:tc>
        <w:tc>
          <w:tcPr>
            <w:tcW w:w="755" w:type="pct"/>
            <w:vAlign w:val="center"/>
          </w:tcPr>
          <w:p w14:paraId="67CB5F5D">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55" w:type="pct"/>
            <w:vAlign w:val="center"/>
          </w:tcPr>
          <w:p w14:paraId="7722FE91">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64" w:type="pct"/>
            <w:vAlign w:val="center"/>
          </w:tcPr>
          <w:p w14:paraId="08455345">
            <w:pPr>
              <w:keepNext w:val="0"/>
              <w:keepLines w:val="0"/>
              <w:widowControl/>
              <w:suppressLineNumbers w:val="0"/>
              <w:jc w:val="center"/>
              <w:textAlignment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755" w:type="pct"/>
            <w:vAlign w:val="center"/>
          </w:tcPr>
          <w:p w14:paraId="63325274">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271" w:type="dxa"/>
            <w:vAlign w:val="center"/>
          </w:tcPr>
          <w:p w14:paraId="462F9DF9">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c>
          <w:tcPr>
            <w:tcW w:w="1309" w:type="dxa"/>
            <w:vAlign w:val="center"/>
          </w:tcPr>
          <w:p w14:paraId="2686A68C">
            <w:pPr>
              <w:keepNext w:val="0"/>
              <w:keepLines w:val="0"/>
              <w:pageBreakBefore w:val="0"/>
              <w:widowControl/>
              <w:suppressLineNumbers w:val="0"/>
              <w:kinsoku/>
              <w:wordWrap/>
              <w:overflowPunct/>
              <w:topLinePunct w:val="0"/>
              <w:autoSpaceDE/>
              <w:autoSpaceDN/>
              <w:bidi w:val="0"/>
              <w:adjustRightInd/>
              <w:snapToGrid/>
              <w:ind w:left="0" w:left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bl>
    <w:p w14:paraId="4505C1AA">
      <w:pPr>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65420" cy="3463925"/>
            <wp:effectExtent l="0" t="0" r="11430" b="317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50"/>
                    <a:stretch>
                      <a:fillRect/>
                    </a:stretch>
                  </pic:blipFill>
                  <pic:spPr>
                    <a:xfrm>
                      <a:off x="0" y="0"/>
                      <a:ext cx="5265420" cy="3463925"/>
                    </a:xfrm>
                    <a:prstGeom prst="rect">
                      <a:avLst/>
                    </a:prstGeom>
                    <a:noFill/>
                    <a:ln>
                      <a:noFill/>
                    </a:ln>
                  </pic:spPr>
                </pic:pic>
              </a:graphicData>
            </a:graphic>
          </wp:inline>
        </w:drawing>
      </w:r>
    </w:p>
    <w:p w14:paraId="7DF68F35">
      <w:pPr>
        <w:snapToGrid w:val="0"/>
        <w:spacing w:line="240" w:lineRule="auto"/>
        <w:ind w:firstLine="422" w:firstLineChars="200"/>
        <w:jc w:val="center"/>
        <w:rPr>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图5.2-</w:t>
      </w:r>
      <w:r>
        <w:rPr>
          <w:rFonts w:hint="eastAsia" w:ascii="Times New Roman" w:hAnsi="Times New Roman" w:cs="Times New Roman"/>
          <w:b/>
          <w:color w:val="000000" w:themeColor="text1"/>
          <w:sz w:val="21"/>
          <w:szCs w:val="21"/>
          <w:highlight w:val="none"/>
          <w:shd w:val="clear" w:color="auto" w:fill="auto"/>
          <w:lang w:val="en-US" w:eastAsia="zh-CN"/>
          <w14:textFill>
            <w14:solidFill>
              <w14:schemeClr w14:val="tx1"/>
            </w14:solidFill>
          </w14:textFill>
        </w:rPr>
        <w:t>5</w:t>
      </w: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 xml:space="preserve">  </w:t>
      </w:r>
      <w:r>
        <w:rPr>
          <w:rFonts w:hint="eastAsia" w:ascii="Times New Roman" w:hAnsi="Times New Roman" w:cs="Times New Roman"/>
          <w:b/>
          <w:color w:val="000000" w:themeColor="text1"/>
          <w:sz w:val="21"/>
          <w:szCs w:val="21"/>
          <w:highlight w:val="none"/>
          <w:shd w:val="clear" w:color="auto" w:fill="auto"/>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泄漏后不同时间</w:t>
      </w:r>
      <w:r>
        <w:rPr>
          <w:rFonts w:hint="eastAsia" w:cs="Times New Roman"/>
          <w:b/>
          <w:color w:val="000000" w:themeColor="text1"/>
          <w:sz w:val="21"/>
          <w:szCs w:val="21"/>
          <w:highlight w:val="none"/>
          <w:shd w:val="clear" w:color="auto" w:fill="auto"/>
          <w:lang w:val="en-US" w:eastAsia="zh-CN"/>
          <w14:textFill>
            <w14:solidFill>
              <w14:schemeClr w14:val="tx1"/>
            </w14:solidFill>
          </w14:textFill>
        </w:rPr>
        <w:t>后</w:t>
      </w: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COD浓度分布曲线图</w:t>
      </w:r>
    </w:p>
    <w:p w14:paraId="0155712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5266690" cy="3438525"/>
            <wp:effectExtent l="0" t="0" r="10160" b="9525"/>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51"/>
                    <a:stretch>
                      <a:fillRect/>
                    </a:stretch>
                  </pic:blipFill>
                  <pic:spPr>
                    <a:xfrm>
                      <a:off x="0" y="0"/>
                      <a:ext cx="5266690" cy="3438525"/>
                    </a:xfrm>
                    <a:prstGeom prst="rect">
                      <a:avLst/>
                    </a:prstGeom>
                    <a:noFill/>
                    <a:ln>
                      <a:noFill/>
                    </a:ln>
                  </pic:spPr>
                </pic:pic>
              </a:graphicData>
            </a:graphic>
          </wp:inline>
        </w:drawing>
      </w:r>
    </w:p>
    <w:p w14:paraId="70317FED">
      <w:pPr>
        <w:keepNext w:val="0"/>
        <w:keepLines w:val="0"/>
        <w:pageBreakBefore w:val="0"/>
        <w:widowControl w:val="0"/>
        <w:kinsoku/>
        <w:wordWrap/>
        <w:overflowPunct/>
        <w:topLinePunct w:val="0"/>
        <w:autoSpaceDE/>
        <w:autoSpaceDN/>
        <w:bidi w:val="0"/>
        <w:adjustRightInd/>
        <w:snapToGrid w:val="0"/>
        <w:spacing w:line="240" w:lineRule="auto"/>
        <w:ind w:firstLine="422" w:firstLineChars="200"/>
        <w:jc w:val="center"/>
        <w:textAlignment w:val="auto"/>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drawing>
          <wp:inline distT="0" distB="0" distL="114300" distR="114300">
            <wp:extent cx="0" cy="0"/>
            <wp:effectExtent l="0" t="0" r="0" b="0"/>
            <wp:docPr id="8" name="图片 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
                    <pic:cNvPicPr>
                      <a:picLocks noChangeAspect="1"/>
                    </pic:cNvPicPr>
                  </pic:nvPicPr>
                  <pic:blipFill>
                    <a:blip r:embed="rId52"/>
                    <a:stretch>
                      <a:fillRect/>
                    </a:stretch>
                  </pic:blipFill>
                  <pic:spPr>
                    <a:xfrm>
                      <a:off x="0" y="0"/>
                      <a:ext cx="0" cy="0"/>
                    </a:xfrm>
                    <a:prstGeom prst="rect">
                      <a:avLst/>
                    </a:prstGeom>
                  </pic:spPr>
                </pic:pic>
              </a:graphicData>
            </a:graphic>
          </wp:inline>
        </w:drawing>
      </w: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图5.2-</w:t>
      </w:r>
      <w:r>
        <w:rPr>
          <w:rFonts w:hint="eastAsia" w:ascii="Times New Roman" w:hAnsi="Times New Roman" w:cs="Times New Roman"/>
          <w:b/>
          <w:color w:val="000000" w:themeColor="text1"/>
          <w:sz w:val="21"/>
          <w:szCs w:val="21"/>
          <w:highlight w:val="none"/>
          <w:shd w:val="clear" w:color="auto" w:fill="auto"/>
          <w:lang w:val="en-US" w:eastAsia="zh-CN"/>
          <w14:textFill>
            <w14:solidFill>
              <w14:schemeClr w14:val="tx1"/>
            </w14:solidFill>
          </w14:textFill>
        </w:rPr>
        <w:t>6</w:t>
      </w: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 xml:space="preserve">  泄漏不同时间</w:t>
      </w:r>
      <w:r>
        <w:rPr>
          <w:rFonts w:hint="eastAsia" w:cs="Times New Roman"/>
          <w:b/>
          <w:color w:val="000000" w:themeColor="text1"/>
          <w:sz w:val="21"/>
          <w:szCs w:val="21"/>
          <w:highlight w:val="none"/>
          <w:shd w:val="clear" w:color="auto" w:fill="auto"/>
          <w:lang w:val="en-US" w:eastAsia="zh-CN"/>
          <w14:textFill>
            <w14:solidFill>
              <w14:schemeClr w14:val="tx1"/>
            </w14:solidFill>
          </w14:textFill>
        </w:rPr>
        <w:t>后</w:t>
      </w: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MH</w:t>
      </w:r>
      <w:r>
        <w:rPr>
          <w:rFonts w:hint="eastAsia" w:ascii="Times New Roman" w:hAnsi="Times New Roman" w:eastAsia="宋体" w:cs="Times New Roman"/>
          <w:b/>
          <w:color w:val="000000" w:themeColor="text1"/>
          <w:sz w:val="21"/>
          <w:szCs w:val="21"/>
          <w:highlight w:val="none"/>
          <w:shd w:val="clear" w:color="auto" w:fill="auto"/>
          <w:vertAlign w:val="subscript"/>
          <w:lang w:val="en-US" w:eastAsia="zh-CN"/>
          <w14:textFill>
            <w14:solidFill>
              <w14:schemeClr w14:val="tx1"/>
            </w14:solidFill>
          </w14:textFill>
        </w:rPr>
        <w:t>3</w:t>
      </w: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-N浓度分布曲线图</w:t>
      </w:r>
    </w:p>
    <w:p w14:paraId="5EFCD458">
      <w:pPr>
        <w:pStyle w:val="71"/>
        <w:snapToGrid w:val="0"/>
        <w:spacing w:line="360" w:lineRule="auto"/>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由预测结果可知：</w:t>
      </w:r>
    </w:p>
    <w:p w14:paraId="7EC19CAB">
      <w:pPr>
        <w:snapToGrid w:val="0"/>
        <w:spacing w:line="360" w:lineRule="auto"/>
        <w:ind w:firstLine="480" w:firstLineChars="200"/>
        <w:jc w:val="both"/>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在事故发生第100天时，预测COD超标距离为32m；影响距离为36m，预测NH</w:t>
      </w:r>
      <w:r>
        <w:rPr>
          <w:rFonts w:hint="eastAsia" w:ascii="Times New Roman" w:hAnsi="Times New Roman" w:eastAsia="宋体" w:cs="Times New Roman"/>
          <w:snapToGrid w:val="0"/>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-N超标距离为36m；影响距离为47m；</w:t>
      </w:r>
    </w:p>
    <w:p w14:paraId="32D9F905">
      <w:pPr>
        <w:snapToGrid w:val="0"/>
        <w:spacing w:line="360" w:lineRule="auto"/>
        <w:ind w:firstLine="480" w:firstLineChars="200"/>
        <w:jc w:val="both"/>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在事</w:t>
      </w:r>
      <w:r>
        <w:rPr>
          <w:rFonts w:hint="eastAsia" w:cs="Times New Roman"/>
          <w:snapToGrid w:val="0"/>
          <w:color w:val="000000" w:themeColor="text1"/>
          <w:highlight w:val="none"/>
          <w:lang w:val="en-US" w:eastAsia="zh-CN"/>
          <w14:textFill>
            <w14:solidFill>
              <w14:schemeClr w14:val="tx1"/>
            </w14:solidFill>
          </w14:textFill>
        </w:rPr>
        <w:t>故发</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生后第365天时，预测COD超标距离为74m；影响距离为82m，预测NH</w:t>
      </w:r>
      <w:r>
        <w:rPr>
          <w:rFonts w:hint="eastAsia" w:ascii="Times New Roman" w:hAnsi="Times New Roman" w:eastAsia="宋体" w:cs="Times New Roman"/>
          <w:snapToGrid w:val="0"/>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-N超标距离为81m；影响距离为104m；</w:t>
      </w:r>
    </w:p>
    <w:p w14:paraId="478F47AC">
      <w:pPr>
        <w:snapToGrid w:val="0"/>
        <w:spacing w:line="360" w:lineRule="auto"/>
        <w:ind w:firstLine="480" w:firstLineChars="200"/>
        <w:jc w:val="both"/>
        <w:rPr>
          <w:rFonts w:hint="default"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在事</w:t>
      </w:r>
      <w:r>
        <w:rPr>
          <w:rFonts w:hint="eastAsia" w:cs="Times New Roman"/>
          <w:snapToGrid w:val="0"/>
          <w:color w:val="000000" w:themeColor="text1"/>
          <w:highlight w:val="none"/>
          <w:lang w:val="en-US" w:eastAsia="zh-CN"/>
          <w14:textFill>
            <w14:solidFill>
              <w14:schemeClr w14:val="tx1"/>
            </w14:solidFill>
          </w14:textFill>
        </w:rPr>
        <w:t>故发</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生后第1000天时，预测COD超标距离为151m；影响距离为164m，预测NH</w:t>
      </w:r>
      <w:r>
        <w:rPr>
          <w:rFonts w:hint="eastAsia" w:ascii="Times New Roman" w:hAnsi="Times New Roman" w:eastAsia="宋体" w:cs="Times New Roman"/>
          <w:snapToGrid w:val="0"/>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-N超标距离为163m；影响距离为197m。</w:t>
      </w:r>
    </w:p>
    <w:p w14:paraId="0FC292D6">
      <w:pPr>
        <w:snapToGrid w:val="0"/>
        <w:spacing w:line="360" w:lineRule="auto"/>
        <w:ind w:firstLine="480" w:firstLineChars="200"/>
        <w:jc w:val="both"/>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可见如果项目区粪污处理设施发生渗漏，其周围的污染物浓度会很快升高，但向远处扩散的时间会较长。而在实际生产中使用的粪污处理设施的渗漏会很小，再加上该区域的土层对COD和NH</w:t>
      </w:r>
      <w:r>
        <w:rPr>
          <w:rFonts w:hint="eastAsia" w:ascii="Times New Roman" w:hAnsi="Times New Roman" w:eastAsia="宋体" w:cs="Times New Roman"/>
          <w:snapToGrid w:val="0"/>
          <w:color w:val="000000" w:themeColor="text1"/>
          <w:highlight w:val="none"/>
          <w:vertAlign w:val="subscript"/>
          <w:lang w:val="en-US" w:eastAsia="zh-CN"/>
          <w14:textFill>
            <w14:solidFill>
              <w14:schemeClr w14:val="tx1"/>
            </w14:solidFill>
          </w14:textFill>
        </w:rPr>
        <w:t>3</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N这种非连续性的污染物有一定的吸附和降解能力，可减少污水渗漏进入含水层的量，因此，非正常情况下，本工程的污水对下游地下水的水质影响不大。但考虑到地下水一旦受到污染，就很难恢复，评价要求必须加强运行期环境管理，严防废水长时间渗漏，采取严格防渗措施后，本工程对项目区及附近地下水环境的影响较小。</w:t>
      </w:r>
    </w:p>
    <w:p w14:paraId="24A4BA7F">
      <w:pPr>
        <w:snapToGrid w:val="0"/>
        <w:spacing w:line="360" w:lineRule="auto"/>
        <w:ind w:firstLine="480" w:firstLineChars="200"/>
        <w:jc w:val="both"/>
        <w:rPr>
          <w:color w:val="000000" w:themeColor="text1"/>
          <w:highlight w:val="none"/>
          <w14:textFill>
            <w14:solidFill>
              <w14:schemeClr w14:val="tx1"/>
            </w14:solidFill>
          </w14:textFill>
        </w:rPr>
      </w:pP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本工程在设计、施工、运行时，必须严格控制项目区粪污处理设施的无组织泄漏，杜绝长期事故性排放</w:t>
      </w:r>
      <w:r>
        <w:rPr>
          <w:rFonts w:hint="eastAsia" w:cs="Times New Roman"/>
          <w:snapToGrid w:val="0"/>
          <w:color w:val="000000" w:themeColor="text1"/>
          <w:highlight w:val="none"/>
          <w:lang w:val="en-US" w:eastAsia="zh-CN"/>
          <w14:textFill>
            <w14:solidFill>
              <w14:schemeClr w14:val="tx1"/>
            </w14:solidFill>
          </w14:textFill>
        </w:rPr>
        <w:t>源</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存在。严把设计、施工和质量验收关，杜绝因材质、防腐涂层，焊接缺陷及运行失误而造成泄漏。生产运行过程中，必须强化监控</w:t>
      </w:r>
      <w:r>
        <w:rPr>
          <w:rFonts w:hint="eastAsia" w:cs="Times New Roman"/>
          <w:snapToGrid w:val="0"/>
          <w:color w:val="000000" w:themeColor="text1"/>
          <w:highlight w:val="none"/>
          <w:lang w:val="en-US" w:eastAsia="zh-CN"/>
          <w14:textFill>
            <w14:solidFill>
              <w14:schemeClr w14:val="tx1"/>
            </w14:solidFill>
          </w14:textFill>
        </w:rPr>
        <w:t>手段</w:t>
      </w:r>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，定期检查，检漏控漏，保护项目区地下水环境。</w:t>
      </w:r>
    </w:p>
    <w:p w14:paraId="11942160">
      <w:pPr>
        <w:pStyle w:val="4"/>
        <w:rPr>
          <w:color w:val="000000" w:themeColor="text1"/>
          <w:highlight w:val="none"/>
          <w14:textFill>
            <w14:solidFill>
              <w14:schemeClr w14:val="tx1"/>
            </w14:solidFill>
          </w14:textFill>
        </w:rPr>
      </w:pPr>
      <w:bookmarkStart w:id="219" w:name="_Toc22004"/>
      <w:r>
        <w:rPr>
          <w:color w:val="000000" w:themeColor="text1"/>
          <w:highlight w:val="none"/>
          <w14:textFill>
            <w14:solidFill>
              <w14:schemeClr w14:val="tx1"/>
            </w14:solidFill>
          </w14:textFill>
        </w:rPr>
        <w:t>5.2.4噪声环境影响预测与评价</w:t>
      </w:r>
      <w:bookmarkEnd w:id="219"/>
    </w:p>
    <w:p w14:paraId="494CA00B">
      <w:pPr>
        <w:pStyle w:val="5"/>
        <w:numPr>
          <w:ilvl w:val="3"/>
          <w:numId w:val="0"/>
        </w:numPr>
        <w:bidi w:val="0"/>
        <w:ind w:leftChars="0"/>
        <w:rPr>
          <w:rFonts w:hint="default"/>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5.2.4.1噪声源强</w:t>
      </w:r>
    </w:p>
    <w:p w14:paraId="279C0665">
      <w:pPr>
        <w:snapToGrid w:val="0"/>
        <w:spacing w:line="360" w:lineRule="auto"/>
        <w:ind w:firstLine="480" w:firstLineChars="200"/>
        <w:rPr>
          <w:rFonts w:hint="default" w:ascii="Times New Roman" w:hAnsi="Times New Roman" w:cs="Times New Roman"/>
          <w:color w:val="000000" w:themeColor="text1"/>
          <w:highlight w:val="none"/>
          <w:shd w:val="clear" w:color="auto" w:fill="auto"/>
          <w14:textFill>
            <w14:solidFill>
              <w14:schemeClr w14:val="tx1"/>
            </w14:solidFill>
          </w14:textFill>
        </w:rPr>
      </w:pP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本</w:t>
      </w:r>
      <w:r>
        <w:rPr>
          <w:rFonts w:hint="default" w:ascii="Times New Roman" w:hAnsi="Times New Roman" w:cs="Times New Roman"/>
          <w:color w:val="000000" w:themeColor="text1"/>
          <w:highlight w:val="none"/>
          <w:shd w:val="clear" w:color="auto" w:fill="auto"/>
          <w14:textFill>
            <w14:solidFill>
              <w14:schemeClr w14:val="tx1"/>
            </w14:solidFill>
          </w14:textFill>
        </w:rPr>
        <w:t>项目</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建成后</w:t>
      </w:r>
      <w:r>
        <w:rPr>
          <w:rFonts w:hint="default" w:ascii="Times New Roman" w:hAnsi="Times New Roman" w:cs="Times New Roman"/>
          <w:color w:val="000000" w:themeColor="text1"/>
          <w:highlight w:val="none"/>
          <w:shd w:val="clear" w:color="auto" w:fill="auto"/>
          <w14:textFill>
            <w14:solidFill>
              <w14:schemeClr w14:val="tx1"/>
            </w14:solidFill>
          </w14:textFill>
        </w:rPr>
        <w:t>主要噪声源为</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固液分离设备、风机、水泵及猪叫声等</w:t>
      </w:r>
      <w:r>
        <w:rPr>
          <w:rFonts w:hint="default" w:ascii="Times New Roman" w:hAnsi="Times New Roman" w:cs="Times New Roman"/>
          <w:color w:val="000000" w:themeColor="text1"/>
          <w:highlight w:val="none"/>
          <w:shd w:val="clear" w:color="auto" w:fill="auto"/>
          <w14:textFill>
            <w14:solidFill>
              <w14:schemeClr w14:val="tx1"/>
            </w14:solidFill>
          </w14:textFill>
        </w:rPr>
        <w:t>，根据设计文件本项目主要产噪设备均在室内，对噪声源采取基础减振、室内隔声、安装消声器等措施后，降噪效果为15~2</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0</w:t>
      </w:r>
      <w:r>
        <w:rPr>
          <w:rFonts w:hint="default" w:ascii="Times New Roman" w:hAnsi="Times New Roman" w:cs="Times New Roman"/>
          <w:color w:val="000000" w:themeColor="text1"/>
          <w:highlight w:val="none"/>
          <w:shd w:val="clear" w:color="auto" w:fill="auto"/>
          <w14:textFill>
            <w14:solidFill>
              <w14:schemeClr w14:val="tx1"/>
            </w14:solidFill>
          </w14:textFill>
        </w:rPr>
        <w:t>dB(A)</w:t>
      </w:r>
      <w:r>
        <w:rPr>
          <w:rFonts w:hint="eastAsia" w:ascii="Times New Roman" w:hAnsi="Times New Roman" w:cs="Times New Roman"/>
          <w:color w:val="000000" w:themeColor="text1"/>
          <w:highlight w:val="none"/>
          <w:shd w:val="clear" w:color="auto" w:fill="auto"/>
          <w:lang w:eastAsia="zh-CN"/>
          <w14:textFill>
            <w14:solidFill>
              <w14:schemeClr w14:val="tx1"/>
            </w14:solidFill>
          </w14:textFill>
        </w:rPr>
        <w:t>，</w:t>
      </w:r>
      <w:r>
        <w:rPr>
          <w:rFonts w:hint="default" w:ascii="Times New Roman" w:hAnsi="Times New Roman" w:cs="Times New Roman"/>
          <w:color w:val="000000" w:themeColor="text1"/>
          <w:highlight w:val="none"/>
          <w:shd w:val="clear" w:color="auto" w:fill="auto"/>
          <w14:textFill>
            <w14:solidFill>
              <w14:schemeClr w14:val="tx1"/>
            </w14:solidFill>
          </w14:textFill>
        </w:rPr>
        <w:t>各噪声源统计情况见表5.2-</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21</w:t>
      </w:r>
      <w:r>
        <w:rPr>
          <w:rFonts w:hint="eastAsia" w:cs="Times New Roman"/>
          <w:color w:val="000000" w:themeColor="text1"/>
          <w:highlight w:val="none"/>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highlight w:val="none"/>
          <w:shd w:val="clear" w:color="auto" w:fill="auto"/>
          <w14:textFill>
            <w14:solidFill>
              <w14:schemeClr w14:val="tx1"/>
            </w14:solidFill>
          </w14:textFill>
        </w:rPr>
        <w:t>表5.2-</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2</w:t>
      </w:r>
      <w:r>
        <w:rPr>
          <w:rFonts w:hint="eastAsia" w:cs="Times New Roman"/>
          <w:color w:val="000000" w:themeColor="text1"/>
          <w:highlight w:val="none"/>
          <w:shd w:val="clear" w:color="auto" w:fill="auto"/>
          <w:lang w:val="en-US" w:eastAsia="zh-CN"/>
          <w14:textFill>
            <w14:solidFill>
              <w14:schemeClr w14:val="tx1"/>
            </w14:solidFill>
          </w14:textFill>
        </w:rPr>
        <w:t>2</w:t>
      </w:r>
      <w:r>
        <w:rPr>
          <w:rFonts w:hint="default" w:ascii="Times New Roman" w:hAnsi="Times New Roman" w:cs="Times New Roman"/>
          <w:color w:val="000000" w:themeColor="text1"/>
          <w:highlight w:val="none"/>
          <w:shd w:val="clear" w:color="auto" w:fill="auto"/>
          <w14:textFill>
            <w14:solidFill>
              <w14:schemeClr w14:val="tx1"/>
            </w14:solidFill>
          </w14:textFill>
        </w:rPr>
        <w:t>。</w:t>
      </w:r>
    </w:p>
    <w:p w14:paraId="5F260A3D">
      <w:pPr>
        <w:snapToGrid w:val="0"/>
        <w:spacing w:line="240" w:lineRule="auto"/>
        <w:ind w:firstLine="422" w:firstLineChars="200"/>
        <w:jc w:val="center"/>
        <w:rPr>
          <w:rFonts w:hint="default" w:ascii="Times New Roman" w:hAnsi="Times New Roman" w:cs="Times New Roman"/>
          <w:b/>
          <w:color w:val="000000" w:themeColor="text1"/>
          <w:sz w:val="21"/>
          <w:szCs w:val="21"/>
          <w:highlight w:val="none"/>
          <w:shd w:val="clear" w:color="auto" w:fill="auto"/>
          <w14:textFill>
            <w14:solidFill>
              <w14:schemeClr w14:val="tx1"/>
            </w14:solidFill>
          </w14:textFill>
        </w:rPr>
      </w:pPr>
      <w:r>
        <w:rPr>
          <w:rFonts w:hint="default" w:ascii="Times New Roman" w:hAnsi="Times New Roman" w:cs="Times New Roman"/>
          <w:b/>
          <w:color w:val="000000" w:themeColor="text1"/>
          <w:sz w:val="21"/>
          <w:szCs w:val="21"/>
          <w:highlight w:val="none"/>
          <w:shd w:val="clear" w:color="auto" w:fill="auto"/>
          <w14:textFill>
            <w14:solidFill>
              <w14:schemeClr w14:val="tx1"/>
            </w14:solidFill>
          </w14:textFill>
        </w:rPr>
        <w:t>表5.2-</w:t>
      </w:r>
      <w:r>
        <w:rPr>
          <w:rFonts w:hint="eastAsia" w:ascii="Times New Roman" w:hAnsi="Times New Roman" w:cs="Times New Roman"/>
          <w:b/>
          <w:color w:val="000000" w:themeColor="text1"/>
          <w:sz w:val="21"/>
          <w:szCs w:val="21"/>
          <w:highlight w:val="none"/>
          <w:shd w:val="clear" w:color="auto" w:fill="auto"/>
          <w:lang w:val="en-US" w:eastAsia="zh-CN"/>
          <w14:textFill>
            <w14:solidFill>
              <w14:schemeClr w14:val="tx1"/>
            </w14:solidFill>
          </w14:textFill>
        </w:rPr>
        <w:t>21</w:t>
      </w:r>
      <w:r>
        <w:rPr>
          <w:rFonts w:hint="default" w:ascii="Times New Roman" w:hAnsi="Times New Roman" w:cs="Times New Roman"/>
          <w:b/>
          <w:color w:val="000000" w:themeColor="text1"/>
          <w:sz w:val="21"/>
          <w:szCs w:val="21"/>
          <w:highlight w:val="none"/>
          <w:shd w:val="clear" w:color="auto" w:fill="auto"/>
          <w14:textFill>
            <w14:solidFill>
              <w14:schemeClr w14:val="tx1"/>
            </w14:solidFill>
          </w14:textFill>
        </w:rPr>
        <w:t xml:space="preserve">  </w:t>
      </w:r>
      <w:r>
        <w:rPr>
          <w:rFonts w:hint="default" w:ascii="Times New Roman" w:hAnsi="Times New Roman" w:cs="Times New Roman"/>
          <w:b/>
          <w:color w:val="000000" w:themeColor="text1"/>
          <w:sz w:val="21"/>
          <w:szCs w:val="21"/>
          <w:highlight w:val="none"/>
          <w:shd w:val="clear" w:color="auto" w:fill="auto"/>
          <w:lang w:eastAsia="zh-CN"/>
          <w14:textFill>
            <w14:solidFill>
              <w14:schemeClr w14:val="tx1"/>
            </w14:solidFill>
          </w14:textFill>
        </w:rPr>
        <w:t>工业企业噪声源强调查清单（室</w:t>
      </w:r>
      <w:r>
        <w:rPr>
          <w:rFonts w:hint="eastAsia" w:cs="Times New Roman"/>
          <w:b/>
          <w:color w:val="000000" w:themeColor="text1"/>
          <w:sz w:val="21"/>
          <w:szCs w:val="21"/>
          <w:highlight w:val="none"/>
          <w:shd w:val="clear" w:color="auto" w:fill="auto"/>
          <w:lang w:val="en-US" w:eastAsia="zh-CN"/>
          <w14:textFill>
            <w14:solidFill>
              <w14:schemeClr w14:val="tx1"/>
            </w14:solidFill>
          </w14:textFill>
        </w:rPr>
        <w:t>内</w:t>
      </w:r>
      <w:r>
        <w:rPr>
          <w:rFonts w:hint="default" w:ascii="Times New Roman" w:hAnsi="Times New Roman" w:cs="Times New Roman"/>
          <w:b/>
          <w:color w:val="000000" w:themeColor="text1"/>
          <w:sz w:val="21"/>
          <w:szCs w:val="21"/>
          <w:highlight w:val="none"/>
          <w:shd w:val="clear" w:color="auto" w:fill="auto"/>
          <w:lang w:eastAsia="zh-CN"/>
          <w14:textFill>
            <w14:solidFill>
              <w14:schemeClr w14:val="tx1"/>
            </w14:solidFill>
          </w14:textFill>
        </w:rPr>
        <w:t>声源</w:t>
      </w:r>
      <w:r>
        <w:rPr>
          <w:rFonts w:hint="eastAsia" w:cs="Times New Roman"/>
          <w:b/>
          <w:color w:val="000000" w:themeColor="text1"/>
          <w:sz w:val="21"/>
          <w:szCs w:val="21"/>
          <w:highlight w:val="none"/>
          <w:shd w:val="clear" w:color="auto" w:fill="auto"/>
          <w:lang w:eastAsia="zh-CN"/>
          <w14:textFill>
            <w14:solidFill>
              <w14:schemeClr w14:val="tx1"/>
            </w14:solidFill>
          </w14:textFill>
        </w:rPr>
        <w:t>）</w:t>
      </w:r>
    </w:p>
    <w:tbl>
      <w:tblPr>
        <w:tblStyle w:val="33"/>
        <w:tblW w:w="8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2"/>
        <w:gridCol w:w="766"/>
        <w:gridCol w:w="731"/>
        <w:gridCol w:w="878"/>
        <w:gridCol w:w="750"/>
        <w:gridCol w:w="825"/>
        <w:gridCol w:w="825"/>
        <w:gridCol w:w="829"/>
        <w:gridCol w:w="676"/>
        <w:gridCol w:w="586"/>
        <w:gridCol w:w="652"/>
        <w:gridCol w:w="696"/>
      </w:tblGrid>
      <w:tr w14:paraId="0D4A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exact"/>
          <w:jc w:val="center"/>
        </w:trPr>
        <w:tc>
          <w:tcPr>
            <w:tcW w:w="522" w:type="dxa"/>
            <w:vMerge w:val="restart"/>
            <w:vAlign w:val="center"/>
          </w:tcPr>
          <w:p w14:paraId="1442AE9E">
            <w:pPr>
              <w:spacing w:line="240" w:lineRule="auto"/>
              <w:jc w:val="center"/>
              <w:rPr>
                <w:rFonts w:hint="eastAsia"/>
                <w:b/>
                <w:bCs/>
                <w:color w:val="000000" w:themeColor="text1"/>
                <w:sz w:val="21"/>
                <w:szCs w:val="21"/>
                <w:highlight w:val="none"/>
                <w14:textFill>
                  <w14:solidFill>
                    <w14:schemeClr w14:val="tx1"/>
                  </w14:solidFill>
                </w14:textFill>
              </w:rPr>
            </w:pPr>
            <w:bookmarkStart w:id="220" w:name="PT_6"/>
            <w:r>
              <w:rPr>
                <w:rFonts w:hint="eastAsia"/>
                <w:b/>
                <w:bCs/>
                <w:color w:val="000000" w:themeColor="text1"/>
                <w:sz w:val="21"/>
                <w:szCs w:val="21"/>
                <w:highlight w:val="none"/>
                <w14:textFill>
                  <w14:solidFill>
                    <w14:schemeClr w14:val="tx1"/>
                  </w14:solidFill>
                </w14:textFill>
              </w:rPr>
              <w:t>序号</w:t>
            </w:r>
          </w:p>
        </w:tc>
        <w:tc>
          <w:tcPr>
            <w:tcW w:w="766" w:type="dxa"/>
            <w:vMerge w:val="restart"/>
            <w:vAlign w:val="center"/>
          </w:tcPr>
          <w:p w14:paraId="1C47DA4A">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建筑物名称</w:t>
            </w:r>
          </w:p>
        </w:tc>
        <w:tc>
          <w:tcPr>
            <w:tcW w:w="731" w:type="dxa"/>
            <w:vMerge w:val="restart"/>
            <w:vAlign w:val="center"/>
          </w:tcPr>
          <w:p w14:paraId="078A2ECA">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声源名称</w:t>
            </w:r>
          </w:p>
        </w:tc>
        <w:tc>
          <w:tcPr>
            <w:tcW w:w="878" w:type="dxa"/>
            <w:vAlign w:val="center"/>
          </w:tcPr>
          <w:p w14:paraId="79F94015">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声源源强</w:t>
            </w:r>
          </w:p>
        </w:tc>
        <w:tc>
          <w:tcPr>
            <w:tcW w:w="750" w:type="dxa"/>
            <w:vMerge w:val="restart"/>
            <w:vAlign w:val="center"/>
          </w:tcPr>
          <w:p w14:paraId="5F35D39E">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声源控制措施</w:t>
            </w:r>
          </w:p>
        </w:tc>
        <w:tc>
          <w:tcPr>
            <w:tcW w:w="2479" w:type="dxa"/>
            <w:gridSpan w:val="3"/>
            <w:vAlign w:val="center"/>
          </w:tcPr>
          <w:p w14:paraId="4A11F07F">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空间相对位置/m</w:t>
            </w:r>
          </w:p>
        </w:tc>
        <w:tc>
          <w:tcPr>
            <w:tcW w:w="676" w:type="dxa"/>
            <w:vMerge w:val="restart"/>
            <w:vAlign w:val="center"/>
          </w:tcPr>
          <w:p w14:paraId="6C6C9986">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室内边界声级/dB(A)</w:t>
            </w:r>
          </w:p>
        </w:tc>
        <w:tc>
          <w:tcPr>
            <w:tcW w:w="586" w:type="dxa"/>
            <w:vMerge w:val="restart"/>
            <w:vAlign w:val="center"/>
          </w:tcPr>
          <w:p w14:paraId="0AC4A081">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运行时段</w:t>
            </w:r>
          </w:p>
        </w:tc>
        <w:tc>
          <w:tcPr>
            <w:tcW w:w="652" w:type="dxa"/>
            <w:vMerge w:val="restart"/>
            <w:vAlign w:val="center"/>
          </w:tcPr>
          <w:p w14:paraId="3B6D58E9">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建筑物插入损失 / dB(A)</w:t>
            </w:r>
            <w:bookmarkStart w:id="221" w:name="PT_10"/>
            <w:bookmarkEnd w:id="221"/>
          </w:p>
        </w:tc>
        <w:tc>
          <w:tcPr>
            <w:tcW w:w="696" w:type="dxa"/>
            <w:vMerge w:val="restart"/>
            <w:vAlign w:val="center"/>
          </w:tcPr>
          <w:p w14:paraId="4397E0B7">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建筑物外噪声声压级/dB(A)</w:t>
            </w:r>
          </w:p>
        </w:tc>
      </w:tr>
      <w:tr w14:paraId="60531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122" w:hRule="atLeast"/>
          <w:jc w:val="center"/>
        </w:trPr>
        <w:tc>
          <w:tcPr>
            <w:tcW w:w="522" w:type="dxa"/>
            <w:vMerge w:val="continue"/>
            <w:shd w:val="clear" w:color="auto" w:fill="FFFFFF"/>
            <w:tcMar>
              <w:top w:w="0" w:type="dxa"/>
              <w:left w:w="0" w:type="dxa"/>
              <w:bottom w:w="0" w:type="dxa"/>
              <w:right w:w="0" w:type="dxa"/>
            </w:tcMar>
            <w:vAlign w:val="center"/>
          </w:tcPr>
          <w:p w14:paraId="563CEBEA">
            <w:pPr>
              <w:spacing w:line="240" w:lineRule="auto"/>
              <w:jc w:val="center"/>
              <w:rPr>
                <w:rFonts w:hint="default"/>
                <w:color w:val="000000" w:themeColor="text1"/>
                <w:sz w:val="21"/>
                <w:szCs w:val="21"/>
                <w:highlight w:val="none"/>
                <w:lang w:val="en-US" w:eastAsia="zh-CN"/>
                <w14:textFill>
                  <w14:solidFill>
                    <w14:schemeClr w14:val="tx1"/>
                  </w14:solidFill>
                </w14:textFill>
              </w:rPr>
            </w:pPr>
          </w:p>
        </w:tc>
        <w:tc>
          <w:tcPr>
            <w:tcW w:w="766" w:type="dxa"/>
            <w:vMerge w:val="continue"/>
            <w:shd w:val="clear" w:color="auto" w:fill="FFFFFF"/>
            <w:tcMar>
              <w:top w:w="0" w:type="dxa"/>
              <w:left w:w="0" w:type="dxa"/>
              <w:bottom w:w="0" w:type="dxa"/>
              <w:right w:w="0" w:type="dxa"/>
            </w:tcMar>
            <w:vAlign w:val="center"/>
          </w:tcPr>
          <w:p w14:paraId="5CB5B9F9">
            <w:pPr>
              <w:spacing w:line="240" w:lineRule="auto"/>
              <w:jc w:val="center"/>
              <w:rPr>
                <w:rFonts w:hint="eastAsia"/>
                <w:color w:val="000000" w:themeColor="text1"/>
                <w:sz w:val="21"/>
                <w:szCs w:val="21"/>
                <w:highlight w:val="none"/>
                <w14:textFill>
                  <w14:solidFill>
                    <w14:schemeClr w14:val="tx1"/>
                  </w14:solidFill>
                </w14:textFill>
              </w:rPr>
            </w:pPr>
          </w:p>
        </w:tc>
        <w:tc>
          <w:tcPr>
            <w:tcW w:w="731" w:type="dxa"/>
            <w:vMerge w:val="continue"/>
            <w:shd w:val="clear" w:color="auto" w:fill="FFFFFF"/>
            <w:tcMar>
              <w:top w:w="0" w:type="dxa"/>
              <w:left w:w="0" w:type="dxa"/>
              <w:bottom w:w="0" w:type="dxa"/>
              <w:right w:w="0" w:type="dxa"/>
            </w:tcMar>
            <w:vAlign w:val="center"/>
          </w:tcPr>
          <w:p w14:paraId="62E67347">
            <w:pPr>
              <w:spacing w:line="240" w:lineRule="auto"/>
              <w:jc w:val="center"/>
              <w:rPr>
                <w:rFonts w:hint="eastAsia"/>
                <w:color w:val="000000" w:themeColor="text1"/>
                <w:sz w:val="21"/>
                <w:szCs w:val="21"/>
                <w:highlight w:val="none"/>
                <w14:textFill>
                  <w14:solidFill>
                    <w14:schemeClr w14:val="tx1"/>
                  </w14:solidFill>
                </w14:textFill>
              </w:rPr>
            </w:pPr>
          </w:p>
        </w:tc>
        <w:tc>
          <w:tcPr>
            <w:tcW w:w="878" w:type="dxa"/>
            <w:shd w:val="clear" w:color="auto" w:fill="FFFFFF"/>
            <w:tcMar>
              <w:top w:w="0" w:type="dxa"/>
              <w:left w:w="0" w:type="dxa"/>
              <w:bottom w:w="0" w:type="dxa"/>
              <w:right w:w="0" w:type="dxa"/>
            </w:tcMar>
            <w:vAlign w:val="center"/>
          </w:tcPr>
          <w:p w14:paraId="11724EAC">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声功率级/dB(A)</w:t>
            </w:r>
          </w:p>
        </w:tc>
        <w:tc>
          <w:tcPr>
            <w:tcW w:w="750" w:type="dxa"/>
            <w:vMerge w:val="continue"/>
            <w:shd w:val="clear" w:color="auto" w:fill="FFFFFF"/>
            <w:tcMar>
              <w:top w:w="0" w:type="dxa"/>
              <w:left w:w="0" w:type="dxa"/>
              <w:bottom w:w="0" w:type="dxa"/>
              <w:right w:w="0" w:type="dxa"/>
            </w:tcMar>
            <w:vAlign w:val="center"/>
          </w:tcPr>
          <w:p w14:paraId="7D91DFF5">
            <w:pPr>
              <w:spacing w:line="240" w:lineRule="auto"/>
              <w:jc w:val="center"/>
              <w:rPr>
                <w:rFonts w:hint="eastAsia"/>
                <w:b/>
                <w:bCs/>
                <w:color w:val="000000" w:themeColor="text1"/>
                <w:sz w:val="21"/>
                <w:szCs w:val="21"/>
                <w:highlight w:val="none"/>
                <w14:textFill>
                  <w14:solidFill>
                    <w14:schemeClr w14:val="tx1"/>
                  </w14:solidFill>
                </w14:textFill>
              </w:rPr>
            </w:pPr>
          </w:p>
        </w:tc>
        <w:tc>
          <w:tcPr>
            <w:tcW w:w="825" w:type="dxa"/>
            <w:shd w:val="clear" w:color="auto" w:fill="FFFFFF"/>
            <w:tcMar>
              <w:top w:w="0" w:type="dxa"/>
              <w:left w:w="0" w:type="dxa"/>
              <w:bottom w:w="0" w:type="dxa"/>
              <w:right w:w="0" w:type="dxa"/>
            </w:tcMar>
            <w:vAlign w:val="center"/>
          </w:tcPr>
          <w:p w14:paraId="542500A3">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X</w:t>
            </w:r>
          </w:p>
        </w:tc>
        <w:tc>
          <w:tcPr>
            <w:tcW w:w="825" w:type="dxa"/>
            <w:shd w:val="clear" w:color="auto" w:fill="FFFFFF"/>
            <w:tcMar>
              <w:top w:w="0" w:type="dxa"/>
              <w:left w:w="0" w:type="dxa"/>
              <w:bottom w:w="0" w:type="dxa"/>
              <w:right w:w="0" w:type="dxa"/>
            </w:tcMar>
            <w:vAlign w:val="center"/>
          </w:tcPr>
          <w:p w14:paraId="711A1A2F">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Y</w:t>
            </w:r>
          </w:p>
        </w:tc>
        <w:tc>
          <w:tcPr>
            <w:tcW w:w="829" w:type="dxa"/>
            <w:shd w:val="clear" w:color="auto" w:fill="FFFFFF"/>
            <w:tcMar>
              <w:top w:w="0" w:type="dxa"/>
              <w:left w:w="0" w:type="dxa"/>
              <w:bottom w:w="0" w:type="dxa"/>
              <w:right w:w="0" w:type="dxa"/>
            </w:tcMar>
            <w:vAlign w:val="center"/>
          </w:tcPr>
          <w:p w14:paraId="779C82A9">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Z</w:t>
            </w:r>
          </w:p>
        </w:tc>
        <w:tc>
          <w:tcPr>
            <w:tcW w:w="676" w:type="dxa"/>
            <w:vMerge w:val="continue"/>
            <w:shd w:val="clear" w:color="auto" w:fill="FFFFFF"/>
            <w:tcMar>
              <w:top w:w="0" w:type="dxa"/>
              <w:left w:w="0" w:type="dxa"/>
              <w:bottom w:w="0" w:type="dxa"/>
              <w:right w:w="0" w:type="dxa"/>
            </w:tcMar>
            <w:vAlign w:val="center"/>
          </w:tcPr>
          <w:p w14:paraId="435862EF">
            <w:pPr>
              <w:spacing w:line="240" w:lineRule="auto"/>
              <w:jc w:val="center"/>
              <w:rPr>
                <w:rFonts w:hint="eastAsia"/>
                <w:color w:val="000000" w:themeColor="text1"/>
                <w:sz w:val="21"/>
                <w:szCs w:val="21"/>
                <w:highlight w:val="none"/>
                <w14:textFill>
                  <w14:solidFill>
                    <w14:schemeClr w14:val="tx1"/>
                  </w14:solidFill>
                </w14:textFill>
              </w:rPr>
            </w:pPr>
          </w:p>
        </w:tc>
        <w:tc>
          <w:tcPr>
            <w:tcW w:w="586" w:type="dxa"/>
            <w:vMerge w:val="continue"/>
            <w:shd w:val="clear" w:color="auto" w:fill="FFFFFF"/>
            <w:tcMar>
              <w:top w:w="0" w:type="dxa"/>
              <w:left w:w="0" w:type="dxa"/>
              <w:bottom w:w="0" w:type="dxa"/>
              <w:right w:w="0" w:type="dxa"/>
            </w:tcMar>
            <w:vAlign w:val="center"/>
          </w:tcPr>
          <w:p w14:paraId="241D3DFE">
            <w:pPr>
              <w:spacing w:line="240" w:lineRule="auto"/>
              <w:jc w:val="center"/>
              <w:rPr>
                <w:rFonts w:hint="eastAsia"/>
                <w:color w:val="000000" w:themeColor="text1"/>
                <w:sz w:val="21"/>
                <w:szCs w:val="21"/>
                <w:highlight w:val="none"/>
                <w14:textFill>
                  <w14:solidFill>
                    <w14:schemeClr w14:val="tx1"/>
                  </w14:solidFill>
                </w14:textFill>
              </w:rPr>
            </w:pPr>
          </w:p>
        </w:tc>
        <w:tc>
          <w:tcPr>
            <w:tcW w:w="652" w:type="dxa"/>
            <w:vMerge w:val="continue"/>
            <w:shd w:val="clear" w:color="auto" w:fill="FFFFFF"/>
            <w:tcMar>
              <w:top w:w="0" w:type="dxa"/>
              <w:left w:w="0" w:type="dxa"/>
              <w:bottom w:w="0" w:type="dxa"/>
              <w:right w:w="0" w:type="dxa"/>
            </w:tcMar>
            <w:vAlign w:val="center"/>
          </w:tcPr>
          <w:p w14:paraId="7BF4C3C7">
            <w:pPr>
              <w:spacing w:line="240" w:lineRule="auto"/>
              <w:jc w:val="center"/>
              <w:rPr>
                <w:rFonts w:hint="eastAsia"/>
                <w:color w:val="000000" w:themeColor="text1"/>
                <w:sz w:val="21"/>
                <w:szCs w:val="21"/>
                <w:highlight w:val="none"/>
                <w14:textFill>
                  <w14:solidFill>
                    <w14:schemeClr w14:val="tx1"/>
                  </w14:solidFill>
                </w14:textFill>
              </w:rPr>
            </w:pPr>
          </w:p>
        </w:tc>
        <w:tc>
          <w:tcPr>
            <w:tcW w:w="696" w:type="dxa"/>
            <w:vMerge w:val="continue"/>
            <w:shd w:val="clear" w:color="auto" w:fill="FFFFFF"/>
            <w:tcMar>
              <w:top w:w="0" w:type="dxa"/>
              <w:left w:w="0" w:type="dxa"/>
              <w:bottom w:w="0" w:type="dxa"/>
              <w:right w:w="0" w:type="dxa"/>
            </w:tcMar>
            <w:vAlign w:val="center"/>
          </w:tcPr>
          <w:p w14:paraId="0B3B0A09">
            <w:pPr>
              <w:spacing w:line="240" w:lineRule="auto"/>
              <w:jc w:val="center"/>
              <w:rPr>
                <w:rFonts w:hint="eastAsia"/>
                <w:color w:val="000000" w:themeColor="text1"/>
                <w:sz w:val="21"/>
                <w:szCs w:val="21"/>
                <w:highlight w:val="none"/>
                <w14:textFill>
                  <w14:solidFill>
                    <w14:schemeClr w14:val="tx1"/>
                  </w14:solidFill>
                </w14:textFill>
              </w:rPr>
            </w:pPr>
          </w:p>
        </w:tc>
      </w:tr>
      <w:tr w14:paraId="768A0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4" w:hRule="atLeast"/>
          <w:jc w:val="center"/>
        </w:trPr>
        <w:tc>
          <w:tcPr>
            <w:tcW w:w="522" w:type="dxa"/>
            <w:shd w:val="clear" w:color="auto" w:fill="FFFFFF"/>
            <w:tcMar>
              <w:top w:w="0" w:type="dxa"/>
              <w:left w:w="0" w:type="dxa"/>
              <w:bottom w:w="0" w:type="dxa"/>
              <w:right w:w="0" w:type="dxa"/>
            </w:tcMar>
            <w:vAlign w:val="center"/>
          </w:tcPr>
          <w:p w14:paraId="3422EA98">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766" w:type="dxa"/>
            <w:shd w:val="clear" w:color="auto" w:fill="FFFFFF"/>
            <w:tcMar>
              <w:top w:w="0" w:type="dxa"/>
              <w:left w:w="0" w:type="dxa"/>
              <w:bottom w:w="0" w:type="dxa"/>
              <w:right w:w="0" w:type="dxa"/>
            </w:tcMar>
            <w:vAlign w:val="center"/>
          </w:tcPr>
          <w:p w14:paraId="7D5D46A0">
            <w:pPr>
              <w:spacing w:line="240" w:lineRule="auto"/>
              <w:jc w:val="center"/>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水</w:t>
            </w:r>
            <w:r>
              <w:rPr>
                <w:rFonts w:hint="eastAsia"/>
                <w:color w:val="000000" w:themeColor="text1"/>
                <w:sz w:val="21"/>
                <w:szCs w:val="21"/>
                <w:highlight w:val="none"/>
                <w:lang w:val="en-US" w:eastAsia="zh-CN"/>
                <w14:textFill>
                  <w14:solidFill>
                    <w14:schemeClr w14:val="tx1"/>
                  </w14:solidFill>
                </w14:textFill>
              </w:rPr>
              <w:t>塔</w:t>
            </w:r>
          </w:p>
        </w:tc>
        <w:tc>
          <w:tcPr>
            <w:tcW w:w="731" w:type="dxa"/>
            <w:shd w:val="clear" w:color="auto" w:fill="FFFFFF"/>
            <w:tcMar>
              <w:top w:w="0" w:type="dxa"/>
              <w:left w:w="0" w:type="dxa"/>
              <w:bottom w:w="0" w:type="dxa"/>
              <w:right w:w="0" w:type="dxa"/>
            </w:tcMar>
            <w:vAlign w:val="center"/>
          </w:tcPr>
          <w:p w14:paraId="7B3FD5D3">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水泵</w:t>
            </w:r>
          </w:p>
        </w:tc>
        <w:tc>
          <w:tcPr>
            <w:tcW w:w="878" w:type="dxa"/>
            <w:shd w:val="clear" w:color="auto" w:fill="FFFFFF"/>
            <w:tcMar>
              <w:top w:w="0" w:type="dxa"/>
              <w:left w:w="0" w:type="dxa"/>
              <w:bottom w:w="0" w:type="dxa"/>
              <w:right w:w="0" w:type="dxa"/>
            </w:tcMar>
            <w:vAlign w:val="center"/>
          </w:tcPr>
          <w:p w14:paraId="466042FF">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80</w:t>
            </w:r>
          </w:p>
        </w:tc>
        <w:tc>
          <w:tcPr>
            <w:tcW w:w="750" w:type="dxa"/>
            <w:vMerge w:val="restart"/>
            <w:shd w:val="clear" w:color="auto" w:fill="FFFFFF"/>
            <w:tcMar>
              <w:top w:w="0" w:type="dxa"/>
              <w:left w:w="0" w:type="dxa"/>
              <w:bottom w:w="0" w:type="dxa"/>
              <w:right w:w="0" w:type="dxa"/>
            </w:tcMar>
            <w:vAlign w:val="center"/>
          </w:tcPr>
          <w:p w14:paraId="25ED11B0">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隔声、减震</w:t>
            </w:r>
          </w:p>
        </w:tc>
        <w:tc>
          <w:tcPr>
            <w:tcW w:w="825" w:type="dxa"/>
            <w:shd w:val="clear" w:color="auto" w:fill="FFFFFF"/>
            <w:tcMar>
              <w:top w:w="0" w:type="dxa"/>
              <w:left w:w="0" w:type="dxa"/>
              <w:bottom w:w="0" w:type="dxa"/>
              <w:right w:w="0" w:type="dxa"/>
            </w:tcMar>
            <w:vAlign w:val="center"/>
          </w:tcPr>
          <w:p w14:paraId="6D446844">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14.4</w:t>
            </w:r>
          </w:p>
        </w:tc>
        <w:tc>
          <w:tcPr>
            <w:tcW w:w="825" w:type="dxa"/>
            <w:shd w:val="clear" w:color="auto" w:fill="FFFFFF"/>
            <w:tcMar>
              <w:top w:w="0" w:type="dxa"/>
              <w:left w:w="0" w:type="dxa"/>
              <w:bottom w:w="0" w:type="dxa"/>
              <w:right w:w="0" w:type="dxa"/>
            </w:tcMar>
            <w:vAlign w:val="center"/>
          </w:tcPr>
          <w:p w14:paraId="6FDE256A">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-285.2</w:t>
            </w:r>
          </w:p>
        </w:tc>
        <w:tc>
          <w:tcPr>
            <w:tcW w:w="829" w:type="dxa"/>
            <w:shd w:val="clear" w:color="auto" w:fill="FFFFFF"/>
            <w:tcMar>
              <w:top w:w="0" w:type="dxa"/>
              <w:left w:w="0" w:type="dxa"/>
              <w:bottom w:w="0" w:type="dxa"/>
              <w:right w:w="0" w:type="dxa"/>
            </w:tcMar>
            <w:vAlign w:val="center"/>
          </w:tcPr>
          <w:p w14:paraId="5FC957C4">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676" w:type="dxa"/>
            <w:shd w:val="clear" w:color="auto" w:fill="FFFFFF"/>
            <w:tcMar>
              <w:top w:w="0" w:type="dxa"/>
              <w:left w:w="0" w:type="dxa"/>
              <w:bottom w:w="0" w:type="dxa"/>
              <w:right w:w="0" w:type="dxa"/>
            </w:tcMar>
            <w:vAlign w:val="center"/>
          </w:tcPr>
          <w:p w14:paraId="16EC377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78.0</w:t>
            </w:r>
          </w:p>
        </w:tc>
        <w:tc>
          <w:tcPr>
            <w:tcW w:w="586" w:type="dxa"/>
            <w:shd w:val="clear" w:color="auto" w:fill="FFFFFF"/>
            <w:tcMar>
              <w:top w:w="0" w:type="dxa"/>
              <w:left w:w="0" w:type="dxa"/>
              <w:bottom w:w="0" w:type="dxa"/>
              <w:right w:w="0" w:type="dxa"/>
            </w:tcMar>
            <w:vAlign w:val="center"/>
          </w:tcPr>
          <w:p w14:paraId="1A1C0DCA">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52" w:type="dxa"/>
            <w:shd w:val="clear" w:color="auto" w:fill="FFFFFF"/>
            <w:tcMar>
              <w:top w:w="0" w:type="dxa"/>
              <w:left w:w="0" w:type="dxa"/>
              <w:bottom w:w="0" w:type="dxa"/>
              <w:right w:w="0" w:type="dxa"/>
            </w:tcMar>
            <w:vAlign w:val="center"/>
          </w:tcPr>
          <w:p w14:paraId="40351229">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26.0</w:t>
            </w:r>
          </w:p>
        </w:tc>
        <w:tc>
          <w:tcPr>
            <w:tcW w:w="696" w:type="dxa"/>
            <w:shd w:val="clear" w:color="auto" w:fill="FFFFFF"/>
            <w:tcMar>
              <w:top w:w="0" w:type="dxa"/>
              <w:left w:w="0" w:type="dxa"/>
              <w:bottom w:w="0" w:type="dxa"/>
              <w:right w:w="0" w:type="dxa"/>
            </w:tcMar>
            <w:vAlign w:val="center"/>
          </w:tcPr>
          <w:p w14:paraId="5FA29138">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52.0</w:t>
            </w:r>
          </w:p>
        </w:tc>
      </w:tr>
      <w:tr w14:paraId="40578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6" w:hRule="atLeast"/>
          <w:jc w:val="center"/>
        </w:trPr>
        <w:tc>
          <w:tcPr>
            <w:tcW w:w="522" w:type="dxa"/>
            <w:shd w:val="clear" w:color="auto" w:fill="FFFFFF"/>
            <w:tcMar>
              <w:top w:w="0" w:type="dxa"/>
              <w:left w:w="0" w:type="dxa"/>
              <w:bottom w:w="0" w:type="dxa"/>
              <w:right w:w="0" w:type="dxa"/>
            </w:tcMar>
            <w:vAlign w:val="center"/>
          </w:tcPr>
          <w:p w14:paraId="4B6E4115">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766" w:type="dxa"/>
            <w:shd w:val="clear" w:color="auto" w:fill="FFFFFF"/>
            <w:tcMar>
              <w:top w:w="0" w:type="dxa"/>
              <w:left w:w="0" w:type="dxa"/>
              <w:bottom w:w="0" w:type="dxa"/>
              <w:right w:w="0" w:type="dxa"/>
            </w:tcMar>
            <w:vAlign w:val="center"/>
          </w:tcPr>
          <w:p w14:paraId="06B80C6E">
            <w:pPr>
              <w:spacing w:line="240" w:lineRule="auto"/>
              <w:jc w:val="center"/>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干湿分离间</w:t>
            </w:r>
          </w:p>
        </w:tc>
        <w:tc>
          <w:tcPr>
            <w:tcW w:w="731" w:type="dxa"/>
            <w:shd w:val="clear" w:color="auto" w:fill="FFFFFF"/>
            <w:tcMar>
              <w:top w:w="0" w:type="dxa"/>
              <w:left w:w="0" w:type="dxa"/>
              <w:bottom w:w="0" w:type="dxa"/>
              <w:right w:w="0" w:type="dxa"/>
            </w:tcMar>
            <w:vAlign w:val="center"/>
          </w:tcPr>
          <w:p w14:paraId="624F38E6">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固液分离机</w:t>
            </w:r>
          </w:p>
        </w:tc>
        <w:tc>
          <w:tcPr>
            <w:tcW w:w="878" w:type="dxa"/>
            <w:shd w:val="clear" w:color="auto" w:fill="FFFFFF"/>
            <w:tcMar>
              <w:top w:w="0" w:type="dxa"/>
              <w:left w:w="0" w:type="dxa"/>
              <w:bottom w:w="0" w:type="dxa"/>
              <w:right w:w="0" w:type="dxa"/>
            </w:tcMar>
            <w:vAlign w:val="center"/>
          </w:tcPr>
          <w:p w14:paraId="6264881F">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85</w:t>
            </w:r>
          </w:p>
        </w:tc>
        <w:tc>
          <w:tcPr>
            <w:tcW w:w="750" w:type="dxa"/>
            <w:vMerge w:val="continue"/>
            <w:shd w:val="clear" w:color="auto" w:fill="FFFFFF"/>
            <w:tcMar>
              <w:top w:w="0" w:type="dxa"/>
              <w:left w:w="0" w:type="dxa"/>
              <w:bottom w:w="0" w:type="dxa"/>
              <w:right w:w="0" w:type="dxa"/>
            </w:tcMar>
            <w:vAlign w:val="center"/>
          </w:tcPr>
          <w:p w14:paraId="55355B48">
            <w:pPr>
              <w:spacing w:line="240" w:lineRule="auto"/>
              <w:jc w:val="center"/>
              <w:rPr>
                <w:rFonts w:hint="eastAsia"/>
                <w:color w:val="000000" w:themeColor="text1"/>
                <w:sz w:val="21"/>
                <w:szCs w:val="21"/>
                <w:highlight w:val="none"/>
                <w14:textFill>
                  <w14:solidFill>
                    <w14:schemeClr w14:val="tx1"/>
                  </w14:solidFill>
                </w14:textFill>
              </w:rPr>
            </w:pPr>
          </w:p>
        </w:tc>
        <w:tc>
          <w:tcPr>
            <w:tcW w:w="825" w:type="dxa"/>
            <w:shd w:val="clear" w:color="auto" w:fill="FFFFFF"/>
            <w:tcMar>
              <w:top w:w="0" w:type="dxa"/>
              <w:left w:w="0" w:type="dxa"/>
              <w:bottom w:w="0" w:type="dxa"/>
              <w:right w:w="0" w:type="dxa"/>
            </w:tcMar>
            <w:vAlign w:val="center"/>
          </w:tcPr>
          <w:p w14:paraId="40A13125">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-69.9</w:t>
            </w:r>
          </w:p>
        </w:tc>
        <w:tc>
          <w:tcPr>
            <w:tcW w:w="825" w:type="dxa"/>
            <w:shd w:val="clear" w:color="auto" w:fill="FFFFFF"/>
            <w:tcMar>
              <w:top w:w="0" w:type="dxa"/>
              <w:left w:w="0" w:type="dxa"/>
              <w:bottom w:w="0" w:type="dxa"/>
              <w:right w:w="0" w:type="dxa"/>
            </w:tcMar>
            <w:vAlign w:val="center"/>
          </w:tcPr>
          <w:p w14:paraId="412A29B8">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231.4</w:t>
            </w:r>
          </w:p>
        </w:tc>
        <w:tc>
          <w:tcPr>
            <w:tcW w:w="829" w:type="dxa"/>
            <w:shd w:val="clear" w:color="auto" w:fill="FFFFFF"/>
            <w:tcMar>
              <w:top w:w="0" w:type="dxa"/>
              <w:left w:w="0" w:type="dxa"/>
              <w:bottom w:w="0" w:type="dxa"/>
              <w:right w:w="0" w:type="dxa"/>
            </w:tcMar>
            <w:vAlign w:val="center"/>
          </w:tcPr>
          <w:p w14:paraId="6BD42202">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676" w:type="dxa"/>
            <w:shd w:val="clear" w:color="auto" w:fill="FFFFFF"/>
            <w:tcMar>
              <w:top w:w="0" w:type="dxa"/>
              <w:left w:w="0" w:type="dxa"/>
              <w:bottom w:w="0" w:type="dxa"/>
              <w:right w:w="0" w:type="dxa"/>
            </w:tcMar>
            <w:vAlign w:val="center"/>
          </w:tcPr>
          <w:p w14:paraId="47BDE877">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78.3</w:t>
            </w:r>
          </w:p>
        </w:tc>
        <w:tc>
          <w:tcPr>
            <w:tcW w:w="586" w:type="dxa"/>
            <w:shd w:val="clear" w:color="auto" w:fill="FFFFFF"/>
            <w:tcMar>
              <w:top w:w="0" w:type="dxa"/>
              <w:left w:w="0" w:type="dxa"/>
              <w:bottom w:w="0" w:type="dxa"/>
              <w:right w:w="0" w:type="dxa"/>
            </w:tcMar>
            <w:vAlign w:val="center"/>
          </w:tcPr>
          <w:p w14:paraId="717AAAD3">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52" w:type="dxa"/>
            <w:shd w:val="clear" w:color="auto" w:fill="FFFFFF"/>
            <w:tcMar>
              <w:top w:w="0" w:type="dxa"/>
              <w:left w:w="0" w:type="dxa"/>
              <w:bottom w:w="0" w:type="dxa"/>
              <w:right w:w="0" w:type="dxa"/>
            </w:tcMar>
            <w:vAlign w:val="center"/>
          </w:tcPr>
          <w:p w14:paraId="7E6C930F">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26.0</w:t>
            </w:r>
          </w:p>
        </w:tc>
        <w:tc>
          <w:tcPr>
            <w:tcW w:w="696" w:type="dxa"/>
            <w:shd w:val="clear" w:color="auto" w:fill="FFFFFF"/>
            <w:tcMar>
              <w:top w:w="0" w:type="dxa"/>
              <w:left w:w="0" w:type="dxa"/>
              <w:bottom w:w="0" w:type="dxa"/>
              <w:right w:w="0" w:type="dxa"/>
            </w:tcMar>
            <w:vAlign w:val="center"/>
          </w:tcPr>
          <w:p w14:paraId="6494A466">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52.3</w:t>
            </w:r>
          </w:p>
        </w:tc>
      </w:tr>
      <w:tr w14:paraId="72C89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16" w:hRule="atLeast"/>
          <w:jc w:val="center"/>
        </w:trPr>
        <w:tc>
          <w:tcPr>
            <w:tcW w:w="522" w:type="dxa"/>
            <w:shd w:val="clear" w:color="auto" w:fill="FFFFFF"/>
            <w:tcMar>
              <w:top w:w="0" w:type="dxa"/>
              <w:left w:w="0" w:type="dxa"/>
              <w:bottom w:w="0" w:type="dxa"/>
              <w:right w:w="0" w:type="dxa"/>
            </w:tcMar>
            <w:vAlign w:val="center"/>
          </w:tcPr>
          <w:p w14:paraId="5F644FF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766" w:type="dxa"/>
            <w:shd w:val="clear" w:color="auto" w:fill="FFFFFF"/>
            <w:tcMar>
              <w:top w:w="0" w:type="dxa"/>
              <w:left w:w="0" w:type="dxa"/>
              <w:bottom w:w="0" w:type="dxa"/>
              <w:right w:w="0" w:type="dxa"/>
            </w:tcMar>
            <w:vAlign w:val="center"/>
          </w:tcPr>
          <w:p w14:paraId="338E18C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饲料加工车间</w:t>
            </w:r>
          </w:p>
        </w:tc>
        <w:tc>
          <w:tcPr>
            <w:tcW w:w="731" w:type="dxa"/>
            <w:shd w:val="clear" w:color="auto" w:fill="FFFFFF"/>
            <w:tcMar>
              <w:top w:w="0" w:type="dxa"/>
              <w:left w:w="0" w:type="dxa"/>
              <w:bottom w:w="0" w:type="dxa"/>
              <w:right w:w="0" w:type="dxa"/>
            </w:tcMar>
            <w:vAlign w:val="center"/>
          </w:tcPr>
          <w:p w14:paraId="47FE0823">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饲料粉碎设备</w:t>
            </w:r>
          </w:p>
        </w:tc>
        <w:tc>
          <w:tcPr>
            <w:tcW w:w="878" w:type="dxa"/>
            <w:shd w:val="clear" w:color="auto" w:fill="FFFFFF"/>
            <w:tcMar>
              <w:top w:w="0" w:type="dxa"/>
              <w:left w:w="0" w:type="dxa"/>
              <w:bottom w:w="0" w:type="dxa"/>
              <w:right w:w="0" w:type="dxa"/>
            </w:tcMar>
            <w:vAlign w:val="center"/>
          </w:tcPr>
          <w:p w14:paraId="7E210A4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85</w:t>
            </w:r>
          </w:p>
        </w:tc>
        <w:tc>
          <w:tcPr>
            <w:tcW w:w="750" w:type="dxa"/>
            <w:vMerge w:val="continue"/>
            <w:shd w:val="clear" w:color="auto" w:fill="FFFFFF"/>
            <w:tcMar>
              <w:top w:w="0" w:type="dxa"/>
              <w:left w:w="0" w:type="dxa"/>
              <w:bottom w:w="0" w:type="dxa"/>
              <w:right w:w="0" w:type="dxa"/>
            </w:tcMar>
            <w:vAlign w:val="center"/>
          </w:tcPr>
          <w:p w14:paraId="756A2B51">
            <w:pPr>
              <w:spacing w:line="240" w:lineRule="auto"/>
              <w:jc w:val="center"/>
              <w:rPr>
                <w:rFonts w:hint="eastAsia"/>
                <w:color w:val="000000" w:themeColor="text1"/>
                <w:sz w:val="21"/>
                <w:szCs w:val="21"/>
                <w:highlight w:val="none"/>
                <w14:textFill>
                  <w14:solidFill>
                    <w14:schemeClr w14:val="tx1"/>
                  </w14:solidFill>
                </w14:textFill>
              </w:rPr>
            </w:pPr>
          </w:p>
        </w:tc>
        <w:tc>
          <w:tcPr>
            <w:tcW w:w="825" w:type="dxa"/>
            <w:shd w:val="clear" w:color="auto" w:fill="FFFFFF"/>
            <w:tcMar>
              <w:top w:w="0" w:type="dxa"/>
              <w:left w:w="0" w:type="dxa"/>
              <w:bottom w:w="0" w:type="dxa"/>
              <w:right w:w="0" w:type="dxa"/>
            </w:tcMar>
            <w:vAlign w:val="center"/>
          </w:tcPr>
          <w:p w14:paraId="56167DE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36.6</w:t>
            </w:r>
          </w:p>
        </w:tc>
        <w:tc>
          <w:tcPr>
            <w:tcW w:w="825" w:type="dxa"/>
            <w:shd w:val="clear" w:color="auto" w:fill="FFFFFF"/>
            <w:tcMar>
              <w:top w:w="0" w:type="dxa"/>
              <w:left w:w="0" w:type="dxa"/>
              <w:bottom w:w="0" w:type="dxa"/>
              <w:right w:w="0" w:type="dxa"/>
            </w:tcMar>
            <w:vAlign w:val="center"/>
          </w:tcPr>
          <w:p w14:paraId="22EE7DD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-110.5</w:t>
            </w:r>
          </w:p>
        </w:tc>
        <w:tc>
          <w:tcPr>
            <w:tcW w:w="829" w:type="dxa"/>
            <w:shd w:val="clear" w:color="auto" w:fill="FFFFFF"/>
            <w:tcMar>
              <w:top w:w="0" w:type="dxa"/>
              <w:left w:w="0" w:type="dxa"/>
              <w:bottom w:w="0" w:type="dxa"/>
              <w:right w:w="0" w:type="dxa"/>
            </w:tcMar>
            <w:vAlign w:val="center"/>
          </w:tcPr>
          <w:p w14:paraId="170D1129">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676" w:type="dxa"/>
            <w:shd w:val="clear" w:color="auto" w:fill="FFFFFF"/>
            <w:tcMar>
              <w:top w:w="0" w:type="dxa"/>
              <w:left w:w="0" w:type="dxa"/>
              <w:bottom w:w="0" w:type="dxa"/>
              <w:right w:w="0" w:type="dxa"/>
            </w:tcMar>
            <w:vAlign w:val="center"/>
          </w:tcPr>
          <w:p w14:paraId="100D69C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78.7</w:t>
            </w:r>
          </w:p>
        </w:tc>
        <w:tc>
          <w:tcPr>
            <w:tcW w:w="586" w:type="dxa"/>
            <w:shd w:val="clear" w:color="auto" w:fill="FFFFFF"/>
            <w:tcMar>
              <w:top w:w="0" w:type="dxa"/>
              <w:left w:w="0" w:type="dxa"/>
              <w:bottom w:w="0" w:type="dxa"/>
              <w:right w:w="0" w:type="dxa"/>
            </w:tcMar>
            <w:vAlign w:val="center"/>
          </w:tcPr>
          <w:p w14:paraId="72441E95">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652" w:type="dxa"/>
            <w:shd w:val="clear" w:color="auto" w:fill="FFFFFF"/>
            <w:tcMar>
              <w:top w:w="0" w:type="dxa"/>
              <w:left w:w="0" w:type="dxa"/>
              <w:bottom w:w="0" w:type="dxa"/>
              <w:right w:w="0" w:type="dxa"/>
            </w:tcMar>
            <w:vAlign w:val="center"/>
          </w:tcPr>
          <w:p w14:paraId="5C6F6F22">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26.0</w:t>
            </w:r>
          </w:p>
        </w:tc>
        <w:tc>
          <w:tcPr>
            <w:tcW w:w="696" w:type="dxa"/>
            <w:shd w:val="clear" w:color="auto" w:fill="FFFFFF"/>
            <w:tcMar>
              <w:top w:w="0" w:type="dxa"/>
              <w:left w:w="0" w:type="dxa"/>
              <w:bottom w:w="0" w:type="dxa"/>
              <w:right w:w="0" w:type="dxa"/>
            </w:tcMar>
            <w:vAlign w:val="center"/>
          </w:tcPr>
          <w:p w14:paraId="3DFB24F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52.7</w:t>
            </w:r>
          </w:p>
        </w:tc>
      </w:tr>
      <w:bookmarkEnd w:id="220"/>
    </w:tbl>
    <w:p w14:paraId="55D0794F">
      <w:pPr>
        <w:snapToGrid w:val="0"/>
        <w:spacing w:line="240" w:lineRule="auto"/>
        <w:ind w:firstLine="422" w:firstLineChars="200"/>
        <w:jc w:val="center"/>
        <w:rPr>
          <w:rFonts w:hint="default" w:ascii="Times New Roman" w:hAnsi="Times New Roman" w:cs="Times New Roman"/>
          <w:b/>
          <w:color w:val="000000" w:themeColor="text1"/>
          <w:sz w:val="21"/>
          <w:szCs w:val="21"/>
          <w:highlight w:val="none"/>
          <w:shd w:val="clear" w:color="auto" w:fill="auto"/>
          <w:lang w:eastAsia="zh-CN"/>
          <w14:textFill>
            <w14:solidFill>
              <w14:schemeClr w14:val="tx1"/>
            </w14:solidFill>
          </w14:textFill>
        </w:rPr>
      </w:pPr>
      <w:r>
        <w:rPr>
          <w:rFonts w:hint="default" w:ascii="Times New Roman" w:hAnsi="Times New Roman" w:cs="Times New Roman"/>
          <w:b/>
          <w:color w:val="000000" w:themeColor="text1"/>
          <w:sz w:val="21"/>
          <w:szCs w:val="21"/>
          <w:highlight w:val="none"/>
          <w:shd w:val="clear" w:color="auto" w:fill="auto"/>
          <w:lang w:eastAsia="zh-CN"/>
          <w14:textFill>
            <w14:solidFill>
              <w14:schemeClr w14:val="tx1"/>
            </w14:solidFill>
          </w14:textFill>
        </w:rPr>
        <w:t>表</w:t>
      </w:r>
      <w:r>
        <w:rPr>
          <w:rFonts w:hint="eastAsia" w:cs="Times New Roman"/>
          <w:b/>
          <w:color w:val="000000" w:themeColor="text1"/>
          <w:sz w:val="21"/>
          <w:szCs w:val="21"/>
          <w:highlight w:val="none"/>
          <w:shd w:val="clear" w:color="auto" w:fill="auto"/>
          <w:lang w:val="en-US" w:eastAsia="zh-CN"/>
          <w14:textFill>
            <w14:solidFill>
              <w14:schemeClr w14:val="tx1"/>
            </w14:solidFill>
          </w14:textFill>
        </w:rPr>
        <w:t>5-22</w:t>
      </w:r>
      <w:r>
        <w:rPr>
          <w:rFonts w:hint="default" w:ascii="Times New Roman" w:hAnsi="Times New Roman" w:cs="Times New Roman"/>
          <w:b/>
          <w:color w:val="000000" w:themeColor="text1"/>
          <w:sz w:val="21"/>
          <w:szCs w:val="21"/>
          <w:highlight w:val="none"/>
          <w:shd w:val="clear" w:color="auto" w:fill="auto"/>
          <w:lang w:eastAsia="zh-CN"/>
          <w14:textFill>
            <w14:solidFill>
              <w14:schemeClr w14:val="tx1"/>
            </w14:solidFill>
          </w14:textFill>
        </w:rPr>
        <w:t>工业企业噪声源强调查清单（室外声源</w:t>
      </w:r>
      <w:bookmarkStart w:id="222" w:name="PT_5"/>
      <w:r>
        <w:rPr>
          <w:rFonts w:hint="eastAsia" w:cs="Times New Roman"/>
          <w:b/>
          <w:color w:val="000000" w:themeColor="text1"/>
          <w:sz w:val="21"/>
          <w:szCs w:val="21"/>
          <w:highlight w:val="none"/>
          <w:shd w:val="clear" w:color="auto" w:fill="auto"/>
          <w:lang w:eastAsia="zh-CN"/>
          <w14:textFill>
            <w14:solidFill>
              <w14:schemeClr w14:val="tx1"/>
            </w14:solidFill>
          </w14:textFill>
        </w:rPr>
        <w:t>）</w:t>
      </w:r>
    </w:p>
    <w:tbl>
      <w:tblPr>
        <w:tblStyle w:val="33"/>
        <w:tblW w:w="9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3"/>
        <w:gridCol w:w="1307"/>
        <w:gridCol w:w="483"/>
        <w:gridCol w:w="421"/>
        <w:gridCol w:w="458"/>
        <w:gridCol w:w="402"/>
        <w:gridCol w:w="1439"/>
        <w:gridCol w:w="976"/>
        <w:gridCol w:w="1869"/>
        <w:gridCol w:w="1339"/>
      </w:tblGrid>
      <w:tr w14:paraId="1D90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exact"/>
          <w:jc w:val="center"/>
        </w:trPr>
        <w:tc>
          <w:tcPr>
            <w:tcW w:w="0" w:type="auto"/>
            <w:vMerge w:val="restart"/>
            <w:vAlign w:val="center"/>
          </w:tcPr>
          <w:p w14:paraId="56601721">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序号</w:t>
            </w:r>
          </w:p>
        </w:tc>
        <w:tc>
          <w:tcPr>
            <w:tcW w:w="0" w:type="auto"/>
            <w:vMerge w:val="restart"/>
            <w:vAlign w:val="center"/>
          </w:tcPr>
          <w:p w14:paraId="1FB9B4F6">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声源名称</w:t>
            </w:r>
          </w:p>
        </w:tc>
        <w:tc>
          <w:tcPr>
            <w:tcW w:w="0" w:type="auto"/>
            <w:vMerge w:val="restart"/>
            <w:vAlign w:val="center"/>
          </w:tcPr>
          <w:p w14:paraId="46F899E9">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型号</w:t>
            </w:r>
          </w:p>
        </w:tc>
        <w:tc>
          <w:tcPr>
            <w:tcW w:w="0" w:type="auto"/>
            <w:gridSpan w:val="3"/>
            <w:vAlign w:val="center"/>
          </w:tcPr>
          <w:p w14:paraId="156D0B6F">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空间相对位置/m</w:t>
            </w:r>
          </w:p>
        </w:tc>
        <w:tc>
          <w:tcPr>
            <w:tcW w:w="0" w:type="auto"/>
            <w:gridSpan w:val="2"/>
            <w:vAlign w:val="center"/>
          </w:tcPr>
          <w:p w14:paraId="300D0380">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声源源强（任选一种）</w:t>
            </w:r>
          </w:p>
        </w:tc>
        <w:tc>
          <w:tcPr>
            <w:tcW w:w="1868" w:type="dxa"/>
            <w:vMerge w:val="restart"/>
            <w:vAlign w:val="center"/>
          </w:tcPr>
          <w:p w14:paraId="6F4DEE76">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声源控制措施</w:t>
            </w:r>
          </w:p>
        </w:tc>
        <w:tc>
          <w:tcPr>
            <w:tcW w:w="1339" w:type="dxa"/>
            <w:vMerge w:val="restart"/>
            <w:vAlign w:val="center"/>
          </w:tcPr>
          <w:p w14:paraId="36B7ADA8">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运行时段</w:t>
            </w:r>
          </w:p>
        </w:tc>
      </w:tr>
      <w:tr w14:paraId="1232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0" w:type="auto"/>
            <w:vMerge w:val="continue"/>
            <w:shd w:val="clear" w:color="auto" w:fill="FFFFFF"/>
            <w:vAlign w:val="center"/>
          </w:tcPr>
          <w:p w14:paraId="37640B10">
            <w:pPr>
              <w:spacing w:line="240" w:lineRule="auto"/>
              <w:jc w:val="center"/>
              <w:rPr>
                <w:rFonts w:hint="eastAsia"/>
                <w:b/>
                <w:bCs/>
                <w:color w:val="000000" w:themeColor="text1"/>
                <w:sz w:val="21"/>
                <w:szCs w:val="21"/>
                <w:highlight w:val="none"/>
                <w:lang w:eastAsia="zh-CN"/>
                <w14:textFill>
                  <w14:solidFill>
                    <w14:schemeClr w14:val="tx1"/>
                  </w14:solidFill>
                </w14:textFill>
              </w:rPr>
            </w:pPr>
          </w:p>
        </w:tc>
        <w:tc>
          <w:tcPr>
            <w:tcW w:w="0" w:type="auto"/>
            <w:vMerge w:val="continue"/>
            <w:shd w:val="clear" w:color="auto" w:fill="FFFFFF"/>
            <w:vAlign w:val="center"/>
          </w:tcPr>
          <w:p w14:paraId="02AEA132">
            <w:pPr>
              <w:spacing w:line="240" w:lineRule="auto"/>
              <w:jc w:val="center"/>
              <w:rPr>
                <w:rFonts w:hint="eastAsia"/>
                <w:b/>
                <w:bCs/>
                <w:color w:val="000000" w:themeColor="text1"/>
                <w:sz w:val="21"/>
                <w:szCs w:val="21"/>
                <w:highlight w:val="none"/>
                <w:lang w:eastAsia="zh-CN"/>
                <w14:textFill>
                  <w14:solidFill>
                    <w14:schemeClr w14:val="tx1"/>
                  </w14:solidFill>
                </w14:textFill>
              </w:rPr>
            </w:pPr>
          </w:p>
        </w:tc>
        <w:tc>
          <w:tcPr>
            <w:tcW w:w="0" w:type="auto"/>
            <w:vMerge w:val="continue"/>
            <w:shd w:val="clear" w:color="auto" w:fill="FFFFFF"/>
            <w:vAlign w:val="center"/>
          </w:tcPr>
          <w:p w14:paraId="048409BF">
            <w:pPr>
              <w:spacing w:line="240" w:lineRule="auto"/>
              <w:jc w:val="center"/>
              <w:rPr>
                <w:rFonts w:hint="eastAsia"/>
                <w:b/>
                <w:bCs/>
                <w:color w:val="000000" w:themeColor="text1"/>
                <w:sz w:val="21"/>
                <w:szCs w:val="21"/>
                <w:highlight w:val="none"/>
                <w:lang w:eastAsia="zh-CN"/>
                <w14:textFill>
                  <w14:solidFill>
                    <w14:schemeClr w14:val="tx1"/>
                  </w14:solidFill>
                </w14:textFill>
              </w:rPr>
            </w:pPr>
          </w:p>
        </w:tc>
        <w:tc>
          <w:tcPr>
            <w:tcW w:w="0" w:type="auto"/>
            <w:shd w:val="clear" w:color="auto" w:fill="FFFFFF"/>
            <w:vAlign w:val="center"/>
          </w:tcPr>
          <w:p w14:paraId="4B727273">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X</w:t>
            </w:r>
          </w:p>
        </w:tc>
        <w:tc>
          <w:tcPr>
            <w:tcW w:w="0" w:type="auto"/>
            <w:shd w:val="clear" w:color="auto" w:fill="FFFFFF"/>
            <w:vAlign w:val="center"/>
          </w:tcPr>
          <w:p w14:paraId="1C60E064">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Y</w:t>
            </w:r>
          </w:p>
        </w:tc>
        <w:tc>
          <w:tcPr>
            <w:tcW w:w="0" w:type="auto"/>
            <w:shd w:val="clear" w:color="auto" w:fill="FFFFFF"/>
            <w:vAlign w:val="center"/>
          </w:tcPr>
          <w:p w14:paraId="4B88244D">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Z</w:t>
            </w:r>
          </w:p>
        </w:tc>
        <w:tc>
          <w:tcPr>
            <w:tcW w:w="0" w:type="auto"/>
            <w:shd w:val="clear" w:color="auto" w:fill="FFFFFF"/>
            <w:vAlign w:val="center"/>
          </w:tcPr>
          <w:p w14:paraId="12DE404F">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（声压级/距声源距离）/（dB(A)/m）</w:t>
            </w:r>
          </w:p>
        </w:tc>
        <w:tc>
          <w:tcPr>
            <w:tcW w:w="0" w:type="auto"/>
            <w:shd w:val="clear" w:color="auto" w:fill="FFFFFF"/>
            <w:vAlign w:val="center"/>
          </w:tcPr>
          <w:p w14:paraId="638F918B">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声功率级/dB(A)</w:t>
            </w:r>
          </w:p>
        </w:tc>
        <w:tc>
          <w:tcPr>
            <w:tcW w:w="1868" w:type="dxa"/>
            <w:vMerge w:val="continue"/>
            <w:shd w:val="clear" w:color="auto" w:fill="FFFFFF"/>
            <w:vAlign w:val="center"/>
          </w:tcPr>
          <w:p w14:paraId="787DF61F">
            <w:pPr>
              <w:spacing w:line="240" w:lineRule="auto"/>
              <w:jc w:val="center"/>
              <w:rPr>
                <w:rFonts w:hint="eastAsia"/>
                <w:b/>
                <w:bCs/>
                <w:color w:val="000000" w:themeColor="text1"/>
                <w:sz w:val="21"/>
                <w:szCs w:val="21"/>
                <w:highlight w:val="none"/>
                <w:lang w:eastAsia="zh-CN"/>
                <w14:textFill>
                  <w14:solidFill>
                    <w14:schemeClr w14:val="tx1"/>
                  </w14:solidFill>
                </w14:textFill>
              </w:rPr>
            </w:pPr>
          </w:p>
          <w:bookmarkEnd w:id="222"/>
        </w:tc>
        <w:tc>
          <w:tcPr>
            <w:tcW w:w="1339" w:type="dxa"/>
            <w:vMerge w:val="continue"/>
            <w:shd w:val="clear" w:color="auto" w:fill="FFFFFF"/>
            <w:vAlign w:val="center"/>
          </w:tcPr>
          <w:p w14:paraId="30038CC8">
            <w:pPr>
              <w:spacing w:line="240" w:lineRule="auto"/>
              <w:jc w:val="center"/>
              <w:rPr>
                <w:rFonts w:hint="eastAsia"/>
                <w:b/>
                <w:bCs/>
                <w:color w:val="000000" w:themeColor="text1"/>
                <w:sz w:val="21"/>
                <w:szCs w:val="21"/>
                <w:highlight w:val="none"/>
                <w:lang w:eastAsia="zh-CN"/>
                <w14:textFill>
                  <w14:solidFill>
                    <w14:schemeClr w14:val="tx1"/>
                  </w14:solidFill>
                </w14:textFill>
              </w:rPr>
            </w:pPr>
          </w:p>
        </w:tc>
      </w:tr>
      <w:tr w14:paraId="1AF78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840" w:hRule="exact"/>
          <w:jc w:val="center"/>
        </w:trPr>
        <w:tc>
          <w:tcPr>
            <w:tcW w:w="0" w:type="auto"/>
            <w:shd w:val="clear" w:color="auto" w:fill="FFFFFF"/>
            <w:vAlign w:val="center"/>
          </w:tcPr>
          <w:p w14:paraId="225115A6">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1</w:t>
            </w:r>
          </w:p>
        </w:tc>
        <w:tc>
          <w:tcPr>
            <w:tcW w:w="0" w:type="auto"/>
            <w:shd w:val="clear" w:color="auto" w:fill="FFFFFF"/>
            <w:vAlign w:val="center"/>
          </w:tcPr>
          <w:p w14:paraId="1EE3F45E">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风机,120台（按点声源组预测）</w:t>
            </w:r>
          </w:p>
        </w:tc>
        <w:tc>
          <w:tcPr>
            <w:tcW w:w="0" w:type="auto"/>
            <w:shd w:val="clear" w:color="auto" w:fill="FFFFFF"/>
            <w:vAlign w:val="center"/>
          </w:tcPr>
          <w:p w14:paraId="5C03C3E3">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p>
        </w:tc>
        <w:tc>
          <w:tcPr>
            <w:tcW w:w="0" w:type="auto"/>
            <w:shd w:val="clear" w:color="auto" w:fill="FFFFFF"/>
            <w:vAlign w:val="center"/>
          </w:tcPr>
          <w:p w14:paraId="742F92FC">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-6.4</w:t>
            </w:r>
          </w:p>
        </w:tc>
        <w:tc>
          <w:tcPr>
            <w:tcW w:w="0" w:type="auto"/>
            <w:shd w:val="clear" w:color="auto" w:fill="FFFFFF"/>
            <w:vAlign w:val="center"/>
          </w:tcPr>
          <w:p w14:paraId="45107550">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97.2</w:t>
            </w:r>
          </w:p>
        </w:tc>
        <w:tc>
          <w:tcPr>
            <w:tcW w:w="0" w:type="auto"/>
            <w:shd w:val="clear" w:color="auto" w:fill="FFFFFF"/>
            <w:vAlign w:val="center"/>
          </w:tcPr>
          <w:p w14:paraId="0A8B3664">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1.2</w:t>
            </w:r>
          </w:p>
        </w:tc>
        <w:tc>
          <w:tcPr>
            <w:tcW w:w="0" w:type="auto"/>
            <w:shd w:val="clear" w:color="auto" w:fill="FFFFFF"/>
            <w:vAlign w:val="center"/>
          </w:tcPr>
          <w:p w14:paraId="4B8F8592">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w:t>
            </w:r>
          </w:p>
        </w:tc>
        <w:tc>
          <w:tcPr>
            <w:tcW w:w="0" w:type="auto"/>
            <w:shd w:val="clear" w:color="auto" w:fill="FFFFFF"/>
            <w:vAlign w:val="center"/>
          </w:tcPr>
          <w:p w14:paraId="0767CBF9">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75（等效后：95.8)</w:t>
            </w:r>
          </w:p>
        </w:tc>
        <w:tc>
          <w:tcPr>
            <w:tcW w:w="1868" w:type="dxa"/>
            <w:vMerge w:val="restart"/>
            <w:shd w:val="clear" w:color="auto" w:fill="FFFFFF"/>
            <w:vAlign w:val="center"/>
          </w:tcPr>
          <w:p w14:paraId="26384985">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隔声、减震</w:t>
            </w:r>
          </w:p>
        </w:tc>
        <w:tc>
          <w:tcPr>
            <w:tcW w:w="1339" w:type="dxa"/>
            <w:shd w:val="clear" w:color="auto" w:fill="FFFFFF"/>
            <w:vAlign w:val="center"/>
          </w:tcPr>
          <w:p w14:paraId="0CAAE494">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w:t>
            </w:r>
          </w:p>
        </w:tc>
      </w:tr>
      <w:tr w14:paraId="2185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665" w:hRule="exact"/>
          <w:jc w:val="center"/>
        </w:trPr>
        <w:tc>
          <w:tcPr>
            <w:tcW w:w="0" w:type="auto"/>
            <w:shd w:val="clear" w:color="auto" w:fill="FFFFFF"/>
            <w:vAlign w:val="center"/>
          </w:tcPr>
          <w:p w14:paraId="3A12EA49">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2</w:t>
            </w:r>
          </w:p>
        </w:tc>
        <w:tc>
          <w:tcPr>
            <w:tcW w:w="0" w:type="auto"/>
            <w:shd w:val="clear" w:color="auto" w:fill="FFFFFF"/>
            <w:vAlign w:val="center"/>
          </w:tcPr>
          <w:p w14:paraId="1DCCF464">
            <w:pPr>
              <w:spacing w:line="240" w:lineRule="auto"/>
              <w:jc w:val="center"/>
              <w:rPr>
                <w:rFonts w:hint="default"/>
                <w:b w:val="0"/>
                <w:bCs w:val="0"/>
                <w:color w:val="000000" w:themeColor="text1"/>
                <w:sz w:val="21"/>
                <w:szCs w:val="21"/>
                <w:highlight w:val="none"/>
                <w:lang w:val="en-US"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猪</w:t>
            </w:r>
            <w:r>
              <w:rPr>
                <w:rFonts w:hint="eastAsia"/>
                <w:b w:val="0"/>
                <w:bCs w:val="0"/>
                <w:color w:val="000000" w:themeColor="text1"/>
                <w:sz w:val="21"/>
                <w:szCs w:val="21"/>
                <w:highlight w:val="none"/>
                <w:lang w:val="en-US" w:eastAsia="zh-CN"/>
                <w14:textFill>
                  <w14:solidFill>
                    <w14:schemeClr w14:val="tx1"/>
                  </w14:solidFill>
                </w14:textFill>
              </w:rPr>
              <w:t>叫声</w:t>
            </w:r>
          </w:p>
        </w:tc>
        <w:tc>
          <w:tcPr>
            <w:tcW w:w="0" w:type="auto"/>
            <w:shd w:val="clear" w:color="auto" w:fill="FFFFFF"/>
            <w:vAlign w:val="center"/>
          </w:tcPr>
          <w:p w14:paraId="15EC19D4">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p>
        </w:tc>
        <w:tc>
          <w:tcPr>
            <w:tcW w:w="0" w:type="auto"/>
            <w:shd w:val="clear" w:color="auto" w:fill="FFFFFF"/>
            <w:vAlign w:val="center"/>
          </w:tcPr>
          <w:p w14:paraId="6358B736">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-12</w:t>
            </w:r>
          </w:p>
        </w:tc>
        <w:tc>
          <w:tcPr>
            <w:tcW w:w="0" w:type="auto"/>
            <w:shd w:val="clear" w:color="auto" w:fill="FFFFFF"/>
            <w:vAlign w:val="center"/>
          </w:tcPr>
          <w:p w14:paraId="739F9268">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102.8</w:t>
            </w:r>
          </w:p>
        </w:tc>
        <w:tc>
          <w:tcPr>
            <w:tcW w:w="0" w:type="auto"/>
            <w:shd w:val="clear" w:color="auto" w:fill="FFFFFF"/>
            <w:vAlign w:val="center"/>
          </w:tcPr>
          <w:p w14:paraId="61D45871">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1.2</w:t>
            </w:r>
          </w:p>
        </w:tc>
        <w:tc>
          <w:tcPr>
            <w:tcW w:w="0" w:type="auto"/>
            <w:shd w:val="clear" w:color="auto" w:fill="FFFFFF"/>
            <w:vAlign w:val="center"/>
          </w:tcPr>
          <w:p w14:paraId="04A2A2D0">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w:t>
            </w:r>
          </w:p>
        </w:tc>
        <w:tc>
          <w:tcPr>
            <w:tcW w:w="0" w:type="auto"/>
            <w:shd w:val="clear" w:color="auto" w:fill="FFFFFF"/>
            <w:vAlign w:val="center"/>
          </w:tcPr>
          <w:p w14:paraId="78ED52AF">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80</w:t>
            </w:r>
          </w:p>
        </w:tc>
        <w:tc>
          <w:tcPr>
            <w:tcW w:w="1868" w:type="dxa"/>
            <w:vMerge w:val="continue"/>
            <w:shd w:val="clear" w:color="auto" w:fill="FFFFFF"/>
            <w:vAlign w:val="center"/>
          </w:tcPr>
          <w:p w14:paraId="770F542D">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p>
        </w:tc>
        <w:tc>
          <w:tcPr>
            <w:tcW w:w="1339" w:type="dxa"/>
            <w:shd w:val="clear" w:color="auto" w:fill="FFFFFF"/>
            <w:vAlign w:val="center"/>
          </w:tcPr>
          <w:p w14:paraId="307B2C85">
            <w:pPr>
              <w:spacing w:line="240" w:lineRule="auto"/>
              <w:jc w:val="center"/>
              <w:rPr>
                <w:rFonts w:hint="eastAsia"/>
                <w:b w:val="0"/>
                <w:bCs w:val="0"/>
                <w:color w:val="000000" w:themeColor="text1"/>
                <w:sz w:val="21"/>
                <w:szCs w:val="21"/>
                <w:highlight w:val="none"/>
                <w:lang w:eastAsia="zh-CN"/>
                <w14:textFill>
                  <w14:solidFill>
                    <w14:schemeClr w14:val="tx1"/>
                  </w14:solidFill>
                </w14:textFill>
              </w:rPr>
            </w:pPr>
            <w:r>
              <w:rPr>
                <w:rFonts w:hint="eastAsia"/>
                <w:b w:val="0"/>
                <w:bCs w:val="0"/>
                <w:color w:val="000000" w:themeColor="text1"/>
                <w:sz w:val="21"/>
                <w:szCs w:val="21"/>
                <w:highlight w:val="none"/>
                <w:lang w:val="en-US" w:eastAsia="zh-CN"/>
                <w14:textFill>
                  <w14:solidFill>
                    <w14:schemeClr w14:val="tx1"/>
                  </w14:solidFill>
                </w14:textFill>
              </w:rPr>
              <w:t>/</w:t>
            </w:r>
          </w:p>
        </w:tc>
      </w:tr>
    </w:tbl>
    <w:p w14:paraId="0606C2A9">
      <w:pPr>
        <w:pStyle w:val="5"/>
        <w:numPr>
          <w:ilvl w:val="3"/>
          <w:numId w:val="0"/>
        </w:numPr>
        <w:snapToGrid w:val="0"/>
        <w:spacing w:beforeLines="0" w:afterLines="0" w:line="360" w:lineRule="auto"/>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14:textFill>
            <w14:solidFill>
              <w14:schemeClr w14:val="tx1"/>
            </w14:solidFill>
          </w14:textFill>
        </w:rPr>
        <w:t>5.2.4.2</w:t>
      </w:r>
      <w:r>
        <w:rPr>
          <w:rFonts w:ascii="Times New Roman" w:hAnsi="Times New Roman" w:cs="Times New Roman" w:eastAsiaTheme="minorEastAsia"/>
          <w:color w:val="000000" w:themeColor="text1"/>
          <w:sz w:val="24"/>
          <w:szCs w:val="24"/>
          <w:highlight w:val="none"/>
          <w:lang w:eastAsia="zh-CN"/>
          <w14:textFill>
            <w14:solidFill>
              <w14:schemeClr w14:val="tx1"/>
            </w14:solidFill>
          </w14:textFill>
        </w:rPr>
        <w:t>预测模型</w:t>
      </w:r>
    </w:p>
    <w:p w14:paraId="570D5307">
      <w:pPr>
        <w:snapToGrid w:val="0"/>
        <w:spacing w:line="360" w:lineRule="auto"/>
        <w:ind w:firstLine="480" w:firstLineChars="200"/>
        <w:rPr>
          <w:rFonts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lang w:eastAsia="zh-CN"/>
          <w14:textFill>
            <w14:solidFill>
              <w14:schemeClr w14:val="tx1"/>
            </w14:solidFill>
          </w14:textFill>
        </w:rPr>
        <w:t>根据项目建设内容及《环境影响评价技术导则—声环境》（HJ2.4-2021）的要求，项目环评采用的模型为《环境影响评价技术导则 声环境》(HJ2.4.2021)附录A（规范性附录）户外声传播的衰减和附录B（规范性附录）中“B.1工业噪声预测计算模型”。</w:t>
      </w:r>
    </w:p>
    <w:p w14:paraId="6285DAE4">
      <w:pPr>
        <w:spacing w:line="360" w:lineRule="auto"/>
        <w:ind w:firstLine="480" w:firstLineChars="200"/>
        <w:rPr>
          <w:rFonts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pPr>
      <w:r>
        <w:rPr>
          <w:rFonts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w:t>
      </w:r>
      <w:r>
        <w:rPr>
          <w:rFonts w:hint="eastAsia"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1</w:t>
      </w:r>
      <w:r>
        <w:rPr>
          <w:rFonts w:cs="Times New Roman" w:asciiTheme="minorEastAsia" w:hAnsiTheme="minorEastAsia" w:eastAsiaTheme="minorEastAsia"/>
          <w:color w:val="000000" w:themeColor="text1"/>
          <w:kern w:val="2"/>
          <w:sz w:val="24"/>
          <w:szCs w:val="24"/>
          <w:highlight w:val="none"/>
          <w:lang w:val="en-US" w:eastAsia="zh-CN" w:bidi="ar-SA"/>
          <w14:textFill>
            <w14:solidFill>
              <w14:schemeClr w14:val="tx1"/>
            </w14:solidFill>
          </w14:textFill>
        </w:rPr>
        <w:t>）基础数据</w:t>
      </w:r>
    </w:p>
    <w:p w14:paraId="676E979A">
      <w:pPr>
        <w:pStyle w:val="32"/>
        <w:spacing w:line="360" w:lineRule="auto"/>
        <w:ind w:left="0" w:leftChars="0" w:firstLine="480"/>
        <w:rPr>
          <w:rFonts w:cs="Times New Roman" w:asciiTheme="minorEastAsia" w:hAnsiTheme="minorEastAsia" w:eastAsiaTheme="minorEastAsia"/>
          <w:color w:val="000000" w:themeColor="text1"/>
          <w:sz w:val="24"/>
          <w:szCs w:val="24"/>
          <w:highlight w:val="none"/>
          <w:lang w:eastAsia="zh-CN"/>
          <w14:textFill>
            <w14:solidFill>
              <w14:schemeClr w14:val="tx1"/>
            </w14:solidFill>
          </w14:textFill>
        </w:rPr>
      </w:pPr>
      <w:r>
        <w:rPr>
          <w:rFonts w:cs="Times New Roman" w:asciiTheme="minorEastAsia" w:hAnsiTheme="minorEastAsia" w:eastAsiaTheme="minorEastAsia"/>
          <w:color w:val="000000" w:themeColor="text1"/>
          <w:sz w:val="24"/>
          <w:szCs w:val="24"/>
          <w:highlight w:val="none"/>
          <w:lang w:eastAsia="zh-CN"/>
          <w14:textFill>
            <w14:solidFill>
              <w14:schemeClr w14:val="tx1"/>
            </w14:solidFill>
          </w14:textFill>
        </w:rPr>
        <w:t>项目噪声环境影响预测基础数据见表</w:t>
      </w:r>
      <w:r>
        <w:rPr>
          <w:rFonts w:hint="default" w:cs="Times New Roman" w:asciiTheme="minorEastAsia" w:hAnsiTheme="minorEastAsia" w:eastAsiaTheme="minorEastAsia"/>
          <w:color w:val="000000" w:themeColor="text1"/>
          <w:sz w:val="24"/>
          <w:szCs w:val="24"/>
          <w:highlight w:val="none"/>
          <w:lang w:eastAsia="zh-CN"/>
          <w14:textFill>
            <w14:solidFill>
              <w14:schemeClr w14:val="tx1"/>
            </w14:solidFill>
          </w14:textFill>
        </w:rPr>
        <w:t>5.2-</w:t>
      </w:r>
      <w:r>
        <w:rPr>
          <w:rFonts w:hint="eastAsia" w:cs="Times New Roman" w:asciiTheme="minorEastAsia" w:hAnsiTheme="minorEastAsia" w:eastAsiaTheme="minorEastAsia"/>
          <w:color w:val="000000" w:themeColor="text1"/>
          <w:sz w:val="24"/>
          <w:szCs w:val="24"/>
          <w:highlight w:val="none"/>
          <w:lang w:val="en-US" w:eastAsia="zh-CN"/>
          <w14:textFill>
            <w14:solidFill>
              <w14:schemeClr w14:val="tx1"/>
            </w14:solidFill>
          </w14:textFill>
        </w:rPr>
        <w:t>23</w:t>
      </w:r>
      <w:r>
        <w:rPr>
          <w:rFonts w:cs="Times New Roman" w:asciiTheme="minorEastAsia" w:hAnsiTheme="minorEastAsia" w:eastAsiaTheme="minorEastAsia"/>
          <w:color w:val="000000" w:themeColor="text1"/>
          <w:sz w:val="24"/>
          <w:szCs w:val="24"/>
          <w:highlight w:val="none"/>
          <w:lang w:eastAsia="zh-CN"/>
          <w14:textFill>
            <w14:solidFill>
              <w14:schemeClr w14:val="tx1"/>
            </w14:solidFill>
          </w14:textFill>
        </w:rPr>
        <w:t>。</w:t>
      </w:r>
    </w:p>
    <w:p w14:paraId="5EC5B1AA">
      <w:pPr>
        <w:spacing w:line="240" w:lineRule="auto"/>
        <w:jc w:val="center"/>
        <w:rPr>
          <w:rFonts w:hint="eastAsia"/>
          <w:b/>
          <w:bCs/>
          <w:color w:val="000000" w:themeColor="text1"/>
          <w:sz w:val="21"/>
          <w:szCs w:val="21"/>
          <w:highlight w:val="none"/>
          <w:lang w:eastAsia="zh-CN"/>
          <w14:textFill>
            <w14:solidFill>
              <w14:schemeClr w14:val="tx1"/>
            </w14:solidFill>
          </w14:textFill>
        </w:rPr>
      </w:pPr>
      <w:r>
        <w:rPr>
          <w:rFonts w:hint="eastAsia"/>
          <w:b/>
          <w:bCs/>
          <w:color w:val="000000" w:themeColor="text1"/>
          <w:sz w:val="21"/>
          <w:szCs w:val="21"/>
          <w:highlight w:val="none"/>
          <w:lang w:eastAsia="zh-CN"/>
          <w14:textFill>
            <w14:solidFill>
              <w14:schemeClr w14:val="tx1"/>
            </w14:solidFill>
          </w14:textFill>
        </w:rPr>
        <w:t>表</w:t>
      </w:r>
      <w:r>
        <w:rPr>
          <w:rFonts w:hint="default"/>
          <w:b/>
          <w:bCs/>
          <w:color w:val="000000" w:themeColor="text1"/>
          <w:sz w:val="21"/>
          <w:szCs w:val="21"/>
          <w:highlight w:val="none"/>
          <w:lang w:eastAsia="zh-CN"/>
          <w14:textFill>
            <w14:solidFill>
              <w14:schemeClr w14:val="tx1"/>
            </w14:solidFill>
          </w14:textFill>
        </w:rPr>
        <w:t>5.2-</w:t>
      </w:r>
      <w:r>
        <w:rPr>
          <w:rFonts w:hint="eastAsia"/>
          <w:b/>
          <w:bCs/>
          <w:color w:val="000000" w:themeColor="text1"/>
          <w:sz w:val="21"/>
          <w:szCs w:val="21"/>
          <w:highlight w:val="none"/>
          <w:lang w:val="en-US" w:eastAsia="zh-CN"/>
          <w14:textFill>
            <w14:solidFill>
              <w14:schemeClr w14:val="tx1"/>
            </w14:solidFill>
          </w14:textFill>
        </w:rPr>
        <w:t xml:space="preserve">23 </w:t>
      </w:r>
      <w:r>
        <w:rPr>
          <w:rFonts w:hint="eastAsia"/>
          <w:b/>
          <w:bCs/>
          <w:color w:val="000000" w:themeColor="text1"/>
          <w:sz w:val="21"/>
          <w:szCs w:val="21"/>
          <w:highlight w:val="none"/>
          <w:lang w:eastAsia="zh-CN"/>
          <w14:textFill>
            <w14:solidFill>
              <w14:schemeClr w14:val="tx1"/>
            </w14:solidFill>
          </w14:textFill>
        </w:rPr>
        <w:t xml:space="preserve"> 项目噪声环境影响预测基础数据表</w:t>
      </w:r>
      <w:bookmarkStart w:id="223" w:name="PT_4"/>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5"/>
        <w:gridCol w:w="2177"/>
        <w:gridCol w:w="1661"/>
        <w:gridCol w:w="1661"/>
        <w:gridCol w:w="1661"/>
      </w:tblGrid>
      <w:tr w14:paraId="30BF8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exact"/>
          <w:jc w:val="center"/>
        </w:trPr>
        <w:tc>
          <w:tcPr>
            <w:tcW w:w="1145" w:type="dxa"/>
            <w:vAlign w:val="center"/>
          </w:tcPr>
          <w:p w14:paraId="5E4493E1">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序号</w:t>
            </w:r>
          </w:p>
        </w:tc>
        <w:tc>
          <w:tcPr>
            <w:tcW w:w="2177" w:type="dxa"/>
            <w:vAlign w:val="center"/>
          </w:tcPr>
          <w:p w14:paraId="089B1955">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名称</w:t>
            </w:r>
          </w:p>
        </w:tc>
        <w:tc>
          <w:tcPr>
            <w:tcW w:w="1661" w:type="dxa"/>
            <w:vAlign w:val="center"/>
          </w:tcPr>
          <w:p w14:paraId="2A9B50D4">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单位</w:t>
            </w:r>
          </w:p>
        </w:tc>
        <w:tc>
          <w:tcPr>
            <w:tcW w:w="1661" w:type="dxa"/>
            <w:vAlign w:val="center"/>
          </w:tcPr>
          <w:p w14:paraId="2DAAE60E">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数据</w:t>
            </w:r>
          </w:p>
        </w:tc>
        <w:tc>
          <w:tcPr>
            <w:tcW w:w="1661" w:type="dxa"/>
            <w:vAlign w:val="center"/>
          </w:tcPr>
          <w:p w14:paraId="45B47F88">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备注</w:t>
            </w:r>
            <w:bookmarkEnd w:id="223"/>
          </w:p>
        </w:tc>
      </w:tr>
      <w:tr w14:paraId="7E2CF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1145" w:type="dxa"/>
            <w:shd w:val="clear" w:color="auto" w:fill="FFFFFF"/>
            <w:vAlign w:val="center"/>
          </w:tcPr>
          <w:p w14:paraId="27C5D340">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2177" w:type="dxa"/>
            <w:shd w:val="clear" w:color="auto" w:fill="FFFFFF"/>
            <w:vAlign w:val="center"/>
          </w:tcPr>
          <w:p w14:paraId="38E6E4E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年平均风速</w:t>
            </w:r>
          </w:p>
        </w:tc>
        <w:tc>
          <w:tcPr>
            <w:tcW w:w="1661" w:type="dxa"/>
            <w:shd w:val="clear" w:color="auto" w:fill="FFFFFF"/>
            <w:vAlign w:val="center"/>
          </w:tcPr>
          <w:p w14:paraId="681C8964">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m/s</w:t>
            </w:r>
          </w:p>
        </w:tc>
        <w:tc>
          <w:tcPr>
            <w:tcW w:w="1661" w:type="dxa"/>
            <w:shd w:val="clear" w:color="auto" w:fill="FFFFFF"/>
            <w:vAlign w:val="center"/>
          </w:tcPr>
          <w:p w14:paraId="04AA598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1661" w:type="dxa"/>
            <w:shd w:val="clear" w:color="auto" w:fill="FFFFFF"/>
            <w:vAlign w:val="center"/>
          </w:tcPr>
          <w:p w14:paraId="1D3B9307">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47592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1145" w:type="dxa"/>
            <w:shd w:val="clear" w:color="auto" w:fill="FFFFFF"/>
            <w:vAlign w:val="center"/>
          </w:tcPr>
          <w:p w14:paraId="705899D6">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w:t>
            </w:r>
          </w:p>
        </w:tc>
        <w:tc>
          <w:tcPr>
            <w:tcW w:w="2177" w:type="dxa"/>
            <w:shd w:val="clear" w:color="auto" w:fill="FFFFFF"/>
            <w:vAlign w:val="center"/>
          </w:tcPr>
          <w:p w14:paraId="784FCF2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主导风向</w:t>
            </w:r>
          </w:p>
        </w:tc>
        <w:tc>
          <w:tcPr>
            <w:tcW w:w="1661" w:type="dxa"/>
            <w:shd w:val="clear" w:color="auto" w:fill="FFFFFF"/>
            <w:vAlign w:val="center"/>
          </w:tcPr>
          <w:p w14:paraId="5643C83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661" w:type="dxa"/>
            <w:shd w:val="clear" w:color="auto" w:fill="FFFFFF"/>
            <w:vAlign w:val="center"/>
          </w:tcPr>
          <w:p w14:paraId="193D32FE">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西风</w:t>
            </w:r>
          </w:p>
        </w:tc>
        <w:tc>
          <w:tcPr>
            <w:tcW w:w="1661" w:type="dxa"/>
            <w:shd w:val="clear" w:color="auto" w:fill="FFFFFF"/>
            <w:vAlign w:val="center"/>
          </w:tcPr>
          <w:p w14:paraId="7D94A799">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04A3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1145" w:type="dxa"/>
            <w:shd w:val="clear" w:color="auto" w:fill="FFFFFF"/>
            <w:vAlign w:val="center"/>
          </w:tcPr>
          <w:p w14:paraId="0E09199F">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w:t>
            </w:r>
          </w:p>
        </w:tc>
        <w:tc>
          <w:tcPr>
            <w:tcW w:w="2177" w:type="dxa"/>
            <w:shd w:val="clear" w:color="auto" w:fill="FFFFFF"/>
            <w:vAlign w:val="center"/>
          </w:tcPr>
          <w:p w14:paraId="3518A52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年平均气温</w:t>
            </w:r>
          </w:p>
        </w:tc>
        <w:tc>
          <w:tcPr>
            <w:tcW w:w="1661" w:type="dxa"/>
            <w:shd w:val="clear" w:color="auto" w:fill="FFFFFF"/>
            <w:vAlign w:val="center"/>
          </w:tcPr>
          <w:p w14:paraId="61481BA3">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661" w:type="dxa"/>
            <w:shd w:val="clear" w:color="auto" w:fill="FFFFFF"/>
            <w:vAlign w:val="center"/>
          </w:tcPr>
          <w:p w14:paraId="7900B16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20</w:t>
            </w:r>
          </w:p>
        </w:tc>
        <w:tc>
          <w:tcPr>
            <w:tcW w:w="1661" w:type="dxa"/>
            <w:shd w:val="clear" w:color="auto" w:fill="FFFFFF"/>
            <w:vAlign w:val="center"/>
          </w:tcPr>
          <w:p w14:paraId="5857024A">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259B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1145" w:type="dxa"/>
            <w:shd w:val="clear" w:color="auto" w:fill="FFFFFF"/>
            <w:vAlign w:val="center"/>
          </w:tcPr>
          <w:p w14:paraId="58027B27">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w:t>
            </w:r>
          </w:p>
        </w:tc>
        <w:tc>
          <w:tcPr>
            <w:tcW w:w="2177" w:type="dxa"/>
            <w:shd w:val="clear" w:color="auto" w:fill="FFFFFF"/>
            <w:vAlign w:val="center"/>
          </w:tcPr>
          <w:p w14:paraId="28A54E2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年平均相对湿度</w:t>
            </w:r>
          </w:p>
        </w:tc>
        <w:tc>
          <w:tcPr>
            <w:tcW w:w="1661" w:type="dxa"/>
            <w:shd w:val="clear" w:color="auto" w:fill="FFFFFF"/>
            <w:vAlign w:val="center"/>
          </w:tcPr>
          <w:p w14:paraId="0472A3B2">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1661" w:type="dxa"/>
            <w:shd w:val="clear" w:color="auto" w:fill="FFFFFF"/>
            <w:vAlign w:val="center"/>
          </w:tcPr>
          <w:p w14:paraId="7708B19E">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661" w:type="dxa"/>
            <w:shd w:val="clear" w:color="auto" w:fill="FFFFFF"/>
            <w:vAlign w:val="center"/>
          </w:tcPr>
          <w:p w14:paraId="715AE1C4">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r w14:paraId="514B0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86" w:hRule="exact"/>
          <w:jc w:val="center"/>
        </w:trPr>
        <w:tc>
          <w:tcPr>
            <w:tcW w:w="1145" w:type="dxa"/>
            <w:shd w:val="clear" w:color="auto" w:fill="FFFFFF"/>
            <w:vAlign w:val="center"/>
          </w:tcPr>
          <w:p w14:paraId="3FF7291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w:t>
            </w:r>
          </w:p>
        </w:tc>
        <w:tc>
          <w:tcPr>
            <w:tcW w:w="2177" w:type="dxa"/>
            <w:shd w:val="clear" w:color="auto" w:fill="FFFFFF"/>
            <w:vAlign w:val="center"/>
          </w:tcPr>
          <w:p w14:paraId="5B5D3A66">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大气压强</w:t>
            </w:r>
          </w:p>
        </w:tc>
        <w:tc>
          <w:tcPr>
            <w:tcW w:w="1661" w:type="dxa"/>
            <w:shd w:val="clear" w:color="auto" w:fill="FFFFFF"/>
            <w:vAlign w:val="center"/>
          </w:tcPr>
          <w:p w14:paraId="17C6F766">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atm</w:t>
            </w:r>
          </w:p>
        </w:tc>
        <w:tc>
          <w:tcPr>
            <w:tcW w:w="1661" w:type="dxa"/>
            <w:shd w:val="clear" w:color="auto" w:fill="FFFFFF"/>
            <w:vAlign w:val="center"/>
          </w:tcPr>
          <w:p w14:paraId="2B2F074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w:t>
            </w:r>
          </w:p>
        </w:tc>
        <w:tc>
          <w:tcPr>
            <w:tcW w:w="1661" w:type="dxa"/>
            <w:shd w:val="clear" w:color="auto" w:fill="FFFFFF"/>
            <w:vAlign w:val="center"/>
          </w:tcPr>
          <w:p w14:paraId="05C293F6">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r>
    </w:tbl>
    <w:p w14:paraId="75A94C1E">
      <w:pPr>
        <w:snapToGrid w:val="0"/>
        <w:spacing w:line="360" w:lineRule="auto"/>
        <w:ind w:firstLine="480" w:firstLineChars="200"/>
        <w:rPr>
          <w:rFonts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ascii="Times New Roman" w:hAnsi="Times New Roman" w:cs="Times New Roman" w:eastAsiaTheme="minorEastAsia"/>
          <w:color w:val="000000" w:themeColor="text1"/>
          <w:sz w:val="24"/>
          <w:szCs w:val="24"/>
          <w:highlight w:val="none"/>
          <w:lang w:eastAsia="zh-CN"/>
          <w14:textFill>
            <w14:solidFill>
              <w14:schemeClr w14:val="tx1"/>
            </w14:solidFill>
          </w14:textFill>
        </w:rPr>
        <w:t>声源和预测点间的地形、高差、障碍物、树林、灌木等的分布情况以及地面覆盖情况（如草地、水面、水泥地面、土质地面等）根据现场踏勘、项目总平图等，并结合卫星图片地理信息数据确定，数据精度为10m。</w:t>
      </w:r>
    </w:p>
    <w:p w14:paraId="3E51902D">
      <w:pPr>
        <w:pStyle w:val="5"/>
        <w:numPr>
          <w:ilvl w:val="3"/>
          <w:numId w:val="0"/>
        </w:numPr>
        <w:snapToGrid w:val="0"/>
        <w:spacing w:beforeLines="0" w:afterLines="0" w:line="360" w:lineRule="auto"/>
        <w:rPr>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shd w:val="clear" w:color="auto" w:fill="auto"/>
          <w14:textFill>
            <w14:solidFill>
              <w14:schemeClr w14:val="tx1"/>
            </w14:solidFill>
          </w14:textFill>
        </w:rPr>
        <w:t>5.2.4.</w:t>
      </w:r>
      <w:r>
        <w:rPr>
          <w:rFonts w:hint="eastAsia" w:cs="Times New Roman"/>
          <w:color w:val="000000" w:themeColor="text1"/>
          <w:highlight w:val="none"/>
          <w:shd w:val="clear" w:color="auto" w:fill="auto"/>
          <w:lang w:val="en-US" w:eastAsia="zh-CN"/>
          <w14:textFill>
            <w14:solidFill>
              <w14:schemeClr w14:val="tx1"/>
            </w14:solidFill>
          </w14:textFill>
        </w:rPr>
        <w:t>3</w:t>
      </w:r>
      <w:r>
        <w:rPr>
          <w:rFonts w:ascii="Times New Roman" w:hAnsi="Times New Roman" w:cs="Times New Roman" w:eastAsiaTheme="minorEastAsia"/>
          <w:color w:val="000000" w:themeColor="text1"/>
          <w:sz w:val="24"/>
          <w:szCs w:val="24"/>
          <w:highlight w:val="none"/>
          <w:lang w:eastAsia="zh-CN"/>
          <w14:textFill>
            <w14:solidFill>
              <w14:schemeClr w14:val="tx1"/>
            </w14:solidFill>
          </w14:textFill>
        </w:rPr>
        <w:t>预测</w:t>
      </w:r>
      <w:r>
        <w:rPr>
          <w:color w:val="000000" w:themeColor="text1"/>
          <w:highlight w:val="none"/>
          <w14:textFill>
            <w14:solidFill>
              <w14:schemeClr w14:val="tx1"/>
            </w14:solidFill>
          </w14:textFill>
        </w:rPr>
        <w:t>结果</w:t>
      </w:r>
    </w:p>
    <w:p w14:paraId="4207AA0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本项目营运期厂界噪声预测结果见表5.2-</w:t>
      </w:r>
      <w:r>
        <w:rPr>
          <w:rFonts w:hint="eastAsia"/>
          <w:color w:val="000000" w:themeColor="text1"/>
          <w:highlight w:val="none"/>
          <w:lang w:val="en-US" w:eastAsia="zh-CN"/>
          <w14:textFill>
            <w14:solidFill>
              <w14:schemeClr w14:val="tx1"/>
            </w14:solidFill>
          </w14:textFill>
        </w:rPr>
        <w:t>24</w:t>
      </w:r>
      <w:r>
        <w:rPr>
          <w:color w:val="000000" w:themeColor="text1"/>
          <w:highlight w:val="none"/>
          <w14:textFill>
            <w14:solidFill>
              <w14:schemeClr w14:val="tx1"/>
            </w14:solidFill>
          </w14:textFill>
        </w:rPr>
        <w:t>。</w:t>
      </w:r>
    </w:p>
    <w:p w14:paraId="112ABDF1">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表5.2-</w:t>
      </w:r>
      <w:r>
        <w:rPr>
          <w:rFonts w:hint="eastAsia"/>
          <w:b/>
          <w:bCs/>
          <w:color w:val="000000" w:themeColor="text1"/>
          <w:sz w:val="21"/>
          <w:szCs w:val="21"/>
          <w:highlight w:val="none"/>
          <w:lang w:val="en-US" w:eastAsia="zh-CN"/>
          <w14:textFill>
            <w14:solidFill>
              <w14:schemeClr w14:val="tx1"/>
            </w14:solidFill>
          </w14:textFill>
        </w:rPr>
        <w:t xml:space="preserve">24  </w:t>
      </w:r>
      <w:r>
        <w:rPr>
          <w:rFonts w:hint="eastAsia"/>
          <w:b/>
          <w:bCs/>
          <w:color w:val="000000" w:themeColor="text1"/>
          <w:sz w:val="21"/>
          <w:szCs w:val="21"/>
          <w:highlight w:val="none"/>
          <w:lang w:eastAsia="zh-CN"/>
          <w14:textFill>
            <w14:solidFill>
              <w14:schemeClr w14:val="tx1"/>
            </w14:solidFill>
          </w14:textFill>
        </w:rPr>
        <w:t>厂界噪声预测结果与达标分析表</w:t>
      </w:r>
    </w:p>
    <w:tbl>
      <w:tblPr>
        <w:tblStyle w:val="3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03"/>
        <w:gridCol w:w="803"/>
        <w:gridCol w:w="803"/>
        <w:gridCol w:w="993"/>
        <w:gridCol w:w="1417"/>
        <w:gridCol w:w="1418"/>
        <w:gridCol w:w="1188"/>
      </w:tblGrid>
      <w:tr w14:paraId="60011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1101" w:type="dxa"/>
            <w:vMerge w:val="restart"/>
            <w:vAlign w:val="center"/>
          </w:tcPr>
          <w:p w14:paraId="09820BC4">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预测方位</w:t>
            </w:r>
          </w:p>
        </w:tc>
        <w:tc>
          <w:tcPr>
            <w:tcW w:w="2409" w:type="dxa"/>
            <w:gridSpan w:val="3"/>
            <w:vAlign w:val="center"/>
          </w:tcPr>
          <w:p w14:paraId="2E750707">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lang w:val="en-US" w:eastAsia="zh-CN"/>
                <w14:textFill>
                  <w14:solidFill>
                    <w14:schemeClr w14:val="tx1"/>
                  </w14:solidFill>
                </w14:textFill>
              </w:rPr>
              <w:t>最大值点</w:t>
            </w:r>
            <w:r>
              <w:rPr>
                <w:rFonts w:hint="eastAsia"/>
                <w:b/>
                <w:bCs/>
                <w:color w:val="000000" w:themeColor="text1"/>
                <w:sz w:val="21"/>
                <w:szCs w:val="21"/>
                <w:highlight w:val="none"/>
                <w14:textFill>
                  <w14:solidFill>
                    <w14:schemeClr w14:val="tx1"/>
                  </w14:solidFill>
                </w14:textFill>
              </w:rPr>
              <w:t>空间相对位置/m</w:t>
            </w:r>
          </w:p>
        </w:tc>
        <w:tc>
          <w:tcPr>
            <w:tcW w:w="993" w:type="dxa"/>
            <w:vMerge w:val="restart"/>
            <w:vAlign w:val="center"/>
          </w:tcPr>
          <w:p w14:paraId="285576E7">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时段</w:t>
            </w:r>
          </w:p>
        </w:tc>
        <w:tc>
          <w:tcPr>
            <w:tcW w:w="1417" w:type="dxa"/>
            <w:vMerge w:val="restart"/>
            <w:vAlign w:val="center"/>
          </w:tcPr>
          <w:p w14:paraId="5C0B0B25">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贡献值（dB(A)）</w:t>
            </w:r>
          </w:p>
        </w:tc>
        <w:tc>
          <w:tcPr>
            <w:tcW w:w="1418" w:type="dxa"/>
            <w:vMerge w:val="restart"/>
            <w:vAlign w:val="center"/>
          </w:tcPr>
          <w:p w14:paraId="2A55F152">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标准限值（dB(A)）</w:t>
            </w:r>
          </w:p>
        </w:tc>
        <w:tc>
          <w:tcPr>
            <w:tcW w:w="1188" w:type="dxa"/>
            <w:vMerge w:val="restart"/>
            <w:vAlign w:val="center"/>
          </w:tcPr>
          <w:p w14:paraId="115D7BEA">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达标情况</w:t>
            </w:r>
          </w:p>
        </w:tc>
      </w:tr>
      <w:tr w14:paraId="128A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01" w:type="dxa"/>
            <w:vMerge w:val="continue"/>
            <w:shd w:val="clear" w:color="auto" w:fill="FFFFFF"/>
            <w:vAlign w:val="center"/>
          </w:tcPr>
          <w:p w14:paraId="3158FCFF">
            <w:pPr>
              <w:spacing w:line="240" w:lineRule="auto"/>
              <w:jc w:val="center"/>
              <w:rPr>
                <w:rFonts w:hint="eastAsia"/>
                <w:b/>
                <w:bCs/>
                <w:color w:val="000000" w:themeColor="text1"/>
                <w:sz w:val="21"/>
                <w:szCs w:val="21"/>
                <w:highlight w:val="none"/>
                <w14:textFill>
                  <w14:solidFill>
                    <w14:schemeClr w14:val="tx1"/>
                  </w14:solidFill>
                </w14:textFill>
              </w:rPr>
            </w:pPr>
          </w:p>
        </w:tc>
        <w:tc>
          <w:tcPr>
            <w:tcW w:w="803" w:type="dxa"/>
            <w:shd w:val="clear" w:color="auto" w:fill="FFFFFF"/>
            <w:vAlign w:val="center"/>
          </w:tcPr>
          <w:p w14:paraId="5C8E475B">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X</w:t>
            </w:r>
          </w:p>
        </w:tc>
        <w:tc>
          <w:tcPr>
            <w:tcW w:w="803" w:type="dxa"/>
            <w:shd w:val="clear" w:color="auto" w:fill="FFFFFF"/>
            <w:vAlign w:val="center"/>
          </w:tcPr>
          <w:p w14:paraId="49D49561">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Y</w:t>
            </w:r>
          </w:p>
        </w:tc>
        <w:tc>
          <w:tcPr>
            <w:tcW w:w="803" w:type="dxa"/>
            <w:shd w:val="clear" w:color="auto" w:fill="FFFFFF"/>
            <w:vAlign w:val="center"/>
          </w:tcPr>
          <w:p w14:paraId="2472EC05">
            <w:pPr>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Z</w:t>
            </w:r>
          </w:p>
        </w:tc>
        <w:tc>
          <w:tcPr>
            <w:tcW w:w="993" w:type="dxa"/>
            <w:vMerge w:val="continue"/>
            <w:shd w:val="clear" w:color="auto" w:fill="FFFFFF"/>
            <w:vAlign w:val="center"/>
          </w:tcPr>
          <w:p w14:paraId="5C2F8295">
            <w:pPr>
              <w:spacing w:line="240" w:lineRule="auto"/>
              <w:jc w:val="center"/>
              <w:rPr>
                <w:rFonts w:hint="eastAsia"/>
                <w:b/>
                <w:bCs/>
                <w:color w:val="000000" w:themeColor="text1"/>
                <w:sz w:val="21"/>
                <w:szCs w:val="21"/>
                <w:highlight w:val="none"/>
                <w14:textFill>
                  <w14:solidFill>
                    <w14:schemeClr w14:val="tx1"/>
                  </w14:solidFill>
                </w14:textFill>
              </w:rPr>
            </w:pPr>
          </w:p>
        </w:tc>
        <w:tc>
          <w:tcPr>
            <w:tcW w:w="1417" w:type="dxa"/>
            <w:vMerge w:val="continue"/>
            <w:shd w:val="clear" w:color="auto" w:fill="FFFFFF"/>
            <w:vAlign w:val="center"/>
          </w:tcPr>
          <w:p w14:paraId="50CB9192">
            <w:pPr>
              <w:spacing w:line="240" w:lineRule="auto"/>
              <w:jc w:val="center"/>
              <w:rPr>
                <w:rFonts w:hint="eastAsia"/>
                <w:b/>
                <w:bCs/>
                <w:color w:val="000000" w:themeColor="text1"/>
                <w:sz w:val="21"/>
                <w:szCs w:val="21"/>
                <w:highlight w:val="none"/>
                <w14:textFill>
                  <w14:solidFill>
                    <w14:schemeClr w14:val="tx1"/>
                  </w14:solidFill>
                </w14:textFill>
              </w:rPr>
            </w:pPr>
          </w:p>
        </w:tc>
        <w:tc>
          <w:tcPr>
            <w:tcW w:w="1418" w:type="dxa"/>
            <w:vMerge w:val="continue"/>
            <w:shd w:val="clear" w:color="auto" w:fill="FFFFFF"/>
            <w:vAlign w:val="center"/>
          </w:tcPr>
          <w:p w14:paraId="116DCF17">
            <w:pPr>
              <w:spacing w:line="240" w:lineRule="auto"/>
              <w:jc w:val="center"/>
              <w:rPr>
                <w:rFonts w:hint="eastAsia"/>
                <w:b/>
                <w:bCs/>
                <w:color w:val="000000" w:themeColor="text1"/>
                <w:sz w:val="21"/>
                <w:szCs w:val="21"/>
                <w:highlight w:val="none"/>
                <w14:textFill>
                  <w14:solidFill>
                    <w14:schemeClr w14:val="tx1"/>
                  </w14:solidFill>
                </w14:textFill>
              </w:rPr>
            </w:pPr>
          </w:p>
        </w:tc>
        <w:tc>
          <w:tcPr>
            <w:tcW w:w="1188" w:type="dxa"/>
            <w:vMerge w:val="continue"/>
            <w:shd w:val="clear" w:color="auto" w:fill="FFFFFF"/>
            <w:vAlign w:val="center"/>
          </w:tcPr>
          <w:p w14:paraId="6F6FA2A5">
            <w:pPr>
              <w:spacing w:line="240" w:lineRule="auto"/>
              <w:jc w:val="center"/>
              <w:rPr>
                <w:rFonts w:hint="eastAsia"/>
                <w:b/>
                <w:bCs/>
                <w:color w:val="000000" w:themeColor="text1"/>
                <w:sz w:val="21"/>
                <w:szCs w:val="21"/>
                <w:highlight w:val="none"/>
                <w14:textFill>
                  <w14:solidFill>
                    <w14:schemeClr w14:val="tx1"/>
                  </w14:solidFill>
                </w14:textFill>
              </w:rPr>
            </w:pPr>
          </w:p>
        </w:tc>
      </w:tr>
      <w:tr w14:paraId="1AEB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1F112203">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东侧</w:t>
            </w:r>
          </w:p>
        </w:tc>
        <w:tc>
          <w:tcPr>
            <w:tcW w:w="803" w:type="dxa"/>
            <w:shd w:val="clear" w:color="auto" w:fill="FFFFFF"/>
            <w:vAlign w:val="center"/>
          </w:tcPr>
          <w:p w14:paraId="51F70B28">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126.6</w:t>
            </w:r>
          </w:p>
        </w:tc>
        <w:tc>
          <w:tcPr>
            <w:tcW w:w="803" w:type="dxa"/>
            <w:shd w:val="clear" w:color="auto" w:fill="FFFFFF"/>
            <w:vAlign w:val="center"/>
          </w:tcPr>
          <w:p w14:paraId="408BEC4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93.2</w:t>
            </w:r>
          </w:p>
        </w:tc>
        <w:tc>
          <w:tcPr>
            <w:tcW w:w="803" w:type="dxa"/>
            <w:shd w:val="clear" w:color="auto" w:fill="FFFFFF"/>
            <w:vAlign w:val="center"/>
          </w:tcPr>
          <w:p w14:paraId="612D63FF">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993" w:type="dxa"/>
            <w:shd w:val="clear" w:color="auto" w:fill="FFFFFF"/>
            <w:vAlign w:val="center"/>
          </w:tcPr>
          <w:p w14:paraId="54CA447A">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昼间</w:t>
            </w:r>
          </w:p>
        </w:tc>
        <w:tc>
          <w:tcPr>
            <w:tcW w:w="1417" w:type="dxa"/>
            <w:shd w:val="clear" w:color="auto" w:fill="FFFFFF"/>
            <w:vAlign w:val="center"/>
          </w:tcPr>
          <w:p w14:paraId="6EC729F2">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11.6</w:t>
            </w:r>
          </w:p>
        </w:tc>
        <w:tc>
          <w:tcPr>
            <w:tcW w:w="1418" w:type="dxa"/>
            <w:shd w:val="clear" w:color="auto" w:fill="FFFFFF"/>
            <w:vAlign w:val="center"/>
          </w:tcPr>
          <w:p w14:paraId="2899B203">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w:t>
            </w:r>
          </w:p>
        </w:tc>
        <w:tc>
          <w:tcPr>
            <w:tcW w:w="1188" w:type="dxa"/>
            <w:shd w:val="clear" w:color="auto" w:fill="FFFFFF"/>
            <w:vAlign w:val="center"/>
          </w:tcPr>
          <w:p w14:paraId="129E016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7AF00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49971B6C">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东侧</w:t>
            </w:r>
          </w:p>
        </w:tc>
        <w:tc>
          <w:tcPr>
            <w:tcW w:w="803" w:type="dxa"/>
            <w:shd w:val="clear" w:color="auto" w:fill="FFFFFF"/>
            <w:vAlign w:val="center"/>
          </w:tcPr>
          <w:p w14:paraId="38C8FF6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126.6</w:t>
            </w:r>
          </w:p>
        </w:tc>
        <w:tc>
          <w:tcPr>
            <w:tcW w:w="803" w:type="dxa"/>
            <w:shd w:val="clear" w:color="auto" w:fill="FFFFFF"/>
            <w:vAlign w:val="center"/>
          </w:tcPr>
          <w:p w14:paraId="03237CF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93.2</w:t>
            </w:r>
          </w:p>
        </w:tc>
        <w:tc>
          <w:tcPr>
            <w:tcW w:w="803" w:type="dxa"/>
            <w:shd w:val="clear" w:color="auto" w:fill="FFFFFF"/>
            <w:vAlign w:val="center"/>
          </w:tcPr>
          <w:p w14:paraId="39F286EF">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993" w:type="dxa"/>
            <w:shd w:val="clear" w:color="auto" w:fill="FFFFFF"/>
            <w:vAlign w:val="center"/>
          </w:tcPr>
          <w:p w14:paraId="4AE1D5CE">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夜间</w:t>
            </w:r>
          </w:p>
        </w:tc>
        <w:tc>
          <w:tcPr>
            <w:tcW w:w="1417" w:type="dxa"/>
            <w:shd w:val="clear" w:color="auto" w:fill="FFFFFF"/>
            <w:vAlign w:val="center"/>
          </w:tcPr>
          <w:p w14:paraId="06920CF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11.6</w:t>
            </w:r>
          </w:p>
        </w:tc>
        <w:tc>
          <w:tcPr>
            <w:tcW w:w="1418" w:type="dxa"/>
            <w:shd w:val="clear" w:color="auto" w:fill="FFFFFF"/>
            <w:vAlign w:val="center"/>
          </w:tcPr>
          <w:p w14:paraId="3A496963">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188" w:type="dxa"/>
            <w:shd w:val="clear" w:color="auto" w:fill="FFFFFF"/>
            <w:vAlign w:val="center"/>
          </w:tcPr>
          <w:p w14:paraId="55F1ECC8">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47D7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3DCCDBF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南侧</w:t>
            </w:r>
          </w:p>
        </w:tc>
        <w:tc>
          <w:tcPr>
            <w:tcW w:w="803" w:type="dxa"/>
            <w:shd w:val="clear" w:color="auto" w:fill="FFFFFF"/>
            <w:vAlign w:val="center"/>
          </w:tcPr>
          <w:p w14:paraId="13781D96">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6.6</w:t>
            </w:r>
          </w:p>
        </w:tc>
        <w:tc>
          <w:tcPr>
            <w:tcW w:w="803" w:type="dxa"/>
            <w:shd w:val="clear" w:color="auto" w:fill="FFFFFF"/>
            <w:vAlign w:val="center"/>
          </w:tcPr>
          <w:p w14:paraId="36571F6C">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-295.7</w:t>
            </w:r>
          </w:p>
        </w:tc>
        <w:tc>
          <w:tcPr>
            <w:tcW w:w="803" w:type="dxa"/>
            <w:shd w:val="clear" w:color="auto" w:fill="FFFFFF"/>
            <w:vAlign w:val="center"/>
          </w:tcPr>
          <w:p w14:paraId="3328212C">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993" w:type="dxa"/>
            <w:shd w:val="clear" w:color="auto" w:fill="FFFFFF"/>
            <w:vAlign w:val="center"/>
          </w:tcPr>
          <w:p w14:paraId="441F278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昼间</w:t>
            </w:r>
          </w:p>
        </w:tc>
        <w:tc>
          <w:tcPr>
            <w:tcW w:w="1417" w:type="dxa"/>
            <w:shd w:val="clear" w:color="auto" w:fill="FFFFFF"/>
            <w:vAlign w:val="center"/>
          </w:tcPr>
          <w:p w14:paraId="77DD328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27.5</w:t>
            </w:r>
          </w:p>
        </w:tc>
        <w:tc>
          <w:tcPr>
            <w:tcW w:w="1418" w:type="dxa"/>
            <w:shd w:val="clear" w:color="auto" w:fill="FFFFFF"/>
            <w:vAlign w:val="center"/>
          </w:tcPr>
          <w:p w14:paraId="516F67B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w:t>
            </w:r>
          </w:p>
        </w:tc>
        <w:tc>
          <w:tcPr>
            <w:tcW w:w="1188" w:type="dxa"/>
            <w:shd w:val="clear" w:color="auto" w:fill="FFFFFF"/>
            <w:vAlign w:val="center"/>
          </w:tcPr>
          <w:p w14:paraId="4243C223">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7C8DB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3904D5D6">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南侧</w:t>
            </w:r>
          </w:p>
        </w:tc>
        <w:tc>
          <w:tcPr>
            <w:tcW w:w="803" w:type="dxa"/>
            <w:shd w:val="clear" w:color="auto" w:fill="FFFFFF"/>
            <w:vAlign w:val="center"/>
          </w:tcPr>
          <w:p w14:paraId="326DBC8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6.6</w:t>
            </w:r>
          </w:p>
        </w:tc>
        <w:tc>
          <w:tcPr>
            <w:tcW w:w="803" w:type="dxa"/>
            <w:shd w:val="clear" w:color="auto" w:fill="FFFFFF"/>
            <w:vAlign w:val="center"/>
          </w:tcPr>
          <w:p w14:paraId="09B0DF6C">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-295.7</w:t>
            </w:r>
          </w:p>
        </w:tc>
        <w:tc>
          <w:tcPr>
            <w:tcW w:w="803" w:type="dxa"/>
            <w:shd w:val="clear" w:color="auto" w:fill="FFFFFF"/>
            <w:vAlign w:val="center"/>
          </w:tcPr>
          <w:p w14:paraId="2D9A1DE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993" w:type="dxa"/>
            <w:shd w:val="clear" w:color="auto" w:fill="FFFFFF"/>
            <w:vAlign w:val="center"/>
          </w:tcPr>
          <w:p w14:paraId="3C711FF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夜间</w:t>
            </w:r>
          </w:p>
        </w:tc>
        <w:tc>
          <w:tcPr>
            <w:tcW w:w="1417" w:type="dxa"/>
            <w:shd w:val="clear" w:color="auto" w:fill="FFFFFF"/>
            <w:vAlign w:val="center"/>
          </w:tcPr>
          <w:p w14:paraId="19B6F31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27.5</w:t>
            </w:r>
          </w:p>
        </w:tc>
        <w:tc>
          <w:tcPr>
            <w:tcW w:w="1418" w:type="dxa"/>
            <w:shd w:val="clear" w:color="auto" w:fill="FFFFFF"/>
            <w:vAlign w:val="center"/>
          </w:tcPr>
          <w:p w14:paraId="796B8B99">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188" w:type="dxa"/>
            <w:shd w:val="clear" w:color="auto" w:fill="FFFFFF"/>
            <w:vAlign w:val="center"/>
          </w:tcPr>
          <w:p w14:paraId="2D268308">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3276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PrEx>
        <w:trPr>
          <w:trHeight w:val="408" w:hRule="exact"/>
          <w:jc w:val="center"/>
        </w:trPr>
        <w:tc>
          <w:tcPr>
            <w:tcW w:w="1101" w:type="dxa"/>
            <w:vMerge w:val="restart"/>
            <w:shd w:val="clear" w:color="auto" w:fill="FFFFFF"/>
            <w:vAlign w:val="center"/>
          </w:tcPr>
          <w:p w14:paraId="2030BB21">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西侧</w:t>
            </w:r>
          </w:p>
        </w:tc>
        <w:tc>
          <w:tcPr>
            <w:tcW w:w="803" w:type="dxa"/>
            <w:shd w:val="clear" w:color="auto" w:fill="FFFFFF"/>
            <w:vAlign w:val="center"/>
          </w:tcPr>
          <w:p w14:paraId="0940DFC4">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-154.7</w:t>
            </w:r>
          </w:p>
        </w:tc>
        <w:tc>
          <w:tcPr>
            <w:tcW w:w="803" w:type="dxa"/>
            <w:shd w:val="clear" w:color="auto" w:fill="FFFFFF"/>
            <w:vAlign w:val="center"/>
          </w:tcPr>
          <w:p w14:paraId="6B6854E3">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217.9</w:t>
            </w:r>
          </w:p>
        </w:tc>
        <w:tc>
          <w:tcPr>
            <w:tcW w:w="803" w:type="dxa"/>
            <w:shd w:val="clear" w:color="auto" w:fill="FFFFFF"/>
            <w:vAlign w:val="center"/>
          </w:tcPr>
          <w:p w14:paraId="19871059">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993" w:type="dxa"/>
            <w:shd w:val="clear" w:color="auto" w:fill="FFFFFF"/>
            <w:vAlign w:val="center"/>
          </w:tcPr>
          <w:p w14:paraId="2FD3300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昼间</w:t>
            </w:r>
          </w:p>
        </w:tc>
        <w:tc>
          <w:tcPr>
            <w:tcW w:w="1417" w:type="dxa"/>
            <w:shd w:val="clear" w:color="auto" w:fill="FFFFFF"/>
            <w:vAlign w:val="center"/>
          </w:tcPr>
          <w:p w14:paraId="56E5EF5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10.2</w:t>
            </w:r>
          </w:p>
        </w:tc>
        <w:tc>
          <w:tcPr>
            <w:tcW w:w="1418" w:type="dxa"/>
            <w:shd w:val="clear" w:color="auto" w:fill="FFFFFF"/>
            <w:vAlign w:val="center"/>
          </w:tcPr>
          <w:p w14:paraId="02ABEA2E">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w:t>
            </w:r>
          </w:p>
        </w:tc>
        <w:tc>
          <w:tcPr>
            <w:tcW w:w="1188" w:type="dxa"/>
            <w:shd w:val="clear" w:color="auto" w:fill="FFFFFF"/>
            <w:vAlign w:val="center"/>
          </w:tcPr>
          <w:p w14:paraId="4BADBE2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5DE73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6A8F6356">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西侧</w:t>
            </w:r>
          </w:p>
        </w:tc>
        <w:tc>
          <w:tcPr>
            <w:tcW w:w="803" w:type="dxa"/>
            <w:shd w:val="clear" w:color="auto" w:fill="FFFFFF"/>
            <w:vAlign w:val="center"/>
          </w:tcPr>
          <w:p w14:paraId="19E09D98">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-154.7</w:t>
            </w:r>
          </w:p>
        </w:tc>
        <w:tc>
          <w:tcPr>
            <w:tcW w:w="803" w:type="dxa"/>
            <w:shd w:val="clear" w:color="auto" w:fill="FFFFFF"/>
            <w:vAlign w:val="center"/>
          </w:tcPr>
          <w:p w14:paraId="7C072EDA">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217.9</w:t>
            </w:r>
          </w:p>
        </w:tc>
        <w:tc>
          <w:tcPr>
            <w:tcW w:w="803" w:type="dxa"/>
            <w:shd w:val="clear" w:color="auto" w:fill="FFFFFF"/>
            <w:vAlign w:val="center"/>
          </w:tcPr>
          <w:p w14:paraId="467E906D">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993" w:type="dxa"/>
            <w:shd w:val="clear" w:color="auto" w:fill="FFFFFF"/>
            <w:vAlign w:val="center"/>
          </w:tcPr>
          <w:p w14:paraId="6B1B1BC4">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夜间</w:t>
            </w:r>
          </w:p>
        </w:tc>
        <w:tc>
          <w:tcPr>
            <w:tcW w:w="1417" w:type="dxa"/>
            <w:shd w:val="clear" w:color="auto" w:fill="FFFFFF"/>
            <w:vAlign w:val="center"/>
          </w:tcPr>
          <w:p w14:paraId="373CF900">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10.2</w:t>
            </w:r>
          </w:p>
        </w:tc>
        <w:tc>
          <w:tcPr>
            <w:tcW w:w="1418" w:type="dxa"/>
            <w:shd w:val="clear" w:color="auto" w:fill="FFFFFF"/>
            <w:vAlign w:val="center"/>
          </w:tcPr>
          <w:p w14:paraId="083045D9">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188" w:type="dxa"/>
            <w:shd w:val="clear" w:color="auto" w:fill="FFFFFF"/>
            <w:vAlign w:val="center"/>
          </w:tcPr>
          <w:p w14:paraId="77F881F5">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01FB1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restart"/>
            <w:shd w:val="clear" w:color="auto" w:fill="FFFFFF"/>
            <w:vAlign w:val="center"/>
          </w:tcPr>
          <w:p w14:paraId="5291A1F3">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北侧</w:t>
            </w:r>
          </w:p>
        </w:tc>
        <w:tc>
          <w:tcPr>
            <w:tcW w:w="803" w:type="dxa"/>
            <w:shd w:val="clear" w:color="auto" w:fill="FFFFFF"/>
            <w:vAlign w:val="center"/>
          </w:tcPr>
          <w:p w14:paraId="7CAA2975">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-73.7</w:t>
            </w:r>
          </w:p>
        </w:tc>
        <w:tc>
          <w:tcPr>
            <w:tcW w:w="803" w:type="dxa"/>
            <w:shd w:val="clear" w:color="auto" w:fill="FFFFFF"/>
            <w:vAlign w:val="center"/>
          </w:tcPr>
          <w:p w14:paraId="57503C2B">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290.6</w:t>
            </w:r>
          </w:p>
        </w:tc>
        <w:tc>
          <w:tcPr>
            <w:tcW w:w="803" w:type="dxa"/>
            <w:shd w:val="clear" w:color="auto" w:fill="FFFFFF"/>
            <w:vAlign w:val="center"/>
          </w:tcPr>
          <w:p w14:paraId="741DB2F2">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993" w:type="dxa"/>
            <w:shd w:val="clear" w:color="auto" w:fill="FFFFFF"/>
            <w:vAlign w:val="center"/>
          </w:tcPr>
          <w:p w14:paraId="6A39B235">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昼间</w:t>
            </w:r>
          </w:p>
        </w:tc>
        <w:tc>
          <w:tcPr>
            <w:tcW w:w="1417" w:type="dxa"/>
            <w:shd w:val="clear" w:color="auto" w:fill="FFFFFF"/>
            <w:vAlign w:val="center"/>
          </w:tcPr>
          <w:p w14:paraId="308A1492">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15.3</w:t>
            </w:r>
          </w:p>
        </w:tc>
        <w:tc>
          <w:tcPr>
            <w:tcW w:w="1418" w:type="dxa"/>
            <w:shd w:val="clear" w:color="auto" w:fill="FFFFFF"/>
            <w:vAlign w:val="center"/>
          </w:tcPr>
          <w:p w14:paraId="7180B2A7">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60</w:t>
            </w:r>
          </w:p>
        </w:tc>
        <w:tc>
          <w:tcPr>
            <w:tcW w:w="1188" w:type="dxa"/>
            <w:shd w:val="clear" w:color="auto" w:fill="FFFFFF"/>
            <w:vAlign w:val="center"/>
          </w:tcPr>
          <w:p w14:paraId="76BF4494">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r w14:paraId="14A8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8" w:hRule="exact"/>
          <w:jc w:val="center"/>
        </w:trPr>
        <w:tc>
          <w:tcPr>
            <w:tcW w:w="1101" w:type="dxa"/>
            <w:vMerge w:val="continue"/>
            <w:shd w:val="clear" w:color="auto" w:fill="FFFFFF"/>
            <w:vAlign w:val="center"/>
          </w:tcPr>
          <w:p w14:paraId="55AD69A0">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北侧</w:t>
            </w:r>
          </w:p>
        </w:tc>
        <w:tc>
          <w:tcPr>
            <w:tcW w:w="803" w:type="dxa"/>
            <w:shd w:val="clear" w:color="auto" w:fill="FFFFFF"/>
            <w:vAlign w:val="center"/>
          </w:tcPr>
          <w:p w14:paraId="52067BD7">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-73.7</w:t>
            </w:r>
          </w:p>
        </w:tc>
        <w:tc>
          <w:tcPr>
            <w:tcW w:w="803" w:type="dxa"/>
            <w:shd w:val="clear" w:color="auto" w:fill="FFFFFF"/>
            <w:vAlign w:val="center"/>
          </w:tcPr>
          <w:p w14:paraId="02AB7120">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290.6</w:t>
            </w:r>
          </w:p>
        </w:tc>
        <w:tc>
          <w:tcPr>
            <w:tcW w:w="803" w:type="dxa"/>
            <w:shd w:val="clear" w:color="auto" w:fill="FFFFFF"/>
            <w:vAlign w:val="center"/>
          </w:tcPr>
          <w:p w14:paraId="714C10CC">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w:t>
            </w:r>
          </w:p>
        </w:tc>
        <w:tc>
          <w:tcPr>
            <w:tcW w:w="993" w:type="dxa"/>
            <w:shd w:val="clear" w:color="auto" w:fill="FFFFFF"/>
            <w:vAlign w:val="center"/>
          </w:tcPr>
          <w:p w14:paraId="6EDBFB45">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夜间</w:t>
            </w:r>
          </w:p>
        </w:tc>
        <w:tc>
          <w:tcPr>
            <w:tcW w:w="1417" w:type="dxa"/>
            <w:shd w:val="clear" w:color="auto" w:fill="FFFFFF"/>
            <w:vAlign w:val="center"/>
          </w:tcPr>
          <w:p w14:paraId="70738C79">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15.3</w:t>
            </w:r>
          </w:p>
        </w:tc>
        <w:tc>
          <w:tcPr>
            <w:tcW w:w="1418" w:type="dxa"/>
            <w:shd w:val="clear" w:color="auto" w:fill="FFFFFF"/>
            <w:vAlign w:val="center"/>
          </w:tcPr>
          <w:p w14:paraId="5F0EFD79">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50</w:t>
            </w:r>
          </w:p>
        </w:tc>
        <w:tc>
          <w:tcPr>
            <w:tcW w:w="1188" w:type="dxa"/>
            <w:shd w:val="clear" w:color="auto" w:fill="FFFFFF"/>
            <w:vAlign w:val="center"/>
          </w:tcPr>
          <w:p w14:paraId="3180AE9E">
            <w:pPr>
              <w:spacing w:line="240" w:lineRule="auto"/>
              <w:jc w:val="center"/>
              <w:rPr>
                <w:rFonts w:hint="eastAsia"/>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达标</w:t>
            </w:r>
          </w:p>
        </w:tc>
      </w:tr>
    </w:tbl>
    <w:p w14:paraId="50FBA9C9">
      <w:pPr>
        <w:ind w:firstLine="480" w:firstLineChars="200"/>
        <w:rPr>
          <w:color w:val="000000" w:themeColor="text1"/>
          <w:highlight w:val="none"/>
          <w14:textFill>
            <w14:solidFill>
              <w14:schemeClr w14:val="tx1"/>
            </w14:solidFill>
          </w14:textFill>
        </w:rPr>
      </w:pPr>
      <w:r>
        <w:rPr>
          <w:rFonts w:hint="default"/>
          <w:color w:val="000000" w:themeColor="text1"/>
          <w:highlight w:val="none"/>
          <w:lang w:val="en-US" w:eastAsia="zh-CN"/>
          <w14:textFill>
            <w14:solidFill>
              <w14:schemeClr w14:val="tx1"/>
            </w14:solidFill>
          </w14:textFill>
        </w:rPr>
        <w:t>表中坐标以厂界中心（</w:t>
      </w:r>
      <w:bookmarkStart w:id="224" w:name="PO_8"/>
      <w:r>
        <w:rPr>
          <w:rFonts w:hint="default"/>
          <w:color w:val="000000" w:themeColor="text1"/>
          <w:highlight w:val="none"/>
          <w:lang w:val="en-US" w:eastAsia="zh-CN"/>
          <w14:textFill>
            <w14:solidFill>
              <w14:schemeClr w14:val="tx1"/>
            </w14:solidFill>
          </w14:textFill>
        </w:rPr>
        <w:t>84.5337677,44.839019</w:t>
      </w:r>
      <w:bookmarkEnd w:id="224"/>
      <w:r>
        <w:rPr>
          <w:rFonts w:hint="default"/>
          <w:color w:val="000000" w:themeColor="text1"/>
          <w:highlight w:val="none"/>
          <w:lang w:val="en-US" w:eastAsia="zh-CN"/>
          <w14:textFill>
            <w14:solidFill>
              <w14:schemeClr w14:val="tx1"/>
            </w14:solidFill>
          </w14:textFill>
        </w:rPr>
        <w:t>）为坐标原点，正东向为X轴正方向，正北向为Y轴正方向</w:t>
      </w:r>
    </w:p>
    <w:p w14:paraId="470335E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预测结果可知，对产生噪声的设备采取减振、厂房屏蔽及隔声措施，并经距离衰减后，厂界噪声可达到《工业企业厂界环境噪声排放标准》（GB12348-2008）2类标准，且养殖场周边无声环境敏感点，本项目对区域声环境影响轻微。</w:t>
      </w:r>
    </w:p>
    <w:p w14:paraId="3911FE87">
      <w:pPr>
        <w:bidi w:val="0"/>
        <w:ind w:firstLine="480" w:firstLineChars="200"/>
        <w:rPr>
          <w:rFonts w:hint="default"/>
          <w:color w:val="000000" w:themeColor="text1"/>
          <w:highlight w:val="none"/>
          <w:lang w:val="en-US" w:eastAsia="zh-CN"/>
          <w14:textFill>
            <w14:solidFill>
              <w14:schemeClr w14:val="tx1"/>
            </w14:solidFill>
          </w14:textFill>
        </w:rPr>
      </w:pPr>
      <w:bookmarkStart w:id="225" w:name="_Toc31535"/>
      <w:r>
        <w:rPr>
          <w:rFonts w:hint="eastAsia"/>
          <w:color w:val="000000" w:themeColor="text1"/>
          <w:highlight w:val="none"/>
          <w:lang w:val="en-US" w:eastAsia="zh-CN"/>
          <w14:textFill>
            <w14:solidFill>
              <w14:schemeClr w14:val="tx1"/>
            </w14:solidFill>
          </w14:textFill>
        </w:rPr>
        <w:t>本项目声环境影响评价自查表见表</w:t>
      </w:r>
      <w:r>
        <w:rPr>
          <w:rFonts w:hint="default"/>
          <w:color w:val="000000" w:themeColor="text1"/>
          <w:highlight w:val="none"/>
          <w:lang w:val="en-US" w:eastAsia="zh-CN"/>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25。</w:t>
      </w:r>
    </w:p>
    <w:p w14:paraId="689DF147">
      <w:pPr>
        <w:pageBreakBefore w:val="0"/>
        <w:widowControl/>
        <w:kinsoku/>
        <w:wordWrap/>
        <w:overflowPunct/>
        <w:topLinePunct w:val="0"/>
        <w:autoSpaceDE/>
        <w:autoSpaceDN/>
        <w:bidi w:val="0"/>
        <w:adjustRightInd/>
        <w:snapToGrid w:val="0"/>
        <w:spacing w:line="240" w:lineRule="auto"/>
        <w:ind w:firstLine="422" w:firstLineChars="200"/>
        <w:jc w:val="center"/>
        <w:textAlignment w:val="auto"/>
        <w:rPr>
          <w:rFonts w:hint="default" w:ascii="Times New Roman" w:hAnsi="Times New Roman" w:eastAsia="宋体" w:cs="Times New Roman"/>
          <w:b/>
          <w:color w:val="000000" w:themeColor="text1"/>
          <w:sz w:val="21"/>
          <w:szCs w:val="21"/>
          <w:highlight w:val="none"/>
          <w:shd w:val="clear" w:color="auto" w:fill="auto"/>
          <w14:textFill>
            <w14:solidFill>
              <w14:schemeClr w14:val="tx1"/>
            </w14:solidFill>
          </w14:textFill>
        </w:rPr>
      </w:pPr>
      <w:r>
        <w:rPr>
          <w:rFonts w:hint="eastAsia" w:ascii="Times New Roman" w:hAnsi="Times New Roman" w:eastAsia="宋体" w:cs="Times New Roman"/>
          <w:b/>
          <w:color w:val="000000" w:themeColor="text1"/>
          <w:sz w:val="21"/>
          <w:szCs w:val="21"/>
          <w:highlight w:val="none"/>
          <w:shd w:val="clear" w:color="auto" w:fill="auto"/>
          <w14:textFill>
            <w14:solidFill>
              <w14:schemeClr w14:val="tx1"/>
            </w14:solidFill>
          </w14:textFill>
        </w:rPr>
        <w:t>表</w:t>
      </w:r>
      <w:r>
        <w:rPr>
          <w:rFonts w:hint="default" w:ascii="Times New Roman" w:hAnsi="Times New Roman" w:eastAsia="宋体" w:cs="Times New Roman"/>
          <w:b/>
          <w:color w:val="000000" w:themeColor="text1"/>
          <w:sz w:val="21"/>
          <w:szCs w:val="21"/>
          <w:highlight w:val="none"/>
          <w:shd w:val="clear" w:color="auto" w:fill="auto"/>
          <w14:textFill>
            <w14:solidFill>
              <w14:schemeClr w14:val="tx1"/>
            </w14:solidFill>
          </w14:textFill>
        </w:rPr>
        <w:t>5.2-</w:t>
      </w:r>
      <w:r>
        <w:rPr>
          <w:rFonts w:hint="eastAsia" w:ascii="Times New Roman" w:hAnsi="Times New Roman" w:cs="Times New Roman"/>
          <w:b/>
          <w:color w:val="000000" w:themeColor="text1"/>
          <w:sz w:val="21"/>
          <w:szCs w:val="21"/>
          <w:highlight w:val="none"/>
          <w:shd w:val="clear" w:color="auto" w:fill="auto"/>
          <w:lang w:val="en-US" w:eastAsia="zh-CN"/>
          <w14:textFill>
            <w14:solidFill>
              <w14:schemeClr w14:val="tx1"/>
            </w14:solidFill>
          </w14:textFill>
        </w:rPr>
        <w:t>2</w:t>
      </w:r>
      <w:r>
        <w:rPr>
          <w:rFonts w:hint="eastAsia" w:cs="Times New Roman"/>
          <w:b/>
          <w:color w:val="000000" w:themeColor="text1"/>
          <w:sz w:val="21"/>
          <w:szCs w:val="21"/>
          <w:highlight w:val="none"/>
          <w:shd w:val="clear" w:color="auto" w:fill="auto"/>
          <w:lang w:val="en-US" w:eastAsia="zh-CN"/>
          <w14:textFill>
            <w14:solidFill>
              <w14:schemeClr w14:val="tx1"/>
            </w14:solidFill>
          </w14:textFill>
        </w:rPr>
        <w:t>5</w:t>
      </w:r>
      <w:r>
        <w:rPr>
          <w:rFonts w:hint="default" w:ascii="Times New Roman" w:hAnsi="Times New Roman" w:eastAsia="宋体" w:cs="Times New Roman"/>
          <w:b/>
          <w:color w:val="000000" w:themeColor="text1"/>
          <w:sz w:val="21"/>
          <w:szCs w:val="21"/>
          <w:highlight w:val="none"/>
          <w:shd w:val="clear" w:color="auto" w:fill="auto"/>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shd w:val="clear" w:color="auto" w:fill="auto"/>
          <w14:textFill>
            <w14:solidFill>
              <w14:schemeClr w14:val="tx1"/>
            </w14:solidFill>
          </w14:textFill>
        </w:rPr>
        <w:t>声环境影响评价自查表</w:t>
      </w:r>
    </w:p>
    <w:tbl>
      <w:tblPr>
        <w:tblStyle w:val="7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8"/>
        <w:gridCol w:w="1027"/>
        <w:gridCol w:w="1071"/>
        <w:gridCol w:w="535"/>
        <w:gridCol w:w="164"/>
        <w:gridCol w:w="373"/>
        <w:gridCol w:w="492"/>
        <w:gridCol w:w="571"/>
        <w:gridCol w:w="10"/>
        <w:gridCol w:w="862"/>
        <w:gridCol w:w="209"/>
        <w:gridCol w:w="535"/>
        <w:gridCol w:w="537"/>
        <w:gridCol w:w="7"/>
        <w:gridCol w:w="1065"/>
      </w:tblGrid>
      <w:tr w14:paraId="0B174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225" w:type="pct"/>
            <w:gridSpan w:val="2"/>
            <w:vAlign w:val="center"/>
          </w:tcPr>
          <w:p w14:paraId="502AF93B">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工作内容</w:t>
            </w:r>
          </w:p>
        </w:tc>
        <w:tc>
          <w:tcPr>
            <w:tcW w:w="3774" w:type="pct"/>
            <w:gridSpan w:val="13"/>
            <w:vAlign w:val="center"/>
          </w:tcPr>
          <w:p w14:paraId="386D276C">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自查项目</w:t>
            </w:r>
          </w:p>
        </w:tc>
      </w:tr>
      <w:tr w14:paraId="3AB8F9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restart"/>
            <w:vAlign w:val="center"/>
          </w:tcPr>
          <w:p w14:paraId="0B591ABB">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评价等级与范围</w:t>
            </w:r>
          </w:p>
        </w:tc>
        <w:tc>
          <w:tcPr>
            <w:tcW w:w="603" w:type="pct"/>
            <w:vAlign w:val="center"/>
          </w:tcPr>
          <w:p w14:paraId="366F0BD9">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评价等级</w:t>
            </w:r>
          </w:p>
        </w:tc>
        <w:tc>
          <w:tcPr>
            <w:tcW w:w="3774" w:type="pct"/>
            <w:gridSpan w:val="13"/>
            <w:vAlign w:val="center"/>
          </w:tcPr>
          <w:p w14:paraId="3C57CC7C">
            <w:pPr>
              <w:pStyle w:val="72"/>
              <w:spacing w:line="240" w:lineRule="auto"/>
              <w:rPr>
                <w:rFonts w:hint="eastAsia" w:eastAsia="宋体" w:cs="Times New Roman"/>
                <w:color w:val="000000" w:themeColor="text1"/>
                <w:kern w:val="0"/>
                <w:sz w:val="21"/>
                <w:szCs w:val="21"/>
                <w:highlight w:val="none"/>
                <w:lang w:eastAsia="zh-CN"/>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一级</w:t>
            </w:r>
            <w:r>
              <w:rPr>
                <w:rFonts w:hint="eastAsia" w:ascii="宋体" w:hAnsi="宋体" w:cs="Times New Roman"/>
                <w:color w:val="000000" w:themeColor="text1"/>
                <w:kern w:val="0"/>
                <w:sz w:val="21"/>
                <w:szCs w:val="21"/>
                <w:highlight w:val="none"/>
                <w14:textFill>
                  <w14:solidFill>
                    <w14:schemeClr w14:val="tx1"/>
                  </w14:solidFill>
                </w14:textFill>
              </w:rPr>
              <w:t>□</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二级</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 xml:space="preserve"> 三级</w:t>
            </w:r>
            <w:r>
              <w:rPr>
                <w:rFonts w:hint="eastAsia" w:cs="Times New Roman"/>
                <w:color w:val="000000" w:themeColor="text1"/>
                <w:kern w:val="0"/>
                <w:sz w:val="21"/>
                <w:szCs w:val="21"/>
                <w:highlight w:val="none"/>
                <w:lang w:eastAsia="zh-CN"/>
                <w14:textFill>
                  <w14:solidFill>
                    <w14:schemeClr w14:val="tx1"/>
                  </w14:solidFill>
                </w14:textFill>
              </w:rPr>
              <w:t>□</w:t>
            </w:r>
          </w:p>
        </w:tc>
      </w:tr>
      <w:tr w14:paraId="67F87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continue"/>
            <w:vAlign w:val="center"/>
          </w:tcPr>
          <w:p w14:paraId="162DACC9">
            <w:pPr>
              <w:pStyle w:val="72"/>
              <w:spacing w:line="240" w:lineRule="auto"/>
              <w:rPr>
                <w:rFonts w:cs="Times New Roman"/>
                <w:color w:val="000000" w:themeColor="text1"/>
                <w:kern w:val="0"/>
                <w:sz w:val="21"/>
                <w:szCs w:val="21"/>
                <w:highlight w:val="none"/>
                <w14:textFill>
                  <w14:solidFill>
                    <w14:schemeClr w14:val="tx1"/>
                  </w14:solidFill>
                </w14:textFill>
              </w:rPr>
            </w:pPr>
          </w:p>
        </w:tc>
        <w:tc>
          <w:tcPr>
            <w:tcW w:w="603" w:type="pct"/>
            <w:vAlign w:val="center"/>
          </w:tcPr>
          <w:p w14:paraId="4ED980CE">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评价范围</w:t>
            </w:r>
          </w:p>
        </w:tc>
        <w:tc>
          <w:tcPr>
            <w:tcW w:w="3774" w:type="pct"/>
            <w:gridSpan w:val="13"/>
            <w:vAlign w:val="center"/>
          </w:tcPr>
          <w:p w14:paraId="02D237A4">
            <w:pPr>
              <w:pStyle w:val="72"/>
              <w:spacing w:line="240" w:lineRule="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200m</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 xml:space="preserve"> 大于200m□</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 xml:space="preserve">  小于200m</w:t>
            </w:r>
            <w:r>
              <w:rPr>
                <w:rFonts w:hint="eastAsia" w:ascii="宋体" w:hAnsi="宋体" w:cs="Times New Roman"/>
                <w:color w:val="000000" w:themeColor="text1"/>
                <w:kern w:val="0"/>
                <w:sz w:val="21"/>
                <w:szCs w:val="21"/>
                <w:highlight w:val="none"/>
                <w14:textFill>
                  <w14:solidFill>
                    <w14:schemeClr w14:val="tx1"/>
                  </w14:solidFill>
                </w14:textFill>
              </w:rPr>
              <w:t>□</w:t>
            </w:r>
          </w:p>
        </w:tc>
      </w:tr>
      <w:tr w14:paraId="087579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Align w:val="center"/>
          </w:tcPr>
          <w:p w14:paraId="62463CAC">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评价因子</w:t>
            </w:r>
          </w:p>
        </w:tc>
        <w:tc>
          <w:tcPr>
            <w:tcW w:w="603" w:type="pct"/>
            <w:vAlign w:val="center"/>
          </w:tcPr>
          <w:p w14:paraId="132CAF86">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评价因子</w:t>
            </w:r>
          </w:p>
        </w:tc>
        <w:tc>
          <w:tcPr>
            <w:tcW w:w="3774" w:type="pct"/>
            <w:gridSpan w:val="13"/>
            <w:vAlign w:val="center"/>
          </w:tcPr>
          <w:p w14:paraId="513D25F3">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等效连续A声级</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最大A声级□    计权等效连续感觉噪声级□</w:t>
            </w:r>
          </w:p>
        </w:tc>
      </w:tr>
      <w:tr w14:paraId="2B803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Align w:val="center"/>
          </w:tcPr>
          <w:p w14:paraId="36202A82">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评价标准</w:t>
            </w:r>
          </w:p>
        </w:tc>
        <w:tc>
          <w:tcPr>
            <w:tcW w:w="603" w:type="pct"/>
            <w:vAlign w:val="center"/>
          </w:tcPr>
          <w:p w14:paraId="1FE6275C">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评价标准</w:t>
            </w:r>
          </w:p>
        </w:tc>
        <w:tc>
          <w:tcPr>
            <w:tcW w:w="3774" w:type="pct"/>
            <w:gridSpan w:val="13"/>
            <w:vAlign w:val="center"/>
          </w:tcPr>
          <w:p w14:paraId="3191505C">
            <w:pPr>
              <w:pStyle w:val="72"/>
              <w:spacing w:line="240" w:lineRule="auto"/>
              <w:rPr>
                <w:rFonts w:hint="eastAsia" w:eastAsia="宋体" w:cs="Times New Roman"/>
                <w:color w:val="000000" w:themeColor="text1"/>
                <w:kern w:val="0"/>
                <w:sz w:val="21"/>
                <w:szCs w:val="21"/>
                <w:highlight w:val="none"/>
                <w:lang w:eastAsia="zh-CN"/>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国家标准</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 xml:space="preserve"> 地方标准□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国外标准</w:t>
            </w:r>
            <w:r>
              <w:rPr>
                <w:rFonts w:hint="eastAsia" w:cs="Times New Roman"/>
                <w:color w:val="000000" w:themeColor="text1"/>
                <w:kern w:val="0"/>
                <w:sz w:val="21"/>
                <w:szCs w:val="21"/>
                <w:highlight w:val="none"/>
                <w:lang w:eastAsia="zh-CN"/>
                <w14:textFill>
                  <w14:solidFill>
                    <w14:schemeClr w14:val="tx1"/>
                  </w14:solidFill>
                </w14:textFill>
              </w:rPr>
              <w:t>□</w:t>
            </w:r>
          </w:p>
        </w:tc>
      </w:tr>
      <w:tr w14:paraId="1CB0E3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restart"/>
            <w:vAlign w:val="center"/>
          </w:tcPr>
          <w:p w14:paraId="1E6B1D57">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现状</w:t>
            </w:r>
          </w:p>
          <w:p w14:paraId="10877BE5">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w:t>
            </w:r>
          </w:p>
        </w:tc>
        <w:tc>
          <w:tcPr>
            <w:tcW w:w="603" w:type="pct"/>
            <w:vAlign w:val="center"/>
          </w:tcPr>
          <w:p w14:paraId="7E84653B">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环境</w:t>
            </w:r>
          </w:p>
          <w:p w14:paraId="0AD1B366">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功能区</w:t>
            </w:r>
          </w:p>
        </w:tc>
        <w:tc>
          <w:tcPr>
            <w:tcW w:w="629" w:type="pct"/>
            <w:vAlign w:val="center"/>
          </w:tcPr>
          <w:p w14:paraId="23A559D1">
            <w:pPr>
              <w:pStyle w:val="72"/>
              <w:spacing w:line="240" w:lineRule="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0类区□</w:t>
            </w:r>
          </w:p>
        </w:tc>
        <w:tc>
          <w:tcPr>
            <w:tcW w:w="629" w:type="pct"/>
            <w:gridSpan w:val="3"/>
            <w:vAlign w:val="center"/>
          </w:tcPr>
          <w:p w14:paraId="63AF30A8">
            <w:pPr>
              <w:pStyle w:val="72"/>
              <w:spacing w:line="240" w:lineRule="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1类区</w:t>
            </w:r>
            <w:r>
              <w:rPr>
                <w:rFonts w:hint="eastAsia" w:ascii="宋体" w:hAnsi="宋体" w:cs="Times New Roman"/>
                <w:color w:val="000000" w:themeColor="text1"/>
                <w:kern w:val="0"/>
                <w:sz w:val="21"/>
                <w:szCs w:val="21"/>
                <w:highlight w:val="none"/>
                <w14:textFill>
                  <w14:solidFill>
                    <w14:schemeClr w14:val="tx1"/>
                  </w14:solidFill>
                </w14:textFill>
              </w:rPr>
              <w:t>□</w:t>
            </w:r>
          </w:p>
        </w:tc>
        <w:tc>
          <w:tcPr>
            <w:tcW w:w="629" w:type="pct"/>
            <w:gridSpan w:val="3"/>
            <w:vAlign w:val="center"/>
          </w:tcPr>
          <w:p w14:paraId="21B767FA">
            <w:pPr>
              <w:pStyle w:val="72"/>
              <w:spacing w:line="240" w:lineRule="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2类区</w:t>
            </w:r>
            <w:r>
              <w:rPr>
                <w:rFonts w:hint="eastAsia" w:cs="Times New Roman"/>
                <w:color w:val="000000" w:themeColor="text1"/>
                <w:kern w:val="0"/>
                <w:sz w:val="21"/>
                <w:szCs w:val="21"/>
                <w:highlight w:val="none"/>
                <w:lang w:eastAsia="zh-CN"/>
                <w14:textFill>
                  <w14:solidFill>
                    <w14:schemeClr w14:val="tx1"/>
                  </w14:solidFill>
                </w14:textFill>
              </w:rPr>
              <w:t>☑</w:t>
            </w:r>
          </w:p>
        </w:tc>
        <w:tc>
          <w:tcPr>
            <w:tcW w:w="629" w:type="pct"/>
            <w:gridSpan w:val="2"/>
            <w:vAlign w:val="center"/>
          </w:tcPr>
          <w:p w14:paraId="2FC1EB06">
            <w:pPr>
              <w:pStyle w:val="72"/>
              <w:spacing w:line="240" w:lineRule="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3类区</w:t>
            </w:r>
            <w:r>
              <w:rPr>
                <w:rFonts w:hint="eastAsia" w:ascii="宋体" w:hAnsi="宋体" w:cs="Times New Roman"/>
                <w:color w:val="000000" w:themeColor="text1"/>
                <w:kern w:val="0"/>
                <w:sz w:val="21"/>
                <w:szCs w:val="21"/>
                <w:highlight w:val="none"/>
                <w14:textFill>
                  <w14:solidFill>
                    <w14:schemeClr w14:val="tx1"/>
                  </w14:solidFill>
                </w14:textFill>
              </w:rPr>
              <w:t>□</w:t>
            </w:r>
          </w:p>
        </w:tc>
        <w:tc>
          <w:tcPr>
            <w:tcW w:w="629" w:type="pct"/>
            <w:gridSpan w:val="2"/>
            <w:vAlign w:val="center"/>
          </w:tcPr>
          <w:p w14:paraId="71470BF4">
            <w:pPr>
              <w:pStyle w:val="72"/>
              <w:spacing w:line="240" w:lineRule="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4a类区</w:t>
            </w:r>
            <w:r>
              <w:rPr>
                <w:rFonts w:hint="eastAsia" w:ascii="宋体" w:hAnsi="宋体" w:cs="Times New Roman"/>
                <w:color w:val="000000" w:themeColor="text1"/>
                <w:kern w:val="0"/>
                <w:sz w:val="21"/>
                <w:szCs w:val="21"/>
                <w:highlight w:val="none"/>
                <w14:textFill>
                  <w14:solidFill>
                    <w14:schemeClr w14:val="tx1"/>
                  </w14:solidFill>
                </w14:textFill>
              </w:rPr>
              <w:t>□</w:t>
            </w:r>
          </w:p>
        </w:tc>
        <w:tc>
          <w:tcPr>
            <w:tcW w:w="627" w:type="pct"/>
            <w:gridSpan w:val="2"/>
            <w:vAlign w:val="center"/>
          </w:tcPr>
          <w:p w14:paraId="4B78E4ED">
            <w:pPr>
              <w:pStyle w:val="72"/>
              <w:spacing w:line="240" w:lineRule="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4b类区□</w:t>
            </w:r>
          </w:p>
        </w:tc>
      </w:tr>
      <w:tr w14:paraId="7E0C9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continue"/>
            <w:vAlign w:val="center"/>
          </w:tcPr>
          <w:p w14:paraId="7D496344">
            <w:pPr>
              <w:pStyle w:val="72"/>
              <w:spacing w:line="240" w:lineRule="auto"/>
              <w:rPr>
                <w:rFonts w:cs="Times New Roman"/>
                <w:color w:val="000000" w:themeColor="text1"/>
                <w:kern w:val="0"/>
                <w:sz w:val="21"/>
                <w:szCs w:val="21"/>
                <w:highlight w:val="none"/>
                <w14:textFill>
                  <w14:solidFill>
                    <w14:schemeClr w14:val="tx1"/>
                  </w14:solidFill>
                </w14:textFill>
              </w:rPr>
            </w:pPr>
          </w:p>
        </w:tc>
        <w:tc>
          <w:tcPr>
            <w:tcW w:w="603" w:type="pct"/>
            <w:vAlign w:val="center"/>
          </w:tcPr>
          <w:p w14:paraId="4180FBF4">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评价年度</w:t>
            </w:r>
          </w:p>
        </w:tc>
        <w:tc>
          <w:tcPr>
            <w:tcW w:w="943" w:type="pct"/>
            <w:gridSpan w:val="2"/>
            <w:vAlign w:val="center"/>
          </w:tcPr>
          <w:p w14:paraId="41543D8E">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初期</w:t>
            </w:r>
            <w:r>
              <w:rPr>
                <w:rFonts w:hint="eastAsia" w:cs="Times New Roman"/>
                <w:color w:val="000000" w:themeColor="text1"/>
                <w:kern w:val="0"/>
                <w:sz w:val="21"/>
                <w:szCs w:val="21"/>
                <w:highlight w:val="none"/>
                <w:lang w:eastAsia="zh-CN"/>
                <w14:textFill>
                  <w14:solidFill>
                    <w14:schemeClr w14:val="tx1"/>
                  </w14:solidFill>
                </w14:textFill>
              </w:rPr>
              <w:t>☑</w:t>
            </w:r>
          </w:p>
        </w:tc>
        <w:tc>
          <w:tcPr>
            <w:tcW w:w="945" w:type="pct"/>
            <w:gridSpan w:val="5"/>
            <w:vAlign w:val="center"/>
          </w:tcPr>
          <w:p w14:paraId="3C8B5911">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近期</w:t>
            </w:r>
            <w:r>
              <w:rPr>
                <w:rFonts w:hint="eastAsia" w:ascii="宋体" w:hAnsi="宋体" w:cs="Times New Roman"/>
                <w:color w:val="000000" w:themeColor="text1"/>
                <w:kern w:val="0"/>
                <w:sz w:val="21"/>
                <w:szCs w:val="21"/>
                <w:highlight w:val="none"/>
                <w14:textFill>
                  <w14:solidFill>
                    <w14:schemeClr w14:val="tx1"/>
                  </w14:solidFill>
                </w14:textFill>
              </w:rPr>
              <w:t>□</w:t>
            </w:r>
          </w:p>
        </w:tc>
        <w:tc>
          <w:tcPr>
            <w:tcW w:w="943" w:type="pct"/>
            <w:gridSpan w:val="3"/>
            <w:vAlign w:val="center"/>
          </w:tcPr>
          <w:p w14:paraId="536106B4">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中期</w:t>
            </w:r>
            <w:r>
              <w:rPr>
                <w:rFonts w:hint="eastAsia" w:ascii="宋体" w:hAnsi="宋体" w:cs="Times New Roman"/>
                <w:color w:val="000000" w:themeColor="text1"/>
                <w:kern w:val="0"/>
                <w:sz w:val="21"/>
                <w:szCs w:val="21"/>
                <w:highlight w:val="none"/>
                <w14:textFill>
                  <w14:solidFill>
                    <w14:schemeClr w14:val="tx1"/>
                  </w14:solidFill>
                </w14:textFill>
              </w:rPr>
              <w:t>□</w:t>
            </w:r>
          </w:p>
        </w:tc>
        <w:tc>
          <w:tcPr>
            <w:tcW w:w="942" w:type="pct"/>
            <w:gridSpan w:val="3"/>
            <w:vAlign w:val="center"/>
          </w:tcPr>
          <w:p w14:paraId="1E86012C">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远期</w:t>
            </w:r>
            <w:r>
              <w:rPr>
                <w:rFonts w:hint="eastAsia" w:ascii="宋体" w:hAnsi="宋体" w:cs="Times New Roman"/>
                <w:color w:val="000000" w:themeColor="text1"/>
                <w:kern w:val="0"/>
                <w:sz w:val="21"/>
                <w:szCs w:val="21"/>
                <w:highlight w:val="none"/>
                <w14:textFill>
                  <w14:solidFill>
                    <w14:schemeClr w14:val="tx1"/>
                  </w14:solidFill>
                </w14:textFill>
              </w:rPr>
              <w:t>□</w:t>
            </w:r>
          </w:p>
        </w:tc>
      </w:tr>
      <w:tr w14:paraId="350F33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continue"/>
            <w:vAlign w:val="center"/>
          </w:tcPr>
          <w:p w14:paraId="7342C487">
            <w:pPr>
              <w:pStyle w:val="72"/>
              <w:spacing w:line="240" w:lineRule="auto"/>
              <w:rPr>
                <w:rFonts w:cs="Times New Roman"/>
                <w:color w:val="000000" w:themeColor="text1"/>
                <w:kern w:val="0"/>
                <w:sz w:val="21"/>
                <w:szCs w:val="21"/>
                <w:highlight w:val="none"/>
                <w14:textFill>
                  <w14:solidFill>
                    <w14:schemeClr w14:val="tx1"/>
                  </w14:solidFill>
                </w14:textFill>
              </w:rPr>
            </w:pPr>
          </w:p>
        </w:tc>
        <w:tc>
          <w:tcPr>
            <w:tcW w:w="603" w:type="pct"/>
            <w:vAlign w:val="center"/>
          </w:tcPr>
          <w:p w14:paraId="0B74E6B1">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现状调查方法</w:t>
            </w:r>
          </w:p>
        </w:tc>
        <w:tc>
          <w:tcPr>
            <w:tcW w:w="3774" w:type="pct"/>
            <w:gridSpan w:val="13"/>
            <w:vAlign w:val="center"/>
          </w:tcPr>
          <w:p w14:paraId="642884EB">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现场实测法</w:t>
            </w:r>
            <w:r>
              <w:rPr>
                <w:rFonts w:hint="eastAsia" w:cs="Times New Roman"/>
                <w:color w:val="000000" w:themeColor="text1"/>
                <w:kern w:val="0"/>
                <w:sz w:val="21"/>
                <w:szCs w:val="21"/>
                <w:highlight w:val="none"/>
                <w:lang w:eastAsia="zh-CN"/>
                <w14:textFill>
                  <w14:solidFill>
                    <w14:schemeClr w14:val="tx1"/>
                  </w14:solidFill>
                </w14:textFill>
              </w:rPr>
              <w:t>☑</w:t>
            </w:r>
            <w:r>
              <w:rPr>
                <w:rFonts w:cs="Times New Roman"/>
                <w:color w:val="000000" w:themeColor="text1"/>
                <w:kern w:val="0"/>
                <w:sz w:val="21"/>
                <w:szCs w:val="21"/>
                <w:highlight w:val="none"/>
                <w14:textFill>
                  <w14:solidFill>
                    <w14:schemeClr w14:val="tx1"/>
                  </w14:solidFill>
                </w14:textFill>
              </w:rPr>
              <w:t xml:space="preserve">     现场实测加模型计算法</w:t>
            </w:r>
            <w:r>
              <w:rPr>
                <w:rFonts w:hint="eastAsia" w:ascii="宋体" w:hAnsi="宋体" w:cs="Times New Roman"/>
                <w:color w:val="000000" w:themeColor="text1"/>
                <w:kern w:val="0"/>
                <w:sz w:val="21"/>
                <w:szCs w:val="21"/>
                <w:highlight w:val="none"/>
                <w14:textFill>
                  <w14:solidFill>
                    <w14:schemeClr w14:val="tx1"/>
                  </w14:solidFill>
                </w14:textFill>
              </w:rPr>
              <w:t>□</w:t>
            </w:r>
            <w:r>
              <w:rPr>
                <w:rFonts w:cs="Times New Roman"/>
                <w:color w:val="000000" w:themeColor="text1"/>
                <w:kern w:val="0"/>
                <w:sz w:val="21"/>
                <w:szCs w:val="21"/>
                <w:highlight w:val="none"/>
                <w14:textFill>
                  <w14:solidFill>
                    <w14:schemeClr w14:val="tx1"/>
                  </w14:solidFill>
                </w14:textFill>
              </w:rPr>
              <w:t xml:space="preserve">     收集资料</w:t>
            </w:r>
            <w:r>
              <w:rPr>
                <w:rFonts w:hint="eastAsia" w:cs="Times New Roman"/>
                <w:color w:val="000000" w:themeColor="text1"/>
                <w:kern w:val="0"/>
                <w:sz w:val="21"/>
                <w:szCs w:val="21"/>
                <w:highlight w:val="none"/>
                <w14:textFill>
                  <w14:solidFill>
                    <w14:schemeClr w14:val="tx1"/>
                  </w14:solidFill>
                </w14:textFill>
              </w:rPr>
              <w:t>□</w:t>
            </w:r>
          </w:p>
        </w:tc>
      </w:tr>
      <w:tr w14:paraId="75EAC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continue"/>
            <w:vAlign w:val="center"/>
          </w:tcPr>
          <w:p w14:paraId="686AB68A">
            <w:pPr>
              <w:pStyle w:val="72"/>
              <w:spacing w:line="240" w:lineRule="auto"/>
              <w:rPr>
                <w:rFonts w:cs="Times New Roman"/>
                <w:color w:val="000000" w:themeColor="text1"/>
                <w:kern w:val="0"/>
                <w:sz w:val="21"/>
                <w:szCs w:val="21"/>
                <w:highlight w:val="none"/>
                <w14:textFill>
                  <w14:solidFill>
                    <w14:schemeClr w14:val="tx1"/>
                  </w14:solidFill>
                </w14:textFill>
              </w:rPr>
            </w:pPr>
          </w:p>
        </w:tc>
        <w:tc>
          <w:tcPr>
            <w:tcW w:w="603" w:type="pct"/>
            <w:vAlign w:val="center"/>
          </w:tcPr>
          <w:p w14:paraId="6942B026">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现状评价</w:t>
            </w:r>
          </w:p>
        </w:tc>
        <w:tc>
          <w:tcPr>
            <w:tcW w:w="1039" w:type="pct"/>
            <w:gridSpan w:val="3"/>
            <w:vAlign w:val="center"/>
          </w:tcPr>
          <w:p w14:paraId="6D84E70E">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达标百分比</w:t>
            </w:r>
          </w:p>
        </w:tc>
        <w:tc>
          <w:tcPr>
            <w:tcW w:w="2734" w:type="pct"/>
            <w:gridSpan w:val="10"/>
            <w:vAlign w:val="center"/>
          </w:tcPr>
          <w:p w14:paraId="2F889283">
            <w:pPr>
              <w:pStyle w:val="72"/>
              <w:spacing w:line="240" w:lineRule="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1</w:t>
            </w:r>
            <w:r>
              <w:rPr>
                <w:rFonts w:cs="Times New Roman"/>
                <w:color w:val="000000" w:themeColor="text1"/>
                <w:kern w:val="0"/>
                <w:sz w:val="21"/>
                <w:szCs w:val="21"/>
                <w:highlight w:val="none"/>
                <w14:textFill>
                  <w14:solidFill>
                    <w14:schemeClr w14:val="tx1"/>
                  </w14:solidFill>
                </w14:textFill>
              </w:rPr>
              <w:t>00</w:t>
            </w:r>
            <w:r>
              <w:rPr>
                <w:rFonts w:hint="eastAsia" w:cs="Times New Roman"/>
                <w:color w:val="000000" w:themeColor="text1"/>
                <w:kern w:val="0"/>
                <w:sz w:val="21"/>
                <w:szCs w:val="21"/>
                <w:highlight w:val="none"/>
                <w14:textFill>
                  <w14:solidFill>
                    <w14:schemeClr w14:val="tx1"/>
                  </w14:solidFill>
                </w14:textFill>
              </w:rPr>
              <w:t>%</w:t>
            </w:r>
          </w:p>
        </w:tc>
      </w:tr>
      <w:tr w14:paraId="64AB1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Align w:val="center"/>
          </w:tcPr>
          <w:p w14:paraId="5A6EECE0">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噪声源调查</w:t>
            </w:r>
          </w:p>
        </w:tc>
        <w:tc>
          <w:tcPr>
            <w:tcW w:w="603" w:type="pct"/>
            <w:vAlign w:val="center"/>
          </w:tcPr>
          <w:p w14:paraId="07B596DC">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噪声源调查方法</w:t>
            </w:r>
          </w:p>
        </w:tc>
        <w:tc>
          <w:tcPr>
            <w:tcW w:w="1547" w:type="pct"/>
            <w:gridSpan w:val="5"/>
            <w:vAlign w:val="center"/>
          </w:tcPr>
          <w:p w14:paraId="6510E807">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现场实测</w:t>
            </w:r>
            <w:r>
              <w:rPr>
                <w:rFonts w:hint="eastAsia" w:cs="Times New Roman"/>
                <w:color w:val="000000" w:themeColor="text1"/>
                <w:kern w:val="0"/>
                <w:sz w:val="21"/>
                <w:szCs w:val="21"/>
                <w:highlight w:val="none"/>
                <w:lang w:eastAsia="zh-CN"/>
                <w14:textFill>
                  <w14:solidFill>
                    <w14:schemeClr w14:val="tx1"/>
                  </w14:solidFill>
                </w14:textFill>
              </w:rPr>
              <w:t>□</w:t>
            </w:r>
          </w:p>
        </w:tc>
        <w:tc>
          <w:tcPr>
            <w:tcW w:w="847" w:type="pct"/>
            <w:gridSpan w:val="3"/>
            <w:vAlign w:val="center"/>
          </w:tcPr>
          <w:p w14:paraId="31805495">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已有资料</w:t>
            </w:r>
            <w:r>
              <w:rPr>
                <w:rFonts w:hint="eastAsia" w:cs="Times New Roman"/>
                <w:color w:val="000000" w:themeColor="text1"/>
                <w:kern w:val="0"/>
                <w:sz w:val="21"/>
                <w:szCs w:val="21"/>
                <w:highlight w:val="none"/>
                <w:lang w:eastAsia="zh-CN"/>
                <w14:textFill>
                  <w14:solidFill>
                    <w14:schemeClr w14:val="tx1"/>
                  </w14:solidFill>
                </w14:textFill>
              </w:rPr>
              <w:t>☑</w:t>
            </w:r>
          </w:p>
        </w:tc>
        <w:tc>
          <w:tcPr>
            <w:tcW w:w="1378" w:type="pct"/>
            <w:gridSpan w:val="5"/>
            <w:vAlign w:val="center"/>
          </w:tcPr>
          <w:p w14:paraId="21FF95DE">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研究成果</w:t>
            </w:r>
            <w:r>
              <w:rPr>
                <w:rFonts w:hint="eastAsia" w:cs="Times New Roman"/>
                <w:color w:val="000000" w:themeColor="text1"/>
                <w:kern w:val="0"/>
                <w:sz w:val="21"/>
                <w:szCs w:val="21"/>
                <w:highlight w:val="none"/>
                <w14:textFill>
                  <w14:solidFill>
                    <w14:schemeClr w14:val="tx1"/>
                  </w14:solidFill>
                </w14:textFill>
              </w:rPr>
              <w:t>□</w:t>
            </w:r>
          </w:p>
        </w:tc>
      </w:tr>
      <w:tr w14:paraId="61FB3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restart"/>
            <w:vAlign w:val="center"/>
          </w:tcPr>
          <w:p w14:paraId="1BEE5934">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声环境影响预测与评价</w:t>
            </w:r>
          </w:p>
        </w:tc>
        <w:tc>
          <w:tcPr>
            <w:tcW w:w="603" w:type="pct"/>
            <w:vAlign w:val="center"/>
          </w:tcPr>
          <w:p w14:paraId="4D46FE0E">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预测模型</w:t>
            </w:r>
          </w:p>
        </w:tc>
        <w:tc>
          <w:tcPr>
            <w:tcW w:w="3774" w:type="pct"/>
            <w:gridSpan w:val="13"/>
            <w:vAlign w:val="center"/>
          </w:tcPr>
          <w:p w14:paraId="4982BDD0">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导则推荐模型</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 xml:space="preserve"> 其他□</w:t>
            </w:r>
          </w:p>
        </w:tc>
      </w:tr>
      <w:tr w14:paraId="01F412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continue"/>
            <w:vAlign w:val="center"/>
          </w:tcPr>
          <w:p w14:paraId="4AB4D9A1">
            <w:pPr>
              <w:pStyle w:val="72"/>
              <w:spacing w:line="240" w:lineRule="auto"/>
              <w:rPr>
                <w:rFonts w:cs="Times New Roman"/>
                <w:color w:val="000000" w:themeColor="text1"/>
                <w:kern w:val="0"/>
                <w:sz w:val="21"/>
                <w:szCs w:val="21"/>
                <w:highlight w:val="none"/>
                <w14:textFill>
                  <w14:solidFill>
                    <w14:schemeClr w14:val="tx1"/>
                  </w14:solidFill>
                </w14:textFill>
              </w:rPr>
            </w:pPr>
          </w:p>
        </w:tc>
        <w:tc>
          <w:tcPr>
            <w:tcW w:w="603" w:type="pct"/>
            <w:vAlign w:val="center"/>
          </w:tcPr>
          <w:p w14:paraId="585A9DE3">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预测范围</w:t>
            </w:r>
          </w:p>
        </w:tc>
        <w:tc>
          <w:tcPr>
            <w:tcW w:w="3774" w:type="pct"/>
            <w:gridSpan w:val="13"/>
            <w:vAlign w:val="center"/>
          </w:tcPr>
          <w:p w14:paraId="1AE45FE8">
            <w:pPr>
              <w:pStyle w:val="72"/>
              <w:spacing w:line="240" w:lineRule="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200m</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大于</w:t>
            </w:r>
            <w:r>
              <w:rPr>
                <w:rFonts w:hint="eastAsia" w:cs="Times New Roman"/>
                <w:color w:val="000000" w:themeColor="text1"/>
                <w:kern w:val="0"/>
                <w:sz w:val="21"/>
                <w:szCs w:val="21"/>
                <w:highlight w:val="none"/>
                <w14:textFill>
                  <w14:solidFill>
                    <w14:schemeClr w14:val="tx1"/>
                  </w14:solidFill>
                </w14:textFill>
              </w:rPr>
              <w:t>200m□</w:t>
            </w:r>
            <w:r>
              <w:rPr>
                <w:rFonts w:cs="Times New Roman"/>
                <w:color w:val="000000" w:themeColor="text1"/>
                <w:kern w:val="0"/>
                <w:sz w:val="21"/>
                <w:szCs w:val="21"/>
                <w:highlight w:val="none"/>
                <w14:textFill>
                  <w14:solidFill>
                    <w14:schemeClr w14:val="tx1"/>
                  </w14:solidFill>
                </w14:textFill>
              </w:rPr>
              <w:t xml:space="preserve">          小于</w:t>
            </w:r>
            <w:r>
              <w:rPr>
                <w:rFonts w:hint="eastAsia" w:cs="Times New Roman"/>
                <w:color w:val="000000" w:themeColor="text1"/>
                <w:kern w:val="0"/>
                <w:sz w:val="21"/>
                <w:szCs w:val="21"/>
                <w:highlight w:val="none"/>
                <w14:textFill>
                  <w14:solidFill>
                    <w14:schemeClr w14:val="tx1"/>
                  </w14:solidFill>
                </w14:textFill>
              </w:rPr>
              <w:t>200m</w:t>
            </w:r>
            <w:r>
              <w:rPr>
                <w:rFonts w:hint="eastAsia" w:ascii="宋体" w:hAnsi="宋体" w:cs="Times New Roman"/>
                <w:color w:val="000000" w:themeColor="text1"/>
                <w:kern w:val="0"/>
                <w:sz w:val="21"/>
                <w:szCs w:val="21"/>
                <w:highlight w:val="none"/>
                <w14:textFill>
                  <w14:solidFill>
                    <w14:schemeClr w14:val="tx1"/>
                  </w14:solidFill>
                </w14:textFill>
              </w:rPr>
              <w:t>□</w:t>
            </w:r>
          </w:p>
        </w:tc>
      </w:tr>
      <w:tr w14:paraId="4D3B9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continue"/>
            <w:vAlign w:val="center"/>
          </w:tcPr>
          <w:p w14:paraId="59987C87">
            <w:pPr>
              <w:pStyle w:val="72"/>
              <w:spacing w:line="240" w:lineRule="auto"/>
              <w:rPr>
                <w:rFonts w:cs="Times New Roman"/>
                <w:color w:val="000000" w:themeColor="text1"/>
                <w:kern w:val="0"/>
                <w:sz w:val="21"/>
                <w:szCs w:val="21"/>
                <w:highlight w:val="none"/>
                <w14:textFill>
                  <w14:solidFill>
                    <w14:schemeClr w14:val="tx1"/>
                  </w14:solidFill>
                </w14:textFill>
              </w:rPr>
            </w:pPr>
          </w:p>
        </w:tc>
        <w:tc>
          <w:tcPr>
            <w:tcW w:w="603" w:type="pct"/>
            <w:vAlign w:val="center"/>
          </w:tcPr>
          <w:p w14:paraId="13BEFCDF">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预测因子</w:t>
            </w:r>
          </w:p>
        </w:tc>
        <w:tc>
          <w:tcPr>
            <w:tcW w:w="3774" w:type="pct"/>
            <w:gridSpan w:val="13"/>
            <w:vAlign w:val="center"/>
          </w:tcPr>
          <w:p w14:paraId="3D5892A2">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等效连续A声级</w:t>
            </w:r>
            <w:r>
              <w:rPr>
                <w:rFonts w:hint="eastAsia" w:cs="Times New Roman"/>
                <w:color w:val="000000" w:themeColor="text1"/>
                <w:kern w:val="0"/>
                <w:sz w:val="21"/>
                <w:szCs w:val="21"/>
                <w:highlight w:val="none"/>
                <w:lang w:eastAsia="zh-CN"/>
                <w14:textFill>
                  <w14:solidFill>
                    <w14:schemeClr w14:val="tx1"/>
                  </w14:solidFill>
                </w14:textFill>
              </w:rPr>
              <w:t>☑</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最大A声级□   计权等效连续感觉噪声级□</w:t>
            </w:r>
          </w:p>
        </w:tc>
      </w:tr>
      <w:tr w14:paraId="2DB5A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continue"/>
            <w:vAlign w:val="center"/>
          </w:tcPr>
          <w:p w14:paraId="5961155F">
            <w:pPr>
              <w:pStyle w:val="72"/>
              <w:spacing w:line="240" w:lineRule="auto"/>
              <w:rPr>
                <w:rFonts w:cs="Times New Roman"/>
                <w:color w:val="000000" w:themeColor="text1"/>
                <w:kern w:val="0"/>
                <w:sz w:val="21"/>
                <w:szCs w:val="21"/>
                <w:highlight w:val="none"/>
                <w14:textFill>
                  <w14:solidFill>
                    <w14:schemeClr w14:val="tx1"/>
                  </w14:solidFill>
                </w14:textFill>
              </w:rPr>
            </w:pPr>
          </w:p>
        </w:tc>
        <w:tc>
          <w:tcPr>
            <w:tcW w:w="603" w:type="pct"/>
            <w:vAlign w:val="center"/>
          </w:tcPr>
          <w:p w14:paraId="4D5262D3">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厂界噪声贡献值</w:t>
            </w:r>
          </w:p>
        </w:tc>
        <w:tc>
          <w:tcPr>
            <w:tcW w:w="3774" w:type="pct"/>
            <w:gridSpan w:val="13"/>
            <w:vAlign w:val="center"/>
          </w:tcPr>
          <w:p w14:paraId="0988BF0A">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达标</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不达标</w:t>
            </w:r>
            <w:r>
              <w:rPr>
                <w:rFonts w:hint="eastAsia" w:ascii="宋体" w:hAnsi="宋体" w:cs="Times New Roman"/>
                <w:color w:val="000000" w:themeColor="text1"/>
                <w:kern w:val="0"/>
                <w:sz w:val="21"/>
                <w:szCs w:val="21"/>
                <w:highlight w:val="none"/>
                <w14:textFill>
                  <w14:solidFill>
                    <w14:schemeClr w14:val="tx1"/>
                  </w14:solidFill>
                </w14:textFill>
              </w:rPr>
              <w:t>□</w:t>
            </w:r>
          </w:p>
        </w:tc>
      </w:tr>
      <w:tr w14:paraId="47AD4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continue"/>
            <w:vAlign w:val="center"/>
          </w:tcPr>
          <w:p w14:paraId="63795BAB">
            <w:pPr>
              <w:pStyle w:val="72"/>
              <w:spacing w:line="240" w:lineRule="auto"/>
              <w:rPr>
                <w:rFonts w:cs="Times New Roman"/>
                <w:color w:val="000000" w:themeColor="text1"/>
                <w:kern w:val="0"/>
                <w:sz w:val="21"/>
                <w:szCs w:val="21"/>
                <w:highlight w:val="none"/>
                <w14:textFill>
                  <w14:solidFill>
                    <w14:schemeClr w14:val="tx1"/>
                  </w14:solidFill>
                </w14:textFill>
              </w:rPr>
            </w:pPr>
          </w:p>
        </w:tc>
        <w:tc>
          <w:tcPr>
            <w:tcW w:w="603" w:type="pct"/>
            <w:vAlign w:val="center"/>
          </w:tcPr>
          <w:p w14:paraId="7A935645">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声环境保护目标处噪声值</w:t>
            </w:r>
          </w:p>
        </w:tc>
        <w:tc>
          <w:tcPr>
            <w:tcW w:w="3774" w:type="pct"/>
            <w:gridSpan w:val="13"/>
            <w:vAlign w:val="center"/>
          </w:tcPr>
          <w:p w14:paraId="098D9C65">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达标</w:t>
            </w:r>
            <w:r>
              <w:rPr>
                <w:rFonts w:hint="eastAsia" w:cs="Times New Roman"/>
                <w:color w:val="000000" w:themeColor="text1"/>
                <w:kern w:val="0"/>
                <w:sz w:val="21"/>
                <w:szCs w:val="21"/>
                <w:highlight w:val="none"/>
                <w:lang w:eastAsia="zh-CN"/>
                <w14:textFill>
                  <w14:solidFill>
                    <w14:schemeClr w14:val="tx1"/>
                  </w14:solidFill>
                </w14:textFill>
              </w:rPr>
              <w:t>□</w:t>
            </w:r>
            <w:r>
              <w:rPr>
                <w:rFonts w:cs="Times New Roman"/>
                <w:color w:val="000000" w:themeColor="text1"/>
                <w:kern w:val="0"/>
                <w:sz w:val="21"/>
                <w:szCs w:val="21"/>
                <w:highlight w:val="none"/>
                <w14:textFill>
                  <w14:solidFill>
                    <w14:schemeClr w14:val="tx1"/>
                  </w14:solidFill>
                </w14:textFill>
              </w:rPr>
              <w:t xml:space="preserve">                         不达标</w:t>
            </w:r>
            <w:r>
              <w:rPr>
                <w:rFonts w:hint="eastAsia" w:ascii="宋体" w:hAnsi="宋体" w:cs="Times New Roman"/>
                <w:color w:val="000000" w:themeColor="text1"/>
                <w:kern w:val="0"/>
                <w:sz w:val="21"/>
                <w:szCs w:val="21"/>
                <w:highlight w:val="none"/>
                <w14:textFill>
                  <w14:solidFill>
                    <w14:schemeClr w14:val="tx1"/>
                  </w14:solidFill>
                </w14:textFill>
              </w:rPr>
              <w:t>□</w:t>
            </w:r>
          </w:p>
        </w:tc>
      </w:tr>
      <w:tr w14:paraId="5C5CB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restart"/>
            <w:vAlign w:val="center"/>
          </w:tcPr>
          <w:p w14:paraId="2383B1F4">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环境监测计划</w:t>
            </w:r>
          </w:p>
        </w:tc>
        <w:tc>
          <w:tcPr>
            <w:tcW w:w="603" w:type="pct"/>
            <w:vAlign w:val="center"/>
          </w:tcPr>
          <w:p w14:paraId="551D4972">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排放监测</w:t>
            </w:r>
          </w:p>
        </w:tc>
        <w:tc>
          <w:tcPr>
            <w:tcW w:w="3774" w:type="pct"/>
            <w:gridSpan w:val="13"/>
            <w:vAlign w:val="center"/>
          </w:tcPr>
          <w:p w14:paraId="17C61741">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厂界监测</w:t>
            </w:r>
            <w:r>
              <w:rPr>
                <w:rFonts w:hint="eastAsia" w:cs="Times New Roman"/>
                <w:color w:val="000000" w:themeColor="text1"/>
                <w:kern w:val="0"/>
                <w:sz w:val="21"/>
                <w:szCs w:val="21"/>
                <w:highlight w:val="none"/>
                <w:lang w:eastAsia="zh-CN"/>
                <w14:textFill>
                  <w14:solidFill>
                    <w14:schemeClr w14:val="tx1"/>
                  </w14:solidFill>
                </w14:textFill>
              </w:rPr>
              <w:t>☑</w:t>
            </w:r>
            <w:r>
              <w:rPr>
                <w:rFonts w:cs="Times New Roman"/>
                <w:color w:val="000000" w:themeColor="text1"/>
                <w:kern w:val="0"/>
                <w:sz w:val="21"/>
                <w:szCs w:val="21"/>
                <w:highlight w:val="none"/>
                <w14:textFill>
                  <w14:solidFill>
                    <w14:schemeClr w14:val="tx1"/>
                  </w14:solidFill>
                </w14:textFill>
              </w:rPr>
              <w:t xml:space="preserve">  固定位置监测</w:t>
            </w:r>
            <w:r>
              <w:rPr>
                <w:rFonts w:hint="eastAsia" w:ascii="宋体" w:hAnsi="宋体" w:cs="Times New Roman"/>
                <w:color w:val="000000" w:themeColor="text1"/>
                <w:kern w:val="0"/>
                <w:sz w:val="21"/>
                <w:szCs w:val="21"/>
                <w:highlight w:val="none"/>
                <w14:textFill>
                  <w14:solidFill>
                    <w14:schemeClr w14:val="tx1"/>
                  </w14:solidFill>
                </w14:textFill>
              </w:rPr>
              <w:t>□</w:t>
            </w:r>
            <w:r>
              <w:rPr>
                <w:rFonts w:cs="Times New Roman"/>
                <w:color w:val="000000" w:themeColor="text1"/>
                <w:kern w:val="0"/>
                <w:sz w:val="21"/>
                <w:szCs w:val="21"/>
                <w:highlight w:val="none"/>
                <w14:textFill>
                  <w14:solidFill>
                    <w14:schemeClr w14:val="tx1"/>
                  </w14:solidFill>
                </w14:textFill>
              </w:rPr>
              <w:t xml:space="preserve">  自动监测</w:t>
            </w:r>
            <w:r>
              <w:rPr>
                <w:rFonts w:hint="eastAsia" w:cs="Times New Roman"/>
                <w:color w:val="000000" w:themeColor="text1"/>
                <w:kern w:val="0"/>
                <w:sz w:val="21"/>
                <w:szCs w:val="21"/>
                <w:highlight w:val="none"/>
                <w14:textFill>
                  <w14:solidFill>
                    <w14:schemeClr w14:val="tx1"/>
                  </w14:solidFill>
                </w14:textFill>
              </w:rPr>
              <w:t>□</w:t>
            </w:r>
            <w:r>
              <w:rPr>
                <w:rFonts w:cs="Times New Roman"/>
                <w:color w:val="000000" w:themeColor="text1"/>
                <w:kern w:val="0"/>
                <w:sz w:val="21"/>
                <w:szCs w:val="21"/>
                <w:highlight w:val="none"/>
                <w14:textFill>
                  <w14:solidFill>
                    <w14:schemeClr w14:val="tx1"/>
                  </w14:solidFill>
                </w14:textFill>
              </w:rPr>
              <w:t xml:space="preserve">  手动监测</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无监测</w:t>
            </w:r>
            <w:r>
              <w:rPr>
                <w:rFonts w:hint="eastAsia" w:cs="Times New Roman"/>
                <w:color w:val="000000" w:themeColor="text1"/>
                <w:kern w:val="0"/>
                <w:sz w:val="21"/>
                <w:szCs w:val="21"/>
                <w:highlight w:val="none"/>
                <w14:textFill>
                  <w14:solidFill>
                    <w14:schemeClr w14:val="tx1"/>
                  </w14:solidFill>
                </w14:textFill>
              </w:rPr>
              <w:t>□</w:t>
            </w:r>
          </w:p>
        </w:tc>
      </w:tr>
      <w:tr w14:paraId="30FBB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Merge w:val="continue"/>
            <w:vAlign w:val="center"/>
          </w:tcPr>
          <w:p w14:paraId="2ED5257B">
            <w:pPr>
              <w:pStyle w:val="72"/>
              <w:spacing w:line="240" w:lineRule="auto"/>
              <w:rPr>
                <w:rFonts w:cs="Times New Roman"/>
                <w:color w:val="000000" w:themeColor="text1"/>
                <w:kern w:val="0"/>
                <w:sz w:val="21"/>
                <w:szCs w:val="21"/>
                <w:highlight w:val="none"/>
                <w14:textFill>
                  <w14:solidFill>
                    <w14:schemeClr w14:val="tx1"/>
                  </w14:solidFill>
                </w14:textFill>
              </w:rPr>
            </w:pPr>
          </w:p>
        </w:tc>
        <w:tc>
          <w:tcPr>
            <w:tcW w:w="603" w:type="pct"/>
            <w:vAlign w:val="center"/>
          </w:tcPr>
          <w:p w14:paraId="0E6512BE">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声环境保护目标处噪声监测</w:t>
            </w:r>
          </w:p>
        </w:tc>
        <w:tc>
          <w:tcPr>
            <w:tcW w:w="1882" w:type="pct"/>
            <w:gridSpan w:val="6"/>
            <w:vAlign w:val="center"/>
          </w:tcPr>
          <w:p w14:paraId="18181223">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监测因子</w:t>
            </w:r>
            <w:r>
              <w:rPr>
                <w:rFonts w:hint="eastAsia" w:cs="Times New Roman"/>
                <w:color w:val="000000" w:themeColor="text1"/>
                <w:kern w:val="0"/>
                <w:sz w:val="21"/>
                <w:szCs w:val="21"/>
                <w:highlight w:val="none"/>
                <w14:textFill>
                  <w14:solidFill>
                    <w14:schemeClr w14:val="tx1"/>
                  </w14:solidFill>
                </w14:textFill>
              </w:rPr>
              <w:t>：（等效连续A声级）</w:t>
            </w:r>
          </w:p>
        </w:tc>
        <w:tc>
          <w:tcPr>
            <w:tcW w:w="1268" w:type="pct"/>
            <w:gridSpan w:val="6"/>
            <w:vAlign w:val="center"/>
          </w:tcPr>
          <w:p w14:paraId="2031935C">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监测点位数</w:t>
            </w:r>
            <w:r>
              <w:rPr>
                <w:rFonts w:hint="eastAsia" w:cs="Times New Roman"/>
                <w:color w:val="000000" w:themeColor="text1"/>
                <w:kern w:val="0"/>
                <w:sz w:val="21"/>
                <w:szCs w:val="21"/>
                <w:highlight w:val="none"/>
                <w14:textFill>
                  <w14:solidFill>
                    <w14:schemeClr w14:val="tx1"/>
                  </w14:solidFill>
                </w14:textFill>
              </w:rPr>
              <w:t>：（</w:t>
            </w:r>
            <w:r>
              <w:rPr>
                <w:rFonts w:cs="Times New Roman"/>
                <w:color w:val="000000" w:themeColor="text1"/>
                <w:kern w:val="0"/>
                <w:sz w:val="21"/>
                <w:szCs w:val="21"/>
                <w:highlight w:val="none"/>
                <w14:textFill>
                  <w14:solidFill>
                    <w14:schemeClr w14:val="tx1"/>
                  </w14:solidFill>
                </w14:textFill>
              </w:rPr>
              <w:t>4</w:t>
            </w:r>
            <w:r>
              <w:rPr>
                <w:rFonts w:hint="eastAsia" w:cs="Times New Roman"/>
                <w:color w:val="000000" w:themeColor="text1"/>
                <w:kern w:val="0"/>
                <w:sz w:val="21"/>
                <w:szCs w:val="21"/>
                <w:highlight w:val="none"/>
                <w14:textFill>
                  <w14:solidFill>
                    <w14:schemeClr w14:val="tx1"/>
                  </w14:solidFill>
                </w14:textFill>
              </w:rPr>
              <w:t>个）</w:t>
            </w:r>
          </w:p>
        </w:tc>
        <w:tc>
          <w:tcPr>
            <w:tcW w:w="623" w:type="pct"/>
            <w:vAlign w:val="center"/>
          </w:tcPr>
          <w:p w14:paraId="57B1EBE9">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无监测</w:t>
            </w:r>
            <w:r>
              <w:rPr>
                <w:rFonts w:hint="eastAsia" w:cs="Times New Roman"/>
                <w:color w:val="000000" w:themeColor="text1"/>
                <w:kern w:val="0"/>
                <w:sz w:val="21"/>
                <w:szCs w:val="21"/>
                <w:highlight w:val="none"/>
                <w14:textFill>
                  <w14:solidFill>
                    <w14:schemeClr w14:val="tx1"/>
                  </w14:solidFill>
                </w14:textFill>
              </w:rPr>
              <w:t>□</w:t>
            </w:r>
          </w:p>
        </w:tc>
      </w:tr>
      <w:tr w14:paraId="383BD0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622" w:type="pct"/>
            <w:vAlign w:val="center"/>
          </w:tcPr>
          <w:p w14:paraId="6E97D34C">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评价结论</w:t>
            </w:r>
          </w:p>
        </w:tc>
        <w:tc>
          <w:tcPr>
            <w:tcW w:w="603" w:type="pct"/>
            <w:vAlign w:val="center"/>
          </w:tcPr>
          <w:p w14:paraId="65B525D5">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环境影响</w:t>
            </w:r>
          </w:p>
        </w:tc>
        <w:tc>
          <w:tcPr>
            <w:tcW w:w="3774" w:type="pct"/>
            <w:gridSpan w:val="13"/>
            <w:vAlign w:val="center"/>
          </w:tcPr>
          <w:p w14:paraId="35F8DFB4">
            <w:pPr>
              <w:pStyle w:val="72"/>
              <w:spacing w:line="240" w:lineRule="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可行</w:t>
            </w:r>
            <w:r>
              <w:rPr>
                <w:rFonts w:hint="eastAsia" w:cs="Times New Roman"/>
                <w:color w:val="000000" w:themeColor="text1"/>
                <w:kern w:val="0"/>
                <w:sz w:val="21"/>
                <w:szCs w:val="21"/>
                <w:highlight w:val="none"/>
                <w:lang w:eastAsia="zh-CN"/>
                <w14:textFill>
                  <w14:solidFill>
                    <w14:schemeClr w14:val="tx1"/>
                  </w14:solidFill>
                </w14:textFill>
              </w:rPr>
              <w:t>☑</w:t>
            </w:r>
            <w:r>
              <w:rPr>
                <w:rFonts w:cs="Times New Roman"/>
                <w:color w:val="000000" w:themeColor="text1"/>
                <w:kern w:val="0"/>
                <w:sz w:val="21"/>
                <w:szCs w:val="21"/>
                <w:highlight w:val="none"/>
                <w14:textFill>
                  <w14:solidFill>
                    <w14:schemeClr w14:val="tx1"/>
                  </w14:solidFill>
                </w14:textFill>
              </w:rPr>
              <w:t xml:space="preserve">                         不可行</w:t>
            </w:r>
            <w:r>
              <w:rPr>
                <w:rFonts w:hint="eastAsia" w:cs="Times New Roman"/>
                <w:color w:val="000000" w:themeColor="text1"/>
                <w:kern w:val="0"/>
                <w:sz w:val="21"/>
                <w:szCs w:val="21"/>
                <w:highlight w:val="none"/>
                <w14:textFill>
                  <w14:solidFill>
                    <w14:schemeClr w14:val="tx1"/>
                  </w14:solidFill>
                </w14:textFill>
              </w:rPr>
              <w:t>□</w:t>
            </w:r>
          </w:p>
        </w:tc>
      </w:tr>
      <w:tr w14:paraId="35836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15"/>
            <w:vAlign w:val="center"/>
          </w:tcPr>
          <w:p w14:paraId="058ABEC5">
            <w:pPr>
              <w:pStyle w:val="72"/>
              <w:spacing w:line="240" w:lineRule="auto"/>
              <w:jc w:val="both"/>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注</w:t>
            </w:r>
            <w:r>
              <w:rPr>
                <w:rFonts w:hint="eastAsia" w:cs="Times New Roman"/>
                <w:color w:val="000000" w:themeColor="text1"/>
                <w:kern w:val="0"/>
                <w:sz w:val="21"/>
                <w:szCs w:val="21"/>
                <w:highlight w:val="none"/>
                <w14:textFill>
                  <w14:solidFill>
                    <w14:schemeClr w14:val="tx1"/>
                  </w14:solidFill>
                </w14:textFill>
              </w:rPr>
              <w:t>：“□”为勾选项，可√； “（   ）”为内容填写项。</w:t>
            </w:r>
          </w:p>
        </w:tc>
      </w:tr>
    </w:tbl>
    <w:p w14:paraId="4AB669AB">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5.2.5固体废物影响分析</w:t>
      </w:r>
      <w:bookmarkEnd w:id="225"/>
    </w:p>
    <w:p w14:paraId="35C3D3F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本项目运营期最终产生的固体废弃物主要为生活垃圾、猪粪便、</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尸体、粪污处理系统产生的</w:t>
      </w:r>
      <w:r>
        <w:rPr>
          <w:rFonts w:hint="eastAsia"/>
          <w:color w:val="000000" w:themeColor="text1"/>
          <w:highlight w:val="none"/>
          <w:lang w:eastAsia="zh-CN"/>
          <w14:textFill>
            <w14:solidFill>
              <w14:schemeClr w14:val="tx1"/>
            </w14:solidFill>
          </w14:textFill>
        </w:rPr>
        <w:t>沼渣</w:t>
      </w:r>
      <w:r>
        <w:rPr>
          <w:color w:val="000000" w:themeColor="text1"/>
          <w:highlight w:val="none"/>
          <w14:textFill>
            <w14:solidFill>
              <w14:schemeClr w14:val="tx1"/>
            </w14:solidFill>
          </w14:textFill>
        </w:rPr>
        <w:t>、治疗猪疫病产生的医疗废物。</w:t>
      </w:r>
    </w:p>
    <w:p w14:paraId="7CF3427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（1）生活垃圾</w:t>
      </w:r>
    </w:p>
    <w:p w14:paraId="62413F7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本项目年</w:t>
      </w:r>
      <w:r>
        <w:rPr>
          <w:rFonts w:ascii="Times New Roman" w:hAnsi="Times New Roman" w:eastAsia="宋体" w:cs="宋体"/>
          <w:color w:val="000000" w:themeColor="text1"/>
          <w:highlight w:val="none"/>
          <w14:textFill>
            <w14:solidFill>
              <w14:schemeClr w14:val="tx1"/>
            </w14:solidFill>
          </w14:textFill>
        </w:rPr>
        <w:t>产生垃圾量约为</w:t>
      </w:r>
      <w:r>
        <w:rPr>
          <w:rFonts w:hint="eastAsia" w:ascii="Times New Roman" w:hAnsi="Times New Roman" w:eastAsia="宋体" w:cs="宋体"/>
          <w:color w:val="000000" w:themeColor="text1"/>
          <w:highlight w:val="none"/>
          <w:lang w:val="en-US" w:eastAsia="zh-CN"/>
          <w14:textFill>
            <w14:solidFill>
              <w14:schemeClr w14:val="tx1"/>
            </w14:solidFill>
          </w14:textFill>
        </w:rPr>
        <w:t>5.475t/a</w:t>
      </w:r>
      <w:r>
        <w:rPr>
          <w:rFonts w:ascii="Times New Roman" w:hAnsi="Times New Roman" w:eastAsia="宋体" w:cs="宋体"/>
          <w:color w:val="000000" w:themeColor="text1"/>
          <w:highlight w:val="none"/>
          <w14:textFill>
            <w14:solidFill>
              <w14:schemeClr w14:val="tx1"/>
            </w14:solidFill>
          </w14:textFill>
        </w:rPr>
        <w:t>，经养殖场内垃圾箱</w:t>
      </w:r>
      <w:r>
        <w:rPr>
          <w:color w:val="000000" w:themeColor="text1"/>
          <w:highlight w:val="none"/>
          <w14:textFill>
            <w14:solidFill>
              <w14:schemeClr w14:val="tx1"/>
            </w14:solidFill>
          </w14:textFill>
        </w:rPr>
        <w:t>（桶）集中收集后，由环卫部门统一清</w:t>
      </w:r>
      <w:r>
        <w:rPr>
          <w:rFonts w:hint="eastAsia"/>
          <w:color w:val="000000" w:themeColor="text1"/>
          <w:highlight w:val="none"/>
          <w14:textFill>
            <w14:solidFill>
              <w14:schemeClr w14:val="tx1"/>
            </w14:solidFill>
          </w14:textFill>
        </w:rPr>
        <w:t>运</w:t>
      </w:r>
      <w:r>
        <w:rPr>
          <w:color w:val="000000" w:themeColor="text1"/>
          <w:highlight w:val="none"/>
          <w14:textFill>
            <w14:solidFill>
              <w14:schemeClr w14:val="tx1"/>
            </w14:solidFill>
          </w14:textFill>
        </w:rPr>
        <w:t>处理。</w:t>
      </w:r>
    </w:p>
    <w:p w14:paraId="04693E5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（2）猪粪</w:t>
      </w:r>
    </w:p>
    <w:p w14:paraId="3ED9EE6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本项目猪粪便</w:t>
      </w:r>
      <w:r>
        <w:rPr>
          <w:rFonts w:hint="eastAsia" w:ascii="Times New Roman" w:hAnsi="Times New Roman" w:eastAsia="宋体" w:cs="宋体"/>
          <w:color w:val="000000" w:themeColor="text1"/>
          <w:highlight w:val="none"/>
          <w14:textFill>
            <w14:solidFill>
              <w14:schemeClr w14:val="tx1"/>
            </w14:solidFill>
          </w14:textFill>
        </w:rPr>
        <w:t>产生量为</w:t>
      </w:r>
      <w:r>
        <w:rPr>
          <w:rFonts w:hint="eastAsia" w:ascii="Times New Roman" w:hAnsi="Times New Roman" w:eastAsia="宋体" w:cs="宋体"/>
          <w:color w:val="000000" w:themeColor="text1"/>
          <w:highlight w:val="none"/>
          <w:lang w:val="en-US" w:eastAsia="zh-CN"/>
          <w14:textFill>
            <w14:solidFill>
              <w14:schemeClr w14:val="tx1"/>
            </w14:solidFill>
          </w14:textFill>
        </w:rPr>
        <w:t>5366.87t/a</w:t>
      </w:r>
      <w:r>
        <w:rPr>
          <w:rFonts w:hint="eastAsia" w:ascii="Times New Roman" w:hAnsi="Times New Roman" w:eastAsia="宋体" w:cs="宋体"/>
          <w:color w:val="000000" w:themeColor="text1"/>
          <w:highlight w:val="none"/>
          <w14:textFill>
            <w14:solidFill>
              <w14:schemeClr w14:val="tx1"/>
            </w14:solidFill>
          </w14:textFill>
        </w:rPr>
        <w:t>。粪便集中</w:t>
      </w:r>
      <w:r>
        <w:rPr>
          <w:color w:val="000000" w:themeColor="text1"/>
          <w:highlight w:val="none"/>
          <w14:textFill>
            <w14:solidFill>
              <w14:schemeClr w14:val="tx1"/>
            </w14:solidFill>
          </w14:textFill>
        </w:rPr>
        <w:t>在</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，腐熟发酵达到无害化标准后还田。</w:t>
      </w:r>
    </w:p>
    <w:p w14:paraId="391A49C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本项目粪便按照《畜禽养殖业污染治理工程技术规范》（HJ497-2009）、《农村小型畜禽养殖污染防治项目建设与投资指南》要求，建设规范化</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进行发酵处置，堆放场所地面需硬化，建设污水收集系统，必须有防渗漏、溢流、防雨措施。规范化处置猪粪，不仅实现了再生资源利用，而且不会对周围环境造成二次污染。</w:t>
      </w:r>
    </w:p>
    <w:p w14:paraId="30F54CA5">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采用自然堆肥及机械翻堆相结合的方式对粪污进行处理。在有氧条件下，微生物通过自身的生物代谢活动，对一部分有机物进行分解代谢，以获得生物生长、活动所需要的能量，把另一部分有机物转化</w:t>
      </w:r>
      <w:r>
        <w:rPr>
          <w:rFonts w:hint="eastAsia"/>
          <w:color w:val="000000" w:themeColor="text1"/>
          <w:highlight w:val="none"/>
          <w:lang w:eastAsia="zh-CN"/>
          <w14:textFill>
            <w14:solidFill>
              <w14:schemeClr w14:val="tx1"/>
            </w14:solidFill>
          </w14:textFill>
        </w:rPr>
        <w:t>成</w:t>
      </w:r>
      <w:r>
        <w:rPr>
          <w:color w:val="000000" w:themeColor="text1"/>
          <w:highlight w:val="none"/>
          <w14:textFill>
            <w14:solidFill>
              <w14:schemeClr w14:val="tx1"/>
            </w14:solidFill>
          </w14:textFill>
        </w:rPr>
        <w:t>新的细胞物质，使微生物生长繁殖，产生更多的生物体；同时好氧反应释放的热量形成高温（&gt;55℃)杀死病原微生物，从而实现畜禽粪便减量化、稳定化和无害化的过程。</w:t>
      </w:r>
    </w:p>
    <w:p w14:paraId="7F29AD0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粪污通过发酵制成有机肥料，发酵的过程中可以杀死粪便中的蛔虫卵。消除粪便对土壤、水体（包括地下水）和大气的污染，阻断病原菌的传播途径，维护环境生态平衡。同时堆肥制成的有机肥料可为发展绿色农业提供优质价廉的无公害绿色环保肥料，为农业产业结构调整创造有利的条件。</w:t>
      </w:r>
    </w:p>
    <w:p w14:paraId="49A500F1">
      <w:pPr>
        <w:numPr>
          <w:ilvl w:val="0"/>
          <w:numId w:val="4"/>
        </w:numPr>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尸体</w:t>
      </w:r>
    </w:p>
    <w:p w14:paraId="1A2052E3">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病死猪、胎衣</w:t>
      </w:r>
      <w:r>
        <w:rPr>
          <w:rFonts w:hint="eastAsia"/>
          <w:color w:val="000000" w:themeColor="text1"/>
          <w:highlight w:val="none"/>
          <w14:textFill>
            <w14:solidFill>
              <w14:schemeClr w14:val="tx1"/>
            </w14:solidFill>
          </w14:textFill>
        </w:rPr>
        <w:t>尸体产生量约</w:t>
      </w:r>
      <w:r>
        <w:rPr>
          <w:rFonts w:hint="eastAsia"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t>200.04t/a</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尸体要及时处理，严禁随意丢弃，严禁出售或作为饲料再利用。本项目</w:t>
      </w:r>
      <w:r>
        <w:rPr>
          <w:rFonts w:hint="eastAsia"/>
          <w:color w:val="000000" w:themeColor="text1"/>
          <w:highlight w:val="none"/>
          <w14:textFill>
            <w14:solidFill>
              <w14:schemeClr w14:val="tx1"/>
            </w14:solidFill>
          </w14:textFill>
        </w:rPr>
        <w:t>委托有资质单位处理</w:t>
      </w:r>
      <w:r>
        <w:rPr>
          <w:rFonts w:hint="eastAsia"/>
          <w:color w:val="000000" w:themeColor="text1"/>
          <w:highlight w:val="none"/>
          <w:lang w:eastAsia="zh-CN"/>
          <w14:textFill>
            <w14:solidFill>
              <w14:schemeClr w14:val="tx1"/>
            </w14:solidFill>
          </w14:textFill>
        </w:rPr>
        <w:t>病死猪、胎衣</w:t>
      </w:r>
      <w:r>
        <w:rPr>
          <w:rFonts w:hint="eastAsia"/>
          <w:color w:val="000000" w:themeColor="text1"/>
          <w:highlight w:val="none"/>
          <w14:textFill>
            <w14:solidFill>
              <w14:schemeClr w14:val="tx1"/>
            </w14:solidFill>
          </w14:textFill>
        </w:rPr>
        <w:t>尸体。</w:t>
      </w:r>
    </w:p>
    <w:p w14:paraId="7812EFFE">
      <w:pPr>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（4）</w:t>
      </w:r>
      <w:r>
        <w:rPr>
          <w:rFonts w:hint="eastAsia"/>
          <w:color w:val="000000" w:themeColor="text1"/>
          <w:highlight w:val="none"/>
          <w:lang w:eastAsia="zh-CN"/>
          <w14:textFill>
            <w14:solidFill>
              <w14:schemeClr w14:val="tx1"/>
            </w14:solidFill>
          </w14:textFill>
        </w:rPr>
        <w:t>沼渣</w:t>
      </w:r>
    </w:p>
    <w:p w14:paraId="14E8F6B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本项目粪污处理系统产</w:t>
      </w:r>
      <w:r>
        <w:rPr>
          <w:rFonts w:ascii="Times New Roman" w:hAnsi="Times New Roman" w:eastAsia="宋体" w:cs="宋体"/>
          <w:color w:val="000000" w:themeColor="text1"/>
          <w:highlight w:val="none"/>
          <w14:textFill>
            <w14:solidFill>
              <w14:schemeClr w14:val="tx1"/>
            </w14:solidFill>
          </w14:textFill>
        </w:rPr>
        <w:t>生</w:t>
      </w:r>
      <w:r>
        <w:rPr>
          <w:rFonts w:hint="eastAsia" w:ascii="Times New Roman" w:hAnsi="Times New Roman" w:eastAsia="宋体" w:cs="宋体"/>
          <w:color w:val="000000" w:themeColor="text1"/>
          <w:highlight w:val="none"/>
          <w:lang w:eastAsia="zh-CN"/>
          <w14:textFill>
            <w14:solidFill>
              <w14:schemeClr w14:val="tx1"/>
            </w14:solidFill>
          </w14:textFill>
        </w:rPr>
        <w:t>沼渣</w:t>
      </w:r>
      <w:r>
        <w:rPr>
          <w:rFonts w:hint="eastAsia" w:cs="宋体"/>
          <w:color w:val="000000" w:themeColor="text1"/>
          <w:highlight w:val="none"/>
          <w:lang w:val="en-US" w:eastAsia="zh-CN"/>
          <w14:textFill>
            <w14:solidFill>
              <w14:schemeClr w14:val="tx1"/>
            </w14:solidFill>
          </w14:textFill>
        </w:rPr>
        <w:t>3179.43</w:t>
      </w:r>
      <w:r>
        <w:rPr>
          <w:rFonts w:hint="eastAsia" w:ascii="Times New Roman" w:hAnsi="Times New Roman" w:eastAsia="宋体" w:cs="宋体"/>
          <w:color w:val="000000" w:themeColor="text1"/>
          <w:highlight w:val="none"/>
          <w:lang w:val="en-US" w:eastAsia="zh-CN"/>
          <w14:textFill>
            <w14:solidFill>
              <w14:schemeClr w14:val="tx1"/>
            </w14:solidFill>
          </w14:textFill>
        </w:rPr>
        <w:t>t/a</w:t>
      </w:r>
      <w:r>
        <w:rPr>
          <w:rFonts w:ascii="Times New Roman" w:hAnsi="Times New Roman" w:eastAsia="宋体" w:cs="宋体"/>
          <w:color w:val="000000" w:themeColor="text1"/>
          <w:highlight w:val="none"/>
          <w14:textFill>
            <w14:solidFill>
              <w14:schemeClr w14:val="tx1"/>
            </w14:solidFill>
          </w14:textFill>
        </w:rPr>
        <w:t>。</w:t>
      </w:r>
      <w:r>
        <w:rPr>
          <w:rFonts w:hint="eastAsia" w:ascii="Times New Roman" w:hAnsi="Times New Roman" w:eastAsia="宋体" w:cs="宋体"/>
          <w:color w:val="000000" w:themeColor="text1"/>
          <w:highlight w:val="none"/>
          <w:lang w:eastAsia="zh-CN"/>
          <w14:textFill>
            <w14:solidFill>
              <w14:schemeClr w14:val="tx1"/>
            </w14:solidFill>
          </w14:textFill>
        </w:rPr>
        <w:t>沼渣</w:t>
      </w:r>
      <w:r>
        <w:rPr>
          <w:color w:val="000000" w:themeColor="text1"/>
          <w:highlight w:val="none"/>
          <w14:textFill>
            <w14:solidFill>
              <w14:schemeClr w14:val="tx1"/>
            </w14:solidFill>
          </w14:textFill>
        </w:rPr>
        <w:t>可做农</w:t>
      </w:r>
      <w:r>
        <w:rPr>
          <w:rFonts w:hint="eastAsia"/>
          <w:color w:val="000000" w:themeColor="text1"/>
          <w:highlight w:val="none"/>
          <w14:textFill>
            <w14:solidFill>
              <w14:schemeClr w14:val="tx1"/>
            </w14:solidFill>
          </w14:textFill>
        </w:rPr>
        <w:t>家</w:t>
      </w:r>
      <w:r>
        <w:rPr>
          <w:color w:val="000000" w:themeColor="text1"/>
          <w:highlight w:val="none"/>
          <w14:textFill>
            <w14:solidFill>
              <w14:schemeClr w14:val="tx1"/>
            </w14:solidFill>
          </w14:textFill>
        </w:rPr>
        <w:t>肥，与腐熟发酵后的猪粪一起还田做有机肥。</w:t>
      </w:r>
    </w:p>
    <w:p w14:paraId="04F3E3A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（5）医疗废物</w:t>
      </w:r>
    </w:p>
    <w:p w14:paraId="2F5F44A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根据《医疗废物名录</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规定，兽用医疗废物主要为养殖过程治疗性医疗废物。本项目主要以育肥猪生产为主，主要兽用医疗废物为治疗性医疗废物。治疗畜禽疾病使用的药剂主要有链霉素、卡那霉素、口蹄疫疫苗、青霉素、氢氧化钠、瘟可康注射液等；药具主要为一次性针具、吊瓶等。本项目可产生兽用医疗废物为</w:t>
      </w:r>
      <w:r>
        <w:rPr>
          <w:rFonts w:hint="eastAsia"/>
          <w:color w:val="000000" w:themeColor="text1"/>
          <w:highlight w:val="none"/>
          <w:lang w:val="en-US" w:eastAsia="zh-CN"/>
          <w14:textFill>
            <w14:solidFill>
              <w14:schemeClr w14:val="tx1"/>
            </w14:solidFill>
          </w14:textFill>
        </w:rPr>
        <w:t>2</w:t>
      </w:r>
      <w:r>
        <w:rPr>
          <w:color w:val="000000" w:themeColor="text1"/>
          <w:highlight w:val="none"/>
          <w14:textFill>
            <w14:solidFill>
              <w14:schemeClr w14:val="tx1"/>
            </w14:solidFill>
          </w14:textFill>
        </w:rPr>
        <w:t>t/a。</w:t>
      </w:r>
    </w:p>
    <w:p w14:paraId="417C7AB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医疗废物的产生量与养殖过程中疫情的发生量和治疗量有关，根据卫生防疫要求及疫病防治管理，疫苗药具及防疫用药用量按每只畜禽注射一次，主要产生的一次性针具及废弃药瓶量。</w:t>
      </w:r>
    </w:p>
    <w:p w14:paraId="713417C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按照《医疗废物集中处置技术规范（试行）》规定，项目应设置</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，对医疗废弃物进行分类暂存。对于存在传染性的医疗固废，必须按照《危险废物贮存污染控制标准》（</w:t>
      </w:r>
      <w:r>
        <w:rPr>
          <w:rFonts w:hint="eastAsia"/>
          <w:color w:val="000000" w:themeColor="text1"/>
          <w:highlight w:val="none"/>
          <w14:textFill>
            <w14:solidFill>
              <w14:schemeClr w14:val="tx1"/>
            </w14:solidFill>
          </w14:textFill>
        </w:rPr>
        <w:t>GB 18597-2023</w:t>
      </w:r>
      <w:r>
        <w:rPr>
          <w:color w:val="000000" w:themeColor="text1"/>
          <w:highlight w:val="none"/>
          <w14:textFill>
            <w14:solidFill>
              <w14:schemeClr w14:val="tx1"/>
            </w14:solidFill>
          </w14:textFill>
        </w:rPr>
        <w:t>）进行收集管理，医疗废物最终交由有资质单位处置。《医疗废物集中处置技术规范（试行）》对医疗废物暂存库房的卫生和存储要求规定如下：</w:t>
      </w:r>
    </w:p>
    <w:p w14:paraId="1269E43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1）应防止医疗废物在暂时贮存库房和专用暂时贮存柜（箱）中腐败散发恶臭，尽量做到日产日清。</w:t>
      </w:r>
    </w:p>
    <w:p w14:paraId="4ECAF65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2）确实不能做到日产日清，且当地最高气温高于25℃时，应将医疗废物低温暂时贮存，暂时贮存温度应低于20℃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时间最长不超过48小时。</w:t>
      </w:r>
    </w:p>
    <w:p w14:paraId="497F312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应在废物清运之后消毒冲洗，冲洗液应排入医疗卫生机构内的医疗废水消毒、处理系统。</w:t>
      </w:r>
    </w:p>
    <w:p w14:paraId="6AB0A6D9">
      <w:pPr>
        <w:ind w:firstLine="480" w:firstLineChars="200"/>
        <w:rPr>
          <w:rFonts w:hint="eastAsia" w:ascii="Times New Roman" w:hAnsi="Times New Roman"/>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医疗废物委托有资质的单位处置</w:t>
      </w:r>
      <w:r>
        <w:rPr>
          <w:rFonts w:hint="eastAsia" w:ascii="Times New Roman" w:hAnsi="Times New Roman"/>
          <w:color w:val="000000" w:themeColor="text1"/>
          <w:highlight w:val="none"/>
          <w:lang w:eastAsia="zh-CN"/>
          <w14:textFill>
            <w14:solidFill>
              <w14:schemeClr w14:val="tx1"/>
            </w14:solidFill>
          </w14:textFill>
        </w:rPr>
        <w:t>。</w:t>
      </w:r>
    </w:p>
    <w:p w14:paraId="4C74727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本项目运营期固体废物产生及处置情况见表5.2-</w:t>
      </w:r>
      <w:r>
        <w:rPr>
          <w:rFonts w:hint="eastAsia"/>
          <w:color w:val="000000" w:themeColor="text1"/>
          <w:highlight w:val="none"/>
          <w:lang w:val="en-US" w:eastAsia="zh-CN"/>
          <w14:textFill>
            <w14:solidFill>
              <w14:schemeClr w14:val="tx1"/>
            </w14:solidFill>
          </w14:textFill>
        </w:rPr>
        <w:t>26</w:t>
      </w:r>
      <w:r>
        <w:rPr>
          <w:color w:val="000000" w:themeColor="text1"/>
          <w:highlight w:val="none"/>
          <w14:textFill>
            <w14:solidFill>
              <w14:schemeClr w14:val="tx1"/>
            </w14:solidFill>
          </w14:textFill>
        </w:rPr>
        <w:t>。</w:t>
      </w:r>
    </w:p>
    <w:p w14:paraId="37B9531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w:t>
      </w:r>
      <w:r>
        <w:rPr>
          <w:rFonts w:hint="eastAsia"/>
          <w:b/>
          <w:bCs/>
          <w:color w:val="000000" w:themeColor="text1"/>
          <w:sz w:val="21"/>
          <w:szCs w:val="21"/>
          <w:highlight w:val="none"/>
          <w:lang w:val="en-US" w:eastAsia="zh-CN"/>
          <w14:textFill>
            <w14:solidFill>
              <w14:schemeClr w14:val="tx1"/>
            </w14:solidFill>
          </w14:textFill>
        </w:rPr>
        <w:t>26</w:t>
      </w:r>
      <w:r>
        <w:rPr>
          <w:b/>
          <w:bCs/>
          <w:color w:val="000000" w:themeColor="text1"/>
          <w:sz w:val="21"/>
          <w:szCs w:val="21"/>
          <w:highlight w:val="none"/>
          <w14:textFill>
            <w14:solidFill>
              <w14:schemeClr w14:val="tx1"/>
            </w14:solidFill>
          </w14:textFill>
        </w:rPr>
        <w:t xml:space="preserve">  本项目运营期固体废物产生及处置情况汇总表</w:t>
      </w:r>
    </w:p>
    <w:tbl>
      <w:tblPr>
        <w:tblStyle w:val="58"/>
        <w:tblW w:w="8323"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1700"/>
        <w:gridCol w:w="1497"/>
        <w:gridCol w:w="1480"/>
        <w:gridCol w:w="2497"/>
      </w:tblGrid>
      <w:tr w14:paraId="2FC2D2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1149" w:type="dxa"/>
            <w:vAlign w:val="center"/>
          </w:tcPr>
          <w:p w14:paraId="2D14DEC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1700" w:type="dxa"/>
            <w:vAlign w:val="center"/>
          </w:tcPr>
          <w:p w14:paraId="421E1F0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名称</w:t>
            </w:r>
          </w:p>
        </w:tc>
        <w:tc>
          <w:tcPr>
            <w:tcW w:w="1497" w:type="dxa"/>
            <w:vAlign w:val="center"/>
          </w:tcPr>
          <w:p w14:paraId="4410CFF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来源</w:t>
            </w:r>
          </w:p>
        </w:tc>
        <w:tc>
          <w:tcPr>
            <w:tcW w:w="1480" w:type="dxa"/>
            <w:vAlign w:val="center"/>
          </w:tcPr>
          <w:p w14:paraId="228D29A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产生量（t/a）</w:t>
            </w:r>
          </w:p>
        </w:tc>
        <w:tc>
          <w:tcPr>
            <w:tcW w:w="2497" w:type="dxa"/>
            <w:vAlign w:val="center"/>
          </w:tcPr>
          <w:p w14:paraId="25B1F6E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采取的处置方式</w:t>
            </w:r>
          </w:p>
        </w:tc>
      </w:tr>
      <w:tr w14:paraId="2F46A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49" w:type="dxa"/>
            <w:vAlign w:val="center"/>
          </w:tcPr>
          <w:p w14:paraId="1744DC6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700" w:type="dxa"/>
            <w:vAlign w:val="center"/>
          </w:tcPr>
          <w:p w14:paraId="56D920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猪粪</w:t>
            </w:r>
          </w:p>
        </w:tc>
        <w:tc>
          <w:tcPr>
            <w:tcW w:w="1497" w:type="dxa"/>
            <w:vAlign w:val="center"/>
          </w:tcPr>
          <w:p w14:paraId="2E5A44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圈舍</w:t>
            </w:r>
          </w:p>
        </w:tc>
        <w:tc>
          <w:tcPr>
            <w:tcW w:w="1480" w:type="dxa"/>
            <w:vAlign w:val="center"/>
          </w:tcPr>
          <w:p w14:paraId="4E8DBD40">
            <w:pPr>
              <w:spacing w:line="240" w:lineRule="auto"/>
              <w:jc w:val="center"/>
              <w:rPr>
                <w:rFonts w:hint="eastAsia"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t>5366.87</w:t>
            </w:r>
          </w:p>
        </w:tc>
        <w:tc>
          <w:tcPr>
            <w:tcW w:w="2497" w:type="dxa"/>
            <w:vAlign w:val="center"/>
          </w:tcPr>
          <w:p w14:paraId="5B1B82F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好氧堆肥无害化处置</w:t>
            </w:r>
          </w:p>
        </w:tc>
      </w:tr>
      <w:tr w14:paraId="2D2FE0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9" w:type="dxa"/>
            <w:vAlign w:val="center"/>
          </w:tcPr>
          <w:p w14:paraId="7727B7E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1700" w:type="dxa"/>
            <w:vAlign w:val="center"/>
          </w:tcPr>
          <w:p w14:paraId="097A78BF">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病死猪、胎衣</w:t>
            </w:r>
            <w:r>
              <w:rPr>
                <w:color w:val="000000" w:themeColor="text1"/>
                <w:sz w:val="21"/>
                <w:szCs w:val="21"/>
                <w:highlight w:val="none"/>
                <w14:textFill>
                  <w14:solidFill>
                    <w14:schemeClr w14:val="tx1"/>
                  </w14:solidFill>
                </w14:textFill>
              </w:rPr>
              <w:t>尸体</w:t>
            </w:r>
          </w:p>
        </w:tc>
        <w:tc>
          <w:tcPr>
            <w:tcW w:w="1497" w:type="dxa"/>
            <w:vAlign w:val="center"/>
          </w:tcPr>
          <w:p w14:paraId="0F54DC7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养殖区</w:t>
            </w:r>
          </w:p>
        </w:tc>
        <w:tc>
          <w:tcPr>
            <w:tcW w:w="1480" w:type="dxa"/>
            <w:vAlign w:val="center"/>
          </w:tcPr>
          <w:p w14:paraId="19E21967">
            <w:pPr>
              <w:spacing w:line="240" w:lineRule="auto"/>
              <w:jc w:val="center"/>
              <w:rPr>
                <w:color w:val="000000" w:themeColor="text1"/>
                <w:sz w:val="21"/>
                <w:szCs w:val="21"/>
                <w:highlight w:val="none"/>
                <w14:textFill>
                  <w14:solidFill>
                    <w14:schemeClr w14:val="tx1"/>
                  </w14:solidFill>
                </w14:textFill>
              </w:rPr>
            </w:pPr>
            <w:r>
              <w:rPr>
                <w:rFonts w:hint="eastAsia"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t>200.04</w:t>
            </w:r>
          </w:p>
        </w:tc>
        <w:tc>
          <w:tcPr>
            <w:tcW w:w="2497" w:type="dxa"/>
            <w:vAlign w:val="center"/>
          </w:tcPr>
          <w:p w14:paraId="5F42462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委托有资质单位处理</w:t>
            </w:r>
          </w:p>
        </w:tc>
      </w:tr>
      <w:tr w14:paraId="003765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149" w:type="dxa"/>
            <w:vAlign w:val="center"/>
          </w:tcPr>
          <w:p w14:paraId="0E298FC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1700" w:type="dxa"/>
            <w:vAlign w:val="center"/>
          </w:tcPr>
          <w:p w14:paraId="2F7910D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1497" w:type="dxa"/>
            <w:vAlign w:val="center"/>
          </w:tcPr>
          <w:p w14:paraId="7106B23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职工</w:t>
            </w:r>
          </w:p>
        </w:tc>
        <w:tc>
          <w:tcPr>
            <w:tcW w:w="1480" w:type="dxa"/>
            <w:vAlign w:val="center"/>
          </w:tcPr>
          <w:p w14:paraId="03CDECB4">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eastAsiaTheme="minorEastAsia"/>
                <w:b w:val="0"/>
                <w:bCs/>
                <w:snapToGrid w:val="0"/>
                <w:color w:val="000000" w:themeColor="text1"/>
                <w:sz w:val="21"/>
                <w:szCs w:val="21"/>
                <w:highlight w:val="none"/>
                <w:lang w:val="en-US" w:eastAsia="zh-CN" w:bidi="ar-SA"/>
                <w14:textFill>
                  <w14:solidFill>
                    <w14:schemeClr w14:val="tx1"/>
                  </w14:solidFill>
                </w14:textFill>
              </w:rPr>
              <w:t>5.475</w:t>
            </w:r>
          </w:p>
        </w:tc>
        <w:tc>
          <w:tcPr>
            <w:tcW w:w="2497" w:type="dxa"/>
            <w:vAlign w:val="center"/>
          </w:tcPr>
          <w:p w14:paraId="38B1651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拉运至垃圾填埋场</w:t>
            </w:r>
          </w:p>
        </w:tc>
      </w:tr>
      <w:tr w14:paraId="0472CD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149" w:type="dxa"/>
            <w:vAlign w:val="center"/>
          </w:tcPr>
          <w:p w14:paraId="478A22D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1700" w:type="dxa"/>
            <w:vAlign w:val="center"/>
          </w:tcPr>
          <w:p w14:paraId="21F432CA">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沼渣</w:t>
            </w:r>
          </w:p>
        </w:tc>
        <w:tc>
          <w:tcPr>
            <w:tcW w:w="1497" w:type="dxa"/>
            <w:vAlign w:val="center"/>
          </w:tcPr>
          <w:p w14:paraId="72DC4CB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粪污处理系统</w:t>
            </w:r>
          </w:p>
        </w:tc>
        <w:tc>
          <w:tcPr>
            <w:tcW w:w="1480" w:type="dxa"/>
            <w:vAlign w:val="center"/>
          </w:tcPr>
          <w:p w14:paraId="2659C46D">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s="Times New Roman" w:eastAsiaTheme="minorEastAsia"/>
                <w:b w:val="0"/>
                <w:bCs/>
                <w:snapToGrid w:val="0"/>
                <w:color w:val="000000" w:themeColor="text1"/>
                <w:sz w:val="21"/>
                <w:szCs w:val="21"/>
                <w:highlight w:val="none"/>
                <w:lang w:val="en-US" w:eastAsia="zh-CN" w:bidi="ar-SA"/>
                <w14:textFill>
                  <w14:solidFill>
                    <w14:schemeClr w14:val="tx1"/>
                  </w14:solidFill>
                </w14:textFill>
              </w:rPr>
              <w:t>3179.43</w:t>
            </w:r>
          </w:p>
        </w:tc>
        <w:tc>
          <w:tcPr>
            <w:tcW w:w="2497" w:type="dxa"/>
            <w:vAlign w:val="center"/>
          </w:tcPr>
          <w:p w14:paraId="46268DD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外运做有机肥</w:t>
            </w:r>
          </w:p>
        </w:tc>
      </w:tr>
      <w:tr w14:paraId="181322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1149" w:type="dxa"/>
            <w:vAlign w:val="center"/>
          </w:tcPr>
          <w:p w14:paraId="7C46D04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700" w:type="dxa"/>
            <w:vAlign w:val="center"/>
          </w:tcPr>
          <w:p w14:paraId="061C2A1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医疗废物</w:t>
            </w:r>
          </w:p>
        </w:tc>
        <w:tc>
          <w:tcPr>
            <w:tcW w:w="1497" w:type="dxa"/>
            <w:vAlign w:val="center"/>
          </w:tcPr>
          <w:p w14:paraId="10EDD0A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猪疫病治疗</w:t>
            </w:r>
          </w:p>
        </w:tc>
        <w:tc>
          <w:tcPr>
            <w:tcW w:w="1480" w:type="dxa"/>
            <w:vAlign w:val="center"/>
          </w:tcPr>
          <w:p w14:paraId="33C3D733">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w:t>
            </w:r>
          </w:p>
        </w:tc>
        <w:tc>
          <w:tcPr>
            <w:tcW w:w="2497" w:type="dxa"/>
            <w:vAlign w:val="center"/>
          </w:tcPr>
          <w:p w14:paraId="279130D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交医疗废物专业处理机构处置</w:t>
            </w:r>
          </w:p>
        </w:tc>
      </w:tr>
    </w:tbl>
    <w:p w14:paraId="30098CE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综上所述：通过以上措施，本项目产生的固体废物均得到行之有效的妥善处置和利用，符合《畜禽养殖业污染防治技术规范》（HJ/T81-2001），不会对环</w:t>
      </w:r>
      <w:bookmarkStart w:id="226" w:name="_Toc24733"/>
      <w:r>
        <w:rPr>
          <w:color w:val="000000" w:themeColor="text1"/>
          <w:highlight w:val="none"/>
          <w14:textFill>
            <w14:solidFill>
              <w14:schemeClr w14:val="tx1"/>
            </w14:solidFill>
          </w14:textFill>
        </w:rPr>
        <w:t>境产生有害影响。</w:t>
      </w:r>
      <w:bookmarkEnd w:id="226"/>
    </w:p>
    <w:p w14:paraId="55946F5B">
      <w:pPr>
        <w:pStyle w:val="4"/>
        <w:rPr>
          <w:color w:val="000000" w:themeColor="text1"/>
          <w:highlight w:val="none"/>
          <w14:textFill>
            <w14:solidFill>
              <w14:schemeClr w14:val="tx1"/>
            </w14:solidFill>
          </w14:textFill>
        </w:rPr>
      </w:pPr>
      <w:bookmarkStart w:id="227" w:name="_Toc29222"/>
      <w:r>
        <w:rPr>
          <w:color w:val="000000" w:themeColor="text1"/>
          <w:highlight w:val="none"/>
          <w14:textFill>
            <w14:solidFill>
              <w14:schemeClr w14:val="tx1"/>
            </w14:solidFill>
          </w14:textFill>
        </w:rPr>
        <w:t>5.2.6生态环境影响分析</w:t>
      </w:r>
      <w:bookmarkEnd w:id="227"/>
    </w:p>
    <w:p w14:paraId="5C2A4D1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"5.2.6.1"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5.2.6.1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土地利用环境影响评价</w:t>
      </w:r>
    </w:p>
    <w:p w14:paraId="116E9926">
      <w:pPr>
        <w:bidi w:val="0"/>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本项目位于胡杨河市125团16连，占地区域土地利用类型为</w:t>
      </w:r>
      <w:r>
        <w:rPr>
          <w:rFonts w:hint="eastAsia" w:ascii="Times New Roman" w:hAnsi="Times New Roman" w:eastAsia="宋体" w:cs="宋体"/>
          <w:color w:val="000000" w:themeColor="text1"/>
          <w:highlight w:val="none"/>
          <w14:textFill>
            <w14:solidFill>
              <w14:schemeClr w14:val="tx1"/>
            </w14:solidFill>
          </w14:textFill>
        </w:rPr>
        <w:t>农用地</w:t>
      </w:r>
      <w:r>
        <w:rPr>
          <w:rFonts w:hint="eastAsia" w:ascii="Times New Roman" w:hAnsi="Times New Roman" w:eastAsia="宋体" w:cs="宋体"/>
          <w:color w:val="000000" w:themeColor="text1"/>
          <w:highlight w:val="none"/>
          <w:lang w:val="en-US" w:eastAsia="zh-CN"/>
          <w14:textFill>
            <w14:solidFill>
              <w14:schemeClr w14:val="tx1"/>
            </w14:solidFill>
          </w14:textFill>
        </w:rPr>
        <w:t>及未利用地</w:t>
      </w:r>
      <w:r>
        <w:rPr>
          <w:rFonts w:hint="eastAsia"/>
          <w:color w:val="000000" w:themeColor="text1"/>
          <w:highlight w:val="none"/>
          <w:lang w:val="en-US" w:eastAsia="zh-CN"/>
          <w14:textFill>
            <w14:solidFill>
              <w14:schemeClr w14:val="tx1"/>
            </w14:solidFill>
          </w14:textFill>
        </w:rPr>
        <w:t>，项目建设前为荒地。因此本项目的实施可以提高土地利用率和生产力，土地利用现状图见附图5.2-1。</w:t>
      </w:r>
    </w:p>
    <w:p w14:paraId="3825576C">
      <w:pPr>
        <w:pStyle w:val="5"/>
        <w:numPr>
          <w:ilvl w:val="3"/>
          <w:numId w:val="0"/>
        </w:numPr>
        <w:snapToGrid w:val="0"/>
        <w:spacing w:beforeLines="0" w:afterLines="0" w:line="360" w:lineRule="auto"/>
        <w:rPr>
          <w:rFonts w:hint="default"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5.2.</w:t>
      </w:r>
      <w:r>
        <w:rPr>
          <w:rFonts w:hint="eastAsia" w:cs="Times New Roman"/>
          <w:bCs/>
          <w:color w:val="000000" w:themeColor="text1"/>
          <w:highlight w:val="none"/>
          <w:shd w:val="clear" w:color="auto" w:fill="auto"/>
          <w:lang w:val="en-US" w:eastAsia="zh-CN"/>
          <w14:textFill>
            <w14:solidFill>
              <w14:schemeClr w14:val="tx1"/>
            </w14:solidFill>
          </w14:textFill>
        </w:rPr>
        <w:t>6</w:t>
      </w: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.2动植物生态环境影响分析</w:t>
      </w:r>
    </w:p>
    <w:p w14:paraId="41F55A6E">
      <w:pPr>
        <w:ind w:firstLine="480"/>
        <w:jc w:val="both"/>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cs="Times New Roman"/>
          <w:color w:val="000000" w:themeColor="text1"/>
          <w:highlight w:val="none"/>
          <w:lang w:val="en-US"/>
          <w14:textFill>
            <w14:solidFill>
              <w14:schemeClr w14:val="tx1"/>
            </w14:solidFill>
          </w14:textFill>
        </w:rPr>
        <w:t>根据收集资料和现场踏勘，</w:t>
      </w:r>
      <w:r>
        <w:rPr>
          <w:rFonts w:hint="eastAsia" w:ascii="Times New Roman" w:hAnsi="Times New Roman" w:cs="Times New Roman"/>
          <w:color w:val="000000" w:themeColor="text1"/>
          <w:highlight w:val="none"/>
          <w:lang w:val="en-US" w:eastAsia="zh-CN"/>
          <w14:textFill>
            <w14:solidFill>
              <w14:schemeClr w14:val="tx1"/>
            </w14:solidFill>
          </w14:textFill>
        </w:rPr>
        <w:t>项目区为</w:t>
      </w:r>
      <w:r>
        <w:rPr>
          <w:rFonts w:hint="eastAsia" w:cs="Times New Roman"/>
          <w:color w:val="000000" w:themeColor="text1"/>
          <w:highlight w:val="none"/>
          <w:lang w:val="en-US" w:eastAsia="zh-CN"/>
          <w14:textFill>
            <w14:solidFill>
              <w14:schemeClr w14:val="tx1"/>
            </w14:solidFill>
          </w14:textFill>
        </w:rPr>
        <w:t>125</w:t>
      </w:r>
      <w:r>
        <w:rPr>
          <w:rFonts w:hint="eastAsia" w:ascii="Times New Roman" w:hAnsi="Times New Roman" w:cs="Times New Roman"/>
          <w:color w:val="000000" w:themeColor="text1"/>
          <w:highlight w:val="none"/>
          <w:lang w:val="en-US" w:eastAsia="zh-CN"/>
          <w14:textFill>
            <w14:solidFill>
              <w14:schemeClr w14:val="tx1"/>
            </w14:solidFill>
          </w14:textFill>
        </w:rPr>
        <w:t>团</w:t>
      </w:r>
      <w:r>
        <w:rPr>
          <w:rFonts w:hint="eastAsia" w:cs="Times New Roman"/>
          <w:color w:val="000000" w:themeColor="text1"/>
          <w:highlight w:val="none"/>
          <w:lang w:val="en-US" w:eastAsia="zh-CN"/>
          <w14:textFill>
            <w14:solidFill>
              <w14:schemeClr w14:val="tx1"/>
            </w14:solidFill>
          </w14:textFill>
        </w:rPr>
        <w:t>16</w:t>
      </w:r>
      <w:r>
        <w:rPr>
          <w:rFonts w:hint="eastAsia" w:ascii="Times New Roman" w:hAnsi="Times New Roman" w:cs="Times New Roman"/>
          <w:color w:val="000000" w:themeColor="text1"/>
          <w:highlight w:val="none"/>
          <w:lang w:val="en-US" w:eastAsia="zh-CN"/>
          <w14:textFill>
            <w14:solidFill>
              <w14:schemeClr w14:val="tx1"/>
            </w14:solidFill>
          </w14:textFill>
        </w:rPr>
        <w:t>连的农用设施用地，项目区经建设方场内多年运营，自然植被已少见。项目区周四呈现的植被主要是农田作物，项目</w:t>
      </w:r>
      <w:r>
        <w:rPr>
          <w:rFonts w:hint="default" w:ascii="Times New Roman" w:hAnsi="Times New Roman" w:cs="Times New Roman"/>
          <w:color w:val="000000" w:themeColor="text1"/>
          <w:highlight w:val="none"/>
          <w:lang w:val="en-US"/>
          <w14:textFill>
            <w14:solidFill>
              <w14:schemeClr w14:val="tx1"/>
            </w14:solidFill>
          </w14:textFill>
        </w:rPr>
        <w:t>评价区域内的农作物种类主要有冬(春)小麦、玉米、早熟棉花、哈密瓜田</w:t>
      </w:r>
      <w:r>
        <w:rPr>
          <w:rFonts w:hint="eastAsia" w:ascii="Times New Roman" w:hAnsi="Times New Roman" w:cs="Times New Roman"/>
          <w:color w:val="000000" w:themeColor="text1"/>
          <w:highlight w:val="none"/>
          <w:lang w:val="en-US" w:eastAsia="zh-CN"/>
          <w14:textFill>
            <w14:solidFill>
              <w14:schemeClr w14:val="tx1"/>
            </w14:solidFill>
          </w14:textFill>
        </w:rPr>
        <w:t>及</w:t>
      </w:r>
      <w:r>
        <w:rPr>
          <w:rFonts w:hint="default" w:ascii="Times New Roman" w:hAnsi="Times New Roman" w:cs="Times New Roman"/>
          <w:color w:val="000000" w:themeColor="text1"/>
          <w:highlight w:val="none"/>
          <w:lang w:val="en-US"/>
          <w14:textFill>
            <w14:solidFill>
              <w14:schemeClr w14:val="tx1"/>
            </w14:solidFill>
          </w14:textFill>
        </w:rPr>
        <w:t>苹果、葡萄园</w:t>
      </w:r>
      <w:r>
        <w:rPr>
          <w:rFonts w:hint="eastAsia" w:ascii="Times New Roman" w:hAnsi="Times New Roman" w:cs="Times New Roman"/>
          <w:color w:val="000000" w:themeColor="text1"/>
          <w:highlight w:val="none"/>
          <w:lang w:val="en-US" w:eastAsia="zh-CN"/>
          <w14:textFill>
            <w14:solidFill>
              <w14:schemeClr w14:val="tx1"/>
            </w14:solidFill>
          </w14:textFill>
        </w:rPr>
        <w:t>等</w:t>
      </w:r>
      <w:r>
        <w:rPr>
          <w:rFonts w:hint="default" w:ascii="Times New Roman" w:hAnsi="Times New Roman" w:cs="Times New Roman"/>
          <w:color w:val="000000" w:themeColor="text1"/>
          <w:highlight w:val="none"/>
          <w:lang w:val="en-US"/>
          <w14:textFill>
            <w14:solidFill>
              <w14:schemeClr w14:val="tx1"/>
            </w14:solidFill>
          </w14:textFill>
        </w:rPr>
        <w:t>。</w:t>
      </w:r>
      <w:r>
        <w:rPr>
          <w:rFonts w:hint="eastAsia" w:ascii="Times New Roman" w:hAnsi="Times New Roman" w:cs="Times New Roman"/>
          <w:color w:val="000000" w:themeColor="text1"/>
          <w:highlight w:val="none"/>
          <w:lang w:val="en-US" w:eastAsia="zh-CN"/>
          <w14:textFill>
            <w14:solidFill>
              <w14:schemeClr w14:val="tx1"/>
            </w14:solidFill>
          </w14:textFill>
        </w:rPr>
        <w:t>项目区附近由于长期人为活动干扰，已没有大型的动物出没，野生动物有鸟类和啮齿类动物，动物组成简单，数量不多。项目区附近无国家和自治区保护的动物。</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区域内植被类型图见</w:t>
      </w:r>
      <w:r>
        <w:rPr>
          <w:rFonts w:hint="eastAsia" w:cs="Times New Roman"/>
          <w:color w:val="000000" w:themeColor="text1"/>
          <w:highlight w:val="none"/>
          <w:shd w:val="clear" w:color="auto" w:fill="auto"/>
          <w:lang w:val="en-US" w:eastAsia="zh-CN"/>
          <w14:textFill>
            <w14:solidFill>
              <w14:schemeClr w14:val="tx1"/>
            </w14:solidFill>
          </w14:textFill>
        </w:rPr>
        <w:t>附</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图5.2-</w:t>
      </w:r>
      <w:r>
        <w:rPr>
          <w:rFonts w:hint="eastAsia" w:cs="Times New Roman"/>
          <w:color w:val="000000" w:themeColor="text1"/>
          <w:highlight w:val="none"/>
          <w:shd w:val="clear" w:color="auto" w:fill="auto"/>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w:t>
      </w:r>
    </w:p>
    <w:p w14:paraId="14182BBE">
      <w:pPr>
        <w:pStyle w:val="71"/>
        <w:widowControl w:val="0"/>
        <w:snapToGrid w:val="0"/>
        <w:spacing w:line="360" w:lineRule="auto"/>
        <w:ind w:firstLine="480"/>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设施农用地使用期满后，根据土地复垦承诺，恢复土地使用条件，对环境影响较小。</w:t>
      </w:r>
    </w:p>
    <w:p w14:paraId="617A63C9">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据现场调查，项目所在地附近没有珍稀野生动物，只有一些小型啮齿类动物和鸟类，项目建设后对该地区动物生态系统影响不大。</w:t>
      </w:r>
    </w:p>
    <w:p w14:paraId="0F31713E">
      <w:pPr>
        <w:pStyle w:val="5"/>
        <w:numPr>
          <w:ilvl w:val="3"/>
          <w:numId w:val="0"/>
        </w:numPr>
        <w:snapToGrid w:val="0"/>
        <w:spacing w:beforeLines="0" w:afterLines="0" w:line="360" w:lineRule="auto"/>
        <w:rPr>
          <w:rFonts w:hint="default"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5.2.</w:t>
      </w:r>
      <w:r>
        <w:rPr>
          <w:rFonts w:hint="eastAsia" w:cs="Times New Roman"/>
          <w:bCs/>
          <w:color w:val="000000" w:themeColor="text1"/>
          <w:highlight w:val="none"/>
          <w:shd w:val="clear" w:color="auto" w:fill="auto"/>
          <w:lang w:val="en-US" w:eastAsia="zh-CN"/>
          <w14:textFill>
            <w14:solidFill>
              <w14:schemeClr w14:val="tx1"/>
            </w14:solidFill>
          </w14:textFill>
        </w:rPr>
        <w:t>6</w:t>
      </w: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w:t>
      </w:r>
      <w:r>
        <w:rPr>
          <w:rFonts w:hint="eastAsia" w:cs="Times New Roman"/>
          <w:bCs/>
          <w:color w:val="000000" w:themeColor="text1"/>
          <w:highlight w:val="none"/>
          <w:shd w:val="clear" w:color="auto" w:fill="auto"/>
          <w:lang w:val="en-US" w:eastAsia="zh-CN"/>
          <w14:textFill>
            <w14:solidFill>
              <w14:schemeClr w14:val="tx1"/>
            </w14:solidFill>
          </w14:textFill>
        </w:rPr>
        <w:t>3土壤</w:t>
      </w: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生态环境影响分析</w:t>
      </w:r>
    </w:p>
    <w:p w14:paraId="75F5488F">
      <w:pPr>
        <w:ind w:firstLine="480" w:firstLineChars="200"/>
        <w:rPr>
          <w:rFonts w:hint="default" w:ascii="Times New Roman" w:hAnsi="Times New Roman" w:cs="Times New Roman"/>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根</w:t>
      </w:r>
      <w:r>
        <w:rPr>
          <w:rFonts w:hint="eastAsia" w:ascii="Times New Roman" w:hAnsi="Times New Roman" w:cs="Times New Roman"/>
          <w:color w:val="000000" w:themeColor="text1"/>
          <w:highlight w:val="none"/>
          <w:lang w:val="en-US"/>
          <w14:textFill>
            <w14:solidFill>
              <w14:schemeClr w14:val="tx1"/>
            </w14:solidFill>
          </w14:textFill>
        </w:rPr>
        <w:t>据收集资料和现场踏勘，</w:t>
      </w:r>
      <w:r>
        <w:rPr>
          <w:rFonts w:hint="eastAsia" w:ascii="Times New Roman" w:hAnsi="Times New Roman" w:cs="Times New Roman"/>
          <w:color w:val="000000" w:themeColor="text1"/>
          <w:highlight w:val="none"/>
          <w:lang w:val="en-US" w:eastAsia="zh-CN"/>
          <w14:textFill>
            <w14:solidFill>
              <w14:schemeClr w14:val="tx1"/>
            </w14:solidFill>
          </w14:textFill>
        </w:rPr>
        <w:t>本项目区域土壤类型为盐土和草甸土。</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区域内</w:t>
      </w:r>
      <w:r>
        <w:rPr>
          <w:rFonts w:hint="eastAsia" w:ascii="Times New Roman" w:hAnsi="Times New Roman" w:cs="Times New Roman"/>
          <w:color w:val="000000" w:themeColor="text1"/>
          <w:highlight w:val="none"/>
          <w:lang w:val="en-US" w:eastAsia="zh-CN"/>
          <w14:textFill>
            <w14:solidFill>
              <w14:schemeClr w14:val="tx1"/>
            </w14:solidFill>
          </w14:textFill>
        </w:rPr>
        <w:t>土壤类型</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图见</w:t>
      </w:r>
      <w:r>
        <w:rPr>
          <w:rFonts w:hint="eastAsia" w:cs="Times New Roman"/>
          <w:color w:val="000000" w:themeColor="text1"/>
          <w:highlight w:val="none"/>
          <w:shd w:val="clear" w:color="auto" w:fill="auto"/>
          <w:lang w:val="en-US" w:eastAsia="zh-CN"/>
          <w14:textFill>
            <w14:solidFill>
              <w14:schemeClr w14:val="tx1"/>
            </w14:solidFill>
          </w14:textFill>
        </w:rPr>
        <w:t>附</w:t>
      </w: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图5.2-</w:t>
      </w:r>
      <w:r>
        <w:rPr>
          <w:rFonts w:hint="eastAsia" w:cs="Times New Roman"/>
          <w:color w:val="000000" w:themeColor="text1"/>
          <w:highlight w:val="none"/>
          <w:shd w:val="clear" w:color="auto" w:fill="auto"/>
          <w:lang w:val="en-US" w:eastAsia="zh-CN"/>
          <w14:textFill>
            <w14:solidFill>
              <w14:schemeClr w14:val="tx1"/>
            </w14:solidFill>
          </w14:textFill>
        </w:rPr>
        <w:t>3。</w:t>
      </w:r>
    </w:p>
    <w:p w14:paraId="2D6C66C2">
      <w:pPr>
        <w:pStyle w:val="5"/>
        <w:numPr>
          <w:ilvl w:val="3"/>
          <w:numId w:val="0"/>
        </w:numPr>
        <w:snapToGrid w:val="0"/>
        <w:spacing w:beforeLines="0" w:afterLines="0" w:line="360" w:lineRule="auto"/>
        <w:rPr>
          <w:rFonts w:hint="default"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pPr>
      <w:bookmarkStart w:id="228" w:name="_Toc29821"/>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5.2.</w:t>
      </w:r>
      <w:r>
        <w:rPr>
          <w:rFonts w:hint="eastAsia" w:cs="Times New Roman"/>
          <w:bCs/>
          <w:color w:val="000000" w:themeColor="text1"/>
          <w:highlight w:val="none"/>
          <w:shd w:val="clear" w:color="auto" w:fill="auto"/>
          <w:lang w:val="en-US" w:eastAsia="zh-CN"/>
          <w14:textFill>
            <w14:solidFill>
              <w14:schemeClr w14:val="tx1"/>
            </w14:solidFill>
          </w14:textFill>
        </w:rPr>
        <w:t>6</w:t>
      </w: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.3生态保护目标</w:t>
      </w:r>
    </w:p>
    <w:p w14:paraId="67B61876">
      <w:pPr>
        <w:pStyle w:val="71"/>
        <w:widowControl w:val="0"/>
        <w:snapToGrid w:val="0"/>
        <w:spacing w:line="360" w:lineRule="auto"/>
        <w:ind w:firstLine="48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项目区内及周边没有受影响的重要物种、生态敏感区以及其他需要保护的物种、种群、生物群落及生态空间等。</w:t>
      </w:r>
    </w:p>
    <w:p w14:paraId="02C80A23">
      <w:pPr>
        <w:pStyle w:val="5"/>
        <w:numPr>
          <w:ilvl w:val="3"/>
          <w:numId w:val="0"/>
        </w:numPr>
        <w:snapToGrid w:val="0"/>
        <w:spacing w:beforeLines="0" w:afterLines="0" w:line="360" w:lineRule="auto"/>
        <w:rPr>
          <w:rFonts w:hint="default"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5.2.</w:t>
      </w:r>
      <w:r>
        <w:rPr>
          <w:rFonts w:hint="eastAsia" w:cs="Times New Roman"/>
          <w:bCs/>
          <w:color w:val="000000" w:themeColor="text1"/>
          <w:highlight w:val="none"/>
          <w:shd w:val="clear" w:color="auto" w:fill="auto"/>
          <w:lang w:val="en-US" w:eastAsia="zh-CN"/>
          <w14:textFill>
            <w14:solidFill>
              <w14:schemeClr w14:val="tx1"/>
            </w14:solidFill>
          </w14:textFill>
        </w:rPr>
        <w:t>6</w:t>
      </w: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.4生态环境影响分析</w:t>
      </w:r>
    </w:p>
    <w:p w14:paraId="4A114111">
      <w:pPr>
        <w:pStyle w:val="71"/>
        <w:widowControl w:val="0"/>
        <w:snapToGrid w:val="0"/>
        <w:spacing w:line="360" w:lineRule="auto"/>
        <w:ind w:firstLine="48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（1）对景观生态影响分析</w:t>
      </w:r>
    </w:p>
    <w:p w14:paraId="48099749">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项目对景观格局的影响主要有：建设的交通运输道路，破坏了原有景观格局的连通性，引起生态景观破碎化，此影响为负影响，可逆影响。</w:t>
      </w:r>
    </w:p>
    <w:p w14:paraId="34B26BC2">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（2）“堆肥+废水处理”处理模式对生态环境影响分析</w:t>
      </w:r>
    </w:p>
    <w:p w14:paraId="78C2FFF8">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1）堆肥处置还田</w:t>
      </w:r>
    </w:p>
    <w:p w14:paraId="0E2F58B7">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本项目产生的猪粪集中在堆粪场暂存，经腐熟发酵达到无害化标准后还田。</w:t>
      </w:r>
    </w:p>
    <w:p w14:paraId="530BCEE0">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目前，集约化畜禽养殖场多建在大、中城市近郊是中国畜禽养殖业污染防治存在的主要问题之一。另外大量养殖专业户和专业村导致畜禽粪便量大且集中，而城郊又无充足的土地进行消纳，形成农牧分离，种养严重脱节的不利局面，导致环境的严重污染。另一方面化肥的大量使用，导致有机肥施用量大幅减少，使畜禽粪便未得到有效利用。猪粪便含有丰富的N、P、K及微量元素，通过处理及加工后是理想的有机肥料，是解决规模化养猪场粪便污染的有效措施，也是实现规模化畜禽养殖场粪便资源化的重要途径之一。</w:t>
      </w:r>
    </w:p>
    <w:p w14:paraId="5D9A213D">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猪粪堆肥无害化处置，实现综合利用，可大大改善土壤的颗粒结构，可修复长期施用无机肥而板结的土壤，从而增加了土壤的肥力，增加农作物的产量并形成良性生态循环。</w:t>
      </w:r>
    </w:p>
    <w:p w14:paraId="74AA06BC">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2）液体有机肥农田灌溉</w:t>
      </w:r>
    </w:p>
    <w:p w14:paraId="79B71A73">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①液体有机肥施用方案</w:t>
      </w:r>
    </w:p>
    <w:p w14:paraId="12B3FB71">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养殖废水处理后作为液体有机肥料施用于农田，采用施肥管道铺设到施肥田地和灌溉（滴灌或喷灌）追肥方式，通过水力将液肥中营养物质带入植物根系，从而营养整个植株。</w:t>
      </w:r>
    </w:p>
    <w:p w14:paraId="0374A866">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本项目产生畜禽废水经厌氧发酵处理后，上层清液的pH值在6.8~7.5之间，可施用于项目区周边的农田。</w:t>
      </w:r>
    </w:p>
    <w:p w14:paraId="51DE61EC">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有机肥主要用于农田。农田每年翻地施用基肥，可以增强土壤持续肥力，可在翻耕前3～5天灌施有机液泡田，翻耕时再灌液体有机肥，带水旋耕平整。一方面将有机肥液中养分与泥土充分混匀，另一方面便于田面平整；此后从苗期开始至灌浆结束，农田还应进行四次追肥。</w:t>
      </w:r>
    </w:p>
    <w:p w14:paraId="0065EF8F">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②农田对液体有机肥的消纳能力</w:t>
      </w:r>
    </w:p>
    <w:p w14:paraId="20ACC96D">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规模化畜禽养殖业在快速发展的同时，由于养殖场缺少配套的种植用地产生种、养分离这一不合理局面，造成大量粪尿流失，使养殖企业成为影响环境的主要面源。在农业生态系统中养分循环是最简单形式，集约化条件下畜禽粪污可经农田施肥进入土壤。如果进入农田的畜禽粪污超出了作物对养分的需求，便存在向环境流失氮、磷的风险。因此，可用农田对粪污养分的消纳能力来评价畜禽养殖的环境风险程度。</w:t>
      </w:r>
    </w:p>
    <w:p w14:paraId="7C7A9736">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一般来说，正确估算作物施肥量，应根据作物目标产量、达产所需要养分、土壤供肥能力和肥料的利用率等因素来综合计算。</w:t>
      </w:r>
    </w:p>
    <w:p w14:paraId="7C3545FD">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根据《畜禽粪污土地承载力测算技术指南》，本项目约需要3584亩农田进行消纳和资源化利用，项目周边有大片农田，可以满足本项目液肥及有机肥还田的消纳需求，不会造成对还田区域的过量施肥，液肥均被周边农地消纳完毕，不会有过量的废肥以面源的方式对当地地下水、土壤等产生影响。</w:t>
      </w:r>
    </w:p>
    <w:p w14:paraId="56F86DA0">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（3）生态长期性、累积性影响</w:t>
      </w:r>
    </w:p>
    <w:p w14:paraId="3CB79853">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1）占地影响的累积</w:t>
      </w:r>
    </w:p>
    <w:p w14:paraId="2AACC101">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本项目占地范围小，占地产生的累积影响小。</w:t>
      </w:r>
    </w:p>
    <w:p w14:paraId="3A7F748A">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2）对动物干扰的累积</w:t>
      </w:r>
    </w:p>
    <w:p w14:paraId="005375A2">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来往运输饲料等车辆产生的发动机、鸣笛声及人为驱赶等行为将对周边动物造成更多干扰，干扰累积到一定程度，将改变周边动物的栖息及活动范围，影响其生存繁衍。但由于养殖场占地面积小，养殖场周边基本是农田生境，对周边动物干扰的累计影响小。</w:t>
      </w:r>
    </w:p>
    <w:p w14:paraId="0B4F5B8E">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3）对鸟类栖息和觅食生境影响累积</w:t>
      </w:r>
    </w:p>
    <w:p w14:paraId="40402DF6">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养殖场的建设在一定程度上减轻了鸟类食物竞争压力。</w:t>
      </w:r>
    </w:p>
    <w:p w14:paraId="383DB40F">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（4）项目区域生态环境影响评价</w:t>
      </w:r>
    </w:p>
    <w:p w14:paraId="356060EB">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根据环境影响预测结果，本项目噪声经过距离衰减后，对周边影响较小；本项目废气源强较小，对大气环境的影响较小；本项目无废水排放，对地表水环境的影响小。本项目占地范围小，破坏植被较少，本项目占地范围内生物多样性水平不会明显降低。</w:t>
      </w:r>
    </w:p>
    <w:p w14:paraId="61D78B40">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综上所述，项目建设对生态环境影响较小。</w:t>
      </w:r>
    </w:p>
    <w:p w14:paraId="1FEC0B8E">
      <w:pPr>
        <w:pStyle w:val="5"/>
        <w:numPr>
          <w:ilvl w:val="3"/>
          <w:numId w:val="0"/>
        </w:numPr>
        <w:snapToGrid w:val="0"/>
        <w:spacing w:beforeLines="0" w:afterLines="0" w:line="360" w:lineRule="auto"/>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Cs/>
          <w:color w:val="000000" w:themeColor="text1"/>
          <w:highlight w:val="none"/>
          <w:shd w:val="clear" w:color="auto" w:fill="auto"/>
          <w:lang w:val="en-US" w:eastAsia="zh-CN"/>
          <w14:textFill>
            <w14:solidFill>
              <w14:schemeClr w14:val="tx1"/>
            </w14:solidFill>
          </w14:textFill>
        </w:rPr>
        <w:t>5.2.6.4生态影响评价自查</w:t>
      </w:r>
    </w:p>
    <w:p w14:paraId="4D47AF40">
      <w:pPr>
        <w:pStyle w:val="71"/>
        <w:widowControl w:val="0"/>
        <w:snapToGrid w:val="0"/>
        <w:spacing w:line="360" w:lineRule="auto"/>
        <w:ind w:firstLine="48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本项目生态影响评价自查见表5.2-27。</w:t>
      </w:r>
    </w:p>
    <w:p w14:paraId="30F1E2E5">
      <w:pPr>
        <w:pageBreakBefore w:val="0"/>
        <w:widowControl/>
        <w:kinsoku/>
        <w:wordWrap/>
        <w:overflowPunct/>
        <w:topLinePunct w:val="0"/>
        <w:autoSpaceDE/>
        <w:autoSpaceDN/>
        <w:bidi w:val="0"/>
        <w:adjustRightInd/>
        <w:snapToGrid w:val="0"/>
        <w:spacing w:line="240" w:lineRule="auto"/>
        <w:ind w:firstLine="422" w:firstLineChars="200"/>
        <w:jc w:val="center"/>
        <w:textAlignment w:val="auto"/>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表5.2-</w:t>
      </w:r>
      <w:r>
        <w:rPr>
          <w:rFonts w:hint="eastAsia" w:cs="Times New Roman"/>
          <w:b/>
          <w:color w:val="000000" w:themeColor="text1"/>
          <w:sz w:val="21"/>
          <w:szCs w:val="21"/>
          <w:highlight w:val="none"/>
          <w:shd w:val="clear" w:color="auto" w:fill="auto"/>
          <w:lang w:val="en-US" w:eastAsia="zh-CN"/>
          <w14:textFill>
            <w14:solidFill>
              <w14:schemeClr w14:val="tx1"/>
            </w14:solidFill>
          </w14:textFill>
        </w:rPr>
        <w:t>27</w:t>
      </w:r>
      <w:r>
        <w:rPr>
          <w:rFonts w:hint="eastAsia" w:ascii="Times New Roman" w:hAnsi="Times New Roman" w:cs="Times New Roman"/>
          <w:b/>
          <w:color w:val="000000" w:themeColor="text1"/>
          <w:sz w:val="21"/>
          <w:szCs w:val="21"/>
          <w:highlight w:val="none"/>
          <w:shd w:val="clear" w:color="auto" w:fill="auto"/>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z w:val="21"/>
          <w:szCs w:val="21"/>
          <w:highlight w:val="none"/>
          <w:shd w:val="clear" w:color="auto" w:fill="auto"/>
          <w:lang w:val="en-US" w:eastAsia="zh-CN"/>
          <w14:textFill>
            <w14:solidFill>
              <w14:schemeClr w14:val="tx1"/>
            </w14:solidFill>
          </w14:textFill>
        </w:rPr>
        <w:t xml:space="preserve"> 生态影响评价自查表</w:t>
      </w:r>
    </w:p>
    <w:tbl>
      <w:tblPr>
        <w:tblStyle w:val="7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94"/>
        <w:gridCol w:w="1397"/>
        <w:gridCol w:w="6125"/>
      </w:tblGrid>
      <w:tr w14:paraId="0B89E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3" w:type="pct"/>
            <w:gridSpan w:val="2"/>
            <w:vAlign w:val="center"/>
          </w:tcPr>
          <w:p w14:paraId="5CFF08CE">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工作内容</w:t>
            </w:r>
          </w:p>
        </w:tc>
        <w:tc>
          <w:tcPr>
            <w:tcW w:w="3597" w:type="pct"/>
            <w:vAlign w:val="center"/>
          </w:tcPr>
          <w:p w14:paraId="5F285E08">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自查项目</w:t>
            </w:r>
          </w:p>
        </w:tc>
      </w:tr>
      <w:tr w14:paraId="403529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restart"/>
            <w:vAlign w:val="center"/>
          </w:tcPr>
          <w:p w14:paraId="66377DB3">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生态影响识别</w:t>
            </w:r>
          </w:p>
        </w:tc>
        <w:tc>
          <w:tcPr>
            <w:tcW w:w="820" w:type="pct"/>
            <w:vAlign w:val="center"/>
          </w:tcPr>
          <w:p w14:paraId="3B3EF67C">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生态保护目标</w:t>
            </w:r>
          </w:p>
        </w:tc>
        <w:tc>
          <w:tcPr>
            <w:tcW w:w="3597" w:type="pct"/>
            <w:vAlign w:val="center"/>
          </w:tcPr>
          <w:p w14:paraId="4F531D77">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重要物种□；国家公园□；自然保护区□；自然公园□；世界自然遗产□；生态保护红线□；重要生境□；其他具有重要生态功能、对保护生物多样性具有重要意义的区域</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；其他</w:t>
            </w:r>
            <w:r>
              <w:rPr>
                <w:rFonts w:hint="eastAsia" w:cs="Times New Roman"/>
                <w:color w:val="000000" w:themeColor="text1"/>
                <w:kern w:val="0"/>
                <w:sz w:val="21"/>
                <w:szCs w:val="21"/>
                <w:highlight w:val="none"/>
                <w:lang w:eastAsia="zh-CN"/>
                <w14:textFill>
                  <w14:solidFill>
                    <w14:schemeClr w14:val="tx1"/>
                  </w14:solidFill>
                </w14:textFill>
              </w:rPr>
              <w:t>□</w:t>
            </w:r>
          </w:p>
        </w:tc>
      </w:tr>
      <w:tr w14:paraId="62B4DE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continue"/>
            <w:vAlign w:val="center"/>
          </w:tcPr>
          <w:p w14:paraId="210DB145">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3B564515">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影响方式</w:t>
            </w:r>
          </w:p>
        </w:tc>
        <w:tc>
          <w:tcPr>
            <w:tcW w:w="3597" w:type="pct"/>
            <w:vAlign w:val="center"/>
          </w:tcPr>
          <w:p w14:paraId="4D3DBCCF">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工程占用</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；施工活动干扰</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；改变环境条件□；其他□</w:t>
            </w:r>
          </w:p>
        </w:tc>
      </w:tr>
      <w:tr w14:paraId="5B6FC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continue"/>
            <w:vAlign w:val="center"/>
          </w:tcPr>
          <w:p w14:paraId="336BB095">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0DC665BF">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评价因子</w:t>
            </w:r>
          </w:p>
        </w:tc>
        <w:tc>
          <w:tcPr>
            <w:tcW w:w="3597" w:type="pct"/>
            <w:vAlign w:val="center"/>
          </w:tcPr>
          <w:p w14:paraId="1EB510E1">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物种□（</w:t>
            </w:r>
            <w:r>
              <w:rPr>
                <w:rFonts w:hint="eastAsia" w:cs="Times New Roman"/>
                <w:color w:val="000000" w:themeColor="text1"/>
                <w:kern w:val="0"/>
                <w:sz w:val="21"/>
                <w:szCs w:val="21"/>
                <w:highlight w:val="none"/>
                <w:lang w:val="en-US" w:eastAsia="zh-CN"/>
                <w14:textFill>
                  <w14:solidFill>
                    <w14:schemeClr w14:val="tx1"/>
                  </w14:solidFill>
                </w14:textFill>
              </w:rPr>
              <w:t>分布范围</w:t>
            </w:r>
            <w:r>
              <w:rPr>
                <w:rFonts w:hint="eastAsia" w:cs="Times New Roman"/>
                <w:color w:val="000000" w:themeColor="text1"/>
                <w:kern w:val="0"/>
                <w:sz w:val="21"/>
                <w:szCs w:val="21"/>
                <w:highlight w:val="none"/>
                <w14:textFill>
                  <w14:solidFill>
                    <w14:schemeClr w14:val="tx1"/>
                  </w14:solidFill>
                </w14:textFill>
              </w:rPr>
              <w:t>）</w:t>
            </w:r>
          </w:p>
          <w:p w14:paraId="62CD05B2">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生境□（</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w:t>
            </w:r>
          </w:p>
          <w:p w14:paraId="35E819C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生物群落□（</w:t>
            </w:r>
            <w:r>
              <w:rPr>
                <w:rFonts w:hint="eastAsia" w:cs="Times New Roman"/>
                <w:color w:val="000000" w:themeColor="text1"/>
                <w:kern w:val="0"/>
                <w:sz w:val="21"/>
                <w:szCs w:val="21"/>
                <w:highlight w:val="none"/>
                <w:lang w:val="en-US" w:eastAsia="zh-CN"/>
                <w14:textFill>
                  <w14:solidFill>
                    <w14:schemeClr w14:val="tx1"/>
                  </w14:solidFill>
                </w14:textFill>
              </w:rPr>
              <w:t>物种组成</w:t>
            </w:r>
            <w:r>
              <w:rPr>
                <w:rFonts w:hint="eastAsia" w:cs="Times New Roman"/>
                <w:color w:val="000000" w:themeColor="text1"/>
                <w:kern w:val="0"/>
                <w:sz w:val="21"/>
                <w:szCs w:val="21"/>
                <w:highlight w:val="none"/>
                <w14:textFill>
                  <w14:solidFill>
                    <w14:schemeClr w14:val="tx1"/>
                  </w14:solidFill>
                </w14:textFill>
              </w:rPr>
              <w:t>）</w:t>
            </w:r>
          </w:p>
          <w:p w14:paraId="65DCFEE2">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生态系统□（植被覆盖度、生态系统功能等）</w:t>
            </w:r>
          </w:p>
          <w:p w14:paraId="10D34F52">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生物多样性□（</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w:t>
            </w:r>
          </w:p>
          <w:p w14:paraId="34C93DCA">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生态敏感区□（</w:t>
            </w:r>
            <w:r>
              <w:rPr>
                <w:rFonts w:hint="eastAsia" w:cs="Times New Roman"/>
                <w:color w:val="000000" w:themeColor="text1"/>
                <w:kern w:val="0"/>
                <w:sz w:val="21"/>
                <w:szCs w:val="21"/>
                <w:highlight w:val="none"/>
                <w:lang w:val="en-US"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w:t>
            </w:r>
          </w:p>
          <w:p w14:paraId="451E4D09">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自然景观□（景观多样性、完整性等）</w:t>
            </w:r>
          </w:p>
          <w:p w14:paraId="1680F57E">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自然遗迹□（/）</w:t>
            </w:r>
          </w:p>
          <w:p w14:paraId="7FEDFA0A">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其他□（/）</w:t>
            </w:r>
          </w:p>
        </w:tc>
      </w:tr>
      <w:tr w14:paraId="2D8B2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3" w:type="pct"/>
            <w:gridSpan w:val="2"/>
            <w:vAlign w:val="center"/>
          </w:tcPr>
          <w:p w14:paraId="0BBCE873">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w:t>
            </w:r>
            <w:r>
              <w:rPr>
                <w:rFonts w:hint="eastAsia" w:cs="Times New Roman"/>
                <w:color w:val="000000" w:themeColor="text1"/>
                <w:kern w:val="0"/>
                <w:sz w:val="21"/>
                <w:szCs w:val="21"/>
                <w:highlight w:val="none"/>
                <w14:textFill>
                  <w14:solidFill>
                    <w14:schemeClr w14:val="tx1"/>
                  </w14:solidFill>
                </w14:textFill>
              </w:rPr>
              <w:t>等级</w:t>
            </w:r>
          </w:p>
        </w:tc>
        <w:tc>
          <w:tcPr>
            <w:tcW w:w="3597" w:type="pct"/>
            <w:vAlign w:val="center"/>
          </w:tcPr>
          <w:p w14:paraId="528E6119">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 xml:space="preserve">一级□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二级</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三级</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 xml:space="preserve">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生态影响简单分析□</w:t>
            </w:r>
          </w:p>
        </w:tc>
      </w:tr>
      <w:tr w14:paraId="274CE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403" w:type="pct"/>
            <w:gridSpan w:val="2"/>
            <w:vAlign w:val="center"/>
          </w:tcPr>
          <w:p w14:paraId="71C39DF3">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评价范围</w:t>
            </w:r>
          </w:p>
        </w:tc>
        <w:tc>
          <w:tcPr>
            <w:tcW w:w="3597" w:type="pct"/>
            <w:vAlign w:val="center"/>
          </w:tcPr>
          <w:p w14:paraId="453FC579">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 xml:space="preserve">陆域面积：（ </w:t>
            </w:r>
            <w:r>
              <w:rPr>
                <w:rFonts w:cs="Times New Roman"/>
                <w:color w:val="000000" w:themeColor="text1"/>
                <w:kern w:val="0"/>
                <w:sz w:val="21"/>
                <w:szCs w:val="21"/>
                <w:highlight w:val="none"/>
                <w14:textFill>
                  <w14:solidFill>
                    <w14:schemeClr w14:val="tx1"/>
                  </w14:solidFill>
                </w14:textFill>
              </w:rPr>
              <w:t xml:space="preserve">  </w:t>
            </w:r>
            <w:r>
              <w:rPr>
                <w:rFonts w:hint="eastAsia" w:cs="Times New Roman"/>
                <w:color w:val="000000" w:themeColor="text1"/>
                <w:kern w:val="0"/>
                <w:sz w:val="21"/>
                <w:szCs w:val="21"/>
                <w:highlight w:val="none"/>
                <w14:textFill>
                  <w14:solidFill>
                    <w14:schemeClr w14:val="tx1"/>
                  </w14:solidFill>
                </w14:textFill>
              </w:rPr>
              <w:t>）k</w:t>
            </w:r>
            <w:r>
              <w:rPr>
                <w:rFonts w:cs="Times New Roman"/>
                <w:color w:val="000000" w:themeColor="text1"/>
                <w:kern w:val="0"/>
                <w:sz w:val="21"/>
                <w:szCs w:val="21"/>
                <w:highlight w:val="none"/>
                <w14:textFill>
                  <w14:solidFill>
                    <w14:schemeClr w14:val="tx1"/>
                  </w14:solidFill>
                </w14:textFill>
              </w:rPr>
              <w:t>m</w:t>
            </w:r>
            <w:r>
              <w:rPr>
                <w:rFonts w:cs="Times New Roman"/>
                <w:color w:val="000000" w:themeColor="text1"/>
                <w:kern w:val="0"/>
                <w:sz w:val="21"/>
                <w:szCs w:val="21"/>
                <w:highlight w:val="none"/>
                <w:vertAlign w:val="superscript"/>
                <w14:textFill>
                  <w14:solidFill>
                    <w14:schemeClr w14:val="tx1"/>
                  </w14:solidFill>
                </w14:textFill>
              </w:rPr>
              <w:t>2</w:t>
            </w:r>
            <w:r>
              <w:rPr>
                <w:rFonts w:hint="eastAsia" w:cs="Times New Roman"/>
                <w:color w:val="000000" w:themeColor="text1"/>
                <w:kern w:val="0"/>
                <w:sz w:val="21"/>
                <w:szCs w:val="21"/>
                <w:highlight w:val="none"/>
                <w14:textFill>
                  <w14:solidFill>
                    <w14:schemeClr w14:val="tx1"/>
                  </w14:solidFill>
                </w14:textFill>
              </w:rPr>
              <w:t>；水域面积：（）k</w:t>
            </w:r>
            <w:r>
              <w:rPr>
                <w:rFonts w:cs="Times New Roman"/>
                <w:color w:val="000000" w:themeColor="text1"/>
                <w:kern w:val="0"/>
                <w:sz w:val="21"/>
                <w:szCs w:val="21"/>
                <w:highlight w:val="none"/>
                <w14:textFill>
                  <w14:solidFill>
                    <w14:schemeClr w14:val="tx1"/>
                  </w14:solidFill>
                </w14:textFill>
              </w:rPr>
              <w:t>m</w:t>
            </w:r>
            <w:r>
              <w:rPr>
                <w:rFonts w:cs="Times New Roman"/>
                <w:color w:val="000000" w:themeColor="text1"/>
                <w:kern w:val="0"/>
                <w:sz w:val="21"/>
                <w:szCs w:val="21"/>
                <w:highlight w:val="none"/>
                <w:vertAlign w:val="superscript"/>
                <w14:textFill>
                  <w14:solidFill>
                    <w14:schemeClr w14:val="tx1"/>
                  </w14:solidFill>
                </w14:textFill>
              </w:rPr>
              <w:t>2</w:t>
            </w:r>
            <w:r>
              <w:rPr>
                <w:rFonts w:hint="eastAsia" w:cs="Times New Roman"/>
                <w:color w:val="000000" w:themeColor="text1"/>
                <w:kern w:val="0"/>
                <w:sz w:val="21"/>
                <w:szCs w:val="21"/>
                <w:highlight w:val="none"/>
                <w14:textFill>
                  <w14:solidFill>
                    <w14:schemeClr w14:val="tx1"/>
                  </w14:solidFill>
                </w14:textFill>
              </w:rPr>
              <w:t>；</w:t>
            </w:r>
          </w:p>
        </w:tc>
      </w:tr>
      <w:tr w14:paraId="3813CE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restart"/>
            <w:vAlign w:val="center"/>
          </w:tcPr>
          <w:p w14:paraId="5E4DD22E">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w:t>
            </w:r>
            <w:r>
              <w:rPr>
                <w:rFonts w:cs="Times New Roman"/>
                <w:color w:val="000000" w:themeColor="text1"/>
                <w:kern w:val="0"/>
                <w:sz w:val="21"/>
                <w:szCs w:val="21"/>
                <w:highlight w:val="none"/>
                <w14:textFill>
                  <w14:solidFill>
                    <w14:schemeClr w14:val="tx1"/>
                  </w14:solidFill>
                </w14:textFill>
              </w:rPr>
              <w:t>现状</w:t>
            </w:r>
            <w:r>
              <w:rPr>
                <w:rFonts w:hint="eastAsia" w:cs="Times New Roman"/>
                <w:color w:val="000000" w:themeColor="text1"/>
                <w:kern w:val="0"/>
                <w:sz w:val="21"/>
                <w:szCs w:val="21"/>
                <w:highlight w:val="none"/>
                <w14:textFill>
                  <w14:solidFill>
                    <w14:schemeClr w14:val="tx1"/>
                  </w14:solidFill>
                </w14:textFill>
              </w:rPr>
              <w:t>调查与</w:t>
            </w:r>
            <w:r>
              <w:rPr>
                <w:rFonts w:cs="Times New Roman"/>
                <w:color w:val="000000" w:themeColor="text1"/>
                <w:kern w:val="0"/>
                <w:sz w:val="21"/>
                <w:szCs w:val="21"/>
                <w:highlight w:val="none"/>
                <w14:textFill>
                  <w14:solidFill>
                    <w14:schemeClr w14:val="tx1"/>
                  </w14:solidFill>
                </w14:textFill>
              </w:rPr>
              <w:t>评价</w:t>
            </w:r>
          </w:p>
        </w:tc>
        <w:tc>
          <w:tcPr>
            <w:tcW w:w="820" w:type="pct"/>
            <w:vAlign w:val="center"/>
          </w:tcPr>
          <w:p w14:paraId="77E45A2C">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调查方法</w:t>
            </w:r>
          </w:p>
        </w:tc>
        <w:tc>
          <w:tcPr>
            <w:tcW w:w="3597" w:type="pct"/>
            <w:vAlign w:val="center"/>
          </w:tcPr>
          <w:p w14:paraId="0BDA3A35">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资料收集</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；遥感调查□；调查样方、样线□；调查点位、断面□；专家和公众咨询法□；其他□</w:t>
            </w:r>
          </w:p>
        </w:tc>
      </w:tr>
      <w:tr w14:paraId="073706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continue"/>
            <w:vAlign w:val="center"/>
          </w:tcPr>
          <w:p w14:paraId="6F52E343">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42EE86CB">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调查时间</w:t>
            </w:r>
          </w:p>
        </w:tc>
        <w:tc>
          <w:tcPr>
            <w:tcW w:w="3597" w:type="pct"/>
            <w:vAlign w:val="center"/>
          </w:tcPr>
          <w:p w14:paraId="3B8DEAB0">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春季□；夏季□；秋季□；冬季□</w:t>
            </w:r>
          </w:p>
          <w:p w14:paraId="40DAFB9A">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丰水期□；枯水期□；平水期□</w:t>
            </w:r>
          </w:p>
        </w:tc>
      </w:tr>
      <w:tr w14:paraId="1CE8F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continue"/>
            <w:vAlign w:val="center"/>
          </w:tcPr>
          <w:p w14:paraId="0AB549ED">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35C29133">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所在区域的生态问题</w:t>
            </w:r>
          </w:p>
        </w:tc>
        <w:tc>
          <w:tcPr>
            <w:tcW w:w="3597" w:type="pct"/>
            <w:vAlign w:val="center"/>
          </w:tcPr>
          <w:p w14:paraId="623AF861">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水土流失□；沙漠化□；石漠化□；盐渍化□；生物入侵□；污染危害□；其他</w:t>
            </w:r>
          </w:p>
        </w:tc>
      </w:tr>
      <w:tr w14:paraId="166F5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continue"/>
            <w:vAlign w:val="center"/>
          </w:tcPr>
          <w:p w14:paraId="46FF2B8D">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011E4A43">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评价内容</w:t>
            </w:r>
          </w:p>
        </w:tc>
        <w:tc>
          <w:tcPr>
            <w:tcW w:w="3597" w:type="pct"/>
            <w:vAlign w:val="center"/>
          </w:tcPr>
          <w:p w14:paraId="683D17BD">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植被/植物群落</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；土地利用</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；生态系统</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；生物多样性</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；重要物种</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；生态敏感区</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；其他□</w:t>
            </w:r>
          </w:p>
        </w:tc>
      </w:tr>
      <w:tr w14:paraId="5673AC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restart"/>
            <w:vAlign w:val="center"/>
          </w:tcPr>
          <w:p w14:paraId="5DFBF8C5">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w:t>
            </w:r>
            <w:r>
              <w:rPr>
                <w:rFonts w:cs="Times New Roman"/>
                <w:color w:val="000000" w:themeColor="text1"/>
                <w:kern w:val="0"/>
                <w:sz w:val="21"/>
                <w:szCs w:val="21"/>
                <w:highlight w:val="none"/>
                <w14:textFill>
                  <w14:solidFill>
                    <w14:schemeClr w14:val="tx1"/>
                  </w14:solidFill>
                </w14:textFill>
              </w:rPr>
              <w:t>影响预测与评价</w:t>
            </w:r>
          </w:p>
        </w:tc>
        <w:tc>
          <w:tcPr>
            <w:tcW w:w="820" w:type="pct"/>
            <w:vAlign w:val="center"/>
          </w:tcPr>
          <w:p w14:paraId="47FBC8F1">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评价方法</w:t>
            </w:r>
          </w:p>
        </w:tc>
        <w:tc>
          <w:tcPr>
            <w:tcW w:w="3597" w:type="pct"/>
            <w:vAlign w:val="center"/>
          </w:tcPr>
          <w:p w14:paraId="3E44D955">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定性</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；定性和定量□</w:t>
            </w:r>
          </w:p>
        </w:tc>
      </w:tr>
      <w:tr w14:paraId="3C6CB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continue"/>
            <w:vAlign w:val="center"/>
          </w:tcPr>
          <w:p w14:paraId="5EED4195">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7FEC79E2">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评价内容</w:t>
            </w:r>
          </w:p>
        </w:tc>
        <w:tc>
          <w:tcPr>
            <w:tcW w:w="3597" w:type="pct"/>
            <w:vAlign w:val="center"/>
          </w:tcPr>
          <w:p w14:paraId="62D5CB54">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植被/植物群落□；土地利用□；生态系统□；生物多样性□；重要物种□；生物入侵风险□；其他□</w:t>
            </w:r>
          </w:p>
        </w:tc>
      </w:tr>
      <w:tr w14:paraId="65CEEA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restart"/>
            <w:vAlign w:val="center"/>
          </w:tcPr>
          <w:p w14:paraId="536288C6">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生态保护对策措施</w:t>
            </w:r>
          </w:p>
        </w:tc>
        <w:tc>
          <w:tcPr>
            <w:tcW w:w="820" w:type="pct"/>
            <w:vAlign w:val="center"/>
          </w:tcPr>
          <w:p w14:paraId="69D7645B">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对策措施</w:t>
            </w:r>
          </w:p>
        </w:tc>
        <w:tc>
          <w:tcPr>
            <w:tcW w:w="3597" w:type="pct"/>
            <w:vAlign w:val="center"/>
          </w:tcPr>
          <w:p w14:paraId="40482ADF">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避让□；减缓</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；生态修复□；生态补偿□；科研□；其他□</w:t>
            </w:r>
          </w:p>
        </w:tc>
      </w:tr>
      <w:tr w14:paraId="08E8AF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continue"/>
            <w:vAlign w:val="center"/>
          </w:tcPr>
          <w:p w14:paraId="0B1D18BC">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69B638AC">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生态监测计划</w:t>
            </w:r>
          </w:p>
        </w:tc>
        <w:tc>
          <w:tcPr>
            <w:tcW w:w="3597" w:type="pct"/>
            <w:vAlign w:val="center"/>
          </w:tcPr>
          <w:p w14:paraId="5CC4B94F">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全生命周期□；长期跟踪□；常规□；无□</w:t>
            </w:r>
          </w:p>
        </w:tc>
      </w:tr>
      <w:tr w14:paraId="2B0FB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Merge w:val="continue"/>
            <w:vAlign w:val="center"/>
          </w:tcPr>
          <w:p w14:paraId="65E2BF11">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p>
        </w:tc>
        <w:tc>
          <w:tcPr>
            <w:tcW w:w="820" w:type="pct"/>
            <w:vAlign w:val="center"/>
          </w:tcPr>
          <w:p w14:paraId="719FF6EF">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环境管理</w:t>
            </w:r>
          </w:p>
        </w:tc>
        <w:tc>
          <w:tcPr>
            <w:tcW w:w="3597" w:type="pct"/>
            <w:vAlign w:val="center"/>
          </w:tcPr>
          <w:p w14:paraId="57A2DEFC">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环境监测□；环境影响后评价□；其他□；</w:t>
            </w:r>
          </w:p>
        </w:tc>
      </w:tr>
      <w:tr w14:paraId="11F2B4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84" w:type="pct"/>
            <w:vAlign w:val="center"/>
          </w:tcPr>
          <w:p w14:paraId="48B71C26">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评价结论</w:t>
            </w:r>
          </w:p>
        </w:tc>
        <w:tc>
          <w:tcPr>
            <w:tcW w:w="820" w:type="pct"/>
            <w:vAlign w:val="center"/>
          </w:tcPr>
          <w:p w14:paraId="452AF60F">
            <w:pPr>
              <w:pStyle w:val="72"/>
              <w:keepNext w:val="0"/>
              <w:keepLines w:val="0"/>
              <w:pageBreakBefore w:val="0"/>
              <w:widowControl w:val="0"/>
              <w:kinsoku/>
              <w:wordWrap/>
              <w:overflowPunct/>
              <w:topLinePunct w:val="0"/>
              <w:autoSpaceDE/>
              <w:autoSpaceDN/>
              <w:bidi w:val="0"/>
              <w:adjustRightInd/>
              <w:snapToGrid/>
              <w:spacing w:line="240" w:lineRule="auto"/>
              <w:ind w:left="0" w:leftChars="0"/>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生态影响</w:t>
            </w:r>
          </w:p>
        </w:tc>
        <w:tc>
          <w:tcPr>
            <w:tcW w:w="3597" w:type="pct"/>
            <w:vAlign w:val="center"/>
          </w:tcPr>
          <w:p w14:paraId="3B25ED36">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hint="eastAsia" w:cs="Times New Roman"/>
                <w:color w:val="000000" w:themeColor="text1"/>
                <w:kern w:val="0"/>
                <w:sz w:val="21"/>
                <w:szCs w:val="21"/>
                <w:highlight w:val="none"/>
                <w14:textFill>
                  <w14:solidFill>
                    <w14:schemeClr w14:val="tx1"/>
                  </w14:solidFill>
                </w14:textFill>
              </w:rPr>
              <w:t>可行</w:t>
            </w:r>
            <w:r>
              <w:rPr>
                <w:rFonts w:hint="eastAsia" w:cs="Times New Roman"/>
                <w:color w:val="000000" w:themeColor="text1"/>
                <w:kern w:val="0"/>
                <w:sz w:val="21"/>
                <w:szCs w:val="21"/>
                <w:highlight w:val="none"/>
                <w:lang w:eastAsia="zh-CN"/>
                <w14:textFill>
                  <w14:solidFill>
                    <w14:schemeClr w14:val="tx1"/>
                  </w14:solidFill>
                </w14:textFill>
              </w:rPr>
              <w:t>☑</w:t>
            </w:r>
            <w:r>
              <w:rPr>
                <w:rFonts w:hint="eastAsia" w:cs="Times New Roman"/>
                <w:color w:val="000000" w:themeColor="text1"/>
                <w:kern w:val="0"/>
                <w:sz w:val="21"/>
                <w:szCs w:val="21"/>
                <w:highlight w:val="none"/>
                <w14:textFill>
                  <w14:solidFill>
                    <w14:schemeClr w14:val="tx1"/>
                  </w14:solidFill>
                </w14:textFill>
              </w:rPr>
              <w:t>；不可行□</w:t>
            </w:r>
          </w:p>
        </w:tc>
      </w:tr>
      <w:tr w14:paraId="2DE4B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3"/>
            <w:vAlign w:val="center"/>
          </w:tcPr>
          <w:p w14:paraId="3B9DBC64">
            <w:pPr>
              <w:pStyle w:val="72"/>
              <w:keepNext w:val="0"/>
              <w:keepLines w:val="0"/>
              <w:pageBreakBefore w:val="0"/>
              <w:widowControl w:val="0"/>
              <w:kinsoku/>
              <w:wordWrap/>
              <w:overflowPunct/>
              <w:topLinePunct w:val="0"/>
              <w:autoSpaceDE/>
              <w:autoSpaceDN/>
              <w:bidi w:val="0"/>
              <w:adjustRightInd/>
              <w:snapToGrid/>
              <w:spacing w:line="240" w:lineRule="auto"/>
              <w:ind w:left="0" w:leftChars="0"/>
              <w:jc w:val="both"/>
              <w:textAlignment w:val="auto"/>
              <w:rPr>
                <w:rFonts w:cs="Times New Roman"/>
                <w:color w:val="000000" w:themeColor="text1"/>
                <w:kern w:val="0"/>
                <w:sz w:val="21"/>
                <w:szCs w:val="21"/>
                <w:highlight w:val="none"/>
                <w14:textFill>
                  <w14:solidFill>
                    <w14:schemeClr w14:val="tx1"/>
                  </w14:solidFill>
                </w14:textFill>
              </w:rPr>
            </w:pPr>
            <w:r>
              <w:rPr>
                <w:rFonts w:cs="Times New Roman"/>
                <w:color w:val="000000" w:themeColor="text1"/>
                <w:kern w:val="0"/>
                <w:sz w:val="21"/>
                <w:szCs w:val="21"/>
                <w:highlight w:val="none"/>
                <w14:textFill>
                  <w14:solidFill>
                    <w14:schemeClr w14:val="tx1"/>
                  </w14:solidFill>
                </w14:textFill>
              </w:rPr>
              <w:t>注</w:t>
            </w:r>
            <w:r>
              <w:rPr>
                <w:rFonts w:hint="eastAsia" w:cs="Times New Roman"/>
                <w:color w:val="000000" w:themeColor="text1"/>
                <w:kern w:val="0"/>
                <w:sz w:val="21"/>
                <w:szCs w:val="21"/>
                <w:highlight w:val="none"/>
                <w14:textFill>
                  <w14:solidFill>
                    <w14:schemeClr w14:val="tx1"/>
                  </w14:solidFill>
                </w14:textFill>
              </w:rPr>
              <w:t>：“□”为勾选项，可√；“（   ）”为内容填写项。</w:t>
            </w:r>
          </w:p>
        </w:tc>
      </w:tr>
    </w:tbl>
    <w:p w14:paraId="08C80885">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5.2.7土壤环境影响分析</w:t>
      </w:r>
      <w:bookmarkEnd w:id="228"/>
    </w:p>
    <w:p w14:paraId="65A40AE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"5.2.7.1"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5.2.7.1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影响类型与影响途径识别</w:t>
      </w:r>
    </w:p>
    <w:p w14:paraId="449B6E5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根据工程分析相关内容，本项目属于污染影响型项目，对土壤环境影响主要分为大气沉降影响、地面漫流影响和垂直入渗影响。</w:t>
      </w:r>
    </w:p>
    <w:p w14:paraId="47F8B2F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营运期土壤环境影响识别主要针对本项目排放的废气和废水。废气中主要污染物为氨气和硫化氢，不含重金属和多环芳烃，因此，本项目土壤环境污染类型不涉及大气沉降；废水中主要污染物为COD、氨氮、BOD</w:t>
      </w:r>
      <w:r>
        <w:rPr>
          <w:color w:val="000000" w:themeColor="text1"/>
          <w:highlight w:val="none"/>
          <w:vertAlign w:val="subscript"/>
          <w14:textFill>
            <w14:solidFill>
              <w14:schemeClr w14:val="tx1"/>
            </w14:solidFill>
          </w14:textFill>
        </w:rPr>
        <w:t>5</w:t>
      </w:r>
      <w:r>
        <w:rPr>
          <w:color w:val="000000" w:themeColor="text1"/>
          <w:highlight w:val="none"/>
          <w14:textFill>
            <w14:solidFill>
              <w14:schemeClr w14:val="tx1"/>
            </w14:solidFill>
          </w14:textFill>
        </w:rPr>
        <w:t>、SS、TP和TN，本项目主要废水为猪尿液、猪粪滤液、猪舍冲洗废水生活污水等，采用</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处理后作为有机液肥用于项目周边现有农田灌溉，不会对土壤环境造成较大的影响。因此本项目土壤环境污染类型不涉及地面漫流影响。</w:t>
      </w:r>
    </w:p>
    <w:p w14:paraId="54CA694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综上，本项目土壤环境影响类型与影响途径见表5.2-</w:t>
      </w:r>
      <w:r>
        <w:rPr>
          <w:rFonts w:hint="eastAsia"/>
          <w:color w:val="000000" w:themeColor="text1"/>
          <w:highlight w:val="none"/>
          <w:lang w:val="en-US" w:eastAsia="zh-CN"/>
          <w14:textFill>
            <w14:solidFill>
              <w14:schemeClr w14:val="tx1"/>
            </w14:solidFill>
          </w14:textFill>
        </w:rPr>
        <w:t>28</w:t>
      </w:r>
      <w:r>
        <w:rPr>
          <w:color w:val="000000" w:themeColor="text1"/>
          <w:highlight w:val="none"/>
          <w14:textFill>
            <w14:solidFill>
              <w14:schemeClr w14:val="tx1"/>
            </w14:solidFill>
          </w14:textFill>
        </w:rPr>
        <w:t>。</w:t>
      </w:r>
    </w:p>
    <w:p w14:paraId="3366C58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w:t>
      </w:r>
      <w:r>
        <w:rPr>
          <w:rFonts w:hint="eastAsia"/>
          <w:b/>
          <w:bCs/>
          <w:color w:val="000000" w:themeColor="text1"/>
          <w:sz w:val="21"/>
          <w:szCs w:val="21"/>
          <w:highlight w:val="none"/>
          <w:lang w:val="en-US" w:eastAsia="zh-CN"/>
          <w14:textFill>
            <w14:solidFill>
              <w14:schemeClr w14:val="tx1"/>
            </w14:solidFill>
          </w14:textFill>
        </w:rPr>
        <w:t>28</w:t>
      </w:r>
      <w:r>
        <w:rPr>
          <w:b/>
          <w:bCs/>
          <w:color w:val="000000" w:themeColor="text1"/>
          <w:sz w:val="21"/>
          <w:szCs w:val="21"/>
          <w:highlight w:val="none"/>
          <w14:textFill>
            <w14:solidFill>
              <w14:schemeClr w14:val="tx1"/>
            </w14:solidFill>
          </w14:textFill>
        </w:rPr>
        <w:t xml:space="preserve">  土壤环境影响类型与影响途径</w:t>
      </w:r>
    </w:p>
    <w:tbl>
      <w:tblPr>
        <w:tblStyle w:val="58"/>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8"/>
        <w:gridCol w:w="1703"/>
        <w:gridCol w:w="1703"/>
        <w:gridCol w:w="1704"/>
        <w:gridCol w:w="1708"/>
      </w:tblGrid>
      <w:tr w14:paraId="62CD3E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708" w:type="dxa"/>
            <w:vMerge w:val="restart"/>
            <w:tcBorders>
              <w:bottom w:val="nil"/>
            </w:tcBorders>
          </w:tcPr>
          <w:p w14:paraId="1B02AD6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不同时段</w:t>
            </w:r>
          </w:p>
        </w:tc>
        <w:tc>
          <w:tcPr>
            <w:tcW w:w="6818" w:type="dxa"/>
            <w:gridSpan w:val="4"/>
          </w:tcPr>
          <w:p w14:paraId="5310C1F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污染影响类型</w:t>
            </w:r>
          </w:p>
        </w:tc>
      </w:tr>
      <w:tr w14:paraId="26AE1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1708" w:type="dxa"/>
            <w:vMerge w:val="continue"/>
            <w:tcBorders>
              <w:top w:val="nil"/>
            </w:tcBorders>
          </w:tcPr>
          <w:p w14:paraId="3F82EE20">
            <w:pPr>
              <w:spacing w:line="240" w:lineRule="auto"/>
              <w:jc w:val="center"/>
              <w:rPr>
                <w:b/>
                <w:bCs/>
                <w:color w:val="000000" w:themeColor="text1"/>
                <w:sz w:val="21"/>
                <w:szCs w:val="21"/>
                <w:highlight w:val="none"/>
                <w14:textFill>
                  <w14:solidFill>
                    <w14:schemeClr w14:val="tx1"/>
                  </w14:solidFill>
                </w14:textFill>
              </w:rPr>
            </w:pPr>
          </w:p>
        </w:tc>
        <w:tc>
          <w:tcPr>
            <w:tcW w:w="1703" w:type="dxa"/>
          </w:tcPr>
          <w:p w14:paraId="7AC6B962">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大气沉降</w:t>
            </w:r>
          </w:p>
        </w:tc>
        <w:tc>
          <w:tcPr>
            <w:tcW w:w="1703" w:type="dxa"/>
          </w:tcPr>
          <w:p w14:paraId="22B8FD4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地面漫流</w:t>
            </w:r>
          </w:p>
        </w:tc>
        <w:tc>
          <w:tcPr>
            <w:tcW w:w="1704" w:type="dxa"/>
          </w:tcPr>
          <w:p w14:paraId="7BCC0F5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垂直渗入</w:t>
            </w:r>
          </w:p>
        </w:tc>
        <w:tc>
          <w:tcPr>
            <w:tcW w:w="1708" w:type="dxa"/>
          </w:tcPr>
          <w:p w14:paraId="7DC5461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其他</w:t>
            </w:r>
          </w:p>
        </w:tc>
      </w:tr>
      <w:tr w14:paraId="612F9F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708" w:type="dxa"/>
          </w:tcPr>
          <w:p w14:paraId="2AEDC8F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建设期</w:t>
            </w:r>
          </w:p>
        </w:tc>
        <w:tc>
          <w:tcPr>
            <w:tcW w:w="1703" w:type="dxa"/>
          </w:tcPr>
          <w:p w14:paraId="606562D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703" w:type="dxa"/>
          </w:tcPr>
          <w:p w14:paraId="2C8C4FE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704" w:type="dxa"/>
          </w:tcPr>
          <w:p w14:paraId="08B82B6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708" w:type="dxa"/>
          </w:tcPr>
          <w:p w14:paraId="64D7406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47AE1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 w:hRule="atLeast"/>
        </w:trPr>
        <w:tc>
          <w:tcPr>
            <w:tcW w:w="1708" w:type="dxa"/>
          </w:tcPr>
          <w:p w14:paraId="1DBB41A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运营期</w:t>
            </w:r>
          </w:p>
        </w:tc>
        <w:tc>
          <w:tcPr>
            <w:tcW w:w="1703" w:type="dxa"/>
          </w:tcPr>
          <w:p w14:paraId="55C3238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703" w:type="dxa"/>
          </w:tcPr>
          <w:p w14:paraId="343E99D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704" w:type="dxa"/>
          </w:tcPr>
          <w:p w14:paraId="106D316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708" w:type="dxa"/>
          </w:tcPr>
          <w:p w14:paraId="48BFBA2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198DD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1708" w:type="dxa"/>
          </w:tcPr>
          <w:p w14:paraId="52F598C8">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服务期满</w:t>
            </w:r>
            <w:r>
              <w:rPr>
                <w:color w:val="000000" w:themeColor="text1"/>
                <w:sz w:val="21"/>
                <w:szCs w:val="21"/>
                <w:highlight w:val="none"/>
                <w14:textFill>
                  <w14:solidFill>
                    <w14:schemeClr w14:val="tx1"/>
                  </w14:solidFill>
                </w14:textFill>
              </w:rPr>
              <w:t>后</w:t>
            </w:r>
          </w:p>
        </w:tc>
        <w:tc>
          <w:tcPr>
            <w:tcW w:w="1703" w:type="dxa"/>
          </w:tcPr>
          <w:p w14:paraId="75493B6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703" w:type="dxa"/>
          </w:tcPr>
          <w:p w14:paraId="672F05B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704" w:type="dxa"/>
          </w:tcPr>
          <w:p w14:paraId="22E7A16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c>
          <w:tcPr>
            <w:tcW w:w="1708" w:type="dxa"/>
          </w:tcPr>
          <w:p w14:paraId="2BD4E21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bl>
    <w:p w14:paraId="65B3A451">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"5.2.6.2"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w:t>
      </w:r>
      <w:r>
        <w:rPr>
          <w:rFonts w:hint="eastAsia"/>
          <w:b/>
          <w:bCs/>
          <w:color w:val="000000" w:themeColor="text1"/>
          <w:highlight w:val="none"/>
          <w14:textFill>
            <w14:solidFill>
              <w14:schemeClr w14:val="tx1"/>
            </w14:solidFill>
          </w14:textFill>
        </w:rPr>
        <w:t>7</w:t>
      </w:r>
      <w:r>
        <w:rPr>
          <w:b/>
          <w:bCs/>
          <w:color w:val="000000" w:themeColor="text1"/>
          <w:highlight w:val="none"/>
          <w14:textFill>
            <w14:solidFill>
              <w14:schemeClr w14:val="tx1"/>
            </w14:solidFill>
          </w14:textFill>
        </w:rPr>
        <w:t>.2</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土壤环境影响分析</w:t>
      </w:r>
    </w:p>
    <w:p w14:paraId="15598BE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（1）有机液肥灌溉对土壤的影响</w:t>
      </w:r>
    </w:p>
    <w:p w14:paraId="38FA3A6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机液肥是经发酵而产生的剩余物，不仅富集了有机废弃物中的营养元素，而且在复杂的厌氧微生物代谢中产生了许多生物活性物质，如氨基酸、B族维生素、水解酶类、植物激素和腐殖酸等。其养分含量高、种类全，是一种优质的肥料，被广泛应用</w:t>
      </w:r>
      <w:r>
        <w:rPr>
          <w:rFonts w:hint="eastAsia"/>
          <w:color w:val="000000" w:themeColor="text1"/>
          <w:highlight w:val="none"/>
          <w:lang w:eastAsia="zh-CN"/>
          <w14:textFill>
            <w14:solidFill>
              <w14:schemeClr w14:val="tx1"/>
            </w14:solidFill>
          </w14:textFill>
        </w:rPr>
        <w:t>于</w:t>
      </w:r>
      <w:r>
        <w:rPr>
          <w:color w:val="000000" w:themeColor="text1"/>
          <w:highlight w:val="none"/>
          <w14:textFill>
            <w14:solidFill>
              <w14:schemeClr w14:val="tx1"/>
            </w14:solidFill>
          </w14:textFill>
        </w:rPr>
        <w:t>农业生产中。有机液肥营养丰富，容易被植物吸收，这对改良土壤和提高肥力、增加产量都可起到积极作用。但有机液肥中的重金属会对土壤产生不利影响，在农田中长期施用，使得土壤中这些元素富集，通过食物链进入人体，对人们的健康产生影响。</w:t>
      </w:r>
    </w:p>
    <w:p w14:paraId="0CC63B6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沼肥中重金属对土壤和植物影响及控制技术研究》（农机化研究，2013年6月）一文中的相关内容，长期施用含有重金属的沼肥，会使重金属在农田土壤中不断积累，增加对土壤环境质量和农产品污染的风险性，并通过食物链对人类健康造成危害。由于有机液肥中重金属含量极低，如Cu为（1.11±0.11）mg/kg，Zn为（1.51±0.09）mg/kg，As为（0.06±0.01）mg/kg，Cr未检出。有机液肥中的有机物官能团及微生物对重金属等离子的吸附、转化功能，对土壤中原本</w:t>
      </w:r>
      <w:r>
        <w:rPr>
          <w:rFonts w:hint="eastAsia"/>
          <w:color w:val="000000" w:themeColor="text1"/>
          <w:highlight w:val="none"/>
          <w14:textFill>
            <w14:solidFill>
              <w14:schemeClr w14:val="tx1"/>
            </w14:solidFill>
          </w14:textFill>
        </w:rPr>
        <w:t>存在</w:t>
      </w:r>
      <w:r>
        <w:rPr>
          <w:color w:val="000000" w:themeColor="text1"/>
          <w:highlight w:val="none"/>
          <w14:textFill>
            <w14:solidFill>
              <w14:schemeClr w14:val="tx1"/>
            </w14:solidFill>
          </w14:textFill>
        </w:rPr>
        <w:t>的重金属有一定的吸附作用，能够降低重金属离子活性，从而减轻有机液肥施肥对环境的二次污染。因此，长期施用有机液肥施肥能够促进土壤团粒结构的形成，增强土壤保水保肥能力，改善土壤理化特性，提高土壤中有机质、全氮、全磷及有效磷等成分，同时能减少污染，降低施肥成本。</w:t>
      </w:r>
    </w:p>
    <w:p w14:paraId="0A3A53E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在到达地下水面以前要经过包气带下渗，由于地层有过滤吸附自净能力，可以使污染物的浓度变化，特别是包气带岩层的组成颗粒较细，厚度较大，可以使污染源中许多污染物的含量大为降低，甚至全部消除，只有那些迁移性较强的物质才能到达地下水面污染地下水。农田施用的氮肥，除一部分被植物吸收外，剩余部分残留在土壤里，污染程度与渗水量多少，包气带岩性的厚度和土壤性质有关。</w:t>
      </w:r>
    </w:p>
    <w:p w14:paraId="3B46399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有机液肥还田会对地下水中出现一定的重金属累积，但在农作物的整个生长过程中，下渗的Cu、Zn、Pb、As等的含量远远低于地下水环境质量标准，为保证有机液肥安全施用，建议按照农作物生长需要控制施肥量。</w:t>
      </w:r>
    </w:p>
    <w:p w14:paraId="7C49BC1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项目有机液肥用于项目周边现有农田施肥。有机液肥在保持和提高土壤肥力的效果上远远超过化肥。其中的磷属有机磷，肥效优于磷酸钙，不易被固定，相对提高了磷肥肥效；其中含有大量腐殖质，可改良土壤并提高产量；能提高土壤水分、温度、空气和肥效，适时满足作物生长发育的需要。由此可见，本工程有机液肥的有效利用可使周围农作物增产，对其产生有利的影响。</w:t>
      </w:r>
    </w:p>
    <w:p w14:paraId="6588485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（2）污染物渗透对土壤的影响</w:t>
      </w:r>
    </w:p>
    <w:p w14:paraId="5B23F09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如果</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、猪舍、</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以及废水管道、阀门等未采取很好的防渗措施将会导致废水、猪粪等渗入地下污染土壤。建设单位对猪舍、</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所采取硬化防渗措施；对污水处理系统按照《规模化畜禽养殖场沼气工程设计规范》（</w:t>
      </w:r>
      <w:r>
        <w:rPr>
          <w:rFonts w:hint="eastAsia"/>
          <w:color w:val="000000" w:themeColor="text1"/>
          <w:highlight w:val="none"/>
          <w14:textFill>
            <w14:solidFill>
              <w14:schemeClr w14:val="tx1"/>
            </w14:solidFill>
          </w14:textFill>
        </w:rPr>
        <w:t>NY/T 1222-2006</w:t>
      </w:r>
      <w:r>
        <w:rPr>
          <w:color w:val="000000" w:themeColor="text1"/>
          <w:highlight w:val="none"/>
          <w14:textFill>
            <w14:solidFill>
              <w14:schemeClr w14:val="tx1"/>
            </w14:solidFill>
          </w14:textFill>
        </w:rPr>
        <w:t>）和《</w:t>
      </w:r>
      <w:r>
        <w:rPr>
          <w:rFonts w:hint="eastAsia"/>
          <w:color w:val="000000" w:themeColor="text1"/>
          <w:highlight w:val="none"/>
          <w:lang w:eastAsia="zh-CN"/>
          <w14:textFill>
            <w14:solidFill>
              <w14:schemeClr w14:val="tx1"/>
            </w14:solidFill>
          </w14:textFill>
        </w:rPr>
        <w:t>混凝土结构设计标准</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GB/T 50010-2010[2024年版]</w:t>
      </w:r>
      <w:r>
        <w:rPr>
          <w:color w:val="000000" w:themeColor="text1"/>
          <w:highlight w:val="none"/>
          <w14:textFill>
            <w14:solidFill>
              <w14:schemeClr w14:val="tx1"/>
            </w14:solidFill>
          </w14:textFill>
        </w:rPr>
        <w:t>）的要求严格做好防渗措施；管道、阀门采用优质产品并派专人负责随时观察地上管道、阀门，如出现渗漏问题及时解决；对工艺要求必须地下走管的管道、阀门设专用防渗管沟，管沟上设活动观察顶盖，以便出现渗漏问题及时观察、解决，管沟与污水集水井相连，并设计合理的排水坡度，便于废水排至集水井，然后由发酵池统一处理。通过采取有效防渗措施后本项目各功能区废水、固废等对土壤的影响较小。</w:t>
      </w:r>
    </w:p>
    <w:p w14:paraId="713E7CE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综上所述，项目</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、猪舍、</w:t>
      </w:r>
      <w:r>
        <w:rPr>
          <w:rFonts w:hint="eastAsia"/>
          <w:color w:val="000000" w:themeColor="text1"/>
          <w:highlight w:val="none"/>
          <w:lang w:eastAsia="zh-CN"/>
          <w14:textFill>
            <w14:solidFill>
              <w14:schemeClr w14:val="tx1"/>
            </w14:solidFill>
          </w14:textFill>
        </w:rPr>
        <w:t>干湿分离车间</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发生污染物垂直入渗将会对区域土壤环境造成污染，但在采取完善的防渗和巡查措施，加强安全生产管理后，事故发生的概率可以得到有效控制，不会对区域土壤环境造成较大环境影响，项目建设对土壤环境的影响是可以接受的。</w:t>
      </w:r>
    </w:p>
    <w:p w14:paraId="6DD46992">
      <w:pPr>
        <w:bidi w:val="0"/>
        <w:rPr>
          <w:rFonts w:hint="default"/>
          <w:b/>
          <w:bCs/>
          <w:color w:val="000000" w:themeColor="text1"/>
          <w:highlight w:val="none"/>
          <w:lang w:val="en-US" w:eastAsia="zh-CN"/>
          <w14:textFill>
            <w14:solidFill>
              <w14:schemeClr w14:val="tx1"/>
            </w14:solidFill>
          </w14:textFill>
        </w:rPr>
      </w:pPr>
      <w:r>
        <w:rPr>
          <w:b/>
          <w:bCs/>
          <w:color w:val="000000" w:themeColor="text1"/>
          <w:highlight w:val="none"/>
          <w14:textFill>
            <w14:solidFill>
              <w14:schemeClr w14:val="tx1"/>
            </w14:solidFill>
          </w14:textFill>
        </w:rPr>
        <w:fldChar w:fldCharType="begin"/>
      </w:r>
      <w:r>
        <w:rPr>
          <w:b/>
          <w:bCs/>
          <w:color w:val="000000" w:themeColor="text1"/>
          <w:highlight w:val="none"/>
          <w14:textFill>
            <w14:solidFill>
              <w14:schemeClr w14:val="tx1"/>
            </w14:solidFill>
          </w14:textFill>
        </w:rPr>
        <w:instrText xml:space="preserve"> HYPERLINK "5.2.6.2" </w:instrText>
      </w:r>
      <w:r>
        <w:rPr>
          <w:b/>
          <w:bCs/>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w:t>
      </w:r>
      <w:r>
        <w:rPr>
          <w:rFonts w:hint="eastAsia"/>
          <w:b/>
          <w:bCs/>
          <w:color w:val="000000" w:themeColor="text1"/>
          <w:highlight w:val="none"/>
          <w14:textFill>
            <w14:solidFill>
              <w14:schemeClr w14:val="tx1"/>
            </w14:solidFill>
          </w14:textFill>
        </w:rPr>
        <w:t>7</w:t>
      </w:r>
      <w:r>
        <w:rPr>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3</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土壤环境影响分析</w:t>
      </w:r>
      <w:r>
        <w:rPr>
          <w:rFonts w:hint="eastAsia"/>
          <w:b/>
          <w:bCs/>
          <w:color w:val="000000" w:themeColor="text1"/>
          <w:highlight w:val="none"/>
          <w:lang w:val="en-US" w:eastAsia="zh-CN"/>
          <w14:textFill>
            <w14:solidFill>
              <w14:schemeClr w14:val="tx1"/>
            </w14:solidFill>
          </w14:textFill>
        </w:rPr>
        <w:t>自查表</w:t>
      </w:r>
    </w:p>
    <w:p w14:paraId="431B2D1B">
      <w:pPr>
        <w:bidi w:val="0"/>
        <w:ind w:firstLine="480" w:firstLineChars="20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w:t>
      </w:r>
      <w:r>
        <w:rPr>
          <w:color w:val="000000" w:themeColor="text1"/>
          <w:highlight w:val="none"/>
          <w14:textFill>
            <w14:solidFill>
              <w14:schemeClr w14:val="tx1"/>
            </w14:solidFill>
          </w14:textFill>
        </w:rPr>
        <w:t>土壤环境</w:t>
      </w:r>
      <w:r>
        <w:rPr>
          <w:rFonts w:hint="eastAsia"/>
          <w:color w:val="000000" w:themeColor="text1"/>
          <w:highlight w:val="none"/>
          <w:lang w:val="en-US" w:eastAsia="zh-CN"/>
          <w14:textFill>
            <w14:solidFill>
              <w14:schemeClr w14:val="tx1"/>
            </w14:solidFill>
          </w14:textFill>
        </w:rPr>
        <w:t>自查情况见表5.2-29。</w:t>
      </w:r>
    </w:p>
    <w:p w14:paraId="4FBBA855">
      <w:pPr>
        <w:bidi w:val="0"/>
        <w:spacing w:line="240" w:lineRule="auto"/>
        <w:jc w:val="center"/>
        <w:rPr>
          <w:rFonts w:hint="default"/>
          <w:b/>
          <w:bCs/>
          <w:color w:val="000000" w:themeColor="text1"/>
          <w:sz w:val="21"/>
          <w:szCs w:val="21"/>
          <w:highlight w:val="none"/>
          <w:lang w:val="en-US" w:eastAsia="zh-CN"/>
          <w14:textFill>
            <w14:solidFill>
              <w14:schemeClr w14:val="tx1"/>
            </w14:solidFill>
          </w14:textFill>
        </w:rPr>
      </w:pPr>
      <w:bookmarkStart w:id="229" w:name="_Toc4944"/>
      <w:r>
        <w:rPr>
          <w:rFonts w:hint="eastAsia"/>
          <w:b/>
          <w:bCs/>
          <w:color w:val="000000" w:themeColor="text1"/>
          <w:sz w:val="21"/>
          <w:szCs w:val="21"/>
          <w:highlight w:val="none"/>
          <w:lang w:val="en-US" w:eastAsia="zh-CN"/>
          <w14:textFill>
            <w14:solidFill>
              <w14:schemeClr w14:val="tx1"/>
            </w14:solidFill>
          </w14:textFill>
        </w:rPr>
        <w:t>表5.2-29   土壤环境影响自查表</w:t>
      </w:r>
    </w:p>
    <w:tbl>
      <w:tblPr>
        <w:tblStyle w:val="58"/>
        <w:tblW w:w="50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7"/>
        <w:gridCol w:w="1507"/>
        <w:gridCol w:w="1128"/>
        <w:gridCol w:w="1136"/>
        <w:gridCol w:w="2003"/>
        <w:gridCol w:w="1178"/>
        <w:gridCol w:w="798"/>
      </w:tblGrid>
      <w:tr w14:paraId="3289F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7" w:type="pct"/>
            <w:gridSpan w:val="2"/>
            <w:vAlign w:val="center"/>
          </w:tcPr>
          <w:p w14:paraId="418B315B">
            <w:pPr>
              <w:bidi w:val="0"/>
              <w:spacing w:line="240" w:lineRule="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工作内容</w:t>
            </w:r>
          </w:p>
        </w:tc>
        <w:tc>
          <w:tcPr>
            <w:tcW w:w="3272" w:type="pct"/>
            <w:gridSpan w:val="4"/>
            <w:vAlign w:val="center"/>
          </w:tcPr>
          <w:p w14:paraId="3CF581EE">
            <w:pPr>
              <w:bidi w:val="0"/>
              <w:spacing w:line="240" w:lineRule="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完成情况</w:t>
            </w:r>
          </w:p>
        </w:tc>
        <w:tc>
          <w:tcPr>
            <w:tcW w:w="480" w:type="pct"/>
            <w:vAlign w:val="center"/>
          </w:tcPr>
          <w:p w14:paraId="6B5C1B8B">
            <w:pPr>
              <w:bidi w:val="0"/>
              <w:spacing w:line="240" w:lineRule="auto"/>
              <w:rPr>
                <w:rFonts w:hint="default"/>
                <w:b/>
                <w:bCs/>
                <w:color w:val="000000" w:themeColor="text1"/>
                <w:sz w:val="21"/>
                <w:szCs w:val="21"/>
                <w:highlight w:val="none"/>
                <w14:textFill>
                  <w14:solidFill>
                    <w14:schemeClr w14:val="tx1"/>
                  </w14:solidFill>
                </w14:textFill>
              </w:rPr>
            </w:pPr>
            <w:r>
              <w:rPr>
                <w:rFonts w:hint="default"/>
                <w:b/>
                <w:bCs/>
                <w:color w:val="000000" w:themeColor="text1"/>
                <w:sz w:val="21"/>
                <w:szCs w:val="21"/>
                <w:highlight w:val="none"/>
                <w14:textFill>
                  <w14:solidFill>
                    <w14:schemeClr w14:val="tx1"/>
                  </w14:solidFill>
                </w14:textFill>
              </w:rPr>
              <w:t>备注</w:t>
            </w:r>
          </w:p>
        </w:tc>
      </w:tr>
      <w:tr w14:paraId="160C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restart"/>
            <w:vAlign w:val="center"/>
          </w:tcPr>
          <w:p w14:paraId="11FB4BEE">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影响识别</w:t>
            </w:r>
          </w:p>
        </w:tc>
        <w:tc>
          <w:tcPr>
            <w:tcW w:w="905" w:type="pct"/>
            <w:vAlign w:val="center"/>
          </w:tcPr>
          <w:p w14:paraId="247C8871">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影响类型</w:t>
            </w:r>
          </w:p>
        </w:tc>
        <w:tc>
          <w:tcPr>
            <w:tcW w:w="3272" w:type="pct"/>
            <w:gridSpan w:val="4"/>
            <w:vAlign w:val="center"/>
          </w:tcPr>
          <w:p w14:paraId="58B91C57">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污染影响型</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；生态影响型□；两种兼有□</w:t>
            </w:r>
          </w:p>
        </w:tc>
        <w:tc>
          <w:tcPr>
            <w:tcW w:w="480" w:type="pct"/>
            <w:vAlign w:val="center"/>
          </w:tcPr>
          <w:p w14:paraId="34996499">
            <w:pPr>
              <w:bidi w:val="0"/>
              <w:spacing w:line="240" w:lineRule="auto"/>
              <w:rPr>
                <w:rFonts w:hint="default"/>
                <w:color w:val="000000" w:themeColor="text1"/>
                <w:sz w:val="21"/>
                <w:szCs w:val="21"/>
                <w:highlight w:val="none"/>
                <w14:textFill>
                  <w14:solidFill>
                    <w14:schemeClr w14:val="tx1"/>
                  </w14:solidFill>
                </w14:textFill>
              </w:rPr>
            </w:pPr>
          </w:p>
        </w:tc>
      </w:tr>
      <w:tr w14:paraId="4A9C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3167046A">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1E2E8701">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土地利用类型</w:t>
            </w:r>
          </w:p>
        </w:tc>
        <w:tc>
          <w:tcPr>
            <w:tcW w:w="3272" w:type="pct"/>
            <w:gridSpan w:val="4"/>
            <w:vAlign w:val="center"/>
          </w:tcPr>
          <w:p w14:paraId="12446ADD">
            <w:pPr>
              <w:bidi w:val="0"/>
              <w:spacing w:line="240" w:lineRule="auto"/>
              <w:rPr>
                <w:rFonts w:hint="eastAsia" w:eastAsia="宋体"/>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建设用地□；农用地</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；未利用地</w:t>
            </w:r>
            <w:r>
              <w:rPr>
                <w:rFonts w:hint="eastAsia"/>
                <w:color w:val="000000" w:themeColor="text1"/>
                <w:sz w:val="21"/>
                <w:szCs w:val="21"/>
                <w:highlight w:val="none"/>
                <w:lang w:eastAsia="zh-CN"/>
                <w14:textFill>
                  <w14:solidFill>
                    <w14:schemeClr w14:val="tx1"/>
                  </w14:solidFill>
                </w14:textFill>
              </w:rPr>
              <w:t>☑</w:t>
            </w:r>
          </w:p>
        </w:tc>
        <w:tc>
          <w:tcPr>
            <w:tcW w:w="480" w:type="pct"/>
            <w:vAlign w:val="center"/>
          </w:tcPr>
          <w:p w14:paraId="5F09C36E">
            <w:pPr>
              <w:bidi w:val="0"/>
              <w:spacing w:line="240" w:lineRule="auto"/>
              <w:rPr>
                <w:rFonts w:hint="default"/>
                <w:color w:val="000000" w:themeColor="text1"/>
                <w:sz w:val="21"/>
                <w:szCs w:val="21"/>
                <w:highlight w:val="none"/>
                <w:lang w:val="en-US" w:eastAsia="zh-CN"/>
                <w14:textFill>
                  <w14:solidFill>
                    <w14:schemeClr w14:val="tx1"/>
                  </w14:solidFill>
                </w14:textFill>
              </w:rPr>
            </w:pPr>
          </w:p>
        </w:tc>
      </w:tr>
      <w:tr w14:paraId="0D50F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56DF2452">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09B0B12B">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占地规模</w:t>
            </w:r>
          </w:p>
        </w:tc>
        <w:tc>
          <w:tcPr>
            <w:tcW w:w="3272" w:type="pct"/>
            <w:gridSpan w:val="4"/>
            <w:vAlign w:val="center"/>
          </w:tcPr>
          <w:p w14:paraId="757D33BA">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16.0391</w:t>
            </w:r>
            <w:r>
              <w:rPr>
                <w:rFonts w:hint="default"/>
                <w:color w:val="000000" w:themeColor="text1"/>
                <w:sz w:val="21"/>
                <w:szCs w:val="21"/>
                <w:highlight w:val="none"/>
                <w14:textFill>
                  <w14:solidFill>
                    <w14:schemeClr w14:val="tx1"/>
                  </w14:solidFill>
                </w14:textFill>
              </w:rPr>
              <w:t>）hm</w:t>
            </w:r>
            <w:r>
              <w:rPr>
                <w:rFonts w:hint="default"/>
                <w:color w:val="000000" w:themeColor="text1"/>
                <w:sz w:val="21"/>
                <w:szCs w:val="21"/>
                <w:highlight w:val="none"/>
                <w:vertAlign w:val="superscript"/>
                <w14:textFill>
                  <w14:solidFill>
                    <w14:schemeClr w14:val="tx1"/>
                  </w14:solidFill>
                </w14:textFill>
              </w:rPr>
              <w:t>2</w:t>
            </w:r>
          </w:p>
        </w:tc>
        <w:tc>
          <w:tcPr>
            <w:tcW w:w="480" w:type="pct"/>
            <w:vAlign w:val="center"/>
          </w:tcPr>
          <w:p w14:paraId="01C22CDD">
            <w:pPr>
              <w:bidi w:val="0"/>
              <w:spacing w:line="240" w:lineRule="auto"/>
              <w:rPr>
                <w:rFonts w:hint="default"/>
                <w:color w:val="000000" w:themeColor="text1"/>
                <w:sz w:val="21"/>
                <w:szCs w:val="21"/>
                <w:highlight w:val="none"/>
                <w14:textFill>
                  <w14:solidFill>
                    <w14:schemeClr w14:val="tx1"/>
                  </w14:solidFill>
                </w14:textFill>
              </w:rPr>
            </w:pPr>
          </w:p>
        </w:tc>
      </w:tr>
      <w:tr w14:paraId="21DEE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03FD589F">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084DB9E7">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敏感目标信息</w:t>
            </w:r>
          </w:p>
        </w:tc>
        <w:tc>
          <w:tcPr>
            <w:tcW w:w="3272" w:type="pct"/>
            <w:gridSpan w:val="4"/>
            <w:vAlign w:val="center"/>
          </w:tcPr>
          <w:p w14:paraId="58A6D0CA">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敏感目标（</w:t>
            </w:r>
            <w:r>
              <w:rPr>
                <w:rFonts w:hint="eastAsia"/>
                <w:color w:val="000000" w:themeColor="text1"/>
                <w:sz w:val="21"/>
                <w:szCs w:val="21"/>
                <w:highlight w:val="none"/>
                <w:lang w:val="en-US" w:eastAsia="zh-CN"/>
                <w14:textFill>
                  <w14:solidFill>
                    <w14:schemeClr w14:val="tx1"/>
                  </w14:solidFill>
                </w14:textFill>
              </w:rPr>
              <w:t>农田</w:t>
            </w:r>
            <w:r>
              <w:rPr>
                <w:rFonts w:hint="default"/>
                <w:color w:val="000000" w:themeColor="text1"/>
                <w:sz w:val="21"/>
                <w:szCs w:val="21"/>
                <w:highlight w:val="none"/>
                <w14:textFill>
                  <w14:solidFill>
                    <w14:schemeClr w14:val="tx1"/>
                  </w14:solidFill>
                </w14:textFill>
              </w:rPr>
              <w:t>）、方位（</w:t>
            </w:r>
            <w:r>
              <w:rPr>
                <w:rFonts w:hint="eastAsia"/>
                <w:color w:val="000000" w:themeColor="text1"/>
                <w:sz w:val="21"/>
                <w:szCs w:val="21"/>
                <w:highlight w:val="none"/>
                <w:lang w:val="en-US" w:eastAsia="zh-CN"/>
                <w14:textFill>
                  <w14:solidFill>
                    <w14:schemeClr w14:val="tx1"/>
                  </w14:solidFill>
                </w14:textFill>
              </w:rPr>
              <w:t>东侧、西侧、南侧、北侧</w:t>
            </w:r>
            <w:r>
              <w:rPr>
                <w:rFonts w:hint="default"/>
                <w:color w:val="000000" w:themeColor="text1"/>
                <w:sz w:val="21"/>
                <w:szCs w:val="21"/>
                <w:highlight w:val="none"/>
                <w14:textFill>
                  <w14:solidFill>
                    <w14:schemeClr w14:val="tx1"/>
                  </w14:solidFill>
                </w14:textFill>
              </w:rPr>
              <w:t>）、距离（</w:t>
            </w:r>
            <w:r>
              <w:rPr>
                <w:rFonts w:hint="eastAsia"/>
                <w:color w:val="000000" w:themeColor="text1"/>
                <w:sz w:val="21"/>
                <w:szCs w:val="21"/>
                <w:highlight w:val="none"/>
                <w:lang w:val="en-US" w:eastAsia="zh-CN"/>
                <w14:textFill>
                  <w14:solidFill>
                    <w14:schemeClr w14:val="tx1"/>
                  </w14:solidFill>
                </w14:textFill>
              </w:rPr>
              <w:t>40m、28m、40m、30m</w:t>
            </w:r>
            <w:r>
              <w:rPr>
                <w:rFonts w:hint="default"/>
                <w:color w:val="000000" w:themeColor="text1"/>
                <w:sz w:val="21"/>
                <w:szCs w:val="21"/>
                <w:highlight w:val="none"/>
                <w14:textFill>
                  <w14:solidFill>
                    <w14:schemeClr w14:val="tx1"/>
                  </w14:solidFill>
                </w14:textFill>
              </w:rPr>
              <w:t>）</w:t>
            </w:r>
          </w:p>
        </w:tc>
        <w:tc>
          <w:tcPr>
            <w:tcW w:w="480" w:type="pct"/>
            <w:vAlign w:val="center"/>
          </w:tcPr>
          <w:p w14:paraId="7DF6DC3D">
            <w:pPr>
              <w:bidi w:val="0"/>
              <w:spacing w:line="240" w:lineRule="auto"/>
              <w:rPr>
                <w:rFonts w:hint="default"/>
                <w:color w:val="000000" w:themeColor="text1"/>
                <w:sz w:val="21"/>
                <w:szCs w:val="21"/>
                <w:highlight w:val="none"/>
                <w14:textFill>
                  <w14:solidFill>
                    <w14:schemeClr w14:val="tx1"/>
                  </w14:solidFill>
                </w14:textFill>
              </w:rPr>
            </w:pPr>
          </w:p>
        </w:tc>
      </w:tr>
      <w:tr w14:paraId="534A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41AB625C">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1F1F9BE1">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影响途径</w:t>
            </w:r>
          </w:p>
        </w:tc>
        <w:tc>
          <w:tcPr>
            <w:tcW w:w="3272" w:type="pct"/>
            <w:gridSpan w:val="4"/>
            <w:vAlign w:val="center"/>
          </w:tcPr>
          <w:p w14:paraId="0A80FEEB">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大气沉降□；地面漫流</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；垂直入渗</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；地下水位□；其他（   ）</w:t>
            </w:r>
          </w:p>
        </w:tc>
        <w:tc>
          <w:tcPr>
            <w:tcW w:w="480" w:type="pct"/>
            <w:vAlign w:val="center"/>
          </w:tcPr>
          <w:p w14:paraId="416C191E">
            <w:pPr>
              <w:bidi w:val="0"/>
              <w:spacing w:line="240" w:lineRule="auto"/>
              <w:rPr>
                <w:rFonts w:hint="default"/>
                <w:color w:val="000000" w:themeColor="text1"/>
                <w:sz w:val="21"/>
                <w:szCs w:val="21"/>
                <w:highlight w:val="none"/>
                <w14:textFill>
                  <w14:solidFill>
                    <w14:schemeClr w14:val="tx1"/>
                  </w14:solidFill>
                </w14:textFill>
              </w:rPr>
            </w:pPr>
          </w:p>
        </w:tc>
      </w:tr>
      <w:tr w14:paraId="569B1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7CE483A1">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031B93E5">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全部污染物</w:t>
            </w:r>
          </w:p>
        </w:tc>
        <w:tc>
          <w:tcPr>
            <w:tcW w:w="3272" w:type="pct"/>
            <w:gridSpan w:val="4"/>
            <w:vAlign w:val="center"/>
          </w:tcPr>
          <w:p w14:paraId="745EC707">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SS、COD、BOD</w:t>
            </w:r>
            <w:r>
              <w:rPr>
                <w:rFonts w:hint="default"/>
                <w:color w:val="000000" w:themeColor="text1"/>
                <w:sz w:val="21"/>
                <w:szCs w:val="21"/>
                <w:highlight w:val="none"/>
                <w:vertAlign w:val="subscript"/>
                <w14:textFill>
                  <w14:solidFill>
                    <w14:schemeClr w14:val="tx1"/>
                  </w14:solidFill>
                </w14:textFill>
              </w:rPr>
              <w:t>5</w:t>
            </w:r>
            <w:r>
              <w:rPr>
                <w:rFonts w:hint="default"/>
                <w:color w:val="000000" w:themeColor="text1"/>
                <w:sz w:val="21"/>
                <w:szCs w:val="21"/>
                <w:highlight w:val="none"/>
                <w14:textFill>
                  <w14:solidFill>
                    <w14:schemeClr w14:val="tx1"/>
                  </w14:solidFill>
                </w14:textFill>
              </w:rPr>
              <w:t>、NH</w:t>
            </w:r>
            <w:r>
              <w:rPr>
                <w:rFonts w:hint="default"/>
                <w:color w:val="000000" w:themeColor="text1"/>
                <w:sz w:val="21"/>
                <w:szCs w:val="21"/>
                <w:highlight w:val="none"/>
                <w:vertAlign w:val="subscript"/>
                <w14:textFill>
                  <w14:solidFill>
                    <w14:schemeClr w14:val="tx1"/>
                  </w14:solidFill>
                </w14:textFill>
              </w:rPr>
              <w:t>3</w:t>
            </w:r>
            <w:r>
              <w:rPr>
                <w:rFonts w:hint="default"/>
                <w:color w:val="000000" w:themeColor="text1"/>
                <w:sz w:val="21"/>
                <w:szCs w:val="21"/>
                <w:highlight w:val="none"/>
                <w14:textFill>
                  <w14:solidFill>
                    <w14:schemeClr w14:val="tx1"/>
                  </w14:solidFill>
                </w14:textFill>
              </w:rPr>
              <w:t>-N、TP、TN</w:t>
            </w:r>
          </w:p>
        </w:tc>
        <w:tc>
          <w:tcPr>
            <w:tcW w:w="480" w:type="pct"/>
            <w:vAlign w:val="center"/>
          </w:tcPr>
          <w:p w14:paraId="085F531B">
            <w:pPr>
              <w:bidi w:val="0"/>
              <w:spacing w:line="240" w:lineRule="auto"/>
              <w:rPr>
                <w:rFonts w:hint="default"/>
                <w:color w:val="000000" w:themeColor="text1"/>
                <w:sz w:val="21"/>
                <w:szCs w:val="21"/>
                <w:highlight w:val="none"/>
                <w14:textFill>
                  <w14:solidFill>
                    <w14:schemeClr w14:val="tx1"/>
                  </w14:solidFill>
                </w14:textFill>
              </w:rPr>
            </w:pPr>
          </w:p>
        </w:tc>
      </w:tr>
      <w:tr w14:paraId="23A2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7DC31C9F">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61A44926">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特征因子</w:t>
            </w:r>
          </w:p>
        </w:tc>
        <w:tc>
          <w:tcPr>
            <w:tcW w:w="3272" w:type="pct"/>
            <w:gridSpan w:val="4"/>
            <w:vAlign w:val="center"/>
          </w:tcPr>
          <w:p w14:paraId="2413FC69">
            <w:pPr>
              <w:bidi w:val="0"/>
              <w:spacing w:line="240" w:lineRule="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无</w:t>
            </w:r>
          </w:p>
        </w:tc>
        <w:tc>
          <w:tcPr>
            <w:tcW w:w="480" w:type="pct"/>
            <w:vAlign w:val="center"/>
          </w:tcPr>
          <w:p w14:paraId="63E3C428">
            <w:pPr>
              <w:bidi w:val="0"/>
              <w:spacing w:line="240" w:lineRule="auto"/>
              <w:rPr>
                <w:rFonts w:hint="default"/>
                <w:color w:val="000000" w:themeColor="text1"/>
                <w:sz w:val="21"/>
                <w:szCs w:val="21"/>
                <w:highlight w:val="none"/>
                <w14:textFill>
                  <w14:solidFill>
                    <w14:schemeClr w14:val="tx1"/>
                  </w14:solidFill>
                </w14:textFill>
              </w:rPr>
            </w:pPr>
          </w:p>
        </w:tc>
      </w:tr>
      <w:tr w14:paraId="50911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6D0D6AA4">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1372BEFF">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所属土壤环境影响评价项目类别</w:t>
            </w:r>
          </w:p>
        </w:tc>
        <w:tc>
          <w:tcPr>
            <w:tcW w:w="3272" w:type="pct"/>
            <w:gridSpan w:val="4"/>
            <w:vAlign w:val="center"/>
          </w:tcPr>
          <w:p w14:paraId="0E21AE7E">
            <w:pPr>
              <w:bidi w:val="0"/>
              <w:spacing w:line="240" w:lineRule="auto"/>
              <w:rPr>
                <w:rFonts w:hint="eastAsia"/>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Ⅰ类□； Ⅱ类</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；Ⅲ类</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；Ⅳ类□</w:t>
            </w:r>
          </w:p>
        </w:tc>
        <w:tc>
          <w:tcPr>
            <w:tcW w:w="480" w:type="pct"/>
            <w:vAlign w:val="center"/>
          </w:tcPr>
          <w:p w14:paraId="33F80C4E">
            <w:pPr>
              <w:bidi w:val="0"/>
              <w:spacing w:line="240" w:lineRule="auto"/>
              <w:rPr>
                <w:rFonts w:hint="default"/>
                <w:color w:val="000000" w:themeColor="text1"/>
                <w:sz w:val="21"/>
                <w:szCs w:val="21"/>
                <w:highlight w:val="none"/>
                <w14:textFill>
                  <w14:solidFill>
                    <w14:schemeClr w14:val="tx1"/>
                  </w14:solidFill>
                </w14:textFill>
              </w:rPr>
            </w:pPr>
          </w:p>
        </w:tc>
      </w:tr>
      <w:tr w14:paraId="32717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47805A17">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0E6B05A2">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敏感程度</w:t>
            </w:r>
          </w:p>
        </w:tc>
        <w:tc>
          <w:tcPr>
            <w:tcW w:w="3272" w:type="pct"/>
            <w:gridSpan w:val="4"/>
            <w:vAlign w:val="center"/>
          </w:tcPr>
          <w:p w14:paraId="617545C1">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敏感</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；较敏感□；不敏感□</w:t>
            </w:r>
          </w:p>
        </w:tc>
        <w:tc>
          <w:tcPr>
            <w:tcW w:w="480" w:type="pct"/>
            <w:vAlign w:val="center"/>
          </w:tcPr>
          <w:p w14:paraId="1F6E3495">
            <w:pPr>
              <w:bidi w:val="0"/>
              <w:spacing w:line="240" w:lineRule="auto"/>
              <w:rPr>
                <w:rFonts w:hint="default"/>
                <w:color w:val="000000" w:themeColor="text1"/>
                <w:sz w:val="21"/>
                <w:szCs w:val="21"/>
                <w:highlight w:val="none"/>
                <w14:textFill>
                  <w14:solidFill>
                    <w14:schemeClr w14:val="tx1"/>
                  </w14:solidFill>
                </w14:textFill>
              </w:rPr>
            </w:pPr>
          </w:p>
        </w:tc>
      </w:tr>
      <w:tr w14:paraId="347A2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7" w:type="pct"/>
            <w:gridSpan w:val="2"/>
            <w:vAlign w:val="center"/>
          </w:tcPr>
          <w:p w14:paraId="78E86B5C">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评价工作等级</w:t>
            </w:r>
          </w:p>
        </w:tc>
        <w:tc>
          <w:tcPr>
            <w:tcW w:w="3272" w:type="pct"/>
            <w:gridSpan w:val="4"/>
            <w:vAlign w:val="center"/>
          </w:tcPr>
          <w:p w14:paraId="42F347AA">
            <w:pPr>
              <w:bidi w:val="0"/>
              <w:spacing w:line="240" w:lineRule="auto"/>
              <w:rPr>
                <w:rFonts w:hint="eastAsia"/>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一级□；二级</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；三级</w:t>
            </w:r>
            <w:r>
              <w:rPr>
                <w:rFonts w:hint="eastAsia"/>
                <w:color w:val="000000" w:themeColor="text1"/>
                <w:sz w:val="21"/>
                <w:szCs w:val="21"/>
                <w:highlight w:val="none"/>
                <w:lang w:eastAsia="zh-CN"/>
                <w14:textFill>
                  <w14:solidFill>
                    <w14:schemeClr w14:val="tx1"/>
                  </w14:solidFill>
                </w14:textFill>
              </w:rPr>
              <w:t>☑</w:t>
            </w:r>
          </w:p>
        </w:tc>
        <w:tc>
          <w:tcPr>
            <w:tcW w:w="480" w:type="pct"/>
            <w:vAlign w:val="center"/>
          </w:tcPr>
          <w:p w14:paraId="48B779F0">
            <w:pPr>
              <w:bidi w:val="0"/>
              <w:spacing w:line="240" w:lineRule="auto"/>
              <w:rPr>
                <w:rFonts w:hint="default"/>
                <w:color w:val="000000" w:themeColor="text1"/>
                <w:sz w:val="21"/>
                <w:szCs w:val="21"/>
                <w:highlight w:val="none"/>
                <w14:textFill>
                  <w14:solidFill>
                    <w14:schemeClr w14:val="tx1"/>
                  </w14:solidFill>
                </w14:textFill>
              </w:rPr>
            </w:pPr>
          </w:p>
        </w:tc>
      </w:tr>
      <w:tr w14:paraId="0422E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restart"/>
            <w:vAlign w:val="center"/>
          </w:tcPr>
          <w:p w14:paraId="41CC2DF2">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现状调查内容</w:t>
            </w:r>
          </w:p>
        </w:tc>
        <w:tc>
          <w:tcPr>
            <w:tcW w:w="905" w:type="pct"/>
            <w:vAlign w:val="center"/>
          </w:tcPr>
          <w:p w14:paraId="6BC6D450">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资料收集</w:t>
            </w:r>
          </w:p>
        </w:tc>
        <w:tc>
          <w:tcPr>
            <w:tcW w:w="3272" w:type="pct"/>
            <w:gridSpan w:val="4"/>
            <w:vAlign w:val="center"/>
          </w:tcPr>
          <w:p w14:paraId="347567F3">
            <w:pPr>
              <w:bidi w:val="0"/>
              <w:spacing w:line="240" w:lineRule="auto"/>
              <w:rPr>
                <w:rFonts w:hint="eastAsia"/>
                <w:color w:val="000000" w:themeColor="text1"/>
                <w:sz w:val="21"/>
                <w:szCs w:val="21"/>
                <w:highlight w:val="none"/>
                <w:lang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a）</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；b）</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；c）</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；d）</w:t>
            </w:r>
            <w:r>
              <w:rPr>
                <w:rFonts w:hint="eastAsia"/>
                <w:color w:val="000000" w:themeColor="text1"/>
                <w:sz w:val="21"/>
                <w:szCs w:val="21"/>
                <w:highlight w:val="none"/>
                <w:lang w:eastAsia="zh-CN"/>
                <w14:textFill>
                  <w14:solidFill>
                    <w14:schemeClr w14:val="tx1"/>
                  </w14:solidFill>
                </w14:textFill>
              </w:rPr>
              <w:t>☑</w:t>
            </w:r>
          </w:p>
        </w:tc>
        <w:tc>
          <w:tcPr>
            <w:tcW w:w="480" w:type="pct"/>
            <w:vAlign w:val="center"/>
          </w:tcPr>
          <w:p w14:paraId="38CE43AA">
            <w:pPr>
              <w:bidi w:val="0"/>
              <w:spacing w:line="240" w:lineRule="auto"/>
              <w:rPr>
                <w:rFonts w:hint="default"/>
                <w:color w:val="000000" w:themeColor="text1"/>
                <w:sz w:val="21"/>
                <w:szCs w:val="21"/>
                <w:highlight w:val="none"/>
                <w14:textFill>
                  <w14:solidFill>
                    <w14:schemeClr w14:val="tx1"/>
                  </w14:solidFill>
                </w14:textFill>
              </w:rPr>
            </w:pPr>
          </w:p>
        </w:tc>
      </w:tr>
      <w:tr w14:paraId="7514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44AB1B5C">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0AF7D3D1">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理化特性</w:t>
            </w:r>
          </w:p>
        </w:tc>
        <w:tc>
          <w:tcPr>
            <w:tcW w:w="3272" w:type="pct"/>
            <w:gridSpan w:val="4"/>
            <w:vAlign w:val="center"/>
          </w:tcPr>
          <w:p w14:paraId="31E92D43">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pH值</w:t>
            </w:r>
          </w:p>
        </w:tc>
        <w:tc>
          <w:tcPr>
            <w:tcW w:w="480" w:type="pct"/>
            <w:vAlign w:val="center"/>
          </w:tcPr>
          <w:p w14:paraId="3D8C7C1B">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同附录C</w:t>
            </w:r>
          </w:p>
        </w:tc>
      </w:tr>
      <w:tr w14:paraId="4AF29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784E1A87">
            <w:pPr>
              <w:bidi w:val="0"/>
              <w:spacing w:line="240" w:lineRule="auto"/>
              <w:rPr>
                <w:rFonts w:hint="default"/>
                <w:color w:val="000000" w:themeColor="text1"/>
                <w:sz w:val="21"/>
                <w:szCs w:val="21"/>
                <w:highlight w:val="none"/>
                <w14:textFill>
                  <w14:solidFill>
                    <w14:schemeClr w14:val="tx1"/>
                  </w14:solidFill>
                </w14:textFill>
              </w:rPr>
            </w:pPr>
          </w:p>
        </w:tc>
        <w:tc>
          <w:tcPr>
            <w:tcW w:w="905" w:type="pct"/>
            <w:vMerge w:val="restart"/>
            <w:vAlign w:val="center"/>
          </w:tcPr>
          <w:p w14:paraId="3CECFBAC">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现状监测点位</w:t>
            </w:r>
          </w:p>
        </w:tc>
        <w:tc>
          <w:tcPr>
            <w:tcW w:w="678" w:type="pct"/>
            <w:vAlign w:val="center"/>
          </w:tcPr>
          <w:p w14:paraId="4D0A6FAD">
            <w:pPr>
              <w:bidi w:val="0"/>
              <w:spacing w:line="240" w:lineRule="auto"/>
              <w:rPr>
                <w:rFonts w:hint="default"/>
                <w:color w:val="000000" w:themeColor="text1"/>
                <w:sz w:val="21"/>
                <w:szCs w:val="21"/>
                <w:highlight w:val="none"/>
                <w14:textFill>
                  <w14:solidFill>
                    <w14:schemeClr w14:val="tx1"/>
                  </w14:solidFill>
                </w14:textFill>
              </w:rPr>
            </w:pPr>
          </w:p>
        </w:tc>
        <w:tc>
          <w:tcPr>
            <w:tcW w:w="683" w:type="pct"/>
            <w:vAlign w:val="center"/>
          </w:tcPr>
          <w:p w14:paraId="72AC7284">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占地范围内</w:t>
            </w:r>
          </w:p>
        </w:tc>
        <w:tc>
          <w:tcPr>
            <w:tcW w:w="1203" w:type="pct"/>
            <w:vAlign w:val="center"/>
          </w:tcPr>
          <w:p w14:paraId="03DA2880">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占地范围外</w:t>
            </w:r>
          </w:p>
        </w:tc>
        <w:tc>
          <w:tcPr>
            <w:tcW w:w="706" w:type="pct"/>
            <w:vAlign w:val="center"/>
          </w:tcPr>
          <w:p w14:paraId="234F58C8">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深度</w:t>
            </w:r>
          </w:p>
        </w:tc>
        <w:tc>
          <w:tcPr>
            <w:tcW w:w="480" w:type="pct"/>
            <w:vMerge w:val="restart"/>
            <w:vAlign w:val="center"/>
          </w:tcPr>
          <w:p w14:paraId="0F377796">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点位布置图</w:t>
            </w:r>
          </w:p>
        </w:tc>
      </w:tr>
      <w:tr w14:paraId="51C4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50A57EC2">
            <w:pPr>
              <w:bidi w:val="0"/>
              <w:spacing w:line="240" w:lineRule="auto"/>
              <w:rPr>
                <w:rFonts w:hint="default"/>
                <w:color w:val="000000" w:themeColor="text1"/>
                <w:sz w:val="21"/>
                <w:szCs w:val="21"/>
                <w:highlight w:val="none"/>
                <w14:textFill>
                  <w14:solidFill>
                    <w14:schemeClr w14:val="tx1"/>
                  </w14:solidFill>
                </w14:textFill>
              </w:rPr>
            </w:pPr>
          </w:p>
        </w:tc>
        <w:tc>
          <w:tcPr>
            <w:tcW w:w="905" w:type="pct"/>
            <w:vMerge w:val="continue"/>
            <w:vAlign w:val="center"/>
          </w:tcPr>
          <w:p w14:paraId="2FA10DD1">
            <w:pPr>
              <w:bidi w:val="0"/>
              <w:spacing w:line="240" w:lineRule="auto"/>
              <w:rPr>
                <w:rFonts w:hint="default"/>
                <w:color w:val="000000" w:themeColor="text1"/>
                <w:sz w:val="21"/>
                <w:szCs w:val="21"/>
                <w:highlight w:val="none"/>
                <w14:textFill>
                  <w14:solidFill>
                    <w14:schemeClr w14:val="tx1"/>
                  </w14:solidFill>
                </w14:textFill>
              </w:rPr>
            </w:pPr>
          </w:p>
        </w:tc>
        <w:tc>
          <w:tcPr>
            <w:tcW w:w="678" w:type="pct"/>
            <w:vAlign w:val="center"/>
          </w:tcPr>
          <w:p w14:paraId="3FB5BD60">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表层样点数</w:t>
            </w:r>
          </w:p>
        </w:tc>
        <w:tc>
          <w:tcPr>
            <w:tcW w:w="683" w:type="pct"/>
            <w:vAlign w:val="center"/>
          </w:tcPr>
          <w:p w14:paraId="58EAC01A">
            <w:pPr>
              <w:bidi w:val="0"/>
              <w:spacing w:line="240" w:lineRule="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3</w:t>
            </w:r>
          </w:p>
        </w:tc>
        <w:tc>
          <w:tcPr>
            <w:tcW w:w="1203" w:type="pct"/>
            <w:vAlign w:val="center"/>
          </w:tcPr>
          <w:p w14:paraId="01280483">
            <w:pPr>
              <w:bidi w:val="0"/>
              <w:spacing w:line="240" w:lineRule="auto"/>
              <w:rPr>
                <w:rFonts w:hint="eastAsia"/>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706" w:type="pct"/>
            <w:vAlign w:val="center"/>
          </w:tcPr>
          <w:p w14:paraId="6F3F443B">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0</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20cm</w:t>
            </w:r>
          </w:p>
        </w:tc>
        <w:tc>
          <w:tcPr>
            <w:tcW w:w="480" w:type="pct"/>
            <w:vMerge w:val="continue"/>
            <w:vAlign w:val="center"/>
          </w:tcPr>
          <w:p w14:paraId="514F0D00">
            <w:pPr>
              <w:bidi w:val="0"/>
              <w:spacing w:line="240" w:lineRule="auto"/>
              <w:rPr>
                <w:rFonts w:hint="default"/>
                <w:color w:val="000000" w:themeColor="text1"/>
                <w:sz w:val="21"/>
                <w:szCs w:val="21"/>
                <w:highlight w:val="none"/>
                <w14:textFill>
                  <w14:solidFill>
                    <w14:schemeClr w14:val="tx1"/>
                  </w14:solidFill>
                </w14:textFill>
              </w:rPr>
            </w:pPr>
          </w:p>
        </w:tc>
      </w:tr>
      <w:tr w14:paraId="45901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5D18C0C2">
            <w:pPr>
              <w:bidi w:val="0"/>
              <w:spacing w:line="240" w:lineRule="auto"/>
              <w:rPr>
                <w:rFonts w:hint="default"/>
                <w:color w:val="000000" w:themeColor="text1"/>
                <w:sz w:val="21"/>
                <w:szCs w:val="21"/>
                <w:highlight w:val="none"/>
                <w14:textFill>
                  <w14:solidFill>
                    <w14:schemeClr w14:val="tx1"/>
                  </w14:solidFill>
                </w14:textFill>
              </w:rPr>
            </w:pPr>
          </w:p>
        </w:tc>
        <w:tc>
          <w:tcPr>
            <w:tcW w:w="905" w:type="pct"/>
            <w:vMerge w:val="continue"/>
            <w:vAlign w:val="center"/>
          </w:tcPr>
          <w:p w14:paraId="05959DA2">
            <w:pPr>
              <w:bidi w:val="0"/>
              <w:spacing w:line="240" w:lineRule="auto"/>
              <w:rPr>
                <w:rFonts w:hint="default"/>
                <w:color w:val="000000" w:themeColor="text1"/>
                <w:sz w:val="21"/>
                <w:szCs w:val="21"/>
                <w:highlight w:val="none"/>
                <w14:textFill>
                  <w14:solidFill>
                    <w14:schemeClr w14:val="tx1"/>
                  </w14:solidFill>
                </w14:textFill>
              </w:rPr>
            </w:pPr>
          </w:p>
        </w:tc>
        <w:tc>
          <w:tcPr>
            <w:tcW w:w="678" w:type="pct"/>
            <w:vAlign w:val="center"/>
          </w:tcPr>
          <w:p w14:paraId="2DE0035A">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柱状样点数</w:t>
            </w:r>
          </w:p>
        </w:tc>
        <w:tc>
          <w:tcPr>
            <w:tcW w:w="683" w:type="pct"/>
            <w:vAlign w:val="center"/>
          </w:tcPr>
          <w:p w14:paraId="06499B2A">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1203" w:type="pct"/>
            <w:vAlign w:val="center"/>
          </w:tcPr>
          <w:p w14:paraId="08C3E09E">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w:t>
            </w:r>
          </w:p>
        </w:tc>
        <w:tc>
          <w:tcPr>
            <w:tcW w:w="706" w:type="pct"/>
            <w:vAlign w:val="center"/>
          </w:tcPr>
          <w:p w14:paraId="55DE4D77">
            <w:pPr>
              <w:bidi w:val="0"/>
              <w:spacing w:line="240" w:lineRule="auto"/>
              <w:rPr>
                <w:rFonts w:hint="default"/>
                <w:color w:val="000000" w:themeColor="text1"/>
                <w:sz w:val="21"/>
                <w:szCs w:val="21"/>
                <w:highlight w:val="none"/>
                <w14:textFill>
                  <w14:solidFill>
                    <w14:schemeClr w14:val="tx1"/>
                  </w14:solidFill>
                </w14:textFill>
              </w:rPr>
            </w:pPr>
          </w:p>
        </w:tc>
        <w:tc>
          <w:tcPr>
            <w:tcW w:w="480" w:type="pct"/>
            <w:vMerge w:val="continue"/>
            <w:vAlign w:val="center"/>
          </w:tcPr>
          <w:p w14:paraId="76A3AA40">
            <w:pPr>
              <w:bidi w:val="0"/>
              <w:spacing w:line="240" w:lineRule="auto"/>
              <w:rPr>
                <w:rFonts w:hint="default"/>
                <w:color w:val="000000" w:themeColor="text1"/>
                <w:sz w:val="21"/>
                <w:szCs w:val="21"/>
                <w:highlight w:val="none"/>
                <w14:textFill>
                  <w14:solidFill>
                    <w14:schemeClr w14:val="tx1"/>
                  </w14:solidFill>
                </w14:textFill>
              </w:rPr>
            </w:pPr>
          </w:p>
        </w:tc>
      </w:tr>
      <w:tr w14:paraId="70351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0A38866C">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1D8872A5">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现状监测因子</w:t>
            </w:r>
          </w:p>
        </w:tc>
        <w:tc>
          <w:tcPr>
            <w:tcW w:w="3272" w:type="pct"/>
            <w:gridSpan w:val="4"/>
            <w:vAlign w:val="center"/>
          </w:tcPr>
          <w:p w14:paraId="40DB2A96">
            <w:pPr>
              <w:bidi w:val="0"/>
              <w:spacing w:line="240" w:lineRule="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pH、镉、汞、砷、铜、铅、铬、锌、镍</w:t>
            </w:r>
          </w:p>
        </w:tc>
        <w:tc>
          <w:tcPr>
            <w:tcW w:w="480" w:type="pct"/>
            <w:vAlign w:val="center"/>
          </w:tcPr>
          <w:p w14:paraId="45D652FF">
            <w:pPr>
              <w:bidi w:val="0"/>
              <w:spacing w:line="240" w:lineRule="auto"/>
              <w:rPr>
                <w:rFonts w:hint="default"/>
                <w:color w:val="000000" w:themeColor="text1"/>
                <w:sz w:val="21"/>
                <w:szCs w:val="21"/>
                <w:highlight w:val="none"/>
                <w14:textFill>
                  <w14:solidFill>
                    <w14:schemeClr w14:val="tx1"/>
                  </w14:solidFill>
                </w14:textFill>
              </w:rPr>
            </w:pPr>
          </w:p>
        </w:tc>
      </w:tr>
      <w:tr w14:paraId="7570A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restart"/>
            <w:vAlign w:val="center"/>
          </w:tcPr>
          <w:p w14:paraId="05D40D8F">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现状评价</w:t>
            </w:r>
          </w:p>
        </w:tc>
        <w:tc>
          <w:tcPr>
            <w:tcW w:w="905" w:type="pct"/>
            <w:vAlign w:val="center"/>
          </w:tcPr>
          <w:p w14:paraId="1A3BAD98">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评价因子</w:t>
            </w:r>
          </w:p>
        </w:tc>
        <w:tc>
          <w:tcPr>
            <w:tcW w:w="3272" w:type="pct"/>
            <w:gridSpan w:val="4"/>
            <w:vAlign w:val="center"/>
          </w:tcPr>
          <w:p w14:paraId="798A0C37">
            <w:pPr>
              <w:bidi w:val="0"/>
              <w:spacing w:line="240" w:lineRule="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pH、镉、汞、砷、铜、铅、铬、锌、镍</w:t>
            </w:r>
          </w:p>
        </w:tc>
        <w:tc>
          <w:tcPr>
            <w:tcW w:w="480" w:type="pct"/>
            <w:vAlign w:val="center"/>
          </w:tcPr>
          <w:p w14:paraId="0E2D8D82">
            <w:pPr>
              <w:bidi w:val="0"/>
              <w:spacing w:line="240" w:lineRule="auto"/>
              <w:rPr>
                <w:rFonts w:hint="default"/>
                <w:color w:val="000000" w:themeColor="text1"/>
                <w:sz w:val="21"/>
                <w:szCs w:val="21"/>
                <w:highlight w:val="none"/>
                <w14:textFill>
                  <w14:solidFill>
                    <w14:schemeClr w14:val="tx1"/>
                  </w14:solidFill>
                </w14:textFill>
              </w:rPr>
            </w:pPr>
          </w:p>
        </w:tc>
      </w:tr>
      <w:tr w14:paraId="7525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62F540EB">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60ED476F">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评价标准</w:t>
            </w:r>
          </w:p>
        </w:tc>
        <w:tc>
          <w:tcPr>
            <w:tcW w:w="3272" w:type="pct"/>
            <w:gridSpan w:val="4"/>
            <w:vAlign w:val="center"/>
          </w:tcPr>
          <w:p w14:paraId="7BD7F9BE">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GB 15618</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；GB 36600</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；表D.1</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；表D.2</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；其他</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（HJ568）</w:t>
            </w:r>
          </w:p>
        </w:tc>
        <w:tc>
          <w:tcPr>
            <w:tcW w:w="480" w:type="pct"/>
            <w:vAlign w:val="center"/>
          </w:tcPr>
          <w:p w14:paraId="257534CD">
            <w:pPr>
              <w:bidi w:val="0"/>
              <w:spacing w:line="240" w:lineRule="auto"/>
              <w:rPr>
                <w:rFonts w:hint="default"/>
                <w:color w:val="000000" w:themeColor="text1"/>
                <w:sz w:val="21"/>
                <w:szCs w:val="21"/>
                <w:highlight w:val="none"/>
                <w14:textFill>
                  <w14:solidFill>
                    <w14:schemeClr w14:val="tx1"/>
                  </w14:solidFill>
                </w14:textFill>
              </w:rPr>
            </w:pPr>
          </w:p>
        </w:tc>
      </w:tr>
      <w:tr w14:paraId="58B12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6C4F28AD">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2C97E9E8">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现状评价结论</w:t>
            </w:r>
          </w:p>
        </w:tc>
        <w:tc>
          <w:tcPr>
            <w:tcW w:w="3272" w:type="pct"/>
            <w:gridSpan w:val="4"/>
            <w:vAlign w:val="center"/>
          </w:tcPr>
          <w:p w14:paraId="054E0CB0">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区域土壤环境质量良好</w:t>
            </w:r>
          </w:p>
        </w:tc>
        <w:tc>
          <w:tcPr>
            <w:tcW w:w="480" w:type="pct"/>
            <w:vAlign w:val="center"/>
          </w:tcPr>
          <w:p w14:paraId="2E854089">
            <w:pPr>
              <w:bidi w:val="0"/>
              <w:spacing w:line="240" w:lineRule="auto"/>
              <w:rPr>
                <w:rFonts w:hint="default"/>
                <w:color w:val="000000" w:themeColor="text1"/>
                <w:sz w:val="21"/>
                <w:szCs w:val="21"/>
                <w:highlight w:val="none"/>
                <w14:textFill>
                  <w14:solidFill>
                    <w14:schemeClr w14:val="tx1"/>
                  </w14:solidFill>
                </w14:textFill>
              </w:rPr>
            </w:pPr>
          </w:p>
        </w:tc>
      </w:tr>
      <w:tr w14:paraId="10552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restart"/>
            <w:vAlign w:val="center"/>
          </w:tcPr>
          <w:p w14:paraId="26980196">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影响预测</w:t>
            </w:r>
          </w:p>
        </w:tc>
        <w:tc>
          <w:tcPr>
            <w:tcW w:w="905" w:type="pct"/>
            <w:vAlign w:val="center"/>
          </w:tcPr>
          <w:p w14:paraId="4250B904">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预测因子</w:t>
            </w:r>
          </w:p>
        </w:tc>
        <w:tc>
          <w:tcPr>
            <w:tcW w:w="3272" w:type="pct"/>
            <w:gridSpan w:val="4"/>
            <w:vAlign w:val="center"/>
          </w:tcPr>
          <w:p w14:paraId="0146461F">
            <w:pPr>
              <w:bidi w:val="0"/>
              <w:spacing w:line="240" w:lineRule="auto"/>
              <w:rPr>
                <w:rFonts w:hint="default"/>
                <w:color w:val="000000" w:themeColor="text1"/>
                <w:sz w:val="21"/>
                <w:szCs w:val="21"/>
                <w:highlight w:val="none"/>
                <w14:textFill>
                  <w14:solidFill>
                    <w14:schemeClr w14:val="tx1"/>
                  </w14:solidFill>
                </w14:textFill>
              </w:rPr>
            </w:pPr>
          </w:p>
        </w:tc>
        <w:tc>
          <w:tcPr>
            <w:tcW w:w="480" w:type="pct"/>
            <w:vAlign w:val="center"/>
          </w:tcPr>
          <w:p w14:paraId="040D3617">
            <w:pPr>
              <w:bidi w:val="0"/>
              <w:spacing w:line="240" w:lineRule="auto"/>
              <w:rPr>
                <w:rFonts w:hint="default"/>
                <w:color w:val="000000" w:themeColor="text1"/>
                <w:sz w:val="21"/>
                <w:szCs w:val="21"/>
                <w:highlight w:val="none"/>
                <w14:textFill>
                  <w14:solidFill>
                    <w14:schemeClr w14:val="tx1"/>
                  </w14:solidFill>
                </w14:textFill>
              </w:rPr>
            </w:pPr>
          </w:p>
        </w:tc>
      </w:tr>
      <w:tr w14:paraId="5BB5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1A0FBBF8">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7B4E7911">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预测方法</w:t>
            </w:r>
          </w:p>
        </w:tc>
        <w:tc>
          <w:tcPr>
            <w:tcW w:w="3272" w:type="pct"/>
            <w:gridSpan w:val="4"/>
            <w:vAlign w:val="center"/>
          </w:tcPr>
          <w:p w14:paraId="38D3EBAD">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附录E□；附录F□；其他</w:t>
            </w:r>
            <w:r>
              <w:rPr>
                <w:rFonts w:hint="eastAsia"/>
                <w:color w:val="000000" w:themeColor="text1"/>
                <w:sz w:val="21"/>
                <w:szCs w:val="21"/>
                <w:highlight w:val="none"/>
                <w:lang w:eastAsia="zh-CN"/>
                <w14:textFill>
                  <w14:solidFill>
                    <w14:schemeClr w14:val="tx1"/>
                  </w14:solidFill>
                </w14:textFill>
              </w:rPr>
              <w:t>□</w:t>
            </w:r>
          </w:p>
        </w:tc>
        <w:tc>
          <w:tcPr>
            <w:tcW w:w="480" w:type="pct"/>
            <w:vAlign w:val="center"/>
          </w:tcPr>
          <w:p w14:paraId="68C45D3D">
            <w:pPr>
              <w:bidi w:val="0"/>
              <w:spacing w:line="240" w:lineRule="auto"/>
              <w:rPr>
                <w:rFonts w:hint="default"/>
                <w:color w:val="000000" w:themeColor="text1"/>
                <w:sz w:val="21"/>
                <w:szCs w:val="21"/>
                <w:highlight w:val="none"/>
                <w14:textFill>
                  <w14:solidFill>
                    <w14:schemeClr w14:val="tx1"/>
                  </w14:solidFill>
                </w14:textFill>
              </w:rPr>
            </w:pPr>
          </w:p>
        </w:tc>
      </w:tr>
      <w:tr w14:paraId="0EEC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61572FF6">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12DE2581">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预测分析内容</w:t>
            </w:r>
          </w:p>
        </w:tc>
        <w:tc>
          <w:tcPr>
            <w:tcW w:w="3272" w:type="pct"/>
            <w:gridSpan w:val="4"/>
            <w:vAlign w:val="center"/>
          </w:tcPr>
          <w:p w14:paraId="7040461E">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影响范围（</w:t>
            </w:r>
            <w:r>
              <w:rPr>
                <w:rFonts w:hint="eastAsia"/>
                <w:color w:val="000000" w:themeColor="text1"/>
                <w:sz w:val="21"/>
                <w:szCs w:val="21"/>
                <w:highlight w:val="none"/>
                <w:lang w:val="en-US" w:eastAsia="zh-CN"/>
                <w14:textFill>
                  <w14:solidFill>
                    <w14:schemeClr w14:val="tx1"/>
                  </w14:solidFill>
                </w14:textFill>
              </w:rPr>
              <w:t>）</w:t>
            </w:r>
          </w:p>
          <w:p w14:paraId="705727E3">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影响程度（</w:t>
            </w:r>
            <w:r>
              <w:rPr>
                <w:rFonts w:hint="eastAsia"/>
                <w:color w:val="000000" w:themeColor="text1"/>
                <w:sz w:val="21"/>
                <w:szCs w:val="21"/>
                <w:highlight w:val="none"/>
                <w:lang w:val="en-US" w:eastAsia="zh-CN"/>
                <w14:textFill>
                  <w14:solidFill>
                    <w14:schemeClr w14:val="tx1"/>
                  </w14:solidFill>
                </w14:textFill>
              </w:rPr>
              <w:t>）</w:t>
            </w:r>
          </w:p>
        </w:tc>
        <w:tc>
          <w:tcPr>
            <w:tcW w:w="480" w:type="pct"/>
            <w:vAlign w:val="center"/>
          </w:tcPr>
          <w:p w14:paraId="2E99D2DA">
            <w:pPr>
              <w:bidi w:val="0"/>
              <w:spacing w:line="240" w:lineRule="auto"/>
              <w:rPr>
                <w:rFonts w:hint="default"/>
                <w:color w:val="000000" w:themeColor="text1"/>
                <w:sz w:val="21"/>
                <w:szCs w:val="21"/>
                <w:highlight w:val="none"/>
                <w:lang w:val="en-US" w:eastAsia="zh-CN"/>
                <w14:textFill>
                  <w14:solidFill>
                    <w14:schemeClr w14:val="tx1"/>
                  </w14:solidFill>
                </w14:textFill>
              </w:rPr>
            </w:pPr>
          </w:p>
        </w:tc>
      </w:tr>
      <w:tr w14:paraId="20D2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07B60258">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6EB33EFF">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预测结论</w:t>
            </w:r>
          </w:p>
        </w:tc>
        <w:tc>
          <w:tcPr>
            <w:tcW w:w="3272" w:type="pct"/>
            <w:gridSpan w:val="4"/>
            <w:vAlign w:val="center"/>
          </w:tcPr>
          <w:p w14:paraId="2C2E8329">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达标结论： a）</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；b）□；c）□</w:t>
            </w:r>
          </w:p>
          <w:p w14:paraId="6DF32292">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default"/>
                <w:color w:val="000000" w:themeColor="text1"/>
                <w:sz w:val="21"/>
                <w:szCs w:val="21"/>
                <w:highlight w:val="none"/>
                <w14:textFill>
                  <w14:solidFill>
                    <w14:schemeClr w14:val="tx1"/>
                  </w14:solidFill>
                </w14:textFill>
              </w:rPr>
              <w:t>不达标结论： a）□；b）□</w:t>
            </w:r>
          </w:p>
        </w:tc>
        <w:tc>
          <w:tcPr>
            <w:tcW w:w="480" w:type="pct"/>
            <w:vAlign w:val="center"/>
          </w:tcPr>
          <w:p w14:paraId="4BABB853">
            <w:pPr>
              <w:bidi w:val="0"/>
              <w:spacing w:line="240" w:lineRule="auto"/>
              <w:rPr>
                <w:rFonts w:hint="default"/>
                <w:color w:val="000000" w:themeColor="text1"/>
                <w:sz w:val="21"/>
                <w:szCs w:val="21"/>
                <w:highlight w:val="none"/>
                <w14:textFill>
                  <w14:solidFill>
                    <w14:schemeClr w14:val="tx1"/>
                  </w14:solidFill>
                </w14:textFill>
              </w:rPr>
            </w:pPr>
          </w:p>
        </w:tc>
      </w:tr>
      <w:tr w14:paraId="549F5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restart"/>
            <w:vAlign w:val="center"/>
          </w:tcPr>
          <w:p w14:paraId="3BC26864">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防治措施</w:t>
            </w:r>
          </w:p>
        </w:tc>
        <w:tc>
          <w:tcPr>
            <w:tcW w:w="905" w:type="pct"/>
            <w:vAlign w:val="center"/>
          </w:tcPr>
          <w:p w14:paraId="3B6EFF70">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防控措施</w:t>
            </w:r>
          </w:p>
        </w:tc>
        <w:tc>
          <w:tcPr>
            <w:tcW w:w="3272" w:type="pct"/>
            <w:gridSpan w:val="4"/>
            <w:vAlign w:val="center"/>
          </w:tcPr>
          <w:p w14:paraId="270306C6">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土壤环境质量现状保障□；源头控制</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；过程防控</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；其他（</w:t>
            </w:r>
            <w:r>
              <w:rPr>
                <w:rFonts w:hint="eastAsia"/>
                <w:color w:val="000000" w:themeColor="text1"/>
                <w:sz w:val="21"/>
                <w:szCs w:val="21"/>
                <w:highlight w:val="none"/>
                <w:lang w:val="en-US"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w:t>
            </w:r>
          </w:p>
        </w:tc>
        <w:tc>
          <w:tcPr>
            <w:tcW w:w="480" w:type="pct"/>
            <w:vMerge w:val="restart"/>
            <w:vAlign w:val="center"/>
          </w:tcPr>
          <w:p w14:paraId="55D5A2E2">
            <w:pPr>
              <w:bidi w:val="0"/>
              <w:spacing w:line="240" w:lineRule="auto"/>
              <w:rPr>
                <w:rFonts w:hint="default"/>
                <w:color w:val="000000" w:themeColor="text1"/>
                <w:sz w:val="21"/>
                <w:szCs w:val="21"/>
                <w:highlight w:val="none"/>
                <w14:textFill>
                  <w14:solidFill>
                    <w14:schemeClr w14:val="tx1"/>
                  </w14:solidFill>
                </w14:textFill>
              </w:rPr>
            </w:pPr>
          </w:p>
        </w:tc>
      </w:tr>
      <w:tr w14:paraId="6177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3A974A21">
            <w:pPr>
              <w:bidi w:val="0"/>
              <w:spacing w:line="240" w:lineRule="auto"/>
              <w:rPr>
                <w:rFonts w:hint="default"/>
                <w:color w:val="000000" w:themeColor="text1"/>
                <w:sz w:val="21"/>
                <w:szCs w:val="21"/>
                <w:highlight w:val="none"/>
                <w14:textFill>
                  <w14:solidFill>
                    <w14:schemeClr w14:val="tx1"/>
                  </w14:solidFill>
                </w14:textFill>
              </w:rPr>
            </w:pPr>
          </w:p>
        </w:tc>
        <w:tc>
          <w:tcPr>
            <w:tcW w:w="905" w:type="pct"/>
            <w:vMerge w:val="restart"/>
            <w:vAlign w:val="center"/>
          </w:tcPr>
          <w:p w14:paraId="467A8D4C">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跟踪监测</w:t>
            </w:r>
          </w:p>
        </w:tc>
        <w:tc>
          <w:tcPr>
            <w:tcW w:w="678" w:type="pct"/>
            <w:vAlign w:val="center"/>
          </w:tcPr>
          <w:p w14:paraId="189639A3">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监测点数</w:t>
            </w:r>
          </w:p>
        </w:tc>
        <w:tc>
          <w:tcPr>
            <w:tcW w:w="1887" w:type="pct"/>
            <w:gridSpan w:val="2"/>
            <w:vAlign w:val="center"/>
          </w:tcPr>
          <w:p w14:paraId="4C100A43">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监测指标</w:t>
            </w:r>
          </w:p>
        </w:tc>
        <w:tc>
          <w:tcPr>
            <w:tcW w:w="706" w:type="pct"/>
            <w:vAlign w:val="center"/>
          </w:tcPr>
          <w:p w14:paraId="0722666C">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监测频次</w:t>
            </w:r>
          </w:p>
        </w:tc>
        <w:tc>
          <w:tcPr>
            <w:tcW w:w="480" w:type="pct"/>
            <w:vMerge w:val="continue"/>
            <w:vAlign w:val="center"/>
          </w:tcPr>
          <w:p w14:paraId="1838F292">
            <w:pPr>
              <w:bidi w:val="0"/>
              <w:spacing w:line="240" w:lineRule="auto"/>
              <w:rPr>
                <w:rFonts w:hint="default"/>
                <w:color w:val="000000" w:themeColor="text1"/>
                <w:sz w:val="21"/>
                <w:szCs w:val="21"/>
                <w:highlight w:val="none"/>
                <w14:textFill>
                  <w14:solidFill>
                    <w14:schemeClr w14:val="tx1"/>
                  </w14:solidFill>
                </w14:textFill>
              </w:rPr>
            </w:pPr>
          </w:p>
        </w:tc>
      </w:tr>
      <w:tr w14:paraId="5EE9E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380DDB40">
            <w:pPr>
              <w:bidi w:val="0"/>
              <w:spacing w:line="240" w:lineRule="auto"/>
              <w:rPr>
                <w:rFonts w:hint="default"/>
                <w:color w:val="000000" w:themeColor="text1"/>
                <w:sz w:val="21"/>
                <w:szCs w:val="21"/>
                <w:highlight w:val="none"/>
                <w14:textFill>
                  <w14:solidFill>
                    <w14:schemeClr w14:val="tx1"/>
                  </w14:solidFill>
                </w14:textFill>
              </w:rPr>
            </w:pPr>
          </w:p>
        </w:tc>
        <w:tc>
          <w:tcPr>
            <w:tcW w:w="905" w:type="pct"/>
            <w:vMerge w:val="continue"/>
            <w:vAlign w:val="center"/>
          </w:tcPr>
          <w:p w14:paraId="5DE5EC02">
            <w:pPr>
              <w:bidi w:val="0"/>
              <w:spacing w:line="240" w:lineRule="auto"/>
              <w:rPr>
                <w:rFonts w:hint="default"/>
                <w:color w:val="000000" w:themeColor="text1"/>
                <w:sz w:val="21"/>
                <w:szCs w:val="21"/>
                <w:highlight w:val="none"/>
                <w14:textFill>
                  <w14:solidFill>
                    <w14:schemeClr w14:val="tx1"/>
                  </w14:solidFill>
                </w14:textFill>
              </w:rPr>
            </w:pPr>
          </w:p>
        </w:tc>
        <w:tc>
          <w:tcPr>
            <w:tcW w:w="678" w:type="pct"/>
            <w:vAlign w:val="center"/>
          </w:tcPr>
          <w:p w14:paraId="5796A52C">
            <w:pPr>
              <w:bidi w:val="0"/>
              <w:spacing w:line="240" w:lineRule="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w:t>
            </w:r>
          </w:p>
        </w:tc>
        <w:tc>
          <w:tcPr>
            <w:tcW w:w="1887" w:type="pct"/>
            <w:gridSpan w:val="2"/>
            <w:vAlign w:val="center"/>
          </w:tcPr>
          <w:p w14:paraId="7FCC3924">
            <w:pPr>
              <w:bidi w:val="0"/>
              <w:spacing w:line="240" w:lineRule="auto"/>
              <w:rPr>
                <w:rFonts w:hint="default"/>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pH、</w:t>
            </w:r>
            <w:r>
              <w:rPr>
                <w:rFonts w:hint="default"/>
                <w:color w:val="000000" w:themeColor="text1"/>
                <w:sz w:val="21"/>
                <w:szCs w:val="21"/>
                <w:highlight w:val="none"/>
                <w14:textFill>
                  <w14:solidFill>
                    <w14:schemeClr w14:val="tx1"/>
                  </w14:solidFill>
                </w14:textFill>
              </w:rPr>
              <w:t>镉、铅、铬、铜、镍</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锌、砷</w:t>
            </w:r>
            <w:r>
              <w:rPr>
                <w:rFonts w:hint="eastAsia"/>
                <w:color w:val="000000" w:themeColor="text1"/>
                <w:sz w:val="21"/>
                <w:szCs w:val="21"/>
                <w:highlight w:val="none"/>
                <w:lang w:eastAsia="zh-CN"/>
                <w14:textFill>
                  <w14:solidFill>
                    <w14:schemeClr w14:val="tx1"/>
                  </w14:solidFill>
                </w14:textFill>
              </w:rPr>
              <w:t>、</w:t>
            </w:r>
            <w:r>
              <w:rPr>
                <w:rFonts w:hint="default"/>
                <w:color w:val="000000" w:themeColor="text1"/>
                <w:sz w:val="21"/>
                <w:szCs w:val="21"/>
                <w:highlight w:val="none"/>
                <w14:textFill>
                  <w14:solidFill>
                    <w14:schemeClr w14:val="tx1"/>
                  </w14:solidFill>
                </w14:textFill>
              </w:rPr>
              <w:t>汞</w:t>
            </w:r>
          </w:p>
        </w:tc>
        <w:tc>
          <w:tcPr>
            <w:tcW w:w="706" w:type="pct"/>
            <w:vAlign w:val="center"/>
          </w:tcPr>
          <w:p w14:paraId="51AB904D">
            <w:pPr>
              <w:bidi w:val="0"/>
              <w:spacing w:line="240" w:lineRule="auto"/>
              <w:rPr>
                <w:rFonts w:hint="default"/>
                <w:color w:val="000000" w:themeColor="text1"/>
                <w:sz w:val="21"/>
                <w:szCs w:val="21"/>
                <w:highlight w:val="none"/>
                <w:lang w:val="en-US" w:eastAsia="zh-CN"/>
                <w14:textFill>
                  <w14:solidFill>
                    <w14:schemeClr w14:val="tx1"/>
                  </w14:solidFill>
                </w14:textFill>
              </w:rPr>
            </w:pPr>
            <w:r>
              <w:rPr>
                <w:color w:val="000000" w:themeColor="text1"/>
                <w:sz w:val="21"/>
                <w:szCs w:val="21"/>
                <w:highlight w:val="none"/>
                <w14:textFill>
                  <w14:solidFill>
                    <w14:schemeClr w14:val="tx1"/>
                  </w14:solidFill>
                </w14:textFill>
              </w:rPr>
              <w:t>必要时开展跟踪监测</w:t>
            </w:r>
          </w:p>
        </w:tc>
        <w:tc>
          <w:tcPr>
            <w:tcW w:w="480" w:type="pct"/>
            <w:vMerge w:val="continue"/>
            <w:vAlign w:val="center"/>
          </w:tcPr>
          <w:p w14:paraId="6AAE6606">
            <w:pPr>
              <w:bidi w:val="0"/>
              <w:spacing w:line="240" w:lineRule="auto"/>
              <w:rPr>
                <w:rFonts w:hint="default"/>
                <w:color w:val="000000" w:themeColor="text1"/>
                <w:sz w:val="21"/>
                <w:szCs w:val="21"/>
                <w:highlight w:val="none"/>
                <w14:textFill>
                  <w14:solidFill>
                    <w14:schemeClr w14:val="tx1"/>
                  </w14:solidFill>
                </w14:textFill>
              </w:rPr>
            </w:pPr>
          </w:p>
        </w:tc>
      </w:tr>
      <w:tr w14:paraId="67EA4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Merge w:val="continue"/>
            <w:vAlign w:val="center"/>
          </w:tcPr>
          <w:p w14:paraId="08679BAA">
            <w:pPr>
              <w:bidi w:val="0"/>
              <w:spacing w:line="240" w:lineRule="auto"/>
              <w:rPr>
                <w:rFonts w:hint="default"/>
                <w:color w:val="000000" w:themeColor="text1"/>
                <w:sz w:val="21"/>
                <w:szCs w:val="21"/>
                <w:highlight w:val="none"/>
                <w14:textFill>
                  <w14:solidFill>
                    <w14:schemeClr w14:val="tx1"/>
                  </w14:solidFill>
                </w14:textFill>
              </w:rPr>
            </w:pPr>
          </w:p>
        </w:tc>
        <w:tc>
          <w:tcPr>
            <w:tcW w:w="905" w:type="pct"/>
            <w:vAlign w:val="center"/>
          </w:tcPr>
          <w:p w14:paraId="7D8AE454">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信息公开指标</w:t>
            </w:r>
          </w:p>
        </w:tc>
        <w:tc>
          <w:tcPr>
            <w:tcW w:w="3272" w:type="pct"/>
            <w:gridSpan w:val="4"/>
            <w:vAlign w:val="center"/>
          </w:tcPr>
          <w:p w14:paraId="725E1AE3">
            <w:pPr>
              <w:bidi w:val="0"/>
              <w:spacing w:line="240" w:lineRule="auto"/>
              <w:rPr>
                <w:rFonts w:hint="default"/>
                <w:color w:val="000000" w:themeColor="text1"/>
                <w:sz w:val="21"/>
                <w:szCs w:val="21"/>
                <w:highlight w:val="none"/>
                <w14:textFill>
                  <w14:solidFill>
                    <w14:schemeClr w14:val="tx1"/>
                  </w14:solidFill>
                </w14:textFill>
              </w:rPr>
            </w:pPr>
          </w:p>
        </w:tc>
        <w:tc>
          <w:tcPr>
            <w:tcW w:w="480" w:type="pct"/>
            <w:vMerge w:val="continue"/>
            <w:vAlign w:val="center"/>
          </w:tcPr>
          <w:p w14:paraId="5FBD96D4">
            <w:pPr>
              <w:bidi w:val="0"/>
              <w:spacing w:line="240" w:lineRule="auto"/>
              <w:rPr>
                <w:rFonts w:hint="default"/>
                <w:color w:val="000000" w:themeColor="text1"/>
                <w:sz w:val="21"/>
                <w:szCs w:val="21"/>
                <w:highlight w:val="none"/>
                <w14:textFill>
                  <w14:solidFill>
                    <w14:schemeClr w14:val="tx1"/>
                  </w14:solidFill>
                </w14:textFill>
              </w:rPr>
            </w:pPr>
          </w:p>
        </w:tc>
      </w:tr>
      <w:tr w14:paraId="6399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41" w:type="pct"/>
            <w:vAlign w:val="center"/>
          </w:tcPr>
          <w:p w14:paraId="62AE335A">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评价结论</w:t>
            </w:r>
          </w:p>
        </w:tc>
        <w:tc>
          <w:tcPr>
            <w:tcW w:w="4178" w:type="pct"/>
            <w:gridSpan w:val="5"/>
            <w:vAlign w:val="center"/>
          </w:tcPr>
          <w:p w14:paraId="38B4CFC6">
            <w:pPr>
              <w:bidi w:val="0"/>
              <w:spacing w:line="240" w:lineRule="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可接受</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不可接受</w:t>
            </w:r>
            <w:r>
              <w:rPr>
                <w:rFonts w:hint="default"/>
                <w:color w:val="000000" w:themeColor="text1"/>
                <w:sz w:val="21"/>
                <w:szCs w:val="21"/>
                <w:highlight w:val="none"/>
                <w14:textFill>
                  <w14:solidFill>
                    <w14:schemeClr w14:val="tx1"/>
                  </w14:solidFill>
                </w14:textFill>
              </w:rPr>
              <w:t>□</w:t>
            </w:r>
          </w:p>
        </w:tc>
        <w:tc>
          <w:tcPr>
            <w:tcW w:w="480" w:type="pct"/>
            <w:vAlign w:val="center"/>
          </w:tcPr>
          <w:p w14:paraId="159DABEA">
            <w:pPr>
              <w:bidi w:val="0"/>
              <w:spacing w:line="240" w:lineRule="auto"/>
              <w:rPr>
                <w:rFonts w:hint="default"/>
                <w:color w:val="000000" w:themeColor="text1"/>
                <w:sz w:val="21"/>
                <w:szCs w:val="21"/>
                <w:highlight w:val="none"/>
                <w14:textFill>
                  <w14:solidFill>
                    <w14:schemeClr w14:val="tx1"/>
                  </w14:solidFill>
                </w14:textFill>
              </w:rPr>
            </w:pPr>
          </w:p>
        </w:tc>
      </w:tr>
      <w:tr w14:paraId="41E7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5000" w:type="pct"/>
            <w:gridSpan w:val="7"/>
            <w:vAlign w:val="center"/>
          </w:tcPr>
          <w:p w14:paraId="1AAEAA18">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注 1：“□”为勾选项，可√；“（ ）”为内容填写项； “备注”为其他补充内容。</w:t>
            </w:r>
          </w:p>
          <w:p w14:paraId="769C27CC">
            <w:pPr>
              <w:bidi w:val="0"/>
              <w:spacing w:line="240" w:lineRule="auto"/>
              <w:rPr>
                <w:rFonts w:hint="default"/>
                <w:color w:val="000000" w:themeColor="text1"/>
                <w:sz w:val="21"/>
                <w:szCs w:val="21"/>
                <w:highlight w:val="none"/>
                <w14:textFill>
                  <w14:solidFill>
                    <w14:schemeClr w14:val="tx1"/>
                  </w14:solidFill>
                </w14:textFill>
              </w:rPr>
            </w:pPr>
            <w:r>
              <w:rPr>
                <w:rFonts w:hint="default"/>
                <w:color w:val="000000" w:themeColor="text1"/>
                <w:sz w:val="21"/>
                <w:szCs w:val="21"/>
                <w:highlight w:val="none"/>
                <w14:textFill>
                  <w14:solidFill>
                    <w14:schemeClr w14:val="tx1"/>
                  </w14:solidFill>
                </w14:textFill>
              </w:rPr>
              <w:t>注 2：需要分别开展土壤环境影响评级工作的，分别填写自查表。</w:t>
            </w:r>
          </w:p>
        </w:tc>
      </w:tr>
    </w:tbl>
    <w:p w14:paraId="3149CB89">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5.2.8环境风险影响评价</w:t>
      </w:r>
      <w:bookmarkEnd w:id="229"/>
    </w:p>
    <w:p w14:paraId="1B99D30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根据原国家环保部《关于进一步加强环境影响评价管理防范环境风险的通知》（国家环保部环发[2012]77号）及生态环境部发布的《建设项目环境风险评价技术导则》（HJ 169-2018）要求，对于涉及有毒有害和易燃易爆物质的生产、使用、储存（包括使用管线输运）的建设项目进行风险评价。</w:t>
      </w:r>
    </w:p>
    <w:p w14:paraId="7F6D028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次环境风险评价的目的在于识别物料生产、贮存、转运过程中的风险因素及可能诱发的环境问题，以突发性事故导致的危险物质环境急性损害防控为目标，对建设项目的环境风险进行分析、预测和评估，提出环境风险预防、控制、减缓措施，明确环境风险监控及应急建议要求，为建设项目环境风险防控提供科学依据，力求将建设项目的环境风险降至可防控水平。</w:t>
      </w:r>
    </w:p>
    <w:p w14:paraId="51B89BD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"5.2.8.1"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5.2.8.1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 xml:space="preserve"> 风险调查</w:t>
      </w:r>
    </w:p>
    <w:p w14:paraId="69F4981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根据《建设项目环境风险评价技术导则》（HJ169-2018）附录B，本工程涉及的危险物质主要为产生的H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等废气，其化学性质</w:t>
      </w:r>
      <w:r>
        <w:rPr>
          <w:rFonts w:hint="eastAsia"/>
          <w:color w:val="000000" w:themeColor="text1"/>
          <w:highlight w:val="none"/>
          <w14:textFill>
            <w14:solidFill>
              <w14:schemeClr w14:val="tx1"/>
            </w14:solidFill>
          </w14:textFill>
        </w:rPr>
        <w:t>如下</w:t>
      </w:r>
      <w:r>
        <w:rPr>
          <w:color w:val="000000" w:themeColor="text1"/>
          <w:highlight w:val="none"/>
          <w14:textFill>
            <w14:solidFill>
              <w14:schemeClr w14:val="tx1"/>
            </w14:solidFill>
          </w14:textFill>
        </w:rPr>
        <w:t>表5.2-</w:t>
      </w:r>
      <w:r>
        <w:rPr>
          <w:rFonts w:hint="eastAsia"/>
          <w:color w:val="000000" w:themeColor="text1"/>
          <w:highlight w:val="none"/>
          <w:lang w:val="en-US" w:eastAsia="zh-CN"/>
          <w14:textFill>
            <w14:solidFill>
              <w14:schemeClr w14:val="tx1"/>
            </w14:solidFill>
          </w14:textFill>
        </w:rPr>
        <w:t>30</w:t>
      </w:r>
      <w:r>
        <w:rPr>
          <w:color w:val="000000" w:themeColor="text1"/>
          <w:highlight w:val="none"/>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31</w:t>
      </w:r>
      <w:r>
        <w:rPr>
          <w:color w:val="000000" w:themeColor="text1"/>
          <w:highlight w:val="none"/>
          <w14:textFill>
            <w14:solidFill>
              <w14:schemeClr w14:val="tx1"/>
            </w14:solidFill>
          </w14:textFill>
        </w:rPr>
        <w:t>、5.2-</w:t>
      </w:r>
      <w:r>
        <w:rPr>
          <w:rFonts w:hint="eastAsia"/>
          <w:color w:val="000000" w:themeColor="text1"/>
          <w:highlight w:val="none"/>
          <w:lang w:val="en-US" w:eastAsia="zh-CN"/>
          <w14:textFill>
            <w14:solidFill>
              <w14:schemeClr w14:val="tx1"/>
            </w14:solidFill>
          </w14:textFill>
        </w:rPr>
        <w:t>32</w:t>
      </w:r>
      <w:r>
        <w:rPr>
          <w:color w:val="000000" w:themeColor="text1"/>
          <w:highlight w:val="none"/>
          <w14:textFill>
            <w14:solidFill>
              <w14:schemeClr w14:val="tx1"/>
            </w14:solidFill>
          </w14:textFill>
        </w:rPr>
        <w:t>。</w:t>
      </w:r>
    </w:p>
    <w:p w14:paraId="0D08E85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w:t>
      </w:r>
      <w:r>
        <w:rPr>
          <w:rFonts w:hint="eastAsia"/>
          <w:b/>
          <w:bCs/>
          <w:color w:val="000000" w:themeColor="text1"/>
          <w:sz w:val="21"/>
          <w:szCs w:val="21"/>
          <w:highlight w:val="none"/>
          <w:lang w:val="en-US" w:eastAsia="zh-CN"/>
          <w14:textFill>
            <w14:solidFill>
              <w14:schemeClr w14:val="tx1"/>
            </w14:solidFill>
          </w14:textFill>
        </w:rPr>
        <w:t>30</w:t>
      </w:r>
      <w:r>
        <w:rPr>
          <w:b/>
          <w:bCs/>
          <w:color w:val="000000" w:themeColor="text1"/>
          <w:sz w:val="21"/>
          <w:szCs w:val="21"/>
          <w:highlight w:val="none"/>
          <w14:textFill>
            <w14:solidFill>
              <w14:schemeClr w14:val="tx1"/>
            </w14:solidFill>
          </w14:textFill>
        </w:rPr>
        <w:t xml:space="preserve">  硫化氢理化性质及危险特性</w:t>
      </w:r>
    </w:p>
    <w:tbl>
      <w:tblPr>
        <w:tblStyle w:val="58"/>
        <w:tblW w:w="8511" w:type="dxa"/>
        <w:tblInd w:w="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9"/>
        <w:gridCol w:w="2306"/>
        <w:gridCol w:w="2053"/>
        <w:gridCol w:w="3563"/>
      </w:tblGrid>
      <w:tr w14:paraId="785358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89" w:type="dxa"/>
            <w:vMerge w:val="restart"/>
            <w:tcBorders>
              <w:bottom w:val="nil"/>
            </w:tcBorders>
            <w:vAlign w:val="center"/>
          </w:tcPr>
          <w:p w14:paraId="5B1D3AE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标识</w:t>
            </w:r>
          </w:p>
        </w:tc>
        <w:tc>
          <w:tcPr>
            <w:tcW w:w="4359" w:type="dxa"/>
            <w:gridSpan w:val="2"/>
            <w:vAlign w:val="center"/>
          </w:tcPr>
          <w:p w14:paraId="6A93222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中文名：硫化氢</w:t>
            </w:r>
          </w:p>
        </w:tc>
        <w:tc>
          <w:tcPr>
            <w:tcW w:w="3563" w:type="dxa"/>
            <w:vAlign w:val="center"/>
          </w:tcPr>
          <w:p w14:paraId="047DA70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英文名：hydrogensulfide</w:t>
            </w:r>
          </w:p>
        </w:tc>
      </w:tr>
      <w:tr w14:paraId="14234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dxa"/>
            <w:vMerge w:val="continue"/>
            <w:tcBorders>
              <w:top w:val="nil"/>
              <w:bottom w:val="nil"/>
            </w:tcBorders>
            <w:vAlign w:val="center"/>
          </w:tcPr>
          <w:p w14:paraId="3341ADD2">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vAlign w:val="center"/>
          </w:tcPr>
          <w:p w14:paraId="7E6BEC6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分子式：H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w:t>
            </w:r>
          </w:p>
        </w:tc>
        <w:tc>
          <w:tcPr>
            <w:tcW w:w="3563" w:type="dxa"/>
            <w:vAlign w:val="center"/>
          </w:tcPr>
          <w:p w14:paraId="57B0E89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分子量：34</w:t>
            </w:r>
          </w:p>
        </w:tc>
      </w:tr>
      <w:tr w14:paraId="450ED1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dxa"/>
            <w:vMerge w:val="continue"/>
            <w:tcBorders>
              <w:top w:val="nil"/>
              <w:bottom w:val="single" w:color="auto" w:sz="4" w:space="0"/>
            </w:tcBorders>
            <w:vAlign w:val="center"/>
          </w:tcPr>
          <w:p w14:paraId="08AABD2D">
            <w:pPr>
              <w:spacing w:line="240" w:lineRule="auto"/>
              <w:jc w:val="center"/>
              <w:rPr>
                <w:b/>
                <w:bCs/>
                <w:color w:val="000000" w:themeColor="text1"/>
                <w:sz w:val="21"/>
                <w:szCs w:val="21"/>
                <w:highlight w:val="none"/>
                <w14:textFill>
                  <w14:solidFill>
                    <w14:schemeClr w14:val="tx1"/>
                  </w14:solidFill>
                </w14:textFill>
              </w:rPr>
            </w:pPr>
          </w:p>
        </w:tc>
        <w:tc>
          <w:tcPr>
            <w:tcW w:w="2306" w:type="dxa"/>
            <w:tcBorders>
              <w:bottom w:val="single" w:color="auto" w:sz="4" w:space="0"/>
            </w:tcBorders>
            <w:vAlign w:val="center"/>
          </w:tcPr>
          <w:p w14:paraId="00CEE84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危规号：21006</w:t>
            </w:r>
          </w:p>
        </w:tc>
        <w:tc>
          <w:tcPr>
            <w:tcW w:w="2053" w:type="dxa"/>
            <w:tcBorders>
              <w:bottom w:val="single" w:color="auto" w:sz="4" w:space="0"/>
            </w:tcBorders>
            <w:vAlign w:val="center"/>
          </w:tcPr>
          <w:p w14:paraId="220DDA3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UN编号：1053</w:t>
            </w:r>
          </w:p>
        </w:tc>
        <w:tc>
          <w:tcPr>
            <w:tcW w:w="3563" w:type="dxa"/>
            <w:vAlign w:val="center"/>
          </w:tcPr>
          <w:p w14:paraId="5EE3031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CAS号：7783-06-4</w:t>
            </w:r>
          </w:p>
        </w:tc>
      </w:tr>
      <w:tr w14:paraId="5D946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dxa"/>
            <w:vMerge w:val="restart"/>
            <w:tcBorders>
              <w:top w:val="single" w:color="auto" w:sz="4" w:space="0"/>
              <w:left w:val="single" w:color="auto" w:sz="4" w:space="0"/>
              <w:bottom w:val="single" w:color="auto" w:sz="4" w:space="0"/>
              <w:right w:val="single" w:color="auto" w:sz="4" w:space="0"/>
            </w:tcBorders>
            <w:vAlign w:val="center"/>
          </w:tcPr>
          <w:p w14:paraId="3556135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理化 性质</w:t>
            </w:r>
          </w:p>
        </w:tc>
        <w:tc>
          <w:tcPr>
            <w:tcW w:w="4359" w:type="dxa"/>
            <w:gridSpan w:val="2"/>
            <w:tcBorders>
              <w:top w:val="single" w:color="auto" w:sz="4" w:space="0"/>
              <w:left w:val="single" w:color="auto" w:sz="4" w:space="0"/>
              <w:bottom w:val="single" w:color="auto" w:sz="4" w:space="0"/>
              <w:right w:val="single" w:color="auto" w:sz="4" w:space="0"/>
            </w:tcBorders>
            <w:vAlign w:val="center"/>
          </w:tcPr>
          <w:p w14:paraId="7B53763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外观与形状：无色有恶臭气体</w:t>
            </w:r>
          </w:p>
        </w:tc>
        <w:tc>
          <w:tcPr>
            <w:tcW w:w="3563" w:type="dxa"/>
            <w:tcBorders>
              <w:left w:val="single" w:color="auto" w:sz="4" w:space="0"/>
            </w:tcBorders>
            <w:vAlign w:val="center"/>
          </w:tcPr>
          <w:p w14:paraId="0BA3C2C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溶解性：溶于水、乙醇</w:t>
            </w:r>
          </w:p>
        </w:tc>
      </w:tr>
      <w:tr w14:paraId="08373A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1F64109A">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tcBorders>
              <w:top w:val="single" w:color="auto" w:sz="4" w:space="0"/>
              <w:left w:val="single" w:color="auto" w:sz="4" w:space="0"/>
              <w:bottom w:val="single" w:color="auto" w:sz="4" w:space="0"/>
              <w:right w:val="single" w:color="auto" w:sz="4" w:space="0"/>
            </w:tcBorders>
            <w:vAlign w:val="center"/>
          </w:tcPr>
          <w:p w14:paraId="5CBA07A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熔点(℃) ：-85.5</w:t>
            </w:r>
          </w:p>
        </w:tc>
        <w:tc>
          <w:tcPr>
            <w:tcW w:w="3563" w:type="dxa"/>
            <w:tcBorders>
              <w:left w:val="single" w:color="auto" w:sz="4" w:space="0"/>
            </w:tcBorders>
            <w:vAlign w:val="center"/>
          </w:tcPr>
          <w:p w14:paraId="780572D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沸点(℃)：-60.4</w:t>
            </w:r>
          </w:p>
        </w:tc>
      </w:tr>
      <w:tr w14:paraId="16530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76B39618">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tcBorders>
              <w:top w:val="single" w:color="auto" w:sz="4" w:space="0"/>
              <w:left w:val="single" w:color="auto" w:sz="4" w:space="0"/>
              <w:bottom w:val="single" w:color="auto" w:sz="4" w:space="0"/>
              <w:right w:val="single" w:color="auto" w:sz="4" w:space="0"/>
            </w:tcBorders>
            <w:vAlign w:val="center"/>
          </w:tcPr>
          <w:p w14:paraId="7176327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相对密度：（水=1）无资料</w:t>
            </w:r>
          </w:p>
        </w:tc>
        <w:tc>
          <w:tcPr>
            <w:tcW w:w="3563" w:type="dxa"/>
            <w:tcBorders>
              <w:left w:val="single" w:color="auto" w:sz="4" w:space="0"/>
            </w:tcBorders>
            <w:vAlign w:val="center"/>
          </w:tcPr>
          <w:p w14:paraId="0697FF6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相对密度：（空气=1）1.19</w:t>
            </w:r>
          </w:p>
        </w:tc>
      </w:tr>
      <w:tr w14:paraId="61E84B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087707B6">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tcBorders>
              <w:top w:val="single" w:color="auto" w:sz="4" w:space="0"/>
              <w:left w:val="single" w:color="auto" w:sz="4" w:space="0"/>
              <w:bottom w:val="single" w:color="auto" w:sz="4" w:space="0"/>
              <w:right w:val="single" w:color="auto" w:sz="4" w:space="0"/>
            </w:tcBorders>
            <w:vAlign w:val="center"/>
          </w:tcPr>
          <w:p w14:paraId="2E10EA1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饱和蒸气</w:t>
            </w:r>
            <w:r>
              <w:rPr>
                <w:color w:val="000000" w:themeColor="text1"/>
                <w:sz w:val="21"/>
                <w:szCs w:val="21"/>
                <w:highlight w:val="none"/>
                <w14:textFill>
                  <w14:solidFill>
                    <w14:schemeClr w14:val="tx1"/>
                  </w14:solidFill>
                </w14:textFill>
              </w:rPr>
              <w:t>压（kPa）2026.5</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-24.5℃)</w:t>
            </w:r>
          </w:p>
        </w:tc>
        <w:tc>
          <w:tcPr>
            <w:tcW w:w="3563" w:type="dxa"/>
            <w:tcBorders>
              <w:left w:val="single" w:color="auto" w:sz="4" w:space="0"/>
            </w:tcBorders>
            <w:vAlign w:val="center"/>
          </w:tcPr>
          <w:p w14:paraId="5B1B612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禁忌物：前氧化剂、碱类</w:t>
            </w:r>
          </w:p>
        </w:tc>
      </w:tr>
      <w:tr w14:paraId="324F6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199E3F1C">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tcBorders>
              <w:top w:val="single" w:color="auto" w:sz="4" w:space="0"/>
              <w:left w:val="single" w:color="auto" w:sz="4" w:space="0"/>
              <w:bottom w:val="single" w:color="auto" w:sz="4" w:space="0"/>
              <w:right w:val="single" w:color="auto" w:sz="4" w:space="0"/>
            </w:tcBorders>
            <w:vAlign w:val="center"/>
          </w:tcPr>
          <w:p w14:paraId="1473C34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临界压力（MPa）：9.01</w:t>
            </w:r>
          </w:p>
        </w:tc>
        <w:tc>
          <w:tcPr>
            <w:tcW w:w="3563" w:type="dxa"/>
            <w:tcBorders>
              <w:left w:val="single" w:color="auto" w:sz="4" w:space="0"/>
            </w:tcBorders>
            <w:vAlign w:val="center"/>
          </w:tcPr>
          <w:p w14:paraId="6729166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临界温度(℃)：100.4</w:t>
            </w:r>
          </w:p>
        </w:tc>
      </w:tr>
      <w:tr w14:paraId="2AA6FC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1043BE91">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tcBorders>
              <w:top w:val="single" w:color="auto" w:sz="4" w:space="0"/>
              <w:left w:val="single" w:color="auto" w:sz="4" w:space="0"/>
              <w:bottom w:val="single" w:color="auto" w:sz="4" w:space="0"/>
              <w:right w:val="single" w:color="auto" w:sz="4" w:space="0"/>
            </w:tcBorders>
            <w:vAlign w:val="center"/>
          </w:tcPr>
          <w:p w14:paraId="25E425D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稳定性：稳定</w:t>
            </w:r>
          </w:p>
        </w:tc>
        <w:tc>
          <w:tcPr>
            <w:tcW w:w="3563" w:type="dxa"/>
            <w:tcBorders>
              <w:left w:val="single" w:color="auto" w:sz="4" w:space="0"/>
            </w:tcBorders>
            <w:vAlign w:val="center"/>
          </w:tcPr>
          <w:p w14:paraId="25608BA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聚合危害：不聚合</w:t>
            </w:r>
          </w:p>
        </w:tc>
      </w:tr>
      <w:tr w14:paraId="4F2ED4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restart"/>
            <w:tcBorders>
              <w:top w:val="single" w:color="auto" w:sz="4" w:space="0"/>
              <w:left w:val="single" w:color="auto" w:sz="4" w:space="0"/>
              <w:bottom w:val="single" w:color="auto" w:sz="4" w:space="0"/>
              <w:right w:val="single" w:color="auto" w:sz="4" w:space="0"/>
            </w:tcBorders>
            <w:vAlign w:val="center"/>
          </w:tcPr>
          <w:p w14:paraId="76EE689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危险 特性</w:t>
            </w:r>
          </w:p>
        </w:tc>
        <w:tc>
          <w:tcPr>
            <w:tcW w:w="4359" w:type="dxa"/>
            <w:gridSpan w:val="2"/>
            <w:tcBorders>
              <w:top w:val="single" w:color="auto" w:sz="4" w:space="0"/>
              <w:left w:val="single" w:color="auto" w:sz="4" w:space="0"/>
              <w:bottom w:val="single" w:color="auto" w:sz="4" w:space="0"/>
              <w:right w:val="single" w:color="auto" w:sz="4" w:space="0"/>
            </w:tcBorders>
            <w:vAlign w:val="center"/>
          </w:tcPr>
          <w:p w14:paraId="62B2555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危险性类别：第2.3类有毒气体</w:t>
            </w:r>
          </w:p>
        </w:tc>
        <w:tc>
          <w:tcPr>
            <w:tcW w:w="3563" w:type="dxa"/>
            <w:tcBorders>
              <w:left w:val="single" w:color="auto" w:sz="4" w:space="0"/>
            </w:tcBorders>
            <w:vAlign w:val="center"/>
          </w:tcPr>
          <w:p w14:paraId="7AFDA77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燃烧性：易燃</w:t>
            </w:r>
          </w:p>
        </w:tc>
      </w:tr>
      <w:tr w14:paraId="4F2E3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72621599">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tcBorders>
              <w:top w:val="single" w:color="auto" w:sz="4" w:space="0"/>
              <w:left w:val="single" w:color="auto" w:sz="4" w:space="0"/>
              <w:bottom w:val="single" w:color="auto" w:sz="4" w:space="0"/>
              <w:right w:val="single" w:color="auto" w:sz="4" w:space="0"/>
            </w:tcBorders>
            <w:vAlign w:val="center"/>
          </w:tcPr>
          <w:p w14:paraId="639B78B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引燃温度(℃)：260</w:t>
            </w:r>
          </w:p>
        </w:tc>
        <w:tc>
          <w:tcPr>
            <w:tcW w:w="3563" w:type="dxa"/>
            <w:tcBorders>
              <w:left w:val="single" w:color="auto" w:sz="4" w:space="0"/>
            </w:tcBorders>
            <w:vAlign w:val="center"/>
          </w:tcPr>
          <w:p w14:paraId="56ACF2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闪点(℃)：无意义</w:t>
            </w:r>
          </w:p>
        </w:tc>
      </w:tr>
      <w:tr w14:paraId="10E38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single" w:color="auto" w:sz="4" w:space="0"/>
              <w:left w:val="single" w:color="auto" w:sz="4" w:space="0"/>
              <w:bottom w:val="nil"/>
            </w:tcBorders>
            <w:vAlign w:val="center"/>
          </w:tcPr>
          <w:p w14:paraId="27BF5580">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tcBorders>
              <w:top w:val="single" w:color="auto" w:sz="4" w:space="0"/>
            </w:tcBorders>
            <w:vAlign w:val="center"/>
          </w:tcPr>
          <w:p w14:paraId="27AD48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爆炸下限（%）：4.0</w:t>
            </w:r>
          </w:p>
        </w:tc>
        <w:tc>
          <w:tcPr>
            <w:tcW w:w="3563" w:type="dxa"/>
            <w:vAlign w:val="center"/>
          </w:tcPr>
          <w:p w14:paraId="38D3B4E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爆炸上限（%）：46.0</w:t>
            </w:r>
          </w:p>
        </w:tc>
      </w:tr>
      <w:tr w14:paraId="5F0B1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nil"/>
              <w:left w:val="single" w:color="auto" w:sz="4" w:space="0"/>
              <w:bottom w:val="nil"/>
            </w:tcBorders>
            <w:vAlign w:val="center"/>
          </w:tcPr>
          <w:p w14:paraId="3D7E0AC3">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vAlign w:val="center"/>
          </w:tcPr>
          <w:p w14:paraId="3FB120C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最小点火能（MJ）：0.077</w:t>
            </w:r>
          </w:p>
        </w:tc>
        <w:tc>
          <w:tcPr>
            <w:tcW w:w="3563" w:type="dxa"/>
            <w:vAlign w:val="center"/>
          </w:tcPr>
          <w:p w14:paraId="22657CB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最大爆炸压力（MPa）：0.490</w:t>
            </w:r>
          </w:p>
        </w:tc>
      </w:tr>
      <w:tr w14:paraId="191474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nil"/>
              <w:left w:val="single" w:color="auto" w:sz="4" w:space="0"/>
              <w:bottom w:val="nil"/>
            </w:tcBorders>
            <w:vAlign w:val="center"/>
          </w:tcPr>
          <w:p w14:paraId="4E02B43A">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vAlign w:val="center"/>
          </w:tcPr>
          <w:p w14:paraId="7922A19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LC50:618mg/m3、（大鼠吸入）</w:t>
            </w:r>
          </w:p>
        </w:tc>
        <w:tc>
          <w:tcPr>
            <w:tcW w:w="3563" w:type="dxa"/>
            <w:vAlign w:val="center"/>
          </w:tcPr>
          <w:p w14:paraId="40F4FB3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燃烧热：无资料</w:t>
            </w:r>
          </w:p>
        </w:tc>
      </w:tr>
      <w:tr w14:paraId="739B3B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nil"/>
              <w:left w:val="single" w:color="auto" w:sz="4" w:space="0"/>
              <w:bottom w:val="nil"/>
            </w:tcBorders>
            <w:vAlign w:val="center"/>
          </w:tcPr>
          <w:p w14:paraId="3F48F906">
            <w:pPr>
              <w:spacing w:line="240" w:lineRule="auto"/>
              <w:jc w:val="center"/>
              <w:rPr>
                <w:b/>
                <w:bCs/>
                <w:color w:val="000000" w:themeColor="text1"/>
                <w:sz w:val="21"/>
                <w:szCs w:val="21"/>
                <w:highlight w:val="none"/>
                <w14:textFill>
                  <w14:solidFill>
                    <w14:schemeClr w14:val="tx1"/>
                  </w14:solidFill>
                </w14:textFill>
              </w:rPr>
            </w:pPr>
          </w:p>
        </w:tc>
        <w:tc>
          <w:tcPr>
            <w:tcW w:w="4359" w:type="dxa"/>
            <w:gridSpan w:val="2"/>
            <w:vAlign w:val="center"/>
          </w:tcPr>
          <w:p w14:paraId="66CA757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辛酸/水分配系数的对数值：无资料</w:t>
            </w:r>
          </w:p>
        </w:tc>
        <w:tc>
          <w:tcPr>
            <w:tcW w:w="3563" w:type="dxa"/>
            <w:vAlign w:val="center"/>
          </w:tcPr>
          <w:p w14:paraId="7D1BE93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燃烧（分解）产物：硫氧化物</w:t>
            </w:r>
          </w:p>
        </w:tc>
      </w:tr>
      <w:tr w14:paraId="334DBA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nil"/>
              <w:left w:val="single" w:color="auto" w:sz="4" w:space="0"/>
              <w:bottom w:val="single" w:color="auto" w:sz="4" w:space="0"/>
            </w:tcBorders>
            <w:vAlign w:val="center"/>
          </w:tcPr>
          <w:p w14:paraId="52845CE6">
            <w:pPr>
              <w:spacing w:line="240" w:lineRule="auto"/>
              <w:jc w:val="center"/>
              <w:rPr>
                <w:b/>
                <w:bCs/>
                <w:color w:val="000000" w:themeColor="text1"/>
                <w:sz w:val="21"/>
                <w:szCs w:val="21"/>
                <w:highlight w:val="none"/>
                <w14:textFill>
                  <w14:solidFill>
                    <w14:schemeClr w14:val="tx1"/>
                  </w14:solidFill>
                </w14:textFill>
              </w:rPr>
            </w:pPr>
          </w:p>
        </w:tc>
        <w:tc>
          <w:tcPr>
            <w:tcW w:w="7922" w:type="dxa"/>
            <w:gridSpan w:val="3"/>
            <w:tcBorders>
              <w:bottom w:val="single" w:color="auto" w:sz="4" w:space="0"/>
            </w:tcBorders>
            <w:vAlign w:val="center"/>
          </w:tcPr>
          <w:p w14:paraId="0087D6E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危险特性：与空气混合能形成爆炸性混合物，遇明火、高热能引起燃烧爆炸。与浓硝酸、发烟硝酸</w:t>
            </w:r>
            <w:r>
              <w:rPr>
                <w:rFonts w:hint="eastAsia"/>
                <w:color w:val="000000" w:themeColor="text1"/>
                <w:sz w:val="21"/>
                <w:szCs w:val="21"/>
                <w:highlight w:val="none"/>
                <w14:textFill>
                  <w14:solidFill>
                    <w14:schemeClr w14:val="tx1"/>
                  </w14:solidFill>
                </w14:textFill>
              </w:rPr>
              <w:t>或其他</w:t>
            </w:r>
            <w:r>
              <w:rPr>
                <w:color w:val="000000" w:themeColor="text1"/>
                <w:sz w:val="21"/>
                <w:szCs w:val="21"/>
                <w:highlight w:val="none"/>
                <w14:textFill>
                  <w14:solidFill>
                    <w14:schemeClr w14:val="tx1"/>
                  </w14:solidFill>
                </w14:textFill>
              </w:rPr>
              <w:t>强氧化剂剧烈反应，发生爆炸。气体比空气重，能在较低处扩散到相当远的地方，遇明火会引着回燃</w:t>
            </w:r>
          </w:p>
        </w:tc>
      </w:tr>
      <w:tr w14:paraId="29F06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706A56AA">
            <w:pPr>
              <w:spacing w:line="240" w:lineRule="auto"/>
              <w:jc w:val="center"/>
              <w:rPr>
                <w:b/>
                <w:bCs/>
                <w:color w:val="000000" w:themeColor="text1"/>
                <w:sz w:val="21"/>
                <w:szCs w:val="21"/>
                <w:highlight w:val="none"/>
                <w14:textFill>
                  <w14:solidFill>
                    <w14:schemeClr w14:val="tx1"/>
                  </w14:solidFill>
                </w14:textFill>
              </w:rPr>
            </w:pPr>
          </w:p>
        </w:tc>
        <w:tc>
          <w:tcPr>
            <w:tcW w:w="7922" w:type="dxa"/>
            <w:gridSpan w:val="3"/>
            <w:tcBorders>
              <w:top w:val="single" w:color="auto" w:sz="4" w:space="0"/>
              <w:left w:val="single" w:color="auto" w:sz="4" w:space="0"/>
              <w:bottom w:val="single" w:color="auto" w:sz="4" w:space="0"/>
              <w:right w:val="single" w:color="auto" w:sz="4" w:space="0"/>
            </w:tcBorders>
            <w:vAlign w:val="center"/>
          </w:tcPr>
          <w:p w14:paraId="6EE4AB4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灭火方法：消防人员必须穿戴全身防火防毒服。切断气源。若不能切断气源，则不允许熄灭正在燃烧的气体，喷水冷却容器，可能的话将容器从火场移至空旷处</w:t>
            </w:r>
          </w:p>
        </w:tc>
      </w:tr>
      <w:tr w14:paraId="04ED36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single" w:color="auto" w:sz="4" w:space="0"/>
              <w:left w:val="single" w:color="auto" w:sz="4" w:space="0"/>
              <w:bottom w:val="single" w:color="auto" w:sz="4" w:space="0"/>
              <w:right w:val="single" w:color="auto" w:sz="4" w:space="0"/>
            </w:tcBorders>
            <w:vAlign w:val="center"/>
          </w:tcPr>
          <w:p w14:paraId="42BFA8E7">
            <w:pPr>
              <w:spacing w:line="240" w:lineRule="auto"/>
              <w:jc w:val="center"/>
              <w:rPr>
                <w:b/>
                <w:bCs/>
                <w:color w:val="000000" w:themeColor="text1"/>
                <w:sz w:val="21"/>
                <w:szCs w:val="21"/>
                <w:highlight w:val="none"/>
                <w14:textFill>
                  <w14:solidFill>
                    <w14:schemeClr w14:val="tx1"/>
                  </w14:solidFill>
                </w14:textFill>
              </w:rPr>
            </w:pPr>
          </w:p>
        </w:tc>
        <w:tc>
          <w:tcPr>
            <w:tcW w:w="7922" w:type="dxa"/>
            <w:gridSpan w:val="3"/>
            <w:tcBorders>
              <w:top w:val="single" w:color="auto" w:sz="4" w:space="0"/>
              <w:left w:val="single" w:color="auto" w:sz="4" w:space="0"/>
              <w:bottom w:val="single" w:color="auto" w:sz="4" w:space="0"/>
              <w:right w:val="single" w:color="auto" w:sz="4" w:space="0"/>
            </w:tcBorders>
            <w:vAlign w:val="center"/>
          </w:tcPr>
          <w:p w14:paraId="109767F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灭火剂：雾状水、抗溶性泡沫、干粉</w:t>
            </w:r>
          </w:p>
        </w:tc>
      </w:tr>
      <w:tr w14:paraId="501E2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restart"/>
            <w:tcBorders>
              <w:top w:val="single" w:color="auto" w:sz="4" w:space="0"/>
              <w:left w:val="single" w:color="auto" w:sz="4" w:space="0"/>
              <w:bottom w:val="single" w:color="auto" w:sz="4" w:space="0"/>
              <w:right w:val="single" w:color="auto" w:sz="4" w:space="0"/>
            </w:tcBorders>
            <w:vAlign w:val="center"/>
          </w:tcPr>
          <w:p w14:paraId="28A5E75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健康危害</w:t>
            </w:r>
          </w:p>
        </w:tc>
        <w:tc>
          <w:tcPr>
            <w:tcW w:w="7922" w:type="dxa"/>
            <w:gridSpan w:val="3"/>
            <w:tcBorders>
              <w:top w:val="single" w:color="auto" w:sz="4" w:space="0"/>
              <w:left w:val="single" w:color="auto" w:sz="4" w:space="0"/>
              <w:bottom w:val="single" w:color="auto" w:sz="4" w:space="0"/>
              <w:right w:val="single" w:color="auto" w:sz="4" w:space="0"/>
            </w:tcBorders>
            <w:vAlign w:val="center"/>
          </w:tcPr>
          <w:p w14:paraId="2F2B1BB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侵入途径：吸入</w:t>
            </w:r>
          </w:p>
        </w:tc>
      </w:tr>
      <w:tr w14:paraId="3C03B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single" w:color="auto" w:sz="4" w:space="0"/>
              <w:left w:val="single" w:color="auto" w:sz="4" w:space="0"/>
              <w:bottom w:val="nil"/>
            </w:tcBorders>
            <w:vAlign w:val="center"/>
          </w:tcPr>
          <w:p w14:paraId="5E46FC74">
            <w:pPr>
              <w:spacing w:line="240" w:lineRule="auto"/>
              <w:jc w:val="center"/>
              <w:rPr>
                <w:color w:val="000000" w:themeColor="text1"/>
                <w:sz w:val="21"/>
                <w:szCs w:val="21"/>
                <w:highlight w:val="none"/>
                <w14:textFill>
                  <w14:solidFill>
                    <w14:schemeClr w14:val="tx1"/>
                  </w14:solidFill>
                </w14:textFill>
              </w:rPr>
            </w:pPr>
          </w:p>
        </w:tc>
        <w:tc>
          <w:tcPr>
            <w:tcW w:w="7922" w:type="dxa"/>
            <w:gridSpan w:val="3"/>
            <w:tcBorders>
              <w:top w:val="single" w:color="auto" w:sz="4" w:space="0"/>
            </w:tcBorders>
            <w:vAlign w:val="center"/>
          </w:tcPr>
          <w:p w14:paraId="1409349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健康危害：本品是强烈的神经毒物，对</w:t>
            </w:r>
            <w:r>
              <w:rPr>
                <w:rFonts w:hint="eastAsia"/>
                <w:color w:val="000000" w:themeColor="text1"/>
                <w:sz w:val="21"/>
                <w:szCs w:val="21"/>
                <w:highlight w:val="none"/>
                <w14:textFill>
                  <w14:solidFill>
                    <w14:schemeClr w14:val="tx1"/>
                  </w14:solidFill>
                </w14:textFill>
              </w:rPr>
              <w:t>黏膜</w:t>
            </w:r>
            <w:r>
              <w:rPr>
                <w:color w:val="000000" w:themeColor="text1"/>
                <w:sz w:val="21"/>
                <w:szCs w:val="21"/>
                <w:highlight w:val="none"/>
                <w14:textFill>
                  <w14:solidFill>
                    <w14:schemeClr w14:val="tx1"/>
                  </w14:solidFill>
                </w14:textFill>
              </w:rPr>
              <w:t>有强烈刺激作用</w:t>
            </w:r>
          </w:p>
        </w:tc>
      </w:tr>
      <w:tr w14:paraId="45A21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nil"/>
              <w:left w:val="single" w:color="auto" w:sz="4" w:space="0"/>
              <w:bottom w:val="nil"/>
            </w:tcBorders>
            <w:vAlign w:val="center"/>
          </w:tcPr>
          <w:p w14:paraId="61C6A5BF">
            <w:pPr>
              <w:spacing w:line="240" w:lineRule="auto"/>
              <w:jc w:val="center"/>
              <w:rPr>
                <w:color w:val="000000" w:themeColor="text1"/>
                <w:sz w:val="21"/>
                <w:szCs w:val="21"/>
                <w:highlight w:val="none"/>
                <w14:textFill>
                  <w14:solidFill>
                    <w14:schemeClr w14:val="tx1"/>
                  </w14:solidFill>
                </w14:textFill>
              </w:rPr>
            </w:pPr>
          </w:p>
        </w:tc>
        <w:tc>
          <w:tcPr>
            <w:tcW w:w="7922" w:type="dxa"/>
            <w:gridSpan w:val="3"/>
            <w:vAlign w:val="center"/>
          </w:tcPr>
          <w:p w14:paraId="154207E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急性中毒：短期内吸入高浓度硫化氢后出现流泪、眼痛、眼内异物感、畏光、视物模糊、流涕、咽喉部灼热感、咳嗽、胸闷、头痛、乏力、意识模糊等。部分患者可有心肌损害。重者可出现脑水肿、肺水肿。极高浓度（1000mg/m 以上）然时可在</w:t>
            </w:r>
            <w:r>
              <w:rPr>
                <w:rFonts w:hint="eastAsia"/>
                <w:color w:val="000000" w:themeColor="text1"/>
                <w:sz w:val="21"/>
                <w:szCs w:val="21"/>
                <w:highlight w:val="none"/>
                <w14:textFill>
                  <w14:solidFill>
                    <w14:schemeClr w14:val="tx1"/>
                  </w14:solidFill>
                </w14:textFill>
              </w:rPr>
              <w:t>数秒钟内</w:t>
            </w:r>
            <w:r>
              <w:rPr>
                <w:color w:val="000000" w:themeColor="text1"/>
                <w:sz w:val="21"/>
                <w:szCs w:val="21"/>
                <w:highlight w:val="none"/>
                <w14:textFill>
                  <w14:solidFill>
                    <w14:schemeClr w14:val="tx1"/>
                  </w14:solidFill>
                </w14:textFill>
              </w:rPr>
              <w:t>突然昏迷，呼吸和心跳骤停，发生闪电型死亡。高浓度接触眼结膜发生水肿和</w:t>
            </w:r>
            <w:r>
              <w:rPr>
                <w:rFonts w:hint="eastAsia"/>
                <w:color w:val="000000" w:themeColor="text1"/>
                <w:sz w:val="21"/>
                <w:szCs w:val="21"/>
                <w:highlight w:val="none"/>
                <w14:textFill>
                  <w14:solidFill>
                    <w14:schemeClr w14:val="tx1"/>
                  </w14:solidFill>
                </w14:textFill>
              </w:rPr>
              <w:t>角膜溃疡</w:t>
            </w:r>
            <w:r>
              <w:rPr>
                <w:color w:val="000000" w:themeColor="text1"/>
                <w:sz w:val="21"/>
                <w:szCs w:val="21"/>
                <w:highlight w:val="none"/>
                <w14:textFill>
                  <w14:solidFill>
                    <w14:schemeClr w14:val="tx1"/>
                  </w14:solidFill>
                </w14:textFill>
              </w:rPr>
              <w:t>，长期低浓度接触，引起</w:t>
            </w:r>
            <w:r>
              <w:rPr>
                <w:rFonts w:hint="eastAsia"/>
                <w:color w:val="000000" w:themeColor="text1"/>
                <w:sz w:val="21"/>
                <w:szCs w:val="21"/>
                <w:highlight w:val="none"/>
                <w14:textFill>
                  <w14:solidFill>
                    <w14:schemeClr w14:val="tx1"/>
                  </w14:solidFill>
                </w14:textFill>
              </w:rPr>
              <w:t>神经衰弱综合征</w:t>
            </w:r>
            <w:r>
              <w:rPr>
                <w:color w:val="000000" w:themeColor="text1"/>
                <w:sz w:val="21"/>
                <w:szCs w:val="21"/>
                <w:highlight w:val="none"/>
                <w14:textFill>
                  <w14:solidFill>
                    <w14:schemeClr w14:val="tx1"/>
                  </w14:solidFill>
                </w14:textFill>
              </w:rPr>
              <w:t>和</w:t>
            </w:r>
            <w:r>
              <w:rPr>
                <w:rFonts w:hint="eastAsia"/>
                <w:color w:val="000000" w:themeColor="text1"/>
                <w:sz w:val="21"/>
                <w:szCs w:val="21"/>
                <w:highlight w:val="none"/>
                <w14:textFill>
                  <w14:solidFill>
                    <w14:schemeClr w14:val="tx1"/>
                  </w14:solidFill>
                </w14:textFill>
              </w:rPr>
              <w:t>自主神经</w:t>
            </w:r>
            <w:r>
              <w:rPr>
                <w:color w:val="000000" w:themeColor="text1"/>
                <w:sz w:val="21"/>
                <w:szCs w:val="21"/>
                <w:highlight w:val="none"/>
                <w14:textFill>
                  <w14:solidFill>
                    <w14:schemeClr w14:val="tx1"/>
                  </w14:solidFill>
                </w14:textFill>
              </w:rPr>
              <w:t>功能紊乱。</w:t>
            </w:r>
          </w:p>
        </w:tc>
      </w:tr>
      <w:tr w14:paraId="2935C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9" w:type="dxa"/>
            <w:vMerge w:val="continue"/>
            <w:tcBorders>
              <w:top w:val="nil"/>
              <w:left w:val="single" w:color="auto" w:sz="4" w:space="0"/>
            </w:tcBorders>
            <w:vAlign w:val="center"/>
          </w:tcPr>
          <w:p w14:paraId="5CB34DCE">
            <w:pPr>
              <w:spacing w:line="240" w:lineRule="auto"/>
              <w:jc w:val="center"/>
              <w:rPr>
                <w:color w:val="000000" w:themeColor="text1"/>
                <w:sz w:val="21"/>
                <w:szCs w:val="21"/>
                <w:highlight w:val="none"/>
                <w14:textFill>
                  <w14:solidFill>
                    <w14:schemeClr w14:val="tx1"/>
                  </w14:solidFill>
                </w14:textFill>
              </w:rPr>
            </w:pPr>
          </w:p>
        </w:tc>
        <w:tc>
          <w:tcPr>
            <w:tcW w:w="7922" w:type="dxa"/>
            <w:gridSpan w:val="3"/>
            <w:vAlign w:val="center"/>
          </w:tcPr>
          <w:p w14:paraId="59A1768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工作场所最高允许浓度：中国MAC= 10mg/m3</w:t>
            </w:r>
          </w:p>
        </w:tc>
      </w:tr>
    </w:tbl>
    <w:p w14:paraId="5577674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w:t>
      </w:r>
      <w:r>
        <w:rPr>
          <w:rFonts w:hint="eastAsia"/>
          <w:b/>
          <w:bCs/>
          <w:color w:val="000000" w:themeColor="text1"/>
          <w:sz w:val="21"/>
          <w:szCs w:val="21"/>
          <w:highlight w:val="none"/>
          <w:lang w:val="en-US" w:eastAsia="zh-CN"/>
          <w14:textFill>
            <w14:solidFill>
              <w14:schemeClr w14:val="tx1"/>
            </w14:solidFill>
          </w14:textFill>
        </w:rPr>
        <w:t>31</w:t>
      </w:r>
      <w:r>
        <w:rPr>
          <w:b/>
          <w:bCs/>
          <w:color w:val="000000" w:themeColor="text1"/>
          <w:sz w:val="21"/>
          <w:szCs w:val="21"/>
          <w:highlight w:val="none"/>
          <w14:textFill>
            <w14:solidFill>
              <w14:schemeClr w14:val="tx1"/>
            </w14:solidFill>
          </w14:textFill>
        </w:rPr>
        <w:t xml:space="preserve">  氨理化性质及危险特性</w:t>
      </w:r>
    </w:p>
    <w:tbl>
      <w:tblPr>
        <w:tblStyle w:val="58"/>
        <w:tblW w:w="8521"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8"/>
        <w:gridCol w:w="2308"/>
        <w:gridCol w:w="2055"/>
        <w:gridCol w:w="3570"/>
      </w:tblGrid>
      <w:tr w14:paraId="4F72C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88" w:type="dxa"/>
            <w:vMerge w:val="restart"/>
            <w:tcBorders>
              <w:bottom w:val="nil"/>
            </w:tcBorders>
            <w:vAlign w:val="center"/>
          </w:tcPr>
          <w:p w14:paraId="657FEE2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标识</w:t>
            </w:r>
          </w:p>
        </w:tc>
        <w:tc>
          <w:tcPr>
            <w:tcW w:w="4363" w:type="dxa"/>
            <w:gridSpan w:val="2"/>
            <w:vAlign w:val="center"/>
          </w:tcPr>
          <w:p w14:paraId="30E2C82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中文名：氨气</w:t>
            </w:r>
          </w:p>
        </w:tc>
        <w:tc>
          <w:tcPr>
            <w:tcW w:w="3570" w:type="dxa"/>
            <w:vAlign w:val="center"/>
          </w:tcPr>
          <w:p w14:paraId="7A514A0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英文名：Ammonia</w:t>
            </w:r>
          </w:p>
        </w:tc>
      </w:tr>
      <w:tr w14:paraId="72BC43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37A5B164">
            <w:pPr>
              <w:spacing w:line="240" w:lineRule="auto"/>
              <w:jc w:val="center"/>
              <w:rPr>
                <w:b/>
                <w:bCs/>
                <w:color w:val="000000" w:themeColor="text1"/>
                <w:sz w:val="21"/>
                <w:szCs w:val="21"/>
                <w:highlight w:val="none"/>
                <w14:textFill>
                  <w14:solidFill>
                    <w14:schemeClr w14:val="tx1"/>
                  </w14:solidFill>
                </w14:textFill>
              </w:rPr>
            </w:pPr>
          </w:p>
        </w:tc>
        <w:tc>
          <w:tcPr>
            <w:tcW w:w="4363" w:type="dxa"/>
            <w:gridSpan w:val="2"/>
            <w:vAlign w:val="center"/>
          </w:tcPr>
          <w:p w14:paraId="057206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分子式：NH</w:t>
            </w:r>
            <w:r>
              <w:rPr>
                <w:color w:val="000000" w:themeColor="text1"/>
                <w:sz w:val="21"/>
                <w:szCs w:val="21"/>
                <w:highlight w:val="none"/>
                <w:vertAlign w:val="subscript"/>
                <w14:textFill>
                  <w14:solidFill>
                    <w14:schemeClr w14:val="tx1"/>
                  </w14:solidFill>
                </w14:textFill>
              </w:rPr>
              <w:t>3</w:t>
            </w:r>
          </w:p>
        </w:tc>
        <w:tc>
          <w:tcPr>
            <w:tcW w:w="3570" w:type="dxa"/>
            <w:vAlign w:val="center"/>
          </w:tcPr>
          <w:p w14:paraId="3162775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分子量：17.03</w:t>
            </w:r>
          </w:p>
        </w:tc>
      </w:tr>
      <w:tr w14:paraId="2FECCD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tcBorders>
            <w:vAlign w:val="center"/>
          </w:tcPr>
          <w:p w14:paraId="6D57E3D2">
            <w:pPr>
              <w:spacing w:line="240" w:lineRule="auto"/>
              <w:jc w:val="center"/>
              <w:rPr>
                <w:b/>
                <w:bCs/>
                <w:color w:val="000000" w:themeColor="text1"/>
                <w:sz w:val="21"/>
                <w:szCs w:val="21"/>
                <w:highlight w:val="none"/>
                <w14:textFill>
                  <w14:solidFill>
                    <w14:schemeClr w14:val="tx1"/>
                  </w14:solidFill>
                </w14:textFill>
              </w:rPr>
            </w:pPr>
          </w:p>
        </w:tc>
        <w:tc>
          <w:tcPr>
            <w:tcW w:w="2308" w:type="dxa"/>
            <w:vAlign w:val="center"/>
          </w:tcPr>
          <w:p w14:paraId="712ED50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危规号：23003</w:t>
            </w:r>
          </w:p>
        </w:tc>
        <w:tc>
          <w:tcPr>
            <w:tcW w:w="2055" w:type="dxa"/>
            <w:vAlign w:val="center"/>
          </w:tcPr>
          <w:p w14:paraId="6F65C5A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UN编号：1005</w:t>
            </w:r>
          </w:p>
        </w:tc>
        <w:tc>
          <w:tcPr>
            <w:tcW w:w="3570" w:type="dxa"/>
            <w:vAlign w:val="center"/>
          </w:tcPr>
          <w:p w14:paraId="0CC94E4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CAS号：7664-41-7</w:t>
            </w:r>
          </w:p>
        </w:tc>
      </w:tr>
      <w:tr w14:paraId="2295A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8" w:type="dxa"/>
            <w:vMerge w:val="restart"/>
            <w:tcBorders>
              <w:bottom w:val="nil"/>
            </w:tcBorders>
            <w:vAlign w:val="center"/>
          </w:tcPr>
          <w:p w14:paraId="303093F4">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理化性质</w:t>
            </w:r>
          </w:p>
        </w:tc>
        <w:tc>
          <w:tcPr>
            <w:tcW w:w="4363" w:type="dxa"/>
            <w:gridSpan w:val="2"/>
            <w:vAlign w:val="center"/>
          </w:tcPr>
          <w:p w14:paraId="37FFE0B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外观与形状：无色有刺激性恶臭气体，在适当压力下可液化成液氮</w:t>
            </w:r>
          </w:p>
        </w:tc>
        <w:tc>
          <w:tcPr>
            <w:tcW w:w="3570" w:type="dxa"/>
            <w:vAlign w:val="center"/>
          </w:tcPr>
          <w:p w14:paraId="4F2CD44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溶解性：易溶于水、乙醇</w:t>
            </w:r>
          </w:p>
        </w:tc>
      </w:tr>
      <w:tr w14:paraId="18471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79CA8CED">
            <w:pPr>
              <w:spacing w:line="240" w:lineRule="auto"/>
              <w:jc w:val="center"/>
              <w:rPr>
                <w:b/>
                <w:bCs/>
                <w:color w:val="000000" w:themeColor="text1"/>
                <w:sz w:val="21"/>
                <w:szCs w:val="21"/>
                <w:highlight w:val="none"/>
                <w14:textFill>
                  <w14:solidFill>
                    <w14:schemeClr w14:val="tx1"/>
                  </w14:solidFill>
                </w14:textFill>
              </w:rPr>
            </w:pPr>
          </w:p>
        </w:tc>
        <w:tc>
          <w:tcPr>
            <w:tcW w:w="4363" w:type="dxa"/>
            <w:gridSpan w:val="2"/>
            <w:vAlign w:val="center"/>
          </w:tcPr>
          <w:p w14:paraId="4EDF9EF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熔点(℃)：-77.4</w:t>
            </w:r>
          </w:p>
        </w:tc>
        <w:tc>
          <w:tcPr>
            <w:tcW w:w="3570" w:type="dxa"/>
            <w:vAlign w:val="center"/>
          </w:tcPr>
          <w:p w14:paraId="48465A9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沸点(℃)：-33.5</w:t>
            </w:r>
          </w:p>
        </w:tc>
      </w:tr>
      <w:tr w14:paraId="2C5A9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0F0426AA">
            <w:pPr>
              <w:spacing w:line="240" w:lineRule="auto"/>
              <w:jc w:val="center"/>
              <w:rPr>
                <w:b/>
                <w:bCs/>
                <w:color w:val="000000" w:themeColor="text1"/>
                <w:sz w:val="21"/>
                <w:szCs w:val="21"/>
                <w:highlight w:val="none"/>
                <w14:textFill>
                  <w14:solidFill>
                    <w14:schemeClr w14:val="tx1"/>
                  </w14:solidFill>
                </w14:textFill>
              </w:rPr>
            </w:pPr>
          </w:p>
        </w:tc>
        <w:tc>
          <w:tcPr>
            <w:tcW w:w="4363" w:type="dxa"/>
            <w:gridSpan w:val="2"/>
            <w:vAlign w:val="center"/>
          </w:tcPr>
          <w:p w14:paraId="33622A2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相对密度：（水=1）0.82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-79℃)</w:t>
            </w:r>
          </w:p>
        </w:tc>
        <w:tc>
          <w:tcPr>
            <w:tcW w:w="3570" w:type="dxa"/>
            <w:vAlign w:val="center"/>
          </w:tcPr>
          <w:p w14:paraId="61371E4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相对密度：（空气=1）0.6</w:t>
            </w:r>
          </w:p>
        </w:tc>
      </w:tr>
      <w:tr w14:paraId="151959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88" w:type="dxa"/>
            <w:vMerge w:val="continue"/>
            <w:tcBorders>
              <w:top w:val="nil"/>
              <w:bottom w:val="nil"/>
            </w:tcBorders>
            <w:vAlign w:val="center"/>
          </w:tcPr>
          <w:p w14:paraId="31757E06">
            <w:pPr>
              <w:spacing w:line="240" w:lineRule="auto"/>
              <w:jc w:val="center"/>
              <w:rPr>
                <w:b/>
                <w:bCs/>
                <w:color w:val="000000" w:themeColor="text1"/>
                <w:sz w:val="21"/>
                <w:szCs w:val="21"/>
                <w:highlight w:val="none"/>
                <w14:textFill>
                  <w14:solidFill>
                    <w14:schemeClr w14:val="tx1"/>
                  </w14:solidFill>
                </w14:textFill>
              </w:rPr>
            </w:pPr>
          </w:p>
        </w:tc>
        <w:tc>
          <w:tcPr>
            <w:tcW w:w="4363" w:type="dxa"/>
            <w:gridSpan w:val="2"/>
            <w:vAlign w:val="center"/>
          </w:tcPr>
          <w:p w14:paraId="4861E10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饱和蒸气</w:t>
            </w:r>
            <w:r>
              <w:rPr>
                <w:color w:val="000000" w:themeColor="text1"/>
                <w:sz w:val="21"/>
                <w:szCs w:val="21"/>
                <w:highlight w:val="none"/>
                <w14:textFill>
                  <w14:solidFill>
                    <w14:schemeClr w14:val="tx1"/>
                  </w14:solidFill>
                </w14:textFill>
              </w:rPr>
              <w:t>压（kPa）506.62</w:t>
            </w:r>
            <w:r>
              <w:rPr>
                <w:rFonts w:hint="eastAsia"/>
                <w:color w:val="000000" w:themeColor="text1"/>
                <w:sz w:val="21"/>
                <w:szCs w:val="21"/>
                <w:highlight w:val="none"/>
                <w14:textFill>
                  <w14:solidFill>
                    <w14:schemeClr w14:val="tx1"/>
                  </w14:solidFill>
                </w14:textFill>
              </w:rPr>
              <w:t>(</w:t>
            </w:r>
            <w:r>
              <w:rPr>
                <w:color w:val="000000" w:themeColor="text1"/>
                <w:sz w:val="21"/>
                <w:szCs w:val="21"/>
                <w:highlight w:val="none"/>
                <w14:textFill>
                  <w14:solidFill>
                    <w14:schemeClr w14:val="tx1"/>
                  </w14:solidFill>
                </w14:textFill>
              </w:rPr>
              <w:t>4.7℃)</w:t>
            </w:r>
          </w:p>
        </w:tc>
        <w:tc>
          <w:tcPr>
            <w:tcW w:w="3570" w:type="dxa"/>
            <w:vAlign w:val="center"/>
          </w:tcPr>
          <w:p w14:paraId="5796817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禁忌物：卤素、酰基氯、酸类、氯仿、强氧化剂</w:t>
            </w:r>
          </w:p>
        </w:tc>
      </w:tr>
      <w:tr w14:paraId="5F7945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653CC544">
            <w:pPr>
              <w:spacing w:line="240" w:lineRule="auto"/>
              <w:jc w:val="center"/>
              <w:rPr>
                <w:b/>
                <w:bCs/>
                <w:color w:val="000000" w:themeColor="text1"/>
                <w:sz w:val="21"/>
                <w:szCs w:val="21"/>
                <w:highlight w:val="none"/>
                <w14:textFill>
                  <w14:solidFill>
                    <w14:schemeClr w14:val="tx1"/>
                  </w14:solidFill>
                </w14:textFill>
              </w:rPr>
            </w:pPr>
          </w:p>
        </w:tc>
        <w:tc>
          <w:tcPr>
            <w:tcW w:w="4363" w:type="dxa"/>
            <w:gridSpan w:val="2"/>
            <w:vAlign w:val="center"/>
          </w:tcPr>
          <w:p w14:paraId="56E2F7F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临界压力（MPa）：11.4</w:t>
            </w:r>
          </w:p>
        </w:tc>
        <w:tc>
          <w:tcPr>
            <w:tcW w:w="3570" w:type="dxa"/>
            <w:vAlign w:val="center"/>
          </w:tcPr>
          <w:p w14:paraId="5C09833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临界温度(℃)：132.4</w:t>
            </w:r>
          </w:p>
        </w:tc>
      </w:tr>
      <w:tr w14:paraId="44285D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tcBorders>
            <w:vAlign w:val="center"/>
          </w:tcPr>
          <w:p w14:paraId="6A7DAFCB">
            <w:pPr>
              <w:spacing w:line="240" w:lineRule="auto"/>
              <w:jc w:val="center"/>
              <w:rPr>
                <w:b/>
                <w:bCs/>
                <w:color w:val="000000" w:themeColor="text1"/>
                <w:sz w:val="21"/>
                <w:szCs w:val="21"/>
                <w:highlight w:val="none"/>
                <w14:textFill>
                  <w14:solidFill>
                    <w14:schemeClr w14:val="tx1"/>
                  </w14:solidFill>
                </w14:textFill>
              </w:rPr>
            </w:pPr>
          </w:p>
        </w:tc>
        <w:tc>
          <w:tcPr>
            <w:tcW w:w="4363" w:type="dxa"/>
            <w:gridSpan w:val="2"/>
            <w:vAlign w:val="center"/>
          </w:tcPr>
          <w:p w14:paraId="5C92E65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稳定性：稳定</w:t>
            </w:r>
          </w:p>
        </w:tc>
        <w:tc>
          <w:tcPr>
            <w:tcW w:w="3570" w:type="dxa"/>
            <w:vAlign w:val="center"/>
          </w:tcPr>
          <w:p w14:paraId="526E593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聚合危害：无资料</w:t>
            </w:r>
          </w:p>
        </w:tc>
      </w:tr>
      <w:tr w14:paraId="41BBC7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restart"/>
            <w:tcBorders>
              <w:bottom w:val="nil"/>
            </w:tcBorders>
            <w:vAlign w:val="center"/>
          </w:tcPr>
          <w:p w14:paraId="4CC4E25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危险特性</w:t>
            </w:r>
          </w:p>
        </w:tc>
        <w:tc>
          <w:tcPr>
            <w:tcW w:w="4363" w:type="dxa"/>
            <w:gridSpan w:val="2"/>
            <w:vAlign w:val="center"/>
          </w:tcPr>
          <w:p w14:paraId="5A008C9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危险性类别：第2.3类有毒气体</w:t>
            </w:r>
          </w:p>
        </w:tc>
        <w:tc>
          <w:tcPr>
            <w:tcW w:w="3570" w:type="dxa"/>
            <w:vAlign w:val="center"/>
          </w:tcPr>
          <w:p w14:paraId="0A9AEC9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燃烧性：可燃</w:t>
            </w:r>
          </w:p>
        </w:tc>
      </w:tr>
      <w:tr w14:paraId="7B9282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7C7FC526">
            <w:pPr>
              <w:spacing w:line="240" w:lineRule="auto"/>
              <w:jc w:val="center"/>
              <w:rPr>
                <w:b/>
                <w:bCs/>
                <w:color w:val="000000" w:themeColor="text1"/>
                <w:sz w:val="21"/>
                <w:szCs w:val="21"/>
                <w:highlight w:val="none"/>
                <w14:textFill>
                  <w14:solidFill>
                    <w14:schemeClr w14:val="tx1"/>
                  </w14:solidFill>
                </w14:textFill>
              </w:rPr>
            </w:pPr>
          </w:p>
        </w:tc>
        <w:tc>
          <w:tcPr>
            <w:tcW w:w="4363" w:type="dxa"/>
            <w:gridSpan w:val="2"/>
            <w:vAlign w:val="center"/>
          </w:tcPr>
          <w:p w14:paraId="7B277D0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引燃温度(℃)：651</w:t>
            </w:r>
          </w:p>
        </w:tc>
        <w:tc>
          <w:tcPr>
            <w:tcW w:w="3570" w:type="dxa"/>
            <w:vAlign w:val="center"/>
          </w:tcPr>
          <w:p w14:paraId="04A932F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闪点(℃)：无意义</w:t>
            </w:r>
          </w:p>
        </w:tc>
      </w:tr>
      <w:tr w14:paraId="41F6F9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540D2675">
            <w:pPr>
              <w:spacing w:line="240" w:lineRule="auto"/>
              <w:jc w:val="center"/>
              <w:rPr>
                <w:b/>
                <w:bCs/>
                <w:color w:val="000000" w:themeColor="text1"/>
                <w:sz w:val="21"/>
                <w:szCs w:val="21"/>
                <w:highlight w:val="none"/>
                <w14:textFill>
                  <w14:solidFill>
                    <w14:schemeClr w14:val="tx1"/>
                  </w14:solidFill>
                </w14:textFill>
              </w:rPr>
            </w:pPr>
          </w:p>
        </w:tc>
        <w:tc>
          <w:tcPr>
            <w:tcW w:w="4363" w:type="dxa"/>
            <w:gridSpan w:val="2"/>
            <w:vAlign w:val="center"/>
          </w:tcPr>
          <w:p w14:paraId="2FCE27C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爆炸下限（%）：14.5</w:t>
            </w:r>
          </w:p>
        </w:tc>
        <w:tc>
          <w:tcPr>
            <w:tcW w:w="3570" w:type="dxa"/>
            <w:vAlign w:val="center"/>
          </w:tcPr>
          <w:p w14:paraId="3508257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爆炸上限（%）：27.4</w:t>
            </w:r>
          </w:p>
        </w:tc>
      </w:tr>
      <w:tr w14:paraId="481104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473B252F">
            <w:pPr>
              <w:spacing w:line="240" w:lineRule="auto"/>
              <w:jc w:val="center"/>
              <w:rPr>
                <w:b/>
                <w:bCs/>
                <w:color w:val="000000" w:themeColor="text1"/>
                <w:sz w:val="21"/>
                <w:szCs w:val="21"/>
                <w:highlight w:val="none"/>
                <w14:textFill>
                  <w14:solidFill>
                    <w14:schemeClr w14:val="tx1"/>
                  </w14:solidFill>
                </w14:textFill>
              </w:rPr>
            </w:pPr>
          </w:p>
        </w:tc>
        <w:tc>
          <w:tcPr>
            <w:tcW w:w="4363" w:type="dxa"/>
            <w:gridSpan w:val="2"/>
            <w:vAlign w:val="center"/>
          </w:tcPr>
          <w:p w14:paraId="2F841E4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最小点火能（MJ）：1000</w:t>
            </w:r>
          </w:p>
        </w:tc>
        <w:tc>
          <w:tcPr>
            <w:tcW w:w="3570" w:type="dxa"/>
            <w:vAlign w:val="center"/>
          </w:tcPr>
          <w:p w14:paraId="1EE98C8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最大爆炸压力（MPa）：4.85</w:t>
            </w:r>
          </w:p>
        </w:tc>
      </w:tr>
      <w:tr w14:paraId="10A8E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6614AA2A">
            <w:pPr>
              <w:spacing w:line="240" w:lineRule="auto"/>
              <w:jc w:val="center"/>
              <w:rPr>
                <w:b/>
                <w:bCs/>
                <w:color w:val="000000" w:themeColor="text1"/>
                <w:sz w:val="21"/>
                <w:szCs w:val="21"/>
                <w:highlight w:val="none"/>
                <w14:textFill>
                  <w14:solidFill>
                    <w14:schemeClr w14:val="tx1"/>
                  </w14:solidFill>
                </w14:textFill>
              </w:rPr>
            </w:pPr>
          </w:p>
        </w:tc>
        <w:tc>
          <w:tcPr>
            <w:tcW w:w="4363" w:type="dxa"/>
            <w:gridSpan w:val="2"/>
            <w:vAlign w:val="center"/>
          </w:tcPr>
          <w:p w14:paraId="48E85D1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燃烧热：18700kJ/kg</w:t>
            </w:r>
          </w:p>
        </w:tc>
        <w:tc>
          <w:tcPr>
            <w:tcW w:w="3570" w:type="dxa"/>
            <w:vAlign w:val="center"/>
          </w:tcPr>
          <w:p w14:paraId="7B6A03C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燃烧（分解）产物：氮氧化物、水</w:t>
            </w:r>
          </w:p>
        </w:tc>
      </w:tr>
      <w:tr w14:paraId="362301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88" w:type="dxa"/>
            <w:vMerge w:val="continue"/>
            <w:tcBorders>
              <w:top w:val="nil"/>
              <w:bottom w:val="nil"/>
            </w:tcBorders>
            <w:vAlign w:val="center"/>
          </w:tcPr>
          <w:p w14:paraId="5FC828A6">
            <w:pPr>
              <w:spacing w:line="240" w:lineRule="auto"/>
              <w:jc w:val="center"/>
              <w:rPr>
                <w:b/>
                <w:bCs/>
                <w:color w:val="000000" w:themeColor="text1"/>
                <w:sz w:val="21"/>
                <w:szCs w:val="21"/>
                <w:highlight w:val="none"/>
                <w14:textFill>
                  <w14:solidFill>
                    <w14:schemeClr w14:val="tx1"/>
                  </w14:solidFill>
                </w14:textFill>
              </w:rPr>
            </w:pPr>
          </w:p>
        </w:tc>
        <w:tc>
          <w:tcPr>
            <w:tcW w:w="7933" w:type="dxa"/>
            <w:gridSpan w:val="3"/>
            <w:vAlign w:val="center"/>
          </w:tcPr>
          <w:p w14:paraId="542A8C4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危险特性：与空气混合能形成爆炸性混合物。遇明火、热即会发生燃烧爆炸。与氟、氯等接触会发生剧烈的化学反应。若遇高热，容器内压增大，</w:t>
            </w:r>
            <w:r>
              <w:rPr>
                <w:rFonts w:hint="eastAsia"/>
                <w:color w:val="000000" w:themeColor="text1"/>
                <w:sz w:val="21"/>
                <w:szCs w:val="21"/>
                <w:highlight w:val="none"/>
                <w14:textFill>
                  <w14:solidFill>
                    <w14:schemeClr w14:val="tx1"/>
                  </w14:solidFill>
                </w14:textFill>
              </w:rPr>
              <w:t>有</w:t>
            </w:r>
            <w:r>
              <w:rPr>
                <w:color w:val="000000" w:themeColor="text1"/>
                <w:sz w:val="21"/>
                <w:szCs w:val="21"/>
                <w:highlight w:val="none"/>
                <w14:textFill>
                  <w14:solidFill>
                    <w14:schemeClr w14:val="tx1"/>
                  </w14:solidFill>
                </w14:textFill>
              </w:rPr>
              <w:t>开裂和爆炸危险。遇热放出氨和氮及氮氧化物的有毒烟雾</w:t>
            </w:r>
          </w:p>
        </w:tc>
      </w:tr>
      <w:tr w14:paraId="1F09DF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8" w:type="dxa"/>
            <w:vMerge w:val="continue"/>
            <w:tcBorders>
              <w:top w:val="nil"/>
              <w:bottom w:val="nil"/>
            </w:tcBorders>
            <w:vAlign w:val="center"/>
          </w:tcPr>
          <w:p w14:paraId="751DD551">
            <w:pPr>
              <w:spacing w:line="240" w:lineRule="auto"/>
              <w:jc w:val="center"/>
              <w:rPr>
                <w:b/>
                <w:bCs/>
                <w:color w:val="000000" w:themeColor="text1"/>
                <w:sz w:val="21"/>
                <w:szCs w:val="21"/>
                <w:highlight w:val="none"/>
                <w14:textFill>
                  <w14:solidFill>
                    <w14:schemeClr w14:val="tx1"/>
                  </w14:solidFill>
                </w14:textFill>
              </w:rPr>
            </w:pPr>
          </w:p>
        </w:tc>
        <w:tc>
          <w:tcPr>
            <w:tcW w:w="7933" w:type="dxa"/>
            <w:gridSpan w:val="3"/>
            <w:vAlign w:val="center"/>
          </w:tcPr>
          <w:p w14:paraId="63D1E6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灭火方法：消防人员必须穿戴全身防火防毒服。切断气源。若不能立即切断气源，则不允许熄灭正在燃烧的气体。喷气冷却容器，可能的话将容器从火场移至空旷处</w:t>
            </w:r>
          </w:p>
        </w:tc>
      </w:tr>
      <w:tr w14:paraId="3AC398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8" w:type="dxa"/>
            <w:vMerge w:val="continue"/>
            <w:tcBorders>
              <w:top w:val="nil"/>
              <w:bottom w:val="single" w:color="auto" w:sz="4" w:space="0"/>
            </w:tcBorders>
            <w:vAlign w:val="center"/>
          </w:tcPr>
          <w:p w14:paraId="428F00C8">
            <w:pPr>
              <w:spacing w:line="240" w:lineRule="auto"/>
              <w:jc w:val="center"/>
              <w:rPr>
                <w:b/>
                <w:bCs/>
                <w:color w:val="000000" w:themeColor="text1"/>
                <w:sz w:val="21"/>
                <w:szCs w:val="21"/>
                <w:highlight w:val="none"/>
                <w14:textFill>
                  <w14:solidFill>
                    <w14:schemeClr w14:val="tx1"/>
                  </w14:solidFill>
                </w14:textFill>
              </w:rPr>
            </w:pPr>
          </w:p>
        </w:tc>
        <w:tc>
          <w:tcPr>
            <w:tcW w:w="7933" w:type="dxa"/>
            <w:gridSpan w:val="3"/>
            <w:tcBorders>
              <w:bottom w:val="single" w:color="auto" w:sz="4" w:space="0"/>
            </w:tcBorders>
            <w:vAlign w:val="center"/>
          </w:tcPr>
          <w:p w14:paraId="745823E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灭火剂：雾状水、抗溶性泡沫、二氧化碳、砂土</w:t>
            </w:r>
          </w:p>
        </w:tc>
      </w:tr>
      <w:tr w14:paraId="2C63B1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8" w:type="dxa"/>
            <w:vMerge w:val="restart"/>
            <w:tcBorders>
              <w:top w:val="single" w:color="auto" w:sz="4" w:space="0"/>
              <w:left w:val="single" w:color="auto" w:sz="4" w:space="0"/>
              <w:right w:val="single" w:color="auto" w:sz="4" w:space="0"/>
            </w:tcBorders>
            <w:vAlign w:val="center"/>
          </w:tcPr>
          <w:p w14:paraId="2863404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健康危害</w:t>
            </w:r>
          </w:p>
        </w:tc>
        <w:tc>
          <w:tcPr>
            <w:tcW w:w="7933" w:type="dxa"/>
            <w:gridSpan w:val="3"/>
            <w:tcBorders>
              <w:top w:val="single" w:color="auto" w:sz="4" w:space="0"/>
              <w:left w:val="single" w:color="auto" w:sz="4" w:space="0"/>
              <w:bottom w:val="single" w:color="auto" w:sz="4" w:space="0"/>
              <w:right w:val="single" w:color="auto" w:sz="4" w:space="0"/>
            </w:tcBorders>
            <w:vAlign w:val="center"/>
          </w:tcPr>
          <w:p w14:paraId="0F460E5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侵入途径：吸入，此外可以通过皮肤吸收</w:t>
            </w:r>
          </w:p>
        </w:tc>
      </w:tr>
      <w:tr w14:paraId="181A1C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8" w:type="dxa"/>
            <w:vMerge w:val="continue"/>
            <w:tcBorders>
              <w:left w:val="single" w:color="auto" w:sz="4" w:space="0"/>
              <w:right w:val="single" w:color="auto" w:sz="4" w:space="0"/>
            </w:tcBorders>
            <w:vAlign w:val="center"/>
          </w:tcPr>
          <w:p w14:paraId="4EF53FA4">
            <w:pPr>
              <w:spacing w:line="240" w:lineRule="auto"/>
              <w:jc w:val="center"/>
              <w:rPr>
                <w:color w:val="000000" w:themeColor="text1"/>
                <w:sz w:val="21"/>
                <w:szCs w:val="21"/>
                <w:highlight w:val="none"/>
                <w14:textFill>
                  <w14:solidFill>
                    <w14:schemeClr w14:val="tx1"/>
                  </w14:solidFill>
                </w14:textFill>
              </w:rPr>
            </w:pPr>
          </w:p>
        </w:tc>
        <w:tc>
          <w:tcPr>
            <w:tcW w:w="7933" w:type="dxa"/>
            <w:gridSpan w:val="3"/>
            <w:tcBorders>
              <w:top w:val="single" w:color="auto" w:sz="4" w:space="0"/>
              <w:left w:val="single" w:color="auto" w:sz="4" w:space="0"/>
              <w:bottom w:val="single" w:color="auto" w:sz="4" w:space="0"/>
              <w:right w:val="single" w:color="auto" w:sz="4" w:space="0"/>
            </w:tcBorders>
            <w:vAlign w:val="center"/>
          </w:tcPr>
          <w:p w14:paraId="708427E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健康危害：对</w:t>
            </w:r>
            <w:r>
              <w:rPr>
                <w:rFonts w:hint="eastAsia"/>
                <w:color w:val="000000" w:themeColor="text1"/>
                <w:sz w:val="21"/>
                <w:szCs w:val="21"/>
                <w:highlight w:val="none"/>
                <w14:textFill>
                  <w14:solidFill>
                    <w14:schemeClr w14:val="tx1"/>
                  </w14:solidFill>
                </w14:textFill>
              </w:rPr>
              <w:t>黏膜</w:t>
            </w:r>
            <w:r>
              <w:rPr>
                <w:color w:val="000000" w:themeColor="text1"/>
                <w:sz w:val="21"/>
                <w:szCs w:val="21"/>
                <w:highlight w:val="none"/>
                <w14:textFill>
                  <w14:solidFill>
                    <w14:schemeClr w14:val="tx1"/>
                  </w14:solidFill>
                </w14:textFill>
              </w:rPr>
              <w:t>和皮肤有碱性刺激及腐蚀作用，可造成组织溶解性坏死，高浓度时可引起反射性呼吸停止和心脏停搏</w:t>
            </w:r>
          </w:p>
        </w:tc>
      </w:tr>
      <w:tr w14:paraId="1AF028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8" w:type="dxa"/>
            <w:vMerge w:val="continue"/>
            <w:tcBorders>
              <w:left w:val="single" w:color="auto" w:sz="4" w:space="0"/>
              <w:right w:val="single" w:color="auto" w:sz="4" w:space="0"/>
            </w:tcBorders>
            <w:vAlign w:val="center"/>
          </w:tcPr>
          <w:p w14:paraId="15F97AF9">
            <w:pPr>
              <w:spacing w:line="240" w:lineRule="auto"/>
              <w:jc w:val="center"/>
              <w:rPr>
                <w:color w:val="000000" w:themeColor="text1"/>
                <w:sz w:val="21"/>
                <w:szCs w:val="21"/>
                <w:highlight w:val="none"/>
                <w14:textFill>
                  <w14:solidFill>
                    <w14:schemeClr w14:val="tx1"/>
                  </w14:solidFill>
                </w14:textFill>
              </w:rPr>
            </w:pPr>
          </w:p>
        </w:tc>
        <w:tc>
          <w:tcPr>
            <w:tcW w:w="7933" w:type="dxa"/>
            <w:gridSpan w:val="3"/>
            <w:tcBorders>
              <w:top w:val="single" w:color="auto" w:sz="4" w:space="0"/>
              <w:left w:val="single" w:color="auto" w:sz="4" w:space="0"/>
              <w:bottom w:val="single" w:color="auto" w:sz="4" w:space="0"/>
              <w:right w:val="single" w:color="auto" w:sz="4" w:space="0"/>
            </w:tcBorders>
            <w:vAlign w:val="center"/>
          </w:tcPr>
          <w:p w14:paraId="214914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工作场所最高允许浓度：中国MAC=30mg/m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；前苏联MAC=20mg/m</w:t>
            </w:r>
            <w:r>
              <w:rPr>
                <w:color w:val="000000" w:themeColor="text1"/>
                <w:sz w:val="21"/>
                <w:szCs w:val="21"/>
                <w:highlight w:val="none"/>
                <w:vertAlign w:val="superscript"/>
                <w14:textFill>
                  <w14:solidFill>
                    <w14:schemeClr w14:val="tx1"/>
                  </w14:solidFill>
                </w14:textFill>
              </w:rPr>
              <w:t>3</w:t>
            </w:r>
          </w:p>
        </w:tc>
      </w:tr>
      <w:tr w14:paraId="1FC48C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8" w:type="dxa"/>
            <w:vMerge w:val="continue"/>
            <w:tcBorders>
              <w:left w:val="single" w:color="auto" w:sz="4" w:space="0"/>
              <w:bottom w:val="single" w:color="auto" w:sz="4" w:space="0"/>
              <w:right w:val="single" w:color="auto" w:sz="4" w:space="0"/>
            </w:tcBorders>
            <w:vAlign w:val="center"/>
          </w:tcPr>
          <w:p w14:paraId="36CD4F4A">
            <w:pPr>
              <w:spacing w:line="240" w:lineRule="auto"/>
              <w:jc w:val="center"/>
              <w:rPr>
                <w:color w:val="000000" w:themeColor="text1"/>
                <w:sz w:val="21"/>
                <w:szCs w:val="21"/>
                <w:highlight w:val="none"/>
                <w14:textFill>
                  <w14:solidFill>
                    <w14:schemeClr w14:val="tx1"/>
                  </w14:solidFill>
                </w14:textFill>
              </w:rPr>
            </w:pPr>
          </w:p>
        </w:tc>
        <w:tc>
          <w:tcPr>
            <w:tcW w:w="7933" w:type="dxa"/>
            <w:gridSpan w:val="3"/>
            <w:tcBorders>
              <w:top w:val="single" w:color="auto" w:sz="4" w:space="0"/>
              <w:left w:val="single" w:color="auto" w:sz="4" w:space="0"/>
              <w:bottom w:val="single" w:color="auto" w:sz="4" w:space="0"/>
              <w:right w:val="single" w:color="auto" w:sz="4" w:space="0"/>
            </w:tcBorders>
            <w:vAlign w:val="center"/>
          </w:tcPr>
          <w:p w14:paraId="7EC3D88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LD50：350 mg/kg（大鼠经口），LC50：1390mg/m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，4小时（大鼠吸入）</w:t>
            </w:r>
          </w:p>
        </w:tc>
      </w:tr>
    </w:tbl>
    <w:p w14:paraId="2F63E5CE">
      <w:pPr>
        <w:kinsoku/>
        <w:autoSpaceDE/>
        <w:autoSpaceDN/>
        <w:bidi w:val="0"/>
        <w:spacing w:line="240" w:lineRule="auto"/>
        <w:ind w:firstLine="2741" w:firstLineChars="1300"/>
        <w:jc w:val="both"/>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表5.2-</w:t>
      </w:r>
      <w:r>
        <w:rPr>
          <w:rFonts w:hint="eastAsia" w:ascii="Times New Roman" w:hAnsi="Times New Roman" w:cs="宋体"/>
          <w:b/>
          <w:bCs/>
          <w:color w:val="000000" w:themeColor="text1"/>
          <w:kern w:val="0"/>
          <w:sz w:val="21"/>
          <w:szCs w:val="21"/>
          <w:highlight w:val="none"/>
          <w:lang w:val="en-US" w:eastAsia="zh-CN"/>
          <w14:textFill>
            <w14:solidFill>
              <w14:schemeClr w14:val="tx1"/>
            </w14:solidFill>
          </w14:textFill>
        </w:rPr>
        <w:t>3</w:t>
      </w:r>
      <w:r>
        <w:rPr>
          <w:rFonts w:hint="eastAsia" w:cs="宋体"/>
          <w:b/>
          <w:bCs/>
          <w:color w:val="000000" w:themeColor="text1"/>
          <w:kern w:val="0"/>
          <w:sz w:val="21"/>
          <w:szCs w:val="21"/>
          <w:highlight w:val="none"/>
          <w:lang w:val="en-US" w:eastAsia="zh-CN"/>
          <w14:textFill>
            <w14:solidFill>
              <w14:schemeClr w14:val="tx1"/>
            </w14:solidFill>
          </w14:textFill>
        </w:rPr>
        <w:t>2</w:t>
      </w:r>
      <w:r>
        <w:rPr>
          <w:rFonts w:ascii="Times New Roman" w:hAnsi="Times New Roman" w:eastAsia="宋体" w:cs="宋体"/>
          <w:b/>
          <w:bCs/>
          <w:color w:val="000000" w:themeColor="text1"/>
          <w:kern w:val="0"/>
          <w:sz w:val="21"/>
          <w:szCs w:val="21"/>
          <w:highlight w:val="none"/>
          <w14:textFill>
            <w14:solidFill>
              <w14:schemeClr w14:val="tx1"/>
            </w14:solidFill>
          </w14:textFill>
        </w:rPr>
        <w:t xml:space="preserve">  </w:t>
      </w:r>
      <w:r>
        <w:rPr>
          <w:rFonts w:hint="eastAsia" w:ascii="Times New Roman" w:hAnsi="Times New Roman" w:cs="宋体"/>
          <w:b/>
          <w:bCs/>
          <w:color w:val="000000" w:themeColor="text1"/>
          <w:kern w:val="0"/>
          <w:sz w:val="21"/>
          <w:szCs w:val="21"/>
          <w:highlight w:val="none"/>
          <w:lang w:val="en-US" w:eastAsia="zh-CN"/>
          <w14:textFill>
            <w14:solidFill>
              <w14:schemeClr w14:val="tx1"/>
            </w14:solidFill>
          </w14:textFill>
        </w:rPr>
        <w:t>沼气</w:t>
      </w:r>
      <w:r>
        <w:rPr>
          <w:rFonts w:ascii="Times New Roman" w:hAnsi="Times New Roman" w:eastAsia="宋体" w:cs="宋体"/>
          <w:b/>
          <w:bCs/>
          <w:color w:val="000000" w:themeColor="text1"/>
          <w:kern w:val="0"/>
          <w:sz w:val="21"/>
          <w:szCs w:val="21"/>
          <w:highlight w:val="none"/>
          <w14:textFill>
            <w14:solidFill>
              <w14:schemeClr w14:val="tx1"/>
            </w14:solidFill>
          </w14:textFill>
        </w:rPr>
        <w:t>理化性质及危险特性</w:t>
      </w:r>
    </w:p>
    <w:tbl>
      <w:tblPr>
        <w:tblStyle w:val="58"/>
        <w:tblW w:w="8521"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8"/>
        <w:gridCol w:w="2308"/>
        <w:gridCol w:w="1691"/>
        <w:gridCol w:w="3934"/>
      </w:tblGrid>
      <w:tr w14:paraId="4CD337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88" w:type="dxa"/>
            <w:vMerge w:val="restart"/>
            <w:tcBorders>
              <w:bottom w:val="nil"/>
            </w:tcBorders>
            <w:vAlign w:val="center"/>
          </w:tcPr>
          <w:p w14:paraId="7F6448E5">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标识</w:t>
            </w:r>
          </w:p>
        </w:tc>
        <w:tc>
          <w:tcPr>
            <w:tcW w:w="3999" w:type="dxa"/>
            <w:gridSpan w:val="2"/>
            <w:vAlign w:val="center"/>
          </w:tcPr>
          <w:p w14:paraId="10BDE4C3">
            <w:pPr>
              <w:kinsoku/>
              <w:autoSpaceDE/>
              <w:autoSpaceDN/>
              <w:bidi w:val="0"/>
              <w:spacing w:line="240" w:lineRule="auto"/>
              <w:jc w:val="both"/>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中文名：</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沼气</w:t>
            </w:r>
          </w:p>
        </w:tc>
        <w:tc>
          <w:tcPr>
            <w:tcW w:w="3934" w:type="dxa"/>
            <w:vAlign w:val="center"/>
          </w:tcPr>
          <w:p w14:paraId="30AF4725">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英文名：</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Natural gas</w:t>
            </w:r>
          </w:p>
        </w:tc>
      </w:tr>
      <w:tr w14:paraId="0E507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0803EF12">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3999" w:type="dxa"/>
            <w:gridSpan w:val="2"/>
            <w:vAlign w:val="center"/>
          </w:tcPr>
          <w:p w14:paraId="17C146DC">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分子式：</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CH</w:t>
            </w:r>
            <w:r>
              <w:rPr>
                <w:rFonts w:hint="eastAsia" w:ascii="Times New Roman" w:hAnsi="Times New Roman" w:cs="宋体"/>
                <w:b w:val="0"/>
                <w:bCs w:val="0"/>
                <w:color w:val="000000" w:themeColor="text1"/>
                <w:kern w:val="0"/>
                <w:sz w:val="21"/>
                <w:szCs w:val="21"/>
                <w:highlight w:val="none"/>
                <w:vertAlign w:val="subscript"/>
                <w:lang w:val="en-US" w:eastAsia="zh-CN"/>
                <w14:textFill>
                  <w14:solidFill>
                    <w14:schemeClr w14:val="tx1"/>
                  </w14:solidFill>
                </w14:textFill>
              </w:rPr>
              <w:t>4</w:t>
            </w:r>
          </w:p>
        </w:tc>
        <w:tc>
          <w:tcPr>
            <w:tcW w:w="3934" w:type="dxa"/>
            <w:vAlign w:val="center"/>
          </w:tcPr>
          <w:p w14:paraId="0DAB55EE">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分子量：</w:t>
            </w:r>
          </w:p>
        </w:tc>
      </w:tr>
      <w:tr w14:paraId="46B4D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tcBorders>
            <w:vAlign w:val="center"/>
          </w:tcPr>
          <w:p w14:paraId="30A6FED4">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2308" w:type="dxa"/>
            <w:vAlign w:val="center"/>
          </w:tcPr>
          <w:p w14:paraId="54D2AE97">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危规号：</w:t>
            </w:r>
          </w:p>
        </w:tc>
        <w:tc>
          <w:tcPr>
            <w:tcW w:w="1691" w:type="dxa"/>
            <w:vAlign w:val="center"/>
          </w:tcPr>
          <w:p w14:paraId="635CEA78">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UN编号：</w:t>
            </w:r>
          </w:p>
        </w:tc>
        <w:tc>
          <w:tcPr>
            <w:tcW w:w="3934" w:type="dxa"/>
            <w:vAlign w:val="center"/>
          </w:tcPr>
          <w:p w14:paraId="4EA76860">
            <w:pPr>
              <w:kinsoku/>
              <w:autoSpaceDE/>
              <w:autoSpaceDN/>
              <w:bidi w:val="0"/>
              <w:spacing w:line="240" w:lineRule="auto"/>
              <w:jc w:val="both"/>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CAS号：</w:t>
            </w:r>
          </w:p>
        </w:tc>
      </w:tr>
      <w:tr w14:paraId="09660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8" w:type="dxa"/>
            <w:vMerge w:val="restart"/>
            <w:tcBorders>
              <w:bottom w:val="nil"/>
            </w:tcBorders>
            <w:vAlign w:val="center"/>
          </w:tcPr>
          <w:p w14:paraId="5E4465C8">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理化性质</w:t>
            </w:r>
          </w:p>
        </w:tc>
        <w:tc>
          <w:tcPr>
            <w:tcW w:w="3999" w:type="dxa"/>
            <w:gridSpan w:val="2"/>
            <w:vAlign w:val="center"/>
          </w:tcPr>
          <w:p w14:paraId="4231AC52">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外观与形状：</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无色无臭气体</w:t>
            </w:r>
          </w:p>
        </w:tc>
        <w:tc>
          <w:tcPr>
            <w:tcW w:w="3934" w:type="dxa"/>
            <w:vAlign w:val="center"/>
          </w:tcPr>
          <w:p w14:paraId="3D2C55EC">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溶解性：</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微</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溶于水，溶于</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乙</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醇、</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乙醚</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w:t>
            </w:r>
          </w:p>
        </w:tc>
      </w:tr>
      <w:tr w14:paraId="180BAA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6FBF2EDA">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3999" w:type="dxa"/>
            <w:gridSpan w:val="2"/>
            <w:vAlign w:val="center"/>
          </w:tcPr>
          <w:p w14:paraId="07782176">
            <w:pPr>
              <w:kinsoku/>
              <w:autoSpaceDE/>
              <w:autoSpaceDN/>
              <w:bidi w:val="0"/>
              <w:spacing w:line="240" w:lineRule="auto"/>
              <w:jc w:val="both"/>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熔点(℃)</w:t>
            </w:r>
            <w:r>
              <w:rPr>
                <w:rFonts w:hint="eastAsia" w:cs="宋体"/>
                <w:b w:val="0"/>
                <w:bCs w:val="0"/>
                <w:color w:val="000000" w:themeColor="text1"/>
                <w:kern w:val="0"/>
                <w:sz w:val="21"/>
                <w:szCs w:val="21"/>
                <w:highlight w:val="none"/>
                <w:lang w:eastAsia="zh-CN"/>
                <w14:textFill>
                  <w14:solidFill>
                    <w14:schemeClr w14:val="tx1"/>
                  </w14:solidFill>
                </w14:textFill>
              </w:rPr>
              <w:t>：</w:t>
            </w:r>
          </w:p>
        </w:tc>
        <w:tc>
          <w:tcPr>
            <w:tcW w:w="3934" w:type="dxa"/>
            <w:vAlign w:val="center"/>
          </w:tcPr>
          <w:p w14:paraId="41A7BC73">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沸点(℃)：</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-160</w:t>
            </w:r>
          </w:p>
        </w:tc>
      </w:tr>
      <w:tr w14:paraId="7D7119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11E6965B">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3999" w:type="dxa"/>
            <w:gridSpan w:val="2"/>
            <w:vAlign w:val="center"/>
          </w:tcPr>
          <w:p w14:paraId="48836E8D">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相对密度：</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约 0.45(液化，水=1）</w:t>
            </w:r>
          </w:p>
        </w:tc>
        <w:tc>
          <w:tcPr>
            <w:tcW w:w="3934" w:type="dxa"/>
            <w:vAlign w:val="center"/>
          </w:tcPr>
          <w:p w14:paraId="5A841D4D">
            <w:pPr>
              <w:kinsoku/>
              <w:autoSpaceDE/>
              <w:autoSpaceDN/>
              <w:bidi w:val="0"/>
              <w:spacing w:line="240" w:lineRule="auto"/>
              <w:jc w:val="both"/>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相对密度</w:t>
            </w:r>
            <w:r>
              <w:rPr>
                <w:rFonts w:hint="eastAsia" w:cs="宋体"/>
                <w:b w:val="0"/>
                <w:bCs w:val="0"/>
                <w:color w:val="000000" w:themeColor="text1"/>
                <w:kern w:val="0"/>
                <w:sz w:val="21"/>
                <w:szCs w:val="21"/>
                <w:highlight w:val="none"/>
                <w:lang w:eastAsia="zh-CN"/>
                <w14:textFill>
                  <w14:solidFill>
                    <w14:schemeClr w14:val="tx1"/>
                  </w14:solidFill>
                </w14:textFill>
              </w:rPr>
              <w:t>：</w:t>
            </w:r>
          </w:p>
        </w:tc>
      </w:tr>
      <w:tr w14:paraId="1832CF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588" w:type="dxa"/>
            <w:vMerge w:val="continue"/>
            <w:tcBorders>
              <w:top w:val="nil"/>
              <w:bottom w:val="nil"/>
            </w:tcBorders>
            <w:vAlign w:val="center"/>
          </w:tcPr>
          <w:p w14:paraId="7AAA4420">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3999" w:type="dxa"/>
            <w:gridSpan w:val="2"/>
            <w:vAlign w:val="center"/>
          </w:tcPr>
          <w:p w14:paraId="17AB5072">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饱和蒸气压（kPa）</w:t>
            </w:r>
          </w:p>
        </w:tc>
        <w:tc>
          <w:tcPr>
            <w:tcW w:w="3934" w:type="dxa"/>
            <w:vAlign w:val="center"/>
          </w:tcPr>
          <w:p w14:paraId="11185126">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禁忌物：</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强氧化剂、氟、氯</w:t>
            </w:r>
          </w:p>
        </w:tc>
      </w:tr>
      <w:tr w14:paraId="395EF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2927FB9C">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3999" w:type="dxa"/>
            <w:gridSpan w:val="2"/>
            <w:vAlign w:val="center"/>
          </w:tcPr>
          <w:p w14:paraId="149AED39">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临界压力（MPa）</w:t>
            </w:r>
          </w:p>
        </w:tc>
        <w:tc>
          <w:tcPr>
            <w:tcW w:w="3934" w:type="dxa"/>
            <w:vAlign w:val="center"/>
          </w:tcPr>
          <w:p w14:paraId="37A6EF6B">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临界温度(℃)：</w:t>
            </w:r>
          </w:p>
        </w:tc>
      </w:tr>
      <w:tr w14:paraId="62BC5B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tcBorders>
            <w:vAlign w:val="center"/>
          </w:tcPr>
          <w:p w14:paraId="3B4D682A">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3999" w:type="dxa"/>
            <w:gridSpan w:val="2"/>
            <w:vAlign w:val="center"/>
          </w:tcPr>
          <w:p w14:paraId="39ADA17E">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稳定性：</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 xml:space="preserve">稳定 </w:t>
            </w:r>
          </w:p>
        </w:tc>
        <w:tc>
          <w:tcPr>
            <w:tcW w:w="3934" w:type="dxa"/>
            <w:vAlign w:val="center"/>
          </w:tcPr>
          <w:p w14:paraId="3C8B98AB">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聚合危害：无资料</w:t>
            </w:r>
          </w:p>
        </w:tc>
      </w:tr>
      <w:tr w14:paraId="7690C1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restart"/>
            <w:tcBorders>
              <w:bottom w:val="nil"/>
            </w:tcBorders>
            <w:vAlign w:val="center"/>
          </w:tcPr>
          <w:p w14:paraId="274D4C79">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危险特性</w:t>
            </w:r>
          </w:p>
        </w:tc>
        <w:tc>
          <w:tcPr>
            <w:tcW w:w="3999" w:type="dxa"/>
            <w:gridSpan w:val="2"/>
            <w:vAlign w:val="center"/>
          </w:tcPr>
          <w:p w14:paraId="3A1B648A">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危险性类别：第</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2.1</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类</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易燃气体</w:t>
            </w:r>
          </w:p>
        </w:tc>
        <w:tc>
          <w:tcPr>
            <w:tcW w:w="3934" w:type="dxa"/>
            <w:vAlign w:val="center"/>
          </w:tcPr>
          <w:p w14:paraId="15DCD10F">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燃烧性：</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可</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燃</w:t>
            </w:r>
          </w:p>
        </w:tc>
      </w:tr>
      <w:tr w14:paraId="59F73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08DB04A1">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3999" w:type="dxa"/>
            <w:gridSpan w:val="2"/>
            <w:vAlign w:val="center"/>
          </w:tcPr>
          <w:p w14:paraId="4F62E693">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引燃温度(℃)：</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482-632</w:t>
            </w:r>
          </w:p>
        </w:tc>
        <w:tc>
          <w:tcPr>
            <w:tcW w:w="3934" w:type="dxa"/>
            <w:vAlign w:val="center"/>
          </w:tcPr>
          <w:p w14:paraId="3CDD26D2">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闪点(℃)：</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39</w:t>
            </w:r>
          </w:p>
        </w:tc>
      </w:tr>
      <w:tr w14:paraId="21F7B8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69967302">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3999" w:type="dxa"/>
            <w:gridSpan w:val="2"/>
            <w:vAlign w:val="center"/>
          </w:tcPr>
          <w:p w14:paraId="3C583BFE">
            <w:pPr>
              <w:kinsoku/>
              <w:autoSpaceDE/>
              <w:autoSpaceDN/>
              <w:bidi w:val="0"/>
              <w:spacing w:line="240" w:lineRule="auto"/>
              <w:jc w:val="both"/>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爆炸下限（%）：</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5</w:t>
            </w:r>
          </w:p>
        </w:tc>
        <w:tc>
          <w:tcPr>
            <w:tcW w:w="3934" w:type="dxa"/>
            <w:vAlign w:val="center"/>
          </w:tcPr>
          <w:p w14:paraId="739E7AEE">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爆炸上限（%）：</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14</w:t>
            </w:r>
          </w:p>
        </w:tc>
      </w:tr>
      <w:tr w14:paraId="6E420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03C2A47A">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3999" w:type="dxa"/>
            <w:gridSpan w:val="2"/>
            <w:vAlign w:val="center"/>
          </w:tcPr>
          <w:p w14:paraId="734D5821">
            <w:pPr>
              <w:kinsoku/>
              <w:autoSpaceDE/>
              <w:autoSpaceDN/>
              <w:bidi w:val="0"/>
              <w:spacing w:line="240" w:lineRule="auto"/>
              <w:jc w:val="both"/>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最小点火能（MJ）</w:t>
            </w:r>
            <w:r>
              <w:rPr>
                <w:rFonts w:hint="eastAsia" w:cs="宋体"/>
                <w:b w:val="0"/>
                <w:bCs w:val="0"/>
                <w:color w:val="000000" w:themeColor="text1"/>
                <w:kern w:val="0"/>
                <w:sz w:val="21"/>
                <w:szCs w:val="21"/>
                <w:highlight w:val="none"/>
                <w:lang w:eastAsia="zh-CN"/>
                <w14:textFill>
                  <w14:solidFill>
                    <w14:schemeClr w14:val="tx1"/>
                  </w14:solidFill>
                </w14:textFill>
              </w:rPr>
              <w:t>：</w:t>
            </w:r>
          </w:p>
        </w:tc>
        <w:tc>
          <w:tcPr>
            <w:tcW w:w="3934" w:type="dxa"/>
            <w:vAlign w:val="center"/>
          </w:tcPr>
          <w:p w14:paraId="352B7CF2">
            <w:pPr>
              <w:kinsoku/>
              <w:autoSpaceDE/>
              <w:autoSpaceDN/>
              <w:bidi w:val="0"/>
              <w:spacing w:line="240" w:lineRule="auto"/>
              <w:jc w:val="both"/>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最大爆炸压力（MPa）</w:t>
            </w:r>
            <w:r>
              <w:rPr>
                <w:rFonts w:hint="eastAsia" w:cs="宋体"/>
                <w:b w:val="0"/>
                <w:bCs w:val="0"/>
                <w:color w:val="000000" w:themeColor="text1"/>
                <w:kern w:val="0"/>
                <w:sz w:val="21"/>
                <w:szCs w:val="21"/>
                <w:highlight w:val="none"/>
                <w:lang w:eastAsia="zh-CN"/>
                <w14:textFill>
                  <w14:solidFill>
                    <w14:schemeClr w14:val="tx1"/>
                  </w14:solidFill>
                </w14:textFill>
              </w:rPr>
              <w:t>：</w:t>
            </w:r>
          </w:p>
        </w:tc>
      </w:tr>
      <w:tr w14:paraId="6874D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588" w:type="dxa"/>
            <w:vMerge w:val="continue"/>
            <w:tcBorders>
              <w:top w:val="nil"/>
              <w:bottom w:val="nil"/>
            </w:tcBorders>
            <w:vAlign w:val="center"/>
          </w:tcPr>
          <w:p w14:paraId="43A29750">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3999" w:type="dxa"/>
            <w:gridSpan w:val="2"/>
            <w:vAlign w:val="center"/>
          </w:tcPr>
          <w:p w14:paraId="0B2E85FC">
            <w:pPr>
              <w:kinsoku/>
              <w:autoSpaceDE/>
              <w:autoSpaceDN/>
              <w:bidi w:val="0"/>
              <w:spacing w:line="240" w:lineRule="auto"/>
              <w:jc w:val="both"/>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燃烧热</w:t>
            </w:r>
            <w:r>
              <w:rPr>
                <w:rFonts w:hint="eastAsia" w:cs="宋体"/>
                <w:b w:val="0"/>
                <w:bCs w:val="0"/>
                <w:color w:val="000000" w:themeColor="text1"/>
                <w:kern w:val="0"/>
                <w:sz w:val="21"/>
                <w:szCs w:val="21"/>
                <w:highlight w:val="none"/>
                <w:lang w:eastAsia="zh-CN"/>
                <w14:textFill>
                  <w14:solidFill>
                    <w14:schemeClr w14:val="tx1"/>
                  </w14:solidFill>
                </w14:textFill>
              </w:rPr>
              <w:t>：</w:t>
            </w:r>
          </w:p>
        </w:tc>
        <w:tc>
          <w:tcPr>
            <w:tcW w:w="3934" w:type="dxa"/>
            <w:vAlign w:val="center"/>
          </w:tcPr>
          <w:p w14:paraId="0F40E3C8">
            <w:pPr>
              <w:kinsoku/>
              <w:autoSpaceDE/>
              <w:autoSpaceDN/>
              <w:bidi w:val="0"/>
              <w:spacing w:line="240" w:lineRule="auto"/>
              <w:jc w:val="both"/>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燃烧（分解）产物：</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一氧化碳、二氧化碳</w:t>
            </w:r>
          </w:p>
        </w:tc>
      </w:tr>
      <w:tr w14:paraId="05408B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588" w:type="dxa"/>
            <w:vMerge w:val="continue"/>
            <w:tcBorders>
              <w:top w:val="nil"/>
              <w:bottom w:val="nil"/>
            </w:tcBorders>
            <w:vAlign w:val="center"/>
          </w:tcPr>
          <w:p w14:paraId="1C488FE8">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7933" w:type="dxa"/>
            <w:gridSpan w:val="3"/>
            <w:vAlign w:val="center"/>
          </w:tcPr>
          <w:p w14:paraId="790E1F1B">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危险特性：</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易燃，加热车 100C时即猛烈分解，遇火或受热、受震都可起爆。与还原剂、促进剂、有机物、可燃物等接触剧烈反应，有燃烧爆炸的危险。有强腐蚀性。</w:t>
            </w:r>
          </w:p>
        </w:tc>
      </w:tr>
      <w:tr w14:paraId="5314A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588" w:type="dxa"/>
            <w:vMerge w:val="continue"/>
            <w:tcBorders>
              <w:top w:val="nil"/>
              <w:bottom w:val="nil"/>
            </w:tcBorders>
            <w:vAlign w:val="center"/>
          </w:tcPr>
          <w:p w14:paraId="47EBD5D2">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7933" w:type="dxa"/>
            <w:gridSpan w:val="3"/>
            <w:vAlign w:val="center"/>
          </w:tcPr>
          <w:p w14:paraId="53865532">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灭火方法：</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切断气源。若不能切断气源，则不允许熄灭泄漏处的火焰。喷水冷却容器，可能的话将容器从火场移至空旷处。灭火剂</w:t>
            </w:r>
            <w:r>
              <w:rPr>
                <w:rFonts w:hint="eastAsia" w:cs="宋体"/>
                <w:b w:val="0"/>
                <w:bCs w:val="0"/>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雾状水、泡沫、二氧化碳、干粉。</w:t>
            </w:r>
          </w:p>
        </w:tc>
      </w:tr>
      <w:tr w14:paraId="2E286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8" w:type="dxa"/>
            <w:vMerge w:val="continue"/>
            <w:tcBorders>
              <w:top w:val="nil"/>
              <w:bottom w:val="single" w:color="auto" w:sz="4" w:space="0"/>
            </w:tcBorders>
            <w:vAlign w:val="center"/>
          </w:tcPr>
          <w:p w14:paraId="706F6401">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p>
        </w:tc>
        <w:tc>
          <w:tcPr>
            <w:tcW w:w="7933" w:type="dxa"/>
            <w:gridSpan w:val="3"/>
            <w:tcBorders>
              <w:bottom w:val="single" w:color="auto" w:sz="4" w:space="0"/>
            </w:tcBorders>
            <w:vAlign w:val="center"/>
          </w:tcPr>
          <w:p w14:paraId="2EB2C416">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灭火剂：雾状水、抗溶性泡沫、二氧化碳、砂土</w:t>
            </w:r>
          </w:p>
        </w:tc>
      </w:tr>
      <w:tr w14:paraId="420D74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8" w:type="dxa"/>
            <w:vMerge w:val="restart"/>
            <w:tcBorders>
              <w:top w:val="single" w:color="auto" w:sz="4" w:space="0"/>
              <w:left w:val="single" w:color="auto" w:sz="4" w:space="0"/>
              <w:right w:val="single" w:color="auto" w:sz="4" w:space="0"/>
            </w:tcBorders>
            <w:vAlign w:val="center"/>
          </w:tcPr>
          <w:p w14:paraId="65DEA225">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健康危害</w:t>
            </w:r>
          </w:p>
        </w:tc>
        <w:tc>
          <w:tcPr>
            <w:tcW w:w="7933" w:type="dxa"/>
            <w:gridSpan w:val="3"/>
            <w:tcBorders>
              <w:top w:val="single" w:color="auto" w:sz="4" w:space="0"/>
              <w:left w:val="single" w:color="auto" w:sz="4" w:space="0"/>
              <w:bottom w:val="single" w:color="auto" w:sz="4" w:space="0"/>
              <w:right w:val="single" w:color="auto" w:sz="4" w:space="0"/>
            </w:tcBorders>
            <w:vAlign w:val="center"/>
          </w:tcPr>
          <w:p w14:paraId="5D5EAA23">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侵入途径：吸入</w:t>
            </w:r>
          </w:p>
        </w:tc>
      </w:tr>
      <w:tr w14:paraId="5552E7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8" w:type="dxa"/>
            <w:vMerge w:val="continue"/>
            <w:tcBorders>
              <w:left w:val="single" w:color="auto" w:sz="4" w:space="0"/>
              <w:right w:val="single" w:color="auto" w:sz="4" w:space="0"/>
            </w:tcBorders>
            <w:vAlign w:val="center"/>
          </w:tcPr>
          <w:p w14:paraId="3B587B71">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7933" w:type="dxa"/>
            <w:gridSpan w:val="3"/>
            <w:tcBorders>
              <w:top w:val="single" w:color="auto" w:sz="4" w:space="0"/>
              <w:left w:val="single" w:color="auto" w:sz="4" w:space="0"/>
              <w:bottom w:val="single" w:color="auto" w:sz="4" w:space="0"/>
              <w:right w:val="single" w:color="auto" w:sz="4" w:space="0"/>
            </w:tcBorders>
            <w:vAlign w:val="center"/>
          </w:tcPr>
          <w:p w14:paraId="71C1ED39">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健康危害：</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急性中毒时，可有头昏、头痛、呕吐、乏力甚至昏迷。病程中尚可出现精神症状，步态不稳，昏迷过程久者，醒后可有运动性失语及偏疵。长期接触天然气者，可出现神经衰弱综合征。</w:t>
            </w:r>
          </w:p>
        </w:tc>
      </w:tr>
      <w:tr w14:paraId="6C222A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88" w:type="dxa"/>
            <w:vMerge w:val="continue"/>
            <w:tcBorders>
              <w:left w:val="single" w:color="auto" w:sz="4" w:space="0"/>
              <w:right w:val="single" w:color="auto" w:sz="4" w:space="0"/>
            </w:tcBorders>
            <w:vAlign w:val="center"/>
          </w:tcPr>
          <w:p w14:paraId="567DB550">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7933" w:type="dxa"/>
            <w:gridSpan w:val="3"/>
            <w:tcBorders>
              <w:top w:val="single" w:color="auto" w:sz="4" w:space="0"/>
              <w:left w:val="single" w:color="auto" w:sz="4" w:space="0"/>
              <w:bottom w:val="single" w:color="auto" w:sz="4" w:space="0"/>
              <w:right w:val="single" w:color="auto" w:sz="4" w:space="0"/>
            </w:tcBorders>
            <w:vAlign w:val="center"/>
          </w:tcPr>
          <w:p w14:paraId="2655479A">
            <w:pPr>
              <w:kinsoku/>
              <w:autoSpaceDE/>
              <w:autoSpaceDN/>
              <w:bidi w:val="0"/>
              <w:spacing w:line="240" w:lineRule="auto"/>
              <w:jc w:val="both"/>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工作场所最高允许浓度</w:t>
            </w:r>
            <w:r>
              <w:rPr>
                <w:rFonts w:hint="eastAsia" w:cs="宋体"/>
                <w:b w:val="0"/>
                <w:bCs w:val="0"/>
                <w:color w:val="000000" w:themeColor="text1"/>
                <w:kern w:val="0"/>
                <w:sz w:val="21"/>
                <w:szCs w:val="21"/>
                <w:highlight w:val="none"/>
                <w:lang w:eastAsia="zh-CN"/>
                <w14:textFill>
                  <w14:solidFill>
                    <w14:schemeClr w14:val="tx1"/>
                  </w14:solidFill>
                </w14:textFill>
              </w:rPr>
              <w:t>：</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前苏联</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r>
      <w:tr w14:paraId="051D2D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588" w:type="dxa"/>
            <w:vMerge w:val="continue"/>
            <w:tcBorders>
              <w:left w:val="single" w:color="auto" w:sz="4" w:space="0"/>
              <w:bottom w:val="single" w:color="auto" w:sz="4" w:space="0"/>
              <w:right w:val="single" w:color="auto" w:sz="4" w:space="0"/>
            </w:tcBorders>
            <w:vAlign w:val="center"/>
          </w:tcPr>
          <w:p w14:paraId="21A3830B">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7933" w:type="dxa"/>
            <w:gridSpan w:val="3"/>
            <w:tcBorders>
              <w:top w:val="single" w:color="auto" w:sz="4" w:space="0"/>
              <w:left w:val="single" w:color="auto" w:sz="4" w:space="0"/>
              <w:bottom w:val="single" w:color="auto" w:sz="4" w:space="0"/>
              <w:right w:val="single" w:color="auto" w:sz="4" w:space="0"/>
            </w:tcBorders>
            <w:vAlign w:val="center"/>
          </w:tcPr>
          <w:p w14:paraId="6D4CF864">
            <w:pPr>
              <w:kinsoku/>
              <w:autoSpaceDE/>
              <w:autoSpaceDN/>
              <w:bidi w:val="0"/>
              <w:spacing w:line="240" w:lineRule="auto"/>
              <w:jc w:val="both"/>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LD50</w:t>
            </w:r>
            <w:r>
              <w:rPr>
                <w:rFonts w:hint="eastAsia" w:cs="宋体"/>
                <w:b w:val="0"/>
                <w:bCs w:val="0"/>
                <w:color w:val="000000" w:themeColor="text1"/>
                <w:kern w:val="0"/>
                <w:sz w:val="21"/>
                <w:szCs w:val="21"/>
                <w:highlight w:val="none"/>
                <w:lang w:eastAsia="zh-CN"/>
                <w14:textFill>
                  <w14:solidFill>
                    <w14:schemeClr w14:val="tx1"/>
                  </w14:solidFill>
                </w14:textFill>
              </w:rPr>
              <w:t>：</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LC50</w:t>
            </w:r>
            <w:r>
              <w:rPr>
                <w:rFonts w:hint="eastAsia" w:cs="宋体"/>
                <w:b w:val="0"/>
                <w:bCs w:val="0"/>
                <w:color w:val="000000" w:themeColor="text1"/>
                <w:kern w:val="0"/>
                <w:sz w:val="21"/>
                <w:szCs w:val="21"/>
                <w:highlight w:val="none"/>
                <w:lang w:eastAsia="zh-CN"/>
                <w14:textFill>
                  <w14:solidFill>
                    <w14:schemeClr w14:val="tx1"/>
                  </w14:solidFill>
                </w14:textFill>
              </w:rPr>
              <w:t>：</w:t>
            </w:r>
          </w:p>
        </w:tc>
      </w:tr>
    </w:tbl>
    <w:p w14:paraId="414E684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2、风险潜势初判</w:t>
      </w:r>
    </w:p>
    <w:p w14:paraId="10B172C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（1）危险物质数量与临界量比值（Q）</w:t>
      </w:r>
    </w:p>
    <w:p w14:paraId="6F089FF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项目危险物质数量与临界量比值（Q）计算结果，见表5.2-</w:t>
      </w:r>
      <w:r>
        <w:rPr>
          <w:rFonts w:hint="eastAsia"/>
          <w:color w:val="000000" w:themeColor="text1"/>
          <w:highlight w:val="none"/>
          <w:lang w:val="en-US" w:eastAsia="zh-CN"/>
          <w14:textFill>
            <w14:solidFill>
              <w14:schemeClr w14:val="tx1"/>
            </w14:solidFill>
          </w14:textFill>
        </w:rPr>
        <w:t>33</w:t>
      </w:r>
      <w:r>
        <w:rPr>
          <w:color w:val="000000" w:themeColor="text1"/>
          <w:highlight w:val="none"/>
          <w14:textFill>
            <w14:solidFill>
              <w14:schemeClr w14:val="tx1"/>
            </w14:solidFill>
          </w14:textFill>
        </w:rPr>
        <w:t>。</w:t>
      </w:r>
    </w:p>
    <w:p w14:paraId="2911CD6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w:t>
      </w:r>
      <w:r>
        <w:rPr>
          <w:rFonts w:hint="eastAsia"/>
          <w:b/>
          <w:bCs/>
          <w:color w:val="000000" w:themeColor="text1"/>
          <w:sz w:val="21"/>
          <w:szCs w:val="21"/>
          <w:highlight w:val="none"/>
          <w:lang w:val="en-US" w:eastAsia="zh-CN"/>
          <w14:textFill>
            <w14:solidFill>
              <w14:schemeClr w14:val="tx1"/>
            </w14:solidFill>
          </w14:textFill>
        </w:rPr>
        <w:t>33</w:t>
      </w:r>
      <w:r>
        <w:rPr>
          <w:b/>
          <w:bCs/>
          <w:color w:val="000000" w:themeColor="text1"/>
          <w:sz w:val="21"/>
          <w:szCs w:val="21"/>
          <w:highlight w:val="none"/>
          <w14:textFill>
            <w14:solidFill>
              <w14:schemeClr w14:val="tx1"/>
            </w14:solidFill>
          </w14:textFill>
        </w:rPr>
        <w:t xml:space="preserve">  项目危险物质数量与临界量比值（Q）计算结果一览表</w:t>
      </w:r>
    </w:p>
    <w:tbl>
      <w:tblPr>
        <w:tblStyle w:val="58"/>
        <w:tblW w:w="85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534"/>
        <w:gridCol w:w="1159"/>
        <w:gridCol w:w="1843"/>
        <w:gridCol w:w="1276"/>
        <w:gridCol w:w="991"/>
        <w:gridCol w:w="1046"/>
      </w:tblGrid>
      <w:tr w14:paraId="629C0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78" w:type="dxa"/>
            <w:vAlign w:val="top"/>
          </w:tcPr>
          <w:p w14:paraId="2A0BDE21">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序号</w:t>
            </w:r>
          </w:p>
        </w:tc>
        <w:tc>
          <w:tcPr>
            <w:tcW w:w="1534" w:type="dxa"/>
            <w:vAlign w:val="top"/>
          </w:tcPr>
          <w:p w14:paraId="2C0BA9D3">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危险物质名称</w:t>
            </w:r>
          </w:p>
        </w:tc>
        <w:tc>
          <w:tcPr>
            <w:tcW w:w="1159" w:type="dxa"/>
            <w:vAlign w:val="top"/>
          </w:tcPr>
          <w:p w14:paraId="7CFAA669">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CAS号</w:t>
            </w:r>
          </w:p>
        </w:tc>
        <w:tc>
          <w:tcPr>
            <w:tcW w:w="1843" w:type="dxa"/>
            <w:vAlign w:val="top"/>
          </w:tcPr>
          <w:p w14:paraId="5ADA0CD5">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最大存在总量qn/t</w:t>
            </w:r>
          </w:p>
        </w:tc>
        <w:tc>
          <w:tcPr>
            <w:tcW w:w="1276" w:type="dxa"/>
            <w:vAlign w:val="top"/>
          </w:tcPr>
          <w:p w14:paraId="5BA745FE">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临界量Qn/t</w:t>
            </w:r>
          </w:p>
        </w:tc>
        <w:tc>
          <w:tcPr>
            <w:tcW w:w="991" w:type="dxa"/>
            <w:vAlign w:val="top"/>
          </w:tcPr>
          <w:p w14:paraId="56F9702E">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qn/Qn值</w:t>
            </w:r>
          </w:p>
        </w:tc>
        <w:tc>
          <w:tcPr>
            <w:tcW w:w="1046" w:type="dxa"/>
            <w:vAlign w:val="top"/>
          </w:tcPr>
          <w:p w14:paraId="3F88673A">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Q值划分</w:t>
            </w:r>
          </w:p>
        </w:tc>
      </w:tr>
      <w:tr w14:paraId="7BA03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678" w:type="dxa"/>
            <w:vAlign w:val="top"/>
          </w:tcPr>
          <w:p w14:paraId="253624C7">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1</w:t>
            </w:r>
          </w:p>
        </w:tc>
        <w:tc>
          <w:tcPr>
            <w:tcW w:w="1534" w:type="dxa"/>
            <w:vAlign w:val="top"/>
          </w:tcPr>
          <w:p w14:paraId="25208A27">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NH</w:t>
            </w:r>
            <w:r>
              <w:rPr>
                <w:rFonts w:ascii="Times New Roman" w:hAnsi="Times New Roman" w:eastAsia="宋体" w:cs="宋体"/>
                <w:b w:val="0"/>
                <w:bCs w:val="0"/>
                <w:color w:val="000000" w:themeColor="text1"/>
                <w:kern w:val="0"/>
                <w:sz w:val="21"/>
                <w:szCs w:val="21"/>
                <w:highlight w:val="none"/>
                <w:vertAlign w:val="subscript"/>
                <w14:textFill>
                  <w14:solidFill>
                    <w14:schemeClr w14:val="tx1"/>
                  </w14:solidFill>
                </w14:textFill>
              </w:rPr>
              <w:t>3</w:t>
            </w:r>
          </w:p>
        </w:tc>
        <w:tc>
          <w:tcPr>
            <w:tcW w:w="1159" w:type="dxa"/>
            <w:vAlign w:val="top"/>
          </w:tcPr>
          <w:p w14:paraId="2FD76D71">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7664-41-7</w:t>
            </w:r>
          </w:p>
        </w:tc>
        <w:tc>
          <w:tcPr>
            <w:tcW w:w="1843" w:type="dxa"/>
            <w:vAlign w:val="top"/>
          </w:tcPr>
          <w:p w14:paraId="51F8A021">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0</w:t>
            </w:r>
          </w:p>
        </w:tc>
        <w:tc>
          <w:tcPr>
            <w:tcW w:w="1276" w:type="dxa"/>
            <w:vAlign w:val="top"/>
          </w:tcPr>
          <w:p w14:paraId="37369953">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5</w:t>
            </w:r>
          </w:p>
        </w:tc>
        <w:tc>
          <w:tcPr>
            <w:tcW w:w="991" w:type="dxa"/>
            <w:vAlign w:val="top"/>
          </w:tcPr>
          <w:p w14:paraId="0E8CB9B1">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0</w:t>
            </w:r>
          </w:p>
        </w:tc>
        <w:tc>
          <w:tcPr>
            <w:tcW w:w="1046" w:type="dxa"/>
            <w:vAlign w:val="top"/>
          </w:tcPr>
          <w:p w14:paraId="7AC8A622">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Q＜1</w:t>
            </w:r>
          </w:p>
        </w:tc>
      </w:tr>
      <w:tr w14:paraId="414AD8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78" w:type="dxa"/>
            <w:vAlign w:val="top"/>
          </w:tcPr>
          <w:p w14:paraId="38973D3B">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2</w:t>
            </w:r>
          </w:p>
        </w:tc>
        <w:tc>
          <w:tcPr>
            <w:tcW w:w="1534" w:type="dxa"/>
            <w:vAlign w:val="top"/>
          </w:tcPr>
          <w:p w14:paraId="5F3FCE05">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H</w:t>
            </w:r>
            <w:r>
              <w:rPr>
                <w:rFonts w:ascii="Times New Roman" w:hAnsi="Times New Roman" w:eastAsia="宋体" w:cs="宋体"/>
                <w:b w:val="0"/>
                <w:bCs w:val="0"/>
                <w:color w:val="000000" w:themeColor="text1"/>
                <w:kern w:val="0"/>
                <w:sz w:val="21"/>
                <w:szCs w:val="21"/>
                <w:highlight w:val="none"/>
                <w:vertAlign w:val="subscript"/>
                <w14:textFill>
                  <w14:solidFill>
                    <w14:schemeClr w14:val="tx1"/>
                  </w14:solidFill>
                </w14:textFill>
              </w:rPr>
              <w:t>2</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S</w:t>
            </w:r>
          </w:p>
        </w:tc>
        <w:tc>
          <w:tcPr>
            <w:tcW w:w="1159" w:type="dxa"/>
            <w:vAlign w:val="top"/>
          </w:tcPr>
          <w:p w14:paraId="015B6ADC">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7783-06-4</w:t>
            </w:r>
          </w:p>
        </w:tc>
        <w:tc>
          <w:tcPr>
            <w:tcW w:w="1843" w:type="dxa"/>
            <w:vAlign w:val="top"/>
          </w:tcPr>
          <w:p w14:paraId="0BAABC8D">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0</w:t>
            </w:r>
          </w:p>
        </w:tc>
        <w:tc>
          <w:tcPr>
            <w:tcW w:w="1276" w:type="dxa"/>
            <w:vAlign w:val="top"/>
          </w:tcPr>
          <w:p w14:paraId="27FD7927">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2.5</w:t>
            </w:r>
          </w:p>
        </w:tc>
        <w:tc>
          <w:tcPr>
            <w:tcW w:w="991" w:type="dxa"/>
            <w:vAlign w:val="top"/>
          </w:tcPr>
          <w:p w14:paraId="7DA70984">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0</w:t>
            </w:r>
          </w:p>
        </w:tc>
        <w:tc>
          <w:tcPr>
            <w:tcW w:w="1046" w:type="dxa"/>
            <w:vAlign w:val="top"/>
          </w:tcPr>
          <w:p w14:paraId="4A532436">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Q＜1</w:t>
            </w:r>
          </w:p>
        </w:tc>
      </w:tr>
      <w:tr w14:paraId="1960E5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7" w:hRule="atLeast"/>
        </w:trPr>
        <w:tc>
          <w:tcPr>
            <w:tcW w:w="678" w:type="dxa"/>
            <w:vAlign w:val="top"/>
          </w:tcPr>
          <w:p w14:paraId="0DF8679C">
            <w:pPr>
              <w:kinsoku/>
              <w:autoSpaceDE/>
              <w:autoSpaceDN/>
              <w:bidi w:val="0"/>
              <w:spacing w:line="240" w:lineRule="auto"/>
              <w:jc w:val="center"/>
              <w:rPr>
                <w:rFonts w:hint="default" w:ascii="Times New Roman" w:hAnsi="Times New Roman"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总计</w:t>
            </w:r>
          </w:p>
        </w:tc>
        <w:tc>
          <w:tcPr>
            <w:tcW w:w="1534" w:type="dxa"/>
            <w:shd w:val="clear" w:color="auto" w:fill="auto"/>
            <w:vAlign w:val="top"/>
          </w:tcPr>
          <w:p w14:paraId="3EA9E36D">
            <w:pPr>
              <w:kinsoku/>
              <w:autoSpaceDE/>
              <w:autoSpaceDN/>
              <w:bidi w:val="0"/>
              <w:spacing w:line="240" w:lineRule="auto"/>
              <w:jc w:val="center"/>
              <w:rPr>
                <w:rFonts w:hint="default" w:ascii="Times New Roman" w:hAnsi="Times New Roman"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c>
          <w:tcPr>
            <w:tcW w:w="1159" w:type="dxa"/>
            <w:shd w:val="clear" w:color="auto" w:fill="auto"/>
            <w:vAlign w:val="top"/>
          </w:tcPr>
          <w:p w14:paraId="62838F06">
            <w:pPr>
              <w:kinsoku/>
              <w:autoSpaceDE/>
              <w:autoSpaceDN/>
              <w:bidi w:val="0"/>
              <w:spacing w:line="240" w:lineRule="auto"/>
              <w:jc w:val="cente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c>
          <w:tcPr>
            <w:tcW w:w="1843" w:type="dxa"/>
            <w:shd w:val="clear" w:color="auto" w:fill="auto"/>
            <w:vAlign w:val="top"/>
          </w:tcPr>
          <w:p w14:paraId="7434F977">
            <w:pPr>
              <w:kinsoku/>
              <w:autoSpaceDE/>
              <w:autoSpaceDN/>
              <w:bidi w:val="0"/>
              <w:spacing w:line="240" w:lineRule="auto"/>
              <w:jc w:val="cente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c>
          <w:tcPr>
            <w:tcW w:w="1276" w:type="dxa"/>
            <w:shd w:val="clear" w:color="auto" w:fill="auto"/>
            <w:vAlign w:val="top"/>
          </w:tcPr>
          <w:p w14:paraId="18C14DDA">
            <w:pPr>
              <w:kinsoku/>
              <w:autoSpaceDE/>
              <w:autoSpaceDN/>
              <w:bidi w:val="0"/>
              <w:spacing w:line="240" w:lineRule="auto"/>
              <w:jc w:val="cente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w:t>
            </w:r>
          </w:p>
        </w:tc>
        <w:tc>
          <w:tcPr>
            <w:tcW w:w="991" w:type="dxa"/>
            <w:shd w:val="clear" w:color="auto" w:fill="auto"/>
            <w:vAlign w:val="top"/>
          </w:tcPr>
          <w:p w14:paraId="6A471DFB">
            <w:pPr>
              <w:kinsoku/>
              <w:autoSpaceDE/>
              <w:autoSpaceDN/>
              <w:bidi w:val="0"/>
              <w:spacing w:line="240" w:lineRule="auto"/>
              <w:jc w:val="center"/>
              <w:rPr>
                <w:rFonts w:hint="default" w:ascii="Times New Roman" w:hAnsi="Times New Roman"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0</w:t>
            </w:r>
          </w:p>
        </w:tc>
        <w:tc>
          <w:tcPr>
            <w:tcW w:w="1046" w:type="dxa"/>
            <w:shd w:val="clear" w:color="auto" w:fill="auto"/>
            <w:vAlign w:val="top"/>
          </w:tcPr>
          <w:p w14:paraId="4291C4E0">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Q＜1</w:t>
            </w:r>
          </w:p>
        </w:tc>
      </w:tr>
    </w:tbl>
    <w:p w14:paraId="5A22371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根据上表可知，本项目Q值划分为Q＜1，项目环境风险潜势为Ⅰ。</w:t>
      </w:r>
    </w:p>
    <w:p w14:paraId="22402B2A">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3、评价等级</w:t>
      </w:r>
    </w:p>
    <w:p w14:paraId="4CBA61A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按照《建设项目环境风险评价技术导则》（HJ169-2018）要求，Q＜1时，风险潜势为I，进行简单分析。故大气、地表水、地下水评价等级为简单分析。</w:t>
      </w:r>
    </w:p>
    <w:p w14:paraId="2ACB9DB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根据以上分析，确定本工程大气环境风险评价等级为简单分析，地表水环境风险评价等级为简单分析，地下水环境风险评价等级为简单分析，综上所述，本项目风险评价等级为简单分析。</w:t>
      </w:r>
    </w:p>
    <w:p w14:paraId="65D35F9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"5.2.8.2"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5.2.8.2</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环境敏感目标概况</w:t>
      </w:r>
    </w:p>
    <w:p w14:paraId="03C1056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经调查，项目场址边界外延500m范围内，无环境敏感目标。</w:t>
      </w:r>
    </w:p>
    <w:p w14:paraId="6CD92DF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"5.2.8.3"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5.2.8.3</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环境风险识别</w:t>
      </w:r>
    </w:p>
    <w:p w14:paraId="2C96B86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（1）物质危险性识别</w:t>
      </w:r>
    </w:p>
    <w:p w14:paraId="652167B2">
      <w:pPr>
        <w:kinsoku/>
        <w:autoSpaceDE/>
        <w:autoSpaceDN/>
        <w:bidi w:val="0"/>
        <w:spacing w:line="360" w:lineRule="auto"/>
        <w:ind w:firstLine="480" w:firstLineChars="200"/>
        <w:jc w:val="left"/>
        <w:rPr>
          <w:color w:val="000000" w:themeColor="text1"/>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本项目所涉及污染物</w:t>
      </w:r>
      <w:r>
        <w:rPr>
          <w:rFonts w:hint="eastAsia" w:cs="宋体"/>
          <w:b w:val="0"/>
          <w:bCs w:val="0"/>
          <w:color w:val="000000" w:themeColor="text1"/>
          <w:kern w:val="0"/>
          <w:szCs w:val="24"/>
          <w:highlight w:val="none"/>
          <w:lang w:eastAsia="zh-CN"/>
          <w14:textFill>
            <w14:solidFill>
              <w14:schemeClr w14:val="tx1"/>
            </w14:solidFill>
          </w14:textFill>
        </w:rPr>
        <w:t>及</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原辅材料</w:t>
      </w:r>
      <w:r>
        <w:rPr>
          <w:rFonts w:ascii="Times New Roman" w:hAnsi="Times New Roman" w:eastAsia="宋体" w:cs="宋体"/>
          <w:b w:val="0"/>
          <w:bCs w:val="0"/>
          <w:color w:val="000000" w:themeColor="text1"/>
          <w:kern w:val="0"/>
          <w:szCs w:val="24"/>
          <w:highlight w:val="none"/>
          <w14:textFill>
            <w14:solidFill>
              <w14:schemeClr w14:val="tx1"/>
            </w14:solidFill>
          </w14:textFill>
        </w:rPr>
        <w:t>根据危险化学品名录及HJ169-2018附录B识别出的危险物质为NH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2</w:t>
      </w:r>
      <w:r>
        <w:rPr>
          <w:rFonts w:ascii="Times New Roman" w:hAnsi="Times New Roman" w:eastAsia="宋体" w:cs="宋体"/>
          <w:b w:val="0"/>
          <w:bCs w:val="0"/>
          <w:color w:val="000000" w:themeColor="text1"/>
          <w:kern w:val="0"/>
          <w:szCs w:val="24"/>
          <w:highlight w:val="none"/>
          <w14:textFill>
            <w14:solidFill>
              <w14:schemeClr w14:val="tx1"/>
            </w14:solidFill>
          </w14:textFill>
        </w:rPr>
        <w:t>S</w:t>
      </w:r>
      <w:r>
        <w:rPr>
          <w:rFonts w:hint="eastAsia" w:ascii="Times New Roman" w:hAnsi="Times New Roman"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沼气</w:t>
      </w:r>
      <w:r>
        <w:rPr>
          <w:rFonts w:ascii="Times New Roman" w:hAnsi="Times New Roman" w:eastAsia="宋体" w:cs="宋体"/>
          <w:b w:val="0"/>
          <w:bCs w:val="0"/>
          <w:color w:val="000000" w:themeColor="text1"/>
          <w:kern w:val="0"/>
          <w:szCs w:val="24"/>
          <w:highlight w:val="none"/>
          <w14:textFill>
            <w14:solidFill>
              <w14:schemeClr w14:val="tx1"/>
            </w14:solidFill>
          </w14:textFill>
        </w:rPr>
        <w:t>。NH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、H</w:t>
      </w:r>
      <w:r>
        <w:rPr>
          <w:rFonts w:ascii="Times New Roman" w:hAnsi="Times New Roman" w:eastAsia="宋体" w:cs="宋体"/>
          <w:b w:val="0"/>
          <w:bCs w:val="0"/>
          <w:color w:val="000000" w:themeColor="text1"/>
          <w:kern w:val="0"/>
          <w:szCs w:val="24"/>
          <w:highlight w:val="none"/>
          <w:vertAlign w:val="subscript"/>
          <w14:textFill>
            <w14:solidFill>
              <w14:schemeClr w14:val="tx1"/>
            </w14:solidFill>
          </w14:textFill>
        </w:rPr>
        <w:t>2</w:t>
      </w:r>
      <w:r>
        <w:rPr>
          <w:rFonts w:ascii="Times New Roman" w:hAnsi="Times New Roman" w:eastAsia="宋体" w:cs="宋体"/>
          <w:b w:val="0"/>
          <w:bCs w:val="0"/>
          <w:color w:val="000000" w:themeColor="text1"/>
          <w:kern w:val="0"/>
          <w:szCs w:val="24"/>
          <w:highlight w:val="none"/>
          <w14:textFill>
            <w14:solidFill>
              <w14:schemeClr w14:val="tx1"/>
            </w14:solidFill>
          </w14:textFill>
        </w:rPr>
        <w:t>S</w:t>
      </w:r>
      <w:r>
        <w:rPr>
          <w:rFonts w:hint="eastAsia" w:ascii="Times New Roman" w:hAnsi="Times New Roman"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沼气</w:t>
      </w:r>
      <w:r>
        <w:rPr>
          <w:rFonts w:ascii="Times New Roman" w:hAnsi="Times New Roman" w:eastAsia="宋体" w:cs="宋体"/>
          <w:b w:val="0"/>
          <w:bCs w:val="0"/>
          <w:color w:val="000000" w:themeColor="text1"/>
          <w:kern w:val="0"/>
          <w:szCs w:val="24"/>
          <w:highlight w:val="none"/>
          <w14:textFill>
            <w14:solidFill>
              <w14:schemeClr w14:val="tx1"/>
            </w14:solidFill>
          </w14:textFill>
        </w:rPr>
        <w:t>与空气混合能形成爆炸性混合物，遇明火、高热能引起燃烧爆炸。</w:t>
      </w:r>
    </w:p>
    <w:p w14:paraId="3C27735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（2）生产设施危险性识别</w:t>
      </w:r>
    </w:p>
    <w:p w14:paraId="2ACCE4D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生产系统危险性识别，包括主要生产装置、储运设施、公用工程和辅助生产设施，以及环境保护设施等。项目生产过程中的主要环境风险是疫情风险、作为液肥农灌风险以及</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风险。</w:t>
      </w:r>
    </w:p>
    <w:p w14:paraId="2CFF4DF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"5.2.8.4"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5.2.8.4</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 xml:space="preserve"> 环境风险分析</w:t>
      </w:r>
    </w:p>
    <w:p w14:paraId="10089E1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1、疫情风险的分析</w:t>
      </w:r>
    </w:p>
    <w:p w14:paraId="445DDD7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集约化猪场养殖规模大、密度高、传播速度快，疾病威胁严重，一旦发生很难控制，可直接导致牲畜死亡、产品低劣、产量下降，防治费用增加，经济损失巨大。这就要求我们随时具备对猪群有群防群控能力。</w:t>
      </w:r>
    </w:p>
    <w:p w14:paraId="5AD13FF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（1）流行性疾病</w:t>
      </w:r>
    </w:p>
    <w:p w14:paraId="5092F2E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近3年来，几种影响免疫功能的疾病困扰着我国养猪业，给养猪业造成了难以估量的损失，如猪非洲疫病毒、猪环状病毒感染、猪繁殖与呼吸综合征等疫病的发生流行，引起机体的基础免疫功能下降，导致猪群免疫失败，如猪繁殖与呼吸综合征（PRRS）、仔猪断奶后多系统衰弱综合征（PMWS）、猪呼吸道疾病综合征（PRDC）、猪皮炎肾病综合征（PDNS）等，多种病原体引起的疾病的临床病变极其严重，极易造成临床上的误诊和防治上的困难，由于这些新病的出现，有的疾病缺乏有效的防治措施，因此，猪群发病率和死亡率提高，养猪场损失惨重，给我国养猪业造成了巨大的危害，不少猪场因种猪的疫病问题造成巨大的经济损失而倒闭。</w:t>
      </w:r>
    </w:p>
    <w:p w14:paraId="3054470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（2）慢性疾病</w:t>
      </w:r>
    </w:p>
    <w:p w14:paraId="4701BDB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许多慢性疾病虽然死亡率不高，但由于造成生长速度减慢、饲料利用效率降低，并发二次感染，增加药物和治疗费用等，经济损失极大。据国外研究报道，萎缩性鼻炎可使生长速度降低5%，如果与肺炎并发，可导致生长速度降低17%；由于地方性肺炎导致肺的不同程度损坏，每损坏10%的肺组织可降低5%的生长速度；猪群由于胸膜肺炎的影响，可使销售额降低20%，并导致达100千克延长12天；某些皮肤病如猪疥癣可降低10%的生长和饲料利用率，并且可能诱发皮脂炎而严重影响胴体品质，据国内有关数据显示，病毒、细菌等混合感染引起的呼吸道疾病，除了造成直接死亡之外，可使猪日增重降低15%、饲料利用率降低18%、出栏时间推迟23天，甚至更多，</w:t>
      </w:r>
      <w:r>
        <w:rPr>
          <w:rFonts w:hint="eastAsia"/>
          <w:color w:val="000000" w:themeColor="text1"/>
          <w:highlight w:val="none"/>
          <w:lang w:eastAsia="zh-CN"/>
          <w14:textFill>
            <w14:solidFill>
              <w14:schemeClr w14:val="tx1"/>
            </w14:solidFill>
          </w14:textFill>
        </w:rPr>
        <w:t>体</w:t>
      </w:r>
      <w:r>
        <w:rPr>
          <w:color w:val="000000" w:themeColor="text1"/>
          <w:highlight w:val="none"/>
          <w14:textFill>
            <w14:solidFill>
              <w14:schemeClr w14:val="tx1"/>
            </w14:solidFill>
          </w14:textFill>
        </w:rPr>
        <w:t>重下降或生长停滞的猪可达70%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甚至更多。</w:t>
      </w:r>
    </w:p>
    <w:p w14:paraId="537A4A4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93056" behindDoc="0" locked="0" layoutInCell="0" allowOverlap="1">
                <wp:simplePos x="0" y="0"/>
                <wp:positionH relativeFrom="page">
                  <wp:posOffset>1141095</wp:posOffset>
                </wp:positionH>
                <wp:positionV relativeFrom="page">
                  <wp:posOffset>753110</wp:posOffset>
                </wp:positionV>
                <wp:extent cx="5278755" cy="9525"/>
                <wp:effectExtent l="0" t="0" r="0" b="0"/>
                <wp:wrapNone/>
                <wp:docPr id="90" name="任意多边形 90"/>
                <wp:cNvGraphicFramePr/>
                <a:graphic xmlns:a="http://schemas.openxmlformats.org/drawingml/2006/main">
                  <a:graphicData uri="http://schemas.microsoft.com/office/word/2010/wordprocessingShape">
                    <wps:wsp>
                      <wps:cNvSpPr/>
                      <wps:spPr>
                        <a:xfrm>
                          <a:off x="0" y="0"/>
                          <a:ext cx="5278755" cy="9525"/>
                        </a:xfrm>
                        <a:custGeom>
                          <a:avLst/>
                          <a:gdLst/>
                          <a:ahLst/>
                          <a:cxnLst/>
                          <a:rect l="0" t="0" r="0" b="0"/>
                          <a:pathLst>
                            <a:path w="8312" h="15">
                              <a:moveTo>
                                <a:pt x="0" y="0"/>
                              </a:moveTo>
                              <a:lnTo>
                                <a:pt x="8312" y="0"/>
                              </a:lnTo>
                              <a:lnTo>
                                <a:pt x="8312" y="14"/>
                              </a:lnTo>
                              <a:lnTo>
                                <a:pt x="0" y="14"/>
                              </a:lnTo>
                              <a:lnTo>
                                <a:pt x="0" y="0"/>
                              </a:lnTo>
                              <a:close/>
                            </a:path>
                          </a:pathLst>
                        </a:custGeom>
                        <a:solidFill>
                          <a:srgbClr val="622423"/>
                        </a:solidFill>
                        <a:ln>
                          <a:noFill/>
                        </a:ln>
                      </wps:spPr>
                      <wps:bodyPr upright="1"/>
                    </wps:wsp>
                  </a:graphicData>
                </a:graphic>
              </wp:anchor>
            </w:drawing>
          </mc:Choice>
          <mc:Fallback>
            <w:pict>
              <v:shape id="_x0000_s1026" o:spid="_x0000_s1026" o:spt="100" style="position:absolute;left:0pt;margin-left:89.85pt;margin-top:59.3pt;height:0.75pt;width:415.65pt;mso-position-horizontal-relative:page;mso-position-vertical-relative:page;z-index:251693056;mso-width-relative:page;mso-height-relative:page;" fillcolor="#622423" filled="t" stroked="f" coordsize="8312,15" o:allowincell="f" o:gfxdata="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1GladYAAAAM&#10;AQAADwAAAAAAAAABACAAAAAiAAAAZHJzL2Rvd25yZXYueG1sUEsBAhQAFAAAAAgAh07iQJoqfwEe&#10;AgAAngQAAA4AAAAAAAAAAQAgAAAAJQEAAGRycy9lMm9Eb2MueG1sUEsFBgAAAAAGAAYAWQEAALUF&#10;AAAAAA==&#10;" path="m0,0l8312,0,8312,14,0,14,0,0xe">
                <v:fill on="t" focussize="0,0"/>
                <v:stroke on="f"/>
                <v:imagedata o:title=""/>
                <o:lock v:ext="edit" aspectratio="f"/>
              </v:shape>
            </w:pict>
          </mc:Fallback>
        </mc:AlternateContent>
      </w:r>
      <w:r>
        <w:rPr>
          <w:color w:val="000000" w:themeColor="text1"/>
          <w:highlight w:val="none"/>
          <w14:textFill>
            <w14:solidFill>
              <w14:schemeClr w14:val="tx1"/>
            </w14:solidFill>
          </w14:textFill>
        </w:rPr>
        <w:t>2、液肥农灌风险分析</w:t>
      </w:r>
    </w:p>
    <w:p w14:paraId="6C2BCFD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（1）地下水污染风险分析</w:t>
      </w:r>
    </w:p>
    <w:p w14:paraId="0BADFED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养殖场废水处理后作为液肥施用后，有部分随着灌溉水下渗，可能污染地下水环境。根据膜下滴灌的试验资料，滴灌下渗水浸润范围在80-90cm土层内，根据当地的地勘资料，项目区域地下水埋深约在10-35m，本项目区灌溉方式以滴灌为主，因此，只要加强液肥灌溉时的管理，灌溉水下渗进入地下水中污染地下水环境造成的影响很小。</w:t>
      </w:r>
    </w:p>
    <w:p w14:paraId="40C0C64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（2）土壤污染分析</w:t>
      </w:r>
    </w:p>
    <w:p w14:paraId="055186C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研究表明：Zn、Cu的污染源主要为养殖场废水，项目区农田土壤没有遭受重金属污染，本项目处理后的废水全部肥料化利用，作为有机肥料综合利用对土壤环境影响较小。</w:t>
      </w:r>
    </w:p>
    <w:p w14:paraId="7D5F8FE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风险分析</w:t>
      </w:r>
    </w:p>
    <w:p w14:paraId="31365A7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病死的家畜多数是因患了某种传染病而死亡的。其中有一些是人畜共患的传染病，如炭疽、结核等，如食用这些病死的畜肉，人就容易被传染上这些疾病，这对人的身体健康危害极大。有些畜禽虽然不是因为传染病而死，但死亡之后，体内的沙门氏菌、大肠杆菌、变形杆菌等，就会大量繁殖并迅速散播到畜禽的肌肉里，有的细菌还能产生肠毒素，人若吃了这种畜肉，就会发生食物中毒。有些禽畜可能因吃了被污染剧毒农药的</w:t>
      </w:r>
      <w:r>
        <w:rPr>
          <w:rFonts w:hint="eastAsia"/>
          <w:color w:val="000000" w:themeColor="text1"/>
          <w:highlight w:val="none"/>
          <w14:textFill>
            <w14:solidFill>
              <w14:schemeClr w14:val="tx1"/>
            </w14:solidFill>
          </w14:textFill>
        </w:rPr>
        <w:t>饲料</w:t>
      </w:r>
      <w:r>
        <w:rPr>
          <w:color w:val="000000" w:themeColor="text1"/>
          <w:highlight w:val="none"/>
          <w14:textFill>
            <w14:solidFill>
              <w14:schemeClr w14:val="tx1"/>
            </w14:solidFill>
          </w14:textFill>
        </w:rPr>
        <w:t>而中毒死亡，人如果吃了这种死畜，同样也有可能中毒，甚至造成死亡。因此，对于病死或者死因不明的畜禽，必须按照国务院畜牧兽医行政管理部门的有关规定进行无害化处理，不得随意处置。</w:t>
      </w:r>
    </w:p>
    <w:p w14:paraId="7CB009C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养殖场内，专门设置有隔离猪舍和病猪舍，对可疑病猪先在隔离猪舍进行隔离观察，确诊后立即送入病猪舍，将病猪和可疑病猪与健康猪隔离开来，将疫情限制在最小范围内，同时启动相应级别疫情应急处置方案。仍然有使用价值的病猪应隔离饲养、治疗，彻底治愈后，可以归群。</w:t>
      </w:r>
    </w:p>
    <w:p w14:paraId="2957046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根据《畜禽养殖业污染治理工程技术规范》（HJ 497-2009）中第9章和《</w:t>
      </w:r>
      <w:r>
        <w:rPr>
          <w:rFonts w:hint="eastAsia"/>
          <w:color w:val="000000" w:themeColor="text1"/>
          <w:highlight w:val="none"/>
          <w14:textFill>
            <w14:solidFill>
              <w14:schemeClr w14:val="tx1"/>
            </w14:solidFill>
          </w14:textFill>
        </w:rPr>
        <w:t>畜禽养殖业污染防治技术规范</w:t>
      </w:r>
      <w:r>
        <w:rPr>
          <w:color w:val="000000" w:themeColor="text1"/>
          <w:highlight w:val="none"/>
          <w14:textFill>
            <w14:solidFill>
              <w14:schemeClr w14:val="tx1"/>
            </w14:solidFill>
          </w14:textFill>
        </w:rPr>
        <w:t>》（HJ/T 81-2001）中第9章的要求，病死畜禽尸体应及时处理，不得随意丢弃，不得出售或作为饲料再利用。</w:t>
      </w:r>
    </w:p>
    <w:p w14:paraId="44AADC2B">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病死猪、胎衣</w:t>
      </w:r>
      <w:r>
        <w:rPr>
          <w:rFonts w:hint="eastAsia"/>
          <w:color w:val="000000" w:themeColor="text1"/>
          <w:highlight w:val="none"/>
          <w14:textFill>
            <w14:solidFill>
              <w14:schemeClr w14:val="tx1"/>
            </w14:solidFill>
          </w14:textFill>
        </w:rPr>
        <w:t>尸体委托有资质单位处理。</w:t>
      </w:r>
    </w:p>
    <w:p w14:paraId="0A1E7EC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管理员每日按要求对</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种类、原因、头数和体重如实进行登记记录。记录档案保存应不少于两年。</w:t>
      </w:r>
    </w:p>
    <w:p w14:paraId="1749D60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"5.2.8.5"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5.2.8.5</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环境风险防范措施及应急要求</w:t>
      </w:r>
    </w:p>
    <w:p w14:paraId="26C73B31">
      <w:pPr>
        <w:ind w:firstLine="480" w:firstLineChars="200"/>
        <w:rPr>
          <w:rFonts w:ascii="Times New Roman" w:hAnsi="Times New Roman" w:eastAsia="宋体" w:cs="宋体"/>
          <w:color w:val="000000" w:themeColor="text1"/>
          <w:highlight w:val="none"/>
          <w14:textFill>
            <w14:solidFill>
              <w14:schemeClr w14:val="tx1"/>
            </w14:solidFill>
          </w14:textFill>
        </w:rPr>
      </w:pPr>
      <w:r>
        <w:rPr>
          <w:rFonts w:ascii="Times New Roman" w:hAnsi="Times New Roman" w:eastAsia="宋体" w:cs="宋体"/>
          <w:color w:val="000000" w:themeColor="text1"/>
          <w:highlight w:val="none"/>
          <w14:textFill>
            <w14:solidFill>
              <w14:schemeClr w14:val="tx1"/>
            </w14:solidFill>
          </w14:textFill>
        </w:rPr>
        <w:t>1、疫情风险的防范措施</w:t>
      </w:r>
    </w:p>
    <w:p w14:paraId="65CD9D3A">
      <w:pPr>
        <w:ind w:firstLine="480" w:firstLineChars="200"/>
        <w:rPr>
          <w:rFonts w:ascii="Times New Roman" w:hAnsi="Times New Roman" w:eastAsia="宋体" w:cs="宋体"/>
          <w:color w:val="000000" w:themeColor="text1"/>
          <w:highlight w:val="none"/>
          <w:lang w:val="en-US" w:eastAsia="zh-CN"/>
          <w14:textFill>
            <w14:solidFill>
              <w14:schemeClr w14:val="tx1"/>
            </w14:solidFill>
          </w14:textFill>
        </w:rPr>
      </w:pPr>
      <w:r>
        <w:rPr>
          <w:rFonts w:ascii="Times New Roman" w:hAnsi="Times New Roman" w:eastAsia="宋体" w:cs="宋体"/>
          <w:color w:val="000000" w:themeColor="text1"/>
          <w:highlight w:val="none"/>
          <w:lang w:val="en-US" w:eastAsia="zh-CN"/>
          <w14:textFill>
            <w14:solidFill>
              <w14:schemeClr w14:val="tx1"/>
            </w14:solidFill>
          </w14:textFill>
        </w:rPr>
        <w:t>卫生防疫是规模化养殖场成败的关键，必须严格按照《中华人民共和国动物防疫法》的要求，做到</w:t>
      </w:r>
      <w:r>
        <w:rPr>
          <w:rFonts w:hint="eastAsia" w:ascii="Times New Roman" w:hAnsi="Times New Roman" w:eastAsia="宋体" w:cs="宋体"/>
          <w:color w:val="000000" w:themeColor="text1"/>
          <w:highlight w:val="none"/>
          <w:lang w:val="en-US" w:eastAsia="zh-CN"/>
          <w14:textFill>
            <w14:solidFill>
              <w14:schemeClr w14:val="tx1"/>
            </w14:solidFill>
          </w14:textFill>
        </w:rPr>
        <w:t>“</w:t>
      </w:r>
      <w:r>
        <w:rPr>
          <w:rFonts w:ascii="Times New Roman" w:hAnsi="Times New Roman" w:eastAsia="宋体" w:cs="宋体"/>
          <w:color w:val="000000" w:themeColor="text1"/>
          <w:highlight w:val="none"/>
          <w:lang w:val="en-US" w:eastAsia="zh-CN"/>
          <w14:textFill>
            <w14:solidFill>
              <w14:schemeClr w14:val="tx1"/>
            </w14:solidFill>
          </w14:textFill>
        </w:rPr>
        <w:t>以防为主，防治结合，制度健全，责任到人</w:t>
      </w:r>
      <w:r>
        <w:rPr>
          <w:rFonts w:hint="eastAsia" w:ascii="Times New Roman" w:hAnsi="Times New Roman" w:eastAsia="宋体" w:cs="宋体"/>
          <w:color w:val="000000" w:themeColor="text1"/>
          <w:highlight w:val="none"/>
          <w:lang w:val="en-US" w:eastAsia="zh-CN"/>
          <w14:textFill>
            <w14:solidFill>
              <w14:schemeClr w14:val="tx1"/>
            </w14:solidFill>
          </w14:textFill>
        </w:rPr>
        <w:t>”</w:t>
      </w:r>
      <w:r>
        <w:rPr>
          <w:rFonts w:ascii="Times New Roman" w:hAnsi="Times New Roman" w:eastAsia="宋体" w:cs="宋体"/>
          <w:color w:val="000000" w:themeColor="text1"/>
          <w:highlight w:val="none"/>
          <w:lang w:val="en-US" w:eastAsia="zh-CN"/>
          <w14:textFill>
            <w14:solidFill>
              <w14:schemeClr w14:val="tx1"/>
            </w14:solidFill>
          </w14:textFill>
        </w:rPr>
        <w:t>。</w:t>
      </w:r>
    </w:p>
    <w:p w14:paraId="30FB06F3">
      <w:pPr>
        <w:ind w:firstLine="480" w:firstLineChars="200"/>
        <w:rPr>
          <w:rFonts w:ascii="Times New Roman" w:hAnsi="Times New Roman" w:eastAsia="宋体" w:cs="宋体"/>
          <w:color w:val="000000" w:themeColor="text1"/>
          <w:highlight w:val="none"/>
          <w14:textFill>
            <w14:solidFill>
              <w14:schemeClr w14:val="tx1"/>
            </w14:solidFill>
          </w14:textFill>
        </w:rPr>
      </w:pPr>
      <w:r>
        <w:rPr>
          <w:rFonts w:ascii="Times New Roman" w:hAnsi="Times New Roman" w:eastAsia="宋体" w:cs="宋体"/>
          <w:color w:val="000000" w:themeColor="text1"/>
          <w:highlight w:val="none"/>
          <w14:textFill>
            <w14:solidFill>
              <w14:schemeClr w14:val="tx1"/>
            </w14:solidFill>
          </w14:textFill>
        </w:rPr>
        <w:t>（1）消毒制度</w:t>
      </w:r>
    </w:p>
    <w:p w14:paraId="713EACA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进入饲养场的人和车辆等都需要经过消毒。凡是进入饲养场的工作人员，一律更换工作服、工作鞋，并经紫外线照射5分钟进行消毒。外来人员必须进入生产区时，也应按照上述方法消毒，在场区管理人员的带领下，按照指定路线行走。</w:t>
      </w:r>
    </w:p>
    <w:p w14:paraId="48CAA2F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（2）免疫程序管理</w:t>
      </w:r>
    </w:p>
    <w:p w14:paraId="3C74A9D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在生猪养殖过程中严格执行自治区家畜疫病防治的五个强制（免疫、疫区检疫、封锁、消毒、病畜捕杀）和两个强化（疫病报告、防疫监督）制度，定期防治传染病和寄生虫病。制定一套合理的免疫程序和实验室检测制度，一旦发生疫情，封锁疫点，禁止猪只流动，病猪及相关物品采取无害化处理。对未发病的猪，用疫苗（剂量可加大2～4倍）进行紧急预防接种，对猪舍、粪便和用具</w:t>
      </w:r>
      <w:r>
        <w:rPr>
          <w:rFonts w:hint="eastAsia"/>
          <w:color w:val="000000" w:themeColor="text1"/>
          <w:highlight w:val="none"/>
          <w14:textFill>
            <w14:solidFill>
              <w14:schemeClr w14:val="tx1"/>
            </w14:solidFill>
          </w14:textFill>
        </w:rPr>
        <w:t>彻底</w:t>
      </w:r>
      <w:r>
        <w:rPr>
          <w:color w:val="000000" w:themeColor="text1"/>
          <w:highlight w:val="none"/>
          <w14:textFill>
            <w14:solidFill>
              <w14:schemeClr w14:val="tx1"/>
            </w14:solidFill>
          </w14:textFill>
        </w:rPr>
        <w:t>消毒，饲养用具每天消毒一次。</w:t>
      </w:r>
    </w:p>
    <w:p w14:paraId="140BDA1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每年口蹄疫灭活苗（亚1型+A型）免疫3次，每年春、秋季各进行一次结核病、</w:t>
      </w:r>
      <w:r>
        <w:rPr>
          <w:rFonts w:hint="eastAsia"/>
          <w:color w:val="000000" w:themeColor="text1"/>
          <w:highlight w:val="none"/>
          <w14:textFill>
            <w14:solidFill>
              <w14:schemeClr w14:val="tx1"/>
            </w14:solidFill>
          </w14:textFill>
        </w:rPr>
        <w:t>布鲁氏菌病</w:t>
      </w:r>
      <w:r>
        <w:rPr>
          <w:color w:val="000000" w:themeColor="text1"/>
          <w:highlight w:val="none"/>
          <w14:textFill>
            <w14:solidFill>
              <w14:schemeClr w14:val="tx1"/>
            </w14:solidFill>
          </w14:textFill>
        </w:rPr>
        <w:t>、副结核病的检疫。检出阳性或有可疑反应的猪及时按规定处置。</w:t>
      </w:r>
    </w:p>
    <w:p w14:paraId="4C615A7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检疫结束后对猪舍内外及用具等彻底进行一次大消毒。每年春、秋各进行一次疥癣等体表寄生虫的检查，春季对犊群进行球虫的普查和驱虫工作。发生疫情时迅速隔离病猪，对病猪及封锁区内的猪实行合理的</w:t>
      </w:r>
      <w:r>
        <w:rPr>
          <w:rFonts w:hint="eastAsia"/>
          <w:color w:val="000000" w:themeColor="text1"/>
          <w:highlight w:val="none"/>
          <w14:textFill>
            <w14:solidFill>
              <w14:schemeClr w14:val="tx1"/>
            </w14:solidFill>
          </w14:textFill>
        </w:rPr>
        <w:t>综合防治</w:t>
      </w:r>
      <w:r>
        <w:rPr>
          <w:color w:val="000000" w:themeColor="text1"/>
          <w:highlight w:val="none"/>
          <w14:textFill>
            <w14:solidFill>
              <w14:schemeClr w14:val="tx1"/>
            </w14:solidFill>
          </w14:textFill>
        </w:rPr>
        <w:t>措施，包括疫苗的紧急接种、抗生素疗法、化学疗法、增强体质和生理机能的辅助疗法等。对症</w:t>
      </w:r>
      <w:r>
        <w:rPr>
          <w:rFonts w:hint="eastAsia"/>
          <w:color w:val="000000" w:themeColor="text1"/>
          <w:highlight w:val="none"/>
          <w14:textFill>
            <w14:solidFill>
              <w14:schemeClr w14:val="tx1"/>
            </w14:solidFill>
          </w14:textFill>
        </w:rPr>
        <w:t>使用</w:t>
      </w:r>
      <w:r>
        <w:rPr>
          <w:color w:val="000000" w:themeColor="text1"/>
          <w:highlight w:val="none"/>
          <w14:textFill>
            <w14:solidFill>
              <w14:schemeClr w14:val="tx1"/>
            </w14:solidFill>
          </w14:textFill>
        </w:rPr>
        <w:t>疫苗，疫苗从出厂到使用全部都要保证冷藏贮运。</w:t>
      </w:r>
    </w:p>
    <w:p w14:paraId="434C72E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2、诊疗程序管理</w:t>
      </w:r>
    </w:p>
    <w:p w14:paraId="501AB39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本项目设有一个值班室，值班室有专职兽医值守，兽医应每天进入各猪舍观察猪群，发现病情做好记录并向技术部门备案，一旦发现疫情，做到早、严、快，并向上级部门</w:t>
      </w:r>
      <w:r>
        <w:rPr>
          <w:rFonts w:hint="eastAsia"/>
          <w:color w:val="000000" w:themeColor="text1"/>
          <w:highlight w:val="none"/>
          <w14:textFill>
            <w14:solidFill>
              <w14:schemeClr w14:val="tx1"/>
            </w14:solidFill>
          </w14:textFill>
        </w:rPr>
        <w:t>汇报</w:t>
      </w:r>
      <w:r>
        <w:rPr>
          <w:color w:val="000000" w:themeColor="text1"/>
          <w:highlight w:val="none"/>
          <w14:textFill>
            <w14:solidFill>
              <w14:schemeClr w14:val="tx1"/>
            </w14:solidFill>
          </w14:textFill>
        </w:rPr>
        <w:t>。</w:t>
      </w:r>
    </w:p>
    <w:p w14:paraId="4F18509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3、保证猪舍良好的卫生环境</w:t>
      </w:r>
    </w:p>
    <w:p w14:paraId="78F25D7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猪舍做到大环境通风和干燥，并注意猪舍的保温，减少应激反应。猪舍内应勤清扫、勤换土、勤晒和勤换垫草，不定期地用生石灰或草木灰对猪舍吸潮消毒。水槽、料槽、饲料车、饲料桶等要经常刷洗。要注意灭鼠和灭蚊蝇，应定期定点安全投放灭鼠药，及时收集死鼠和残余鼠药，</w:t>
      </w:r>
      <w:r>
        <w:rPr>
          <w:rFonts w:hint="eastAsia"/>
          <w:color w:val="000000" w:themeColor="text1"/>
          <w:highlight w:val="none"/>
          <w:lang w:eastAsia="zh-CN"/>
          <w14:textFill>
            <w14:solidFill>
              <w14:schemeClr w14:val="tx1"/>
            </w14:solidFill>
          </w14:textFill>
        </w:rPr>
        <w:t>并</w:t>
      </w:r>
      <w:r>
        <w:rPr>
          <w:color w:val="000000" w:themeColor="text1"/>
          <w:highlight w:val="none"/>
          <w14:textFill>
            <w14:solidFill>
              <w14:schemeClr w14:val="tx1"/>
            </w14:solidFill>
          </w14:textFill>
        </w:rPr>
        <w:t>做深埋处理。</w:t>
      </w:r>
    </w:p>
    <w:p w14:paraId="1A9F2A3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对猪舍内消毒时要将圈舍清扫干净，传统方法一般选用30%的热草木灰水</w:t>
      </w:r>
      <w:r>
        <w:rPr>
          <w:rFonts w:hint="eastAsia"/>
          <w:color w:val="000000" w:themeColor="text1"/>
          <w:highlight w:val="none"/>
          <w14:textFill>
            <w14:solidFill>
              <w14:schemeClr w14:val="tx1"/>
            </w14:solidFill>
          </w14:textFill>
        </w:rPr>
        <w:t>或</w:t>
      </w:r>
      <w:r>
        <w:rPr>
          <w:color w:val="000000" w:themeColor="text1"/>
          <w:highlight w:val="none"/>
          <w14:textFill>
            <w14:solidFill>
              <w14:schemeClr w14:val="tx1"/>
            </w14:solidFill>
          </w14:textFill>
        </w:rPr>
        <w:t>强力消毒灵或</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安立消</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兑成：1000-1500的水剂喷雾消毒，或2%火碱溶液</w:t>
      </w:r>
      <w:r>
        <w:rPr>
          <w:rFonts w:hint="eastAsia"/>
          <w:color w:val="000000" w:themeColor="text1"/>
          <w:highlight w:val="none"/>
          <w14:textFill>
            <w14:solidFill>
              <w14:schemeClr w14:val="tx1"/>
            </w14:solidFill>
          </w14:textFill>
        </w:rPr>
        <w:t>或</w:t>
      </w:r>
      <w:r>
        <w:rPr>
          <w:color w:val="000000" w:themeColor="text1"/>
          <w:highlight w:val="none"/>
          <w14:textFill>
            <w14:solidFill>
              <w14:schemeClr w14:val="tx1"/>
            </w14:solidFill>
          </w14:textFill>
        </w:rPr>
        <w:t>石炭酸</w:t>
      </w:r>
      <w:r>
        <w:rPr>
          <w:rFonts w:hint="eastAsia"/>
          <w:color w:val="000000" w:themeColor="text1"/>
          <w:highlight w:val="none"/>
          <w14:textFill>
            <w14:solidFill>
              <w14:schemeClr w14:val="tx1"/>
            </w14:solidFill>
          </w14:textFill>
        </w:rPr>
        <w:t>或</w:t>
      </w:r>
      <w:r>
        <w:rPr>
          <w:color w:val="000000" w:themeColor="text1"/>
          <w:highlight w:val="none"/>
          <w14:textFill>
            <w14:solidFill>
              <w14:schemeClr w14:val="tx1"/>
            </w14:solidFill>
          </w14:textFill>
        </w:rPr>
        <w:t>2%福尔马林溶液或 10%-20%石灰乳液进行喷洒消毒。经济条件允许的话应选择新型、刺激性较小的酸性消毒剂：如复合醛类消毒剂。消毒时要做到细致，无死角。</w:t>
      </w:r>
    </w:p>
    <w:p w14:paraId="408F098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猪舍周围环境定期用2%火碱或撒生石灰消毒。猪场周围及场内的污染池、排粪坑、下水道出口，每月用漂白粉消毒一次。在猪场、猪舍入口设消毒池并定期更换消毒液。</w:t>
      </w:r>
    </w:p>
    <w:p w14:paraId="4652323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猪舍配备转盘式自动药浴喷淋装置定期对猪群进行药浴消毒。</w:t>
      </w:r>
    </w:p>
    <w:p w14:paraId="33C5C90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4、保证饲料质量</w:t>
      </w:r>
    </w:p>
    <w:p w14:paraId="29E8FF1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猪的喂养过程中保证饲料品质，防止将霉变饲料让猪食用。另外，在饲料中添加免疫增强剂，以提高猪群抵抗力。</w:t>
      </w:r>
    </w:p>
    <w:p w14:paraId="54B4A53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5、定期监测</w:t>
      </w:r>
    </w:p>
    <w:p w14:paraId="7078EB5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消除亚临床感染猪。亚临床感染猪长期带毒并不断排毒，是潜在的传染源，极易将其他易感猪感染，因此须加大免疫剂量，切断持续感染（亚临床感染），采取综合措施，逐渐淘汰阳性感染猪，至少每6个月监测一次。</w:t>
      </w:r>
    </w:p>
    <w:p w14:paraId="4CE9544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6、隔离措施</w:t>
      </w:r>
    </w:p>
    <w:p w14:paraId="6739C65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建设围墙、防疫沟。</w:t>
      </w:r>
    </w:p>
    <w:p w14:paraId="75863D5F">
      <w:pPr>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7、</w:t>
      </w:r>
      <w:r>
        <w:rPr>
          <w:rFonts w:ascii="Times New Roman" w:hAnsi="Times New Roman" w:eastAsia="宋体" w:cs="宋体"/>
          <w:color w:val="000000" w:themeColor="text1"/>
          <w:highlight w:val="none"/>
          <w14:textFill>
            <w14:solidFill>
              <w14:schemeClr w14:val="tx1"/>
            </w14:solidFill>
          </w14:textFill>
        </w:rPr>
        <w:t>动物疫情</w:t>
      </w:r>
      <w:r>
        <w:rPr>
          <w:rFonts w:hint="eastAsia" w:ascii="Times New Roman" w:hAnsi="Times New Roman" w:eastAsia="宋体" w:cs="宋体"/>
          <w:color w:val="000000" w:themeColor="text1"/>
          <w:highlight w:val="none"/>
          <w:lang w:val="en-US" w:eastAsia="zh-CN"/>
          <w14:textFill>
            <w14:solidFill>
              <w14:schemeClr w14:val="tx1"/>
            </w14:solidFill>
          </w14:textFill>
        </w:rPr>
        <w:t>上报</w:t>
      </w:r>
    </w:p>
    <w:p w14:paraId="19B97A0F">
      <w:pPr>
        <w:ind w:firstLine="480" w:firstLineChars="200"/>
        <w:rPr>
          <w:rFonts w:hint="eastAsia" w:ascii="Times New Roman" w:hAnsi="Times New Roman" w:eastAsia="宋体" w:cs="宋体"/>
          <w:color w:val="000000" w:themeColor="text1"/>
          <w:highlight w:val="none"/>
          <w:lang w:val="en-US" w:eastAsia="zh-CN"/>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根据</w:t>
      </w:r>
      <w:r>
        <w:rPr>
          <w:rFonts w:ascii="Times New Roman" w:hAnsi="Times New Roman" w:eastAsia="宋体" w:cs="宋体"/>
          <w:color w:val="000000" w:themeColor="text1"/>
          <w:highlight w:val="none"/>
          <w:lang w:val="en-US"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动物疫情报告管理办法》（农医发〔2018〕22号）：</w:t>
      </w:r>
    </w:p>
    <w:p w14:paraId="206B31A3">
      <w:pPr>
        <w:ind w:firstLine="480" w:firstLineChars="20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有下列情形之一的必须快</w:t>
      </w:r>
      <w:r>
        <w:rPr>
          <w:rFonts w:hint="eastAsia" w:ascii="Times New Roman" w:hAnsi="Times New Roman" w:eastAsia="宋体" w:cs="宋体"/>
          <w:color w:val="000000" w:themeColor="text1"/>
          <w:highlight w:val="none"/>
          <w:lang w:val="en-US" w:eastAsia="zh-CN"/>
          <w14:textFill>
            <w14:solidFill>
              <w14:schemeClr w14:val="tx1"/>
            </w14:solidFill>
          </w14:textFill>
        </w:rPr>
        <w:t>速上</w:t>
      </w:r>
      <w:r>
        <w:rPr>
          <w:rFonts w:hint="eastAsia" w:ascii="Times New Roman" w:hAnsi="Times New Roman" w:eastAsia="宋体" w:cs="宋体"/>
          <w:color w:val="000000" w:themeColor="text1"/>
          <w:highlight w:val="none"/>
          <w14:textFill>
            <w14:solidFill>
              <w14:schemeClr w14:val="tx1"/>
            </w14:solidFill>
          </w14:textFill>
        </w:rPr>
        <w:t>报：</w:t>
      </w:r>
    </w:p>
    <w:p w14:paraId="392730D5">
      <w:pPr>
        <w:ind w:firstLine="480" w:firstLineChars="200"/>
        <w:rPr>
          <w:rFonts w:hint="eastAsia"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宋体"/>
          <w:color w:val="000000" w:themeColor="text1"/>
          <w:highlight w:val="none"/>
          <w14:textFill>
            <w14:solidFill>
              <w14:schemeClr w14:val="tx1"/>
            </w14:solidFill>
          </w14:textFill>
        </w:rPr>
        <w:t>①</w:t>
      </w:r>
      <w:r>
        <w:rPr>
          <w:rFonts w:hint="eastAsia" w:ascii="Times New Roman" w:hAnsi="Times New Roman" w:eastAsia="宋体" w:cs="宋体"/>
          <w:color w:val="000000" w:themeColor="text1"/>
          <w:highlight w:val="none"/>
          <w14:textFill>
            <w14:solidFill>
              <w14:schemeClr w14:val="tx1"/>
            </w14:solidFill>
          </w14:textFill>
        </w:rPr>
        <w:t>发生一类或者疑似一类动物疫病；</w:t>
      </w:r>
    </w:p>
    <w:p w14:paraId="4628AFC6">
      <w:pPr>
        <w:ind w:firstLine="480" w:firstLineChars="200"/>
        <w:rPr>
          <w:rFonts w:hint="eastAsia"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宋体"/>
          <w:color w:val="000000" w:themeColor="text1"/>
          <w:highlight w:val="none"/>
          <w14:textFill>
            <w14:solidFill>
              <w14:schemeClr w14:val="tx1"/>
            </w14:solidFill>
          </w14:textFill>
        </w:rPr>
        <w:t>②</w:t>
      </w:r>
      <w:r>
        <w:rPr>
          <w:rFonts w:hint="eastAsia" w:ascii="Times New Roman" w:hAnsi="Times New Roman" w:eastAsia="宋体" w:cs="宋体"/>
          <w:color w:val="000000" w:themeColor="text1"/>
          <w:highlight w:val="none"/>
          <w14:textFill>
            <w14:solidFill>
              <w14:schemeClr w14:val="tx1"/>
            </w14:solidFill>
          </w14:textFill>
        </w:rPr>
        <w:t>二类、三类或者其他动物疫病呈暴发性流行；</w:t>
      </w:r>
    </w:p>
    <w:p w14:paraId="5EC37A22">
      <w:pPr>
        <w:ind w:firstLine="480" w:firstLineChars="200"/>
        <w:rPr>
          <w:rFonts w:hint="eastAsia"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宋体"/>
          <w:color w:val="000000" w:themeColor="text1"/>
          <w:highlight w:val="none"/>
          <w14:textFill>
            <w14:solidFill>
              <w14:schemeClr w14:val="tx1"/>
            </w14:solidFill>
          </w14:textFill>
        </w:rPr>
        <w:t>③</w:t>
      </w:r>
      <w:r>
        <w:rPr>
          <w:rFonts w:hint="eastAsia" w:ascii="Times New Roman" w:hAnsi="Times New Roman" w:eastAsia="宋体" w:cs="宋体"/>
          <w:color w:val="000000" w:themeColor="text1"/>
          <w:highlight w:val="none"/>
          <w14:textFill>
            <w14:solidFill>
              <w14:schemeClr w14:val="tx1"/>
            </w14:solidFill>
          </w14:textFill>
        </w:rPr>
        <w:t>新发现的动物疫情；</w:t>
      </w:r>
    </w:p>
    <w:p w14:paraId="0CA20DFA">
      <w:pPr>
        <w:ind w:firstLine="480" w:firstLineChars="200"/>
        <w:rPr>
          <w:rFonts w:hint="eastAsia"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宋体"/>
          <w:color w:val="000000" w:themeColor="text1"/>
          <w:highlight w:val="none"/>
          <w14:textFill>
            <w14:solidFill>
              <w14:schemeClr w14:val="tx1"/>
            </w14:solidFill>
          </w14:textFill>
        </w:rPr>
        <w:t>④</w:t>
      </w:r>
      <w:r>
        <w:rPr>
          <w:rFonts w:hint="eastAsia" w:ascii="Times New Roman" w:hAnsi="Times New Roman" w:eastAsia="宋体" w:cs="宋体"/>
          <w:color w:val="000000" w:themeColor="text1"/>
          <w:highlight w:val="none"/>
          <w14:textFill>
            <w14:solidFill>
              <w14:schemeClr w14:val="tx1"/>
            </w14:solidFill>
          </w14:textFill>
        </w:rPr>
        <w:t>已经消灭又发生的动物疫病。</w:t>
      </w:r>
    </w:p>
    <w:p w14:paraId="396CDAC1">
      <w:pPr>
        <w:ind w:firstLine="480" w:firstLineChars="200"/>
        <w:rPr>
          <w:rFonts w:hint="eastAsia"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14:textFill>
            <w14:solidFill>
              <w14:schemeClr w14:val="tx1"/>
            </w14:solidFill>
          </w14:textFill>
        </w:rPr>
        <w:t>县级动物防疫监督机构和国家测报点确认发现上述动物疫情后，应在24小时之内快报至全国畜牧兽医总站。全国畜牧兽医总站应在12小时内报国务院畜牧兽医行政管理部门。</w:t>
      </w:r>
    </w:p>
    <w:p w14:paraId="20F1424C">
      <w:pPr>
        <w:ind w:firstLine="480" w:firstLineChars="200"/>
        <w:rPr>
          <w:rFonts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从事动物饲养、经营及动物产品生产、经营和从事动物防疫科研、教学、诊疗及进出境动物检疫等单位和个人，应当建立疫情统计、登记制度，并定期向当地动物防疫监督机构报告。</w:t>
      </w:r>
    </w:p>
    <w:p w14:paraId="788649F3">
      <w:pPr>
        <w:rPr>
          <w:rFonts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8</w:t>
      </w:r>
      <w:r>
        <w:rPr>
          <w:rFonts w:ascii="Times New Roman" w:hAnsi="Times New Roman" w:eastAsia="宋体" w:cs="宋体"/>
          <w:color w:val="000000" w:themeColor="text1"/>
          <w:highlight w:val="none"/>
          <w14:textFill>
            <w14:solidFill>
              <w14:schemeClr w14:val="tx1"/>
            </w14:solidFill>
          </w14:textFill>
        </w:rPr>
        <w:t>、废水农灌时风险防范措施</w:t>
      </w:r>
    </w:p>
    <w:p w14:paraId="56BCE01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（1）地下水污染风险防范措施</w:t>
      </w:r>
    </w:p>
    <w:p w14:paraId="2BFA22B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污染防治措施除了严格养殖场饲料进料，禁止有害饲料、农药及重金属污染饲料、霉烂变质饲料进场，并通过对废水无害化规范处理后才作为液肥使用；此外，还要严格控制灌溉定额，以滴灌为主，避免大水漫灌，避免灌溉水下渗后与表潜水混合。另外，严格按照规范施工，严格</w:t>
      </w:r>
      <w:r>
        <w:rPr>
          <w:rFonts w:hint="eastAsia" w:cs="宋体"/>
          <w:b w:val="0"/>
          <w:bCs w:val="0"/>
          <w:color w:val="000000" w:themeColor="text1"/>
          <w:kern w:val="0"/>
          <w:szCs w:val="24"/>
          <w:highlight w:val="none"/>
          <w:lang w:val="en-US" w:eastAsia="zh-CN"/>
          <w14:textFill>
            <w14:solidFill>
              <w14:schemeClr w14:val="tx1"/>
            </w14:solidFill>
          </w14:textFill>
        </w:rPr>
        <w:t>危废暂存间</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及</w:t>
      </w:r>
      <w:r>
        <w:rPr>
          <w:color w:val="000000" w:themeColor="text1"/>
          <w:highlight w:val="none"/>
          <w14:textFill>
            <w14:solidFill>
              <w14:schemeClr w14:val="tx1"/>
            </w14:solidFill>
          </w14:textFill>
        </w:rPr>
        <w:t>粪污处理设施的防渗设计要求，特别是液体有机肥</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处理设施，防止污水渗漏可以有效防止养殖场废水对地下水的污染。</w:t>
      </w:r>
    </w:p>
    <w:p w14:paraId="7EADFA3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（2）土壤污染风险防范措施</w:t>
      </w:r>
    </w:p>
    <w:p w14:paraId="490CA16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格养殖场饲料进料，禁止有害饲料、农药及重金属污染饲料、霉烂变质饲料进场；液肥利用需参照《畜禽粪便无害化处理技术规范》（NY/T1168-2006），避免粪尿中重金属元素超标排放，避免土壤中Cu、Pb等重金属元素含量超标，即可避免土壤污染。</w:t>
      </w:r>
    </w:p>
    <w:p w14:paraId="17C9B03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"5.2.8.6"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5.2.8.6</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环境风险应急预案</w:t>
      </w:r>
    </w:p>
    <w:p w14:paraId="2C32D06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根据《建设项目环境风险评价技术导则》（HJ169-2018）的要求，提出突发环境事故应急预案纲要，供企业及管理部门参考。企业应在安全管理中具体化和完善突发环境事故应急救援预案，并在地方环保管理部门备案。</w:t>
      </w:r>
    </w:p>
    <w:p w14:paraId="59417C2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94080" behindDoc="0" locked="0" layoutInCell="0" allowOverlap="1">
                <wp:simplePos x="0" y="0"/>
                <wp:positionH relativeFrom="page">
                  <wp:posOffset>1141095</wp:posOffset>
                </wp:positionH>
                <wp:positionV relativeFrom="page">
                  <wp:posOffset>753110</wp:posOffset>
                </wp:positionV>
                <wp:extent cx="5278755" cy="9525"/>
                <wp:effectExtent l="0" t="0" r="0" b="0"/>
                <wp:wrapNone/>
                <wp:docPr id="126" name="任意多边形 126"/>
                <wp:cNvGraphicFramePr/>
                <a:graphic xmlns:a="http://schemas.openxmlformats.org/drawingml/2006/main">
                  <a:graphicData uri="http://schemas.microsoft.com/office/word/2010/wordprocessingShape">
                    <wps:wsp>
                      <wps:cNvSpPr/>
                      <wps:spPr>
                        <a:xfrm>
                          <a:off x="0" y="0"/>
                          <a:ext cx="5278755" cy="9525"/>
                        </a:xfrm>
                        <a:custGeom>
                          <a:avLst/>
                          <a:gdLst/>
                          <a:ahLst/>
                          <a:cxnLst/>
                          <a:rect l="0" t="0" r="0" b="0"/>
                          <a:pathLst>
                            <a:path w="8312" h="15">
                              <a:moveTo>
                                <a:pt x="0" y="0"/>
                              </a:moveTo>
                              <a:lnTo>
                                <a:pt x="8312" y="0"/>
                              </a:lnTo>
                              <a:lnTo>
                                <a:pt x="8312" y="14"/>
                              </a:lnTo>
                              <a:lnTo>
                                <a:pt x="0" y="14"/>
                              </a:lnTo>
                              <a:lnTo>
                                <a:pt x="0" y="0"/>
                              </a:lnTo>
                              <a:close/>
                            </a:path>
                          </a:pathLst>
                        </a:custGeom>
                        <a:solidFill>
                          <a:srgbClr val="622423"/>
                        </a:solidFill>
                        <a:ln>
                          <a:noFill/>
                        </a:ln>
                      </wps:spPr>
                      <wps:bodyPr upright="1"/>
                    </wps:wsp>
                  </a:graphicData>
                </a:graphic>
              </wp:anchor>
            </w:drawing>
          </mc:Choice>
          <mc:Fallback>
            <w:pict>
              <v:shape id="_x0000_s1026" o:spid="_x0000_s1026" o:spt="100" style="position:absolute;left:0pt;margin-left:89.85pt;margin-top:59.3pt;height:0.75pt;width:415.65pt;mso-position-horizontal-relative:page;mso-position-vertical-relative:page;z-index:251694080;mso-width-relative:page;mso-height-relative:page;" fillcolor="#622423" filled="t" stroked="f" coordsize="8312,15" o:allowincell="f" o:gfxdata="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y1GladYAAAAM&#10;AQAADwAAAAAAAAABACAAAAAiAAAAZHJzL2Rvd25yZXYueG1sUEsBAhQAFAAAAAgAh07iQHr/2qUe&#10;AgAAoAQAAA4AAAAAAAAAAQAgAAAAJQEAAGRycy9lMm9Eb2MueG1sUEsFBgAAAAAGAAYAWQEAALUF&#10;AAAAAA==&#10;" path="m0,0l8312,0,8312,14,0,14,0,0xe">
                <v:fill on="t" focussize="0,0"/>
                <v:stroke on="f"/>
                <v:imagedata o:title=""/>
                <o:lock v:ext="edit" aspectratio="f"/>
              </v:shape>
            </w:pict>
          </mc:Fallback>
        </mc:AlternateContent>
      </w:r>
      <w:r>
        <w:rPr>
          <w:color w:val="000000" w:themeColor="text1"/>
          <w:highlight w:val="none"/>
          <w14:textFill>
            <w14:solidFill>
              <w14:schemeClr w14:val="tx1"/>
            </w14:solidFill>
          </w14:textFill>
        </w:rPr>
        <w:t>（1）预案编制程序</w:t>
      </w:r>
    </w:p>
    <w:p w14:paraId="37FE8C4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突发环境事故应急预案编制程序，见图5.2-</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w:t>
      </w:r>
    </w:p>
    <w:p w14:paraId="025C75E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drawing>
          <wp:inline distT="0" distB="0" distL="0" distR="0">
            <wp:extent cx="5343525" cy="3973195"/>
            <wp:effectExtent l="0" t="0" r="9525" b="8255"/>
            <wp:docPr id="264" name="IM 264"/>
            <wp:cNvGraphicFramePr/>
            <a:graphic xmlns:a="http://schemas.openxmlformats.org/drawingml/2006/main">
              <a:graphicData uri="http://schemas.openxmlformats.org/drawingml/2006/picture">
                <pic:pic xmlns:pic="http://schemas.openxmlformats.org/drawingml/2006/picture">
                  <pic:nvPicPr>
                    <pic:cNvPr id="264" name="IM 264"/>
                    <pic:cNvPicPr/>
                  </pic:nvPicPr>
                  <pic:blipFill>
                    <a:blip r:embed="rId53"/>
                    <a:stretch>
                      <a:fillRect/>
                    </a:stretch>
                  </pic:blipFill>
                  <pic:spPr>
                    <a:xfrm>
                      <a:off x="0" y="0"/>
                      <a:ext cx="5343525" cy="3973195"/>
                    </a:xfrm>
                    <a:prstGeom prst="rect">
                      <a:avLst/>
                    </a:prstGeom>
                  </pic:spPr>
                </pic:pic>
              </a:graphicData>
            </a:graphic>
          </wp:inline>
        </w:drawing>
      </w:r>
    </w:p>
    <w:p w14:paraId="75E0C89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图5.2-</w:t>
      </w:r>
      <w:r>
        <w:rPr>
          <w:rFonts w:hint="eastAsia"/>
          <w:b/>
          <w:bCs/>
          <w:color w:val="000000" w:themeColor="text1"/>
          <w:sz w:val="21"/>
          <w:szCs w:val="21"/>
          <w:highlight w:val="none"/>
          <w:lang w:val="en-US" w:eastAsia="zh-CN"/>
          <w14:textFill>
            <w14:solidFill>
              <w14:schemeClr w14:val="tx1"/>
            </w14:solidFill>
          </w14:textFill>
        </w:rPr>
        <w:t>9</w:t>
      </w:r>
      <w:r>
        <w:rPr>
          <w:b/>
          <w:bCs/>
          <w:color w:val="000000" w:themeColor="text1"/>
          <w:sz w:val="21"/>
          <w:szCs w:val="21"/>
          <w:highlight w:val="none"/>
          <w14:textFill>
            <w14:solidFill>
              <w14:schemeClr w14:val="tx1"/>
            </w14:solidFill>
          </w14:textFill>
        </w:rPr>
        <w:t xml:space="preserve">  突发环境事故应急预案编制工作程序图</w:t>
      </w:r>
    </w:p>
    <w:p w14:paraId="77A4CBD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（2）应急救援预案纲要</w:t>
      </w:r>
    </w:p>
    <w:p w14:paraId="2C93B2A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考虑事故触发具有不确定性，场内环境风险防控系统应纳入区域环境风险防控体系，明确风险防控设施、管理的衔接要求。企业应与地方政府有关部门协调一致、统筹考虑，建立协调统一的环境风险应急体系，企业的事故应与地方政府的事故应急网络联网。当发生事故，根据应急预案分级响应条件、区域联动原则，启动相应的预案分级响应措施，实现场内与区域环境风险防控设施及管理有效联动，有效防控环境风险。</w:t>
      </w:r>
    </w:p>
    <w:p w14:paraId="7CF4CE97">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（3）应急预案的主要内容</w:t>
      </w:r>
    </w:p>
    <w:p w14:paraId="52414A3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风险应急预案的编制，重点应考虑以下几个方面：按照国家、地方和相关部门要求，提出企业突发环境事件应急预案编制或完善的原则要求，包括预案适用范围、环境事件分类与分级、组织机构与职责、监控和预警、应急响应、应急保障、善后处置、预案管理与演练等内容。</w:t>
      </w:r>
    </w:p>
    <w:p w14:paraId="3004ABD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同时提供必要的附件：包括内部应急人员的职责、姓名、电话清单，外部联系电话、人员、电话（政府有关部门、救援单位、专家、环境保护目标等），单位所处地理位置、区域位置及周边关系图，本单位及周边区域人员撤离路线，应急设施布置图等。具体突发环境事故应急预案编写内容及要求，见表5.2-</w:t>
      </w:r>
      <w:r>
        <w:rPr>
          <w:rFonts w:hint="eastAsia"/>
          <w:color w:val="000000" w:themeColor="text1"/>
          <w:highlight w:val="none"/>
          <w:lang w:val="en-US" w:eastAsia="zh-CN"/>
          <w14:textFill>
            <w14:solidFill>
              <w14:schemeClr w14:val="tx1"/>
            </w14:solidFill>
          </w14:textFill>
        </w:rPr>
        <w:t>34</w:t>
      </w:r>
      <w:r>
        <w:rPr>
          <w:color w:val="000000" w:themeColor="text1"/>
          <w:highlight w:val="none"/>
          <w14:textFill>
            <w14:solidFill>
              <w14:schemeClr w14:val="tx1"/>
            </w14:solidFill>
          </w14:textFill>
        </w:rPr>
        <w:t>。</w:t>
      </w:r>
    </w:p>
    <w:p w14:paraId="337FC03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表5.2-</w:t>
      </w:r>
      <w:r>
        <w:rPr>
          <w:rFonts w:hint="eastAsia"/>
          <w:b/>
          <w:bCs/>
          <w:color w:val="000000" w:themeColor="text1"/>
          <w:sz w:val="21"/>
          <w:szCs w:val="21"/>
          <w:highlight w:val="none"/>
          <w:lang w:val="en-US" w:eastAsia="zh-CN"/>
          <w14:textFill>
            <w14:solidFill>
              <w14:schemeClr w14:val="tx1"/>
            </w14:solidFill>
          </w14:textFill>
        </w:rPr>
        <w:t>34</w:t>
      </w:r>
      <w:r>
        <w:rPr>
          <w:b/>
          <w:bCs/>
          <w:color w:val="000000" w:themeColor="text1"/>
          <w:sz w:val="21"/>
          <w:szCs w:val="21"/>
          <w:highlight w:val="none"/>
          <w14:textFill>
            <w14:solidFill>
              <w14:schemeClr w14:val="tx1"/>
            </w14:solidFill>
          </w14:textFill>
        </w:rPr>
        <w:t xml:space="preserve">  突发环境事故应急预案</w:t>
      </w:r>
    </w:p>
    <w:tbl>
      <w:tblPr>
        <w:tblStyle w:val="58"/>
        <w:tblW w:w="8323" w:type="dxa"/>
        <w:tblInd w:w="11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8"/>
        <w:gridCol w:w="1798"/>
        <w:gridCol w:w="5587"/>
      </w:tblGrid>
      <w:tr w14:paraId="66413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 w:hRule="atLeast"/>
        </w:trPr>
        <w:tc>
          <w:tcPr>
            <w:tcW w:w="938" w:type="dxa"/>
            <w:vAlign w:val="center"/>
          </w:tcPr>
          <w:p w14:paraId="669F467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1798" w:type="dxa"/>
            <w:vAlign w:val="center"/>
          </w:tcPr>
          <w:p w14:paraId="2916EB7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5587" w:type="dxa"/>
            <w:vAlign w:val="center"/>
          </w:tcPr>
          <w:p w14:paraId="62D0B0C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主要内容</w:t>
            </w:r>
          </w:p>
        </w:tc>
      </w:tr>
      <w:tr w14:paraId="0BC7DD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938" w:type="dxa"/>
            <w:vAlign w:val="center"/>
          </w:tcPr>
          <w:p w14:paraId="534E231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798" w:type="dxa"/>
            <w:vAlign w:val="center"/>
          </w:tcPr>
          <w:p w14:paraId="701E688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应急计划区</w:t>
            </w:r>
          </w:p>
        </w:tc>
        <w:tc>
          <w:tcPr>
            <w:tcW w:w="5587" w:type="dxa"/>
            <w:vAlign w:val="center"/>
          </w:tcPr>
          <w:p w14:paraId="093EE18E">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厂区猪舍、</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黑膜池、干湿分离车间、堆粪场、</w:t>
            </w:r>
            <w:r>
              <w:rPr>
                <w:rFonts w:hint="eastAsia" w:cs="宋体"/>
                <w:b w:val="0"/>
                <w:bCs w:val="0"/>
                <w:color w:val="000000" w:themeColor="text1"/>
                <w:kern w:val="0"/>
                <w:sz w:val="21"/>
                <w:szCs w:val="21"/>
                <w:highlight w:val="none"/>
                <w:lang w:val="en-US" w:eastAsia="zh-CN"/>
                <w14:textFill>
                  <w14:solidFill>
                    <w14:schemeClr w14:val="tx1"/>
                  </w14:solidFill>
                </w14:textFill>
              </w:rPr>
              <w:t>危废暂存间、兽医室</w:t>
            </w:r>
          </w:p>
        </w:tc>
      </w:tr>
      <w:tr w14:paraId="62249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938" w:type="dxa"/>
            <w:vAlign w:val="center"/>
          </w:tcPr>
          <w:p w14:paraId="5592A6E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1798" w:type="dxa"/>
            <w:vAlign w:val="center"/>
          </w:tcPr>
          <w:p w14:paraId="515150E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应急组织结构</w:t>
            </w:r>
          </w:p>
        </w:tc>
        <w:tc>
          <w:tcPr>
            <w:tcW w:w="5587" w:type="dxa"/>
            <w:vAlign w:val="center"/>
          </w:tcPr>
          <w:p w14:paraId="0477CAC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以厂区为主体，各主要负责人为应急计划、协调第一人，应急人员必须为培训上岗熟练工；区域应急组织结构由当地政府、相关行业专家、卫生安全相关单位组成，并由当地政府进行统一调度。</w:t>
            </w:r>
          </w:p>
        </w:tc>
      </w:tr>
      <w:tr w14:paraId="197246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38" w:type="dxa"/>
            <w:vAlign w:val="center"/>
          </w:tcPr>
          <w:p w14:paraId="18AC5E4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1798" w:type="dxa"/>
            <w:vAlign w:val="center"/>
          </w:tcPr>
          <w:p w14:paraId="680038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预案分级响应条件</w:t>
            </w:r>
          </w:p>
        </w:tc>
        <w:tc>
          <w:tcPr>
            <w:tcW w:w="5587" w:type="dxa"/>
            <w:vAlign w:val="center"/>
          </w:tcPr>
          <w:p w14:paraId="57A7E13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根据事故的严重程度制定相应级别的应急预案，以及适合相 应情况的处理措施。</w:t>
            </w:r>
          </w:p>
        </w:tc>
      </w:tr>
      <w:tr w14:paraId="6016E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38" w:type="dxa"/>
            <w:vAlign w:val="center"/>
          </w:tcPr>
          <w:p w14:paraId="7965BBD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1798" w:type="dxa"/>
            <w:vAlign w:val="center"/>
          </w:tcPr>
          <w:p w14:paraId="1FE1491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报警、通讯联络方式</w:t>
            </w:r>
          </w:p>
        </w:tc>
        <w:tc>
          <w:tcPr>
            <w:tcW w:w="5587" w:type="dxa"/>
            <w:vAlign w:val="center"/>
          </w:tcPr>
          <w:p w14:paraId="63ACDE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逐一细化应急状态下各主要负责单位的报警通讯方式、地点、电话号码以及相关配套的交通保障、管制、消防、环境保护部门联络方法，及时通报事故处理情况，以获得区域性支援。</w:t>
            </w:r>
          </w:p>
        </w:tc>
      </w:tr>
      <w:tr w14:paraId="4C66DB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38" w:type="dxa"/>
            <w:vMerge w:val="restart"/>
            <w:tcBorders>
              <w:bottom w:val="nil"/>
            </w:tcBorders>
            <w:vAlign w:val="center"/>
          </w:tcPr>
          <w:p w14:paraId="471BA9A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1798" w:type="dxa"/>
            <w:vAlign w:val="center"/>
          </w:tcPr>
          <w:p w14:paraId="4CBD755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应急环境监测</w:t>
            </w:r>
          </w:p>
        </w:tc>
        <w:tc>
          <w:tcPr>
            <w:tcW w:w="5587" w:type="dxa"/>
            <w:vAlign w:val="center"/>
          </w:tcPr>
          <w:p w14:paraId="42C88B1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组织专业队伍负责对事故现场进行侦察监测，对事故性质、参数与后果进行评估</w:t>
            </w:r>
            <w:r>
              <w:rPr>
                <w:rFonts w:hint="eastAsia"/>
                <w:color w:val="000000" w:themeColor="text1"/>
                <w:sz w:val="21"/>
                <w:szCs w:val="21"/>
                <w:highlight w:val="none"/>
                <w:lang w:eastAsia="zh-CN"/>
                <w14:textFill>
                  <w14:solidFill>
                    <w14:schemeClr w14:val="tx1"/>
                  </w14:solidFill>
                </w14:textFill>
              </w:rPr>
              <w:t>，</w:t>
            </w:r>
            <w:r>
              <w:rPr>
                <w:color w:val="000000" w:themeColor="text1"/>
                <w:sz w:val="21"/>
                <w:szCs w:val="21"/>
                <w:highlight w:val="none"/>
                <w14:textFill>
                  <w14:solidFill>
                    <w14:schemeClr w14:val="tx1"/>
                  </w14:solidFill>
                </w14:textFill>
              </w:rPr>
              <w:t>为指挥部门提供决策依据。</w:t>
            </w:r>
          </w:p>
        </w:tc>
      </w:tr>
      <w:tr w14:paraId="057F95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38" w:type="dxa"/>
            <w:vMerge w:val="continue"/>
            <w:tcBorders>
              <w:top w:val="nil"/>
            </w:tcBorders>
            <w:vAlign w:val="center"/>
          </w:tcPr>
          <w:p w14:paraId="25222ED8">
            <w:pPr>
              <w:spacing w:line="240" w:lineRule="auto"/>
              <w:jc w:val="center"/>
              <w:rPr>
                <w:color w:val="000000" w:themeColor="text1"/>
                <w:sz w:val="21"/>
                <w:szCs w:val="21"/>
                <w:highlight w:val="none"/>
                <w14:textFill>
                  <w14:solidFill>
                    <w14:schemeClr w14:val="tx1"/>
                  </w14:solidFill>
                </w14:textFill>
              </w:rPr>
            </w:pPr>
          </w:p>
        </w:tc>
        <w:tc>
          <w:tcPr>
            <w:tcW w:w="1798" w:type="dxa"/>
            <w:vAlign w:val="center"/>
          </w:tcPr>
          <w:p w14:paraId="5DF0794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抢险、救援控制措施</w:t>
            </w:r>
          </w:p>
        </w:tc>
        <w:tc>
          <w:tcPr>
            <w:tcW w:w="5587" w:type="dxa"/>
            <w:vAlign w:val="center"/>
          </w:tcPr>
          <w:p w14:paraId="72FF61D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严格规定事故多发区、事故现场、邻近区域、控制防火区域设置控制和清除污染措施及相应设备的数量、使用方法、使用人员。</w:t>
            </w:r>
          </w:p>
        </w:tc>
      </w:tr>
      <w:tr w14:paraId="32D19C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38" w:type="dxa"/>
            <w:vAlign w:val="center"/>
          </w:tcPr>
          <w:p w14:paraId="3AD74F6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1798" w:type="dxa"/>
            <w:vAlign w:val="center"/>
          </w:tcPr>
          <w:p w14:paraId="783858E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人员紧急撤离、疏散 计划</w:t>
            </w:r>
          </w:p>
        </w:tc>
        <w:tc>
          <w:tcPr>
            <w:tcW w:w="5587" w:type="dxa"/>
            <w:vAlign w:val="center"/>
          </w:tcPr>
          <w:p w14:paraId="249D76B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事故现场、邻近区、受事故影响的区域人员及公众对有毒有害物质应急剂量控制规定，制定紧急撤离组织计划和救护，制定事故发生时职工撤退应急路线图，医疗救护与公众健康。</w:t>
            </w:r>
          </w:p>
        </w:tc>
      </w:tr>
      <w:tr w14:paraId="57D81D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938" w:type="dxa"/>
            <w:vAlign w:val="center"/>
          </w:tcPr>
          <w:p w14:paraId="4FC0B54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1798" w:type="dxa"/>
            <w:vAlign w:val="center"/>
          </w:tcPr>
          <w:p w14:paraId="7C13BA0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事故应急救援关闭 程序</w:t>
            </w:r>
          </w:p>
        </w:tc>
        <w:tc>
          <w:tcPr>
            <w:tcW w:w="5587" w:type="dxa"/>
            <w:vAlign w:val="center"/>
          </w:tcPr>
          <w:p w14:paraId="4D7C9C1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制定相关应急状态终止程序，事故现场、受影响范围内的善后处理、恢复措施，邻近区域解除事故警戒及善后恢复措施。</w:t>
            </w:r>
          </w:p>
        </w:tc>
      </w:tr>
      <w:tr w14:paraId="57899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938" w:type="dxa"/>
            <w:vAlign w:val="center"/>
          </w:tcPr>
          <w:p w14:paraId="31D943D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1798" w:type="dxa"/>
            <w:vAlign w:val="center"/>
          </w:tcPr>
          <w:p w14:paraId="57EE834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事故恢复措施</w:t>
            </w:r>
          </w:p>
        </w:tc>
        <w:tc>
          <w:tcPr>
            <w:tcW w:w="5587" w:type="dxa"/>
            <w:vAlign w:val="center"/>
          </w:tcPr>
          <w:p w14:paraId="2536626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制定</w:t>
            </w:r>
            <w:r>
              <w:rPr>
                <w:color w:val="000000" w:themeColor="text1"/>
                <w:sz w:val="21"/>
                <w:szCs w:val="21"/>
                <w:highlight w:val="none"/>
                <w14:textFill>
                  <w14:solidFill>
                    <w14:schemeClr w14:val="tx1"/>
                  </w14:solidFill>
                </w14:textFill>
              </w:rPr>
              <w:t>有关的环境恢复措施，组织专业人员对事故后的环境变化进行监测，对事故应急措施的环境可行性进行后影响评价。</w:t>
            </w:r>
          </w:p>
        </w:tc>
      </w:tr>
      <w:tr w14:paraId="2B332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938" w:type="dxa"/>
            <w:vAlign w:val="center"/>
          </w:tcPr>
          <w:p w14:paraId="5B62B42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w:t>
            </w:r>
          </w:p>
        </w:tc>
        <w:tc>
          <w:tcPr>
            <w:tcW w:w="1798" w:type="dxa"/>
            <w:vAlign w:val="center"/>
          </w:tcPr>
          <w:p w14:paraId="685416E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应急培训计划</w:t>
            </w:r>
          </w:p>
        </w:tc>
        <w:tc>
          <w:tcPr>
            <w:tcW w:w="5587" w:type="dxa"/>
            <w:vAlign w:val="center"/>
          </w:tcPr>
          <w:p w14:paraId="79D9F70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定期安排有关人员进行培训与演练。</w:t>
            </w:r>
          </w:p>
        </w:tc>
      </w:tr>
      <w:tr w14:paraId="40A0A4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38" w:type="dxa"/>
            <w:vAlign w:val="center"/>
          </w:tcPr>
          <w:p w14:paraId="4714F76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1798" w:type="dxa"/>
            <w:vAlign w:val="center"/>
          </w:tcPr>
          <w:p w14:paraId="26778CA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公众教育和信息</w:t>
            </w:r>
          </w:p>
        </w:tc>
        <w:tc>
          <w:tcPr>
            <w:tcW w:w="5587" w:type="dxa"/>
            <w:vAlign w:val="center"/>
          </w:tcPr>
          <w:p w14:paraId="4750F88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对邻近地区开展公众教育、培训和发布有关信息。</w:t>
            </w:r>
          </w:p>
        </w:tc>
      </w:tr>
    </w:tbl>
    <w:p w14:paraId="1553035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"5.2.8.7"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5.2.8.7</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 xml:space="preserve"> 环境风险分析结论</w:t>
      </w:r>
    </w:p>
    <w:p w14:paraId="075C09E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项目具有潜在的事故风险，要从建设、生产、储运等各方面积极采取防护措施，这是确保安全的根本措施。</w:t>
      </w:r>
    </w:p>
    <w:p w14:paraId="2104074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为了防范事故和减少危害，需制定灾害事故的应急处理预案。当出现事故时，要采取紧急的工程应急措施，如必要，要采取社会应急措施，以控制事故和减少其造成的危害。</w:t>
      </w:r>
    </w:p>
    <w:p w14:paraId="67B607F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集约化养殖场疫病发生有自身的特点，只要企业加强日常管理，做好预防工作，经常消毒，并建立疫病监测制度，在疫病发生时能严格按照应急计划执行，评价认为该风险是可以接受的。</w:t>
      </w:r>
    </w:p>
    <w:p w14:paraId="2F30E15F">
      <w:pPr>
        <w:kinsoku/>
        <w:autoSpaceDE/>
        <w:autoSpaceDN/>
        <w:bidi w:val="0"/>
        <w:spacing w:line="240" w:lineRule="auto"/>
        <w:jc w:val="cente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表5.2-</w:t>
      </w:r>
      <w:r>
        <w:rPr>
          <w:rFonts w:hint="default" w:ascii="Times New Roman" w:hAnsi="Times New Roman" w:cs="Times New Roman"/>
          <w:b/>
          <w:bCs/>
          <w:color w:val="000000" w:themeColor="text1"/>
          <w:kern w:val="0"/>
          <w:sz w:val="21"/>
          <w:szCs w:val="21"/>
          <w:highlight w:val="none"/>
          <w:lang w:val="en-US" w:eastAsia="zh-CN"/>
          <w14:textFill>
            <w14:solidFill>
              <w14:schemeClr w14:val="tx1"/>
            </w14:solidFill>
          </w14:textFill>
        </w:rPr>
        <w:t>3</w:t>
      </w:r>
      <w:r>
        <w:rPr>
          <w:rFonts w:hint="eastAsia" w:cs="Times New Roman"/>
          <w:b/>
          <w:bCs/>
          <w:color w:val="000000" w:themeColor="text1"/>
          <w:kern w:val="0"/>
          <w:sz w:val="21"/>
          <w:szCs w:val="21"/>
          <w:highlight w:val="none"/>
          <w:lang w:val="en-US" w:eastAsia="zh-CN"/>
          <w14:textFill>
            <w14:solidFill>
              <w14:schemeClr w14:val="tx1"/>
            </w14:solidFill>
          </w14:textFill>
        </w:rPr>
        <w:t>5</w:t>
      </w:r>
      <w:r>
        <w:rPr>
          <w:rFonts w:hint="eastAsia" w:ascii="Times New Roman" w:hAnsi="Times New Roman" w:cs="Times New Roman"/>
          <w:b/>
          <w:bCs/>
          <w:color w:val="000000" w:themeColor="text1"/>
          <w:kern w:val="0"/>
          <w:sz w:val="21"/>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kern w:val="0"/>
          <w:sz w:val="21"/>
          <w:szCs w:val="21"/>
          <w:highlight w:val="none"/>
          <w14:textFill>
            <w14:solidFill>
              <w14:schemeClr w14:val="tx1"/>
            </w14:solidFill>
          </w14:textFill>
        </w:rPr>
        <w:t xml:space="preserve"> 建设项目环境风险简单分析内容表</w:t>
      </w:r>
    </w:p>
    <w:tbl>
      <w:tblPr>
        <w:tblStyle w:val="58"/>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09"/>
        <w:gridCol w:w="1126"/>
        <w:gridCol w:w="1531"/>
        <w:gridCol w:w="943"/>
        <w:gridCol w:w="1155"/>
        <w:gridCol w:w="1162"/>
      </w:tblGrid>
      <w:tr w14:paraId="75BB8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 w:hRule="atLeast"/>
        </w:trPr>
        <w:tc>
          <w:tcPr>
            <w:tcW w:w="2609" w:type="dxa"/>
            <w:vAlign w:val="top"/>
          </w:tcPr>
          <w:p w14:paraId="279C4C6D">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建设项目名称</w:t>
            </w:r>
          </w:p>
        </w:tc>
        <w:tc>
          <w:tcPr>
            <w:tcW w:w="5917" w:type="dxa"/>
            <w:gridSpan w:val="5"/>
            <w:vAlign w:val="top"/>
          </w:tcPr>
          <w:p w14:paraId="71BB22B3">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胡杨河市宏信种猪养殖基地项目</w:t>
            </w:r>
          </w:p>
        </w:tc>
      </w:tr>
      <w:tr w14:paraId="1251E3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2609" w:type="dxa"/>
            <w:vAlign w:val="top"/>
          </w:tcPr>
          <w:p w14:paraId="03799EDB">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建设地点</w:t>
            </w:r>
          </w:p>
        </w:tc>
        <w:tc>
          <w:tcPr>
            <w:tcW w:w="1126" w:type="dxa"/>
            <w:vAlign w:val="top"/>
          </w:tcPr>
          <w:p w14:paraId="4DC29DB5">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新疆</w:t>
            </w:r>
          </w:p>
        </w:tc>
        <w:tc>
          <w:tcPr>
            <w:tcW w:w="1531" w:type="dxa"/>
            <w:vAlign w:val="top"/>
          </w:tcPr>
          <w:p w14:paraId="76B1C2C2">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胡杨河市</w:t>
            </w:r>
          </w:p>
        </w:tc>
        <w:tc>
          <w:tcPr>
            <w:tcW w:w="943" w:type="dxa"/>
            <w:vAlign w:val="top"/>
          </w:tcPr>
          <w:p w14:paraId="3C4FE02B">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（/）区</w:t>
            </w:r>
          </w:p>
        </w:tc>
        <w:tc>
          <w:tcPr>
            <w:tcW w:w="1155" w:type="dxa"/>
            <w:vAlign w:val="top"/>
          </w:tcPr>
          <w:p w14:paraId="7649DA39">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（/）县</w:t>
            </w:r>
          </w:p>
        </w:tc>
        <w:tc>
          <w:tcPr>
            <w:tcW w:w="1162" w:type="dxa"/>
            <w:vAlign w:val="top"/>
          </w:tcPr>
          <w:p w14:paraId="0E99CD6B">
            <w:pPr>
              <w:kinsoku/>
              <w:autoSpaceDE/>
              <w:autoSpaceDN/>
              <w:bidi w:val="0"/>
              <w:spacing w:line="240" w:lineRule="auto"/>
              <w:jc w:val="center"/>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eastAsia" w:cs="Times New Roman"/>
                <w:b w:val="0"/>
                <w:bCs w:val="0"/>
                <w:color w:val="000000" w:themeColor="text1"/>
                <w:kern w:val="0"/>
                <w:sz w:val="21"/>
                <w:szCs w:val="21"/>
                <w:highlight w:val="none"/>
                <w:lang w:eastAsia="zh-CN"/>
                <w14:textFill>
                  <w14:solidFill>
                    <w14:schemeClr w14:val="tx1"/>
                  </w14:solidFill>
                </w14:textFill>
              </w:rPr>
              <w:t>125团</w:t>
            </w:r>
          </w:p>
        </w:tc>
      </w:tr>
      <w:tr w14:paraId="4EBA5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2609" w:type="dxa"/>
            <w:vAlign w:val="top"/>
          </w:tcPr>
          <w:p w14:paraId="540E97D2">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地理坐标</w:t>
            </w:r>
          </w:p>
        </w:tc>
        <w:tc>
          <w:tcPr>
            <w:tcW w:w="1126" w:type="dxa"/>
            <w:vAlign w:val="top"/>
          </w:tcPr>
          <w:p w14:paraId="18CA692A">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经度</w:t>
            </w:r>
          </w:p>
        </w:tc>
        <w:tc>
          <w:tcPr>
            <w:tcW w:w="1531" w:type="dxa"/>
            <w:vAlign w:val="top"/>
          </w:tcPr>
          <w:p w14:paraId="0F46C803">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84°32′1.246″</w:t>
            </w:r>
          </w:p>
        </w:tc>
        <w:tc>
          <w:tcPr>
            <w:tcW w:w="943" w:type="dxa"/>
            <w:vAlign w:val="top"/>
          </w:tcPr>
          <w:p w14:paraId="7ED78206">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纬度</w:t>
            </w:r>
          </w:p>
        </w:tc>
        <w:tc>
          <w:tcPr>
            <w:tcW w:w="2317" w:type="dxa"/>
            <w:gridSpan w:val="2"/>
            <w:vAlign w:val="top"/>
          </w:tcPr>
          <w:p w14:paraId="7496730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44°50′21.945″</w:t>
            </w:r>
          </w:p>
        </w:tc>
      </w:tr>
      <w:tr w14:paraId="78D35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2609" w:type="dxa"/>
            <w:vAlign w:val="top"/>
          </w:tcPr>
          <w:p w14:paraId="3E4D68A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主要危险物质及分布</w:t>
            </w:r>
          </w:p>
        </w:tc>
        <w:tc>
          <w:tcPr>
            <w:tcW w:w="5917" w:type="dxa"/>
            <w:gridSpan w:val="5"/>
            <w:vAlign w:val="center"/>
          </w:tcPr>
          <w:p w14:paraId="7337D735">
            <w:pPr>
              <w:kinsoku/>
              <w:autoSpaceDE/>
              <w:autoSpaceDN/>
              <w:bidi w:val="0"/>
              <w:spacing w:line="240" w:lineRule="auto"/>
              <w:jc w:val="left"/>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1</w:t>
            </w:r>
            <w:r>
              <w:rPr>
                <w:rFonts w:hint="default" w:ascii="Times New Roman" w:hAnsi="Times New Roman"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三废：</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项目</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废气主要为</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恶臭污染物H</w:t>
            </w:r>
            <w:r>
              <w:rPr>
                <w:rFonts w:hint="default" w:ascii="Times New Roman" w:hAnsi="Times New Roman" w:eastAsia="宋体" w:cs="Times New Roman"/>
                <w:b w:val="0"/>
                <w:bCs w:val="0"/>
                <w:color w:val="000000" w:themeColor="text1"/>
                <w:kern w:val="0"/>
                <w:sz w:val="21"/>
                <w:szCs w:val="21"/>
                <w:highlight w:val="none"/>
                <w:vertAlign w:val="subscript"/>
                <w14:textFill>
                  <w14:solidFill>
                    <w14:schemeClr w14:val="tx1"/>
                  </w14:solidFill>
                </w14:textFill>
              </w:rPr>
              <w:t>2</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S和NH</w:t>
            </w:r>
            <w:r>
              <w:rPr>
                <w:rFonts w:hint="default" w:ascii="Times New Roman" w:hAnsi="Times New Roman" w:eastAsia="宋体" w:cs="Times New Roman"/>
                <w:b w:val="0"/>
                <w:bCs w:val="0"/>
                <w:color w:val="000000" w:themeColor="text1"/>
                <w:kern w:val="0"/>
                <w:sz w:val="21"/>
                <w:szCs w:val="21"/>
                <w:highlight w:val="none"/>
                <w:vertAlign w:val="subscript"/>
                <w14:textFill>
                  <w14:solidFill>
                    <w14:schemeClr w14:val="tx1"/>
                  </w14:solidFill>
                </w14:textFill>
              </w:rPr>
              <w:t>3</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，来自猪粪、尿</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及</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黑膜池</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散发出的臭气</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及厌氧发酵的产生的少量甲烷气体。养殖废水储存在黑膜池中厌氧发酵后还田。固废主要为猪粪干湿分离后堆存在对粪场堆肥处理后还田，兽用医疗废物暂存在场内</w:t>
            </w:r>
            <w:r>
              <w:rPr>
                <w:rFonts w:hint="eastAsia" w:cs="Times New Roman"/>
                <w:b w:val="0"/>
                <w:bCs w:val="0"/>
                <w:color w:val="000000" w:themeColor="text1"/>
                <w:kern w:val="0"/>
                <w:sz w:val="21"/>
                <w:szCs w:val="21"/>
                <w:highlight w:val="none"/>
                <w:lang w:val="en-US" w:eastAsia="zh-CN"/>
                <w14:textFill>
                  <w14:solidFill>
                    <w14:schemeClr w14:val="tx1"/>
                  </w14:solidFill>
                </w14:textFill>
              </w:rPr>
              <w:t>危废暂存间</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，定期交由有资质的单位处置。少量</w:t>
            </w:r>
            <w:r>
              <w:rPr>
                <w:rFonts w:hint="eastAsia" w:cs="Times New Roman"/>
                <w:b w:val="0"/>
                <w:bCs w:val="0"/>
                <w:color w:val="000000" w:themeColor="text1"/>
                <w:kern w:val="0"/>
                <w:sz w:val="21"/>
                <w:szCs w:val="21"/>
                <w:highlight w:val="none"/>
                <w:lang w:val="en-US" w:eastAsia="zh-CN"/>
                <w14:textFill>
                  <w14:solidFill>
                    <w14:schemeClr w14:val="tx1"/>
                  </w14:solidFill>
                </w14:textFill>
              </w:rPr>
              <w:t>病死猪、胎衣</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不在厂内暂存，拉运至有资质单位无害化处置。生活垃圾由环卫部门统一清运处置。</w:t>
            </w:r>
          </w:p>
          <w:p w14:paraId="0D662469">
            <w:pPr>
              <w:kinsoku/>
              <w:autoSpaceDE/>
              <w:autoSpaceDN/>
              <w:bidi w:val="0"/>
              <w:spacing w:line="240" w:lineRule="auto"/>
              <w:jc w:val="left"/>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r>
              <w:rPr>
                <w:rFonts w:hint="eastAsia" w:cs="Times New Roman"/>
                <w:b w:val="0"/>
                <w:bCs w:val="0"/>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）主要危险场所：黑膜池、堆粪场、干湿分离车间、</w:t>
            </w:r>
            <w:r>
              <w:rPr>
                <w:rFonts w:hint="eastAsia" w:cs="Times New Roman"/>
                <w:b w:val="0"/>
                <w:bCs w:val="0"/>
                <w:color w:val="000000" w:themeColor="text1"/>
                <w:kern w:val="0"/>
                <w:sz w:val="21"/>
                <w:szCs w:val="21"/>
                <w:highlight w:val="none"/>
                <w:lang w:val="en-US" w:eastAsia="zh-CN"/>
                <w14:textFill>
                  <w14:solidFill>
                    <w14:schemeClr w14:val="tx1"/>
                  </w14:solidFill>
                </w14:textFill>
              </w:rPr>
              <w:t>危废暂存间</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w:t>
            </w:r>
            <w:r>
              <w:rPr>
                <w:rFonts w:hint="eastAsia" w:cs="Times New Roman"/>
                <w:b w:val="0"/>
                <w:bCs w:val="0"/>
                <w:color w:val="000000" w:themeColor="text1"/>
                <w:kern w:val="0"/>
                <w:sz w:val="21"/>
                <w:szCs w:val="21"/>
                <w:highlight w:val="none"/>
                <w:lang w:val="en-US" w:eastAsia="zh-CN"/>
                <w14:textFill>
                  <w14:solidFill>
                    <w14:schemeClr w14:val="tx1"/>
                  </w14:solidFill>
                </w14:textFill>
              </w:rPr>
              <w:t>兽医间</w:t>
            </w:r>
          </w:p>
        </w:tc>
      </w:tr>
      <w:tr w14:paraId="3D7ED3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9" w:hRule="atLeast"/>
        </w:trPr>
        <w:tc>
          <w:tcPr>
            <w:tcW w:w="2609" w:type="dxa"/>
            <w:vAlign w:val="top"/>
          </w:tcPr>
          <w:p w14:paraId="7A78696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环境影响途径及危害后果（大气、地表水、地下水等）</w:t>
            </w:r>
          </w:p>
        </w:tc>
        <w:tc>
          <w:tcPr>
            <w:tcW w:w="5917" w:type="dxa"/>
            <w:gridSpan w:val="5"/>
            <w:vAlign w:val="center"/>
          </w:tcPr>
          <w:p w14:paraId="4A8754EE">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pP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主要影响途径为</w:t>
            </w:r>
            <w:r>
              <w:rPr>
                <w:rFonts w:hint="eastAsia" w:cs="Times New Roman"/>
                <w:b w:val="0"/>
                <w:bCs w:val="0"/>
                <w:color w:val="000000" w:themeColor="text1"/>
                <w:kern w:val="0"/>
                <w:sz w:val="21"/>
                <w:szCs w:val="21"/>
                <w:highlight w:val="none"/>
                <w:lang w:val="en-US" w:eastAsia="zh-CN"/>
                <w14:textFill>
                  <w14:solidFill>
                    <w14:schemeClr w14:val="tx1"/>
                  </w14:solidFill>
                </w14:textFill>
              </w:rPr>
              <w:t>泄漏</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、火灾、爆炸导致的直接、次生影响。</w:t>
            </w:r>
          </w:p>
        </w:tc>
      </w:tr>
      <w:tr w14:paraId="6CAAA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trPr>
        <w:tc>
          <w:tcPr>
            <w:tcW w:w="2609" w:type="dxa"/>
            <w:vAlign w:val="top"/>
          </w:tcPr>
          <w:p w14:paraId="2B209FFF">
            <w:pPr>
              <w:kinsoku/>
              <w:autoSpaceDE/>
              <w:autoSpaceDN/>
              <w:bidi w:val="0"/>
              <w:spacing w:line="240" w:lineRule="auto"/>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风险防范措施要求</w:t>
            </w:r>
          </w:p>
        </w:tc>
        <w:tc>
          <w:tcPr>
            <w:tcW w:w="5917" w:type="dxa"/>
            <w:gridSpan w:val="5"/>
            <w:vAlign w:val="center"/>
          </w:tcPr>
          <w:p w14:paraId="028F7D0E">
            <w:pPr>
              <w:numPr>
                <w:ilvl w:val="0"/>
                <w:numId w:val="5"/>
              </w:numPr>
              <w:kinsoku/>
              <w:autoSpaceDE/>
              <w:autoSpaceDN/>
              <w:bidi w:val="0"/>
              <w:spacing w:line="240" w:lineRule="auto"/>
              <w:jc w:val="both"/>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严格落实</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污染物治理措施，</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定期监测</w:t>
            </w:r>
            <w:r>
              <w:rPr>
                <w:rFonts w:hint="default" w:ascii="Times New Roman" w:hAnsi="Times New Roman" w:cs="Times New Roman"/>
                <w:b w:val="0"/>
                <w:bCs w:val="0"/>
                <w:color w:val="000000" w:themeColor="text1"/>
                <w:kern w:val="0"/>
                <w:sz w:val="21"/>
                <w:szCs w:val="21"/>
                <w:highlight w:val="none"/>
                <w:lang w:eastAsia="zh-CN"/>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保证污染防治措施正常运转。</w:t>
            </w:r>
          </w:p>
          <w:p w14:paraId="6C7592A9">
            <w:pPr>
              <w:numPr>
                <w:ilvl w:val="0"/>
                <w:numId w:val="5"/>
              </w:numPr>
              <w:kinsoku/>
              <w:autoSpaceDE/>
              <w:autoSpaceDN/>
              <w:bidi w:val="0"/>
              <w:spacing w:line="240" w:lineRule="auto"/>
              <w:jc w:val="both"/>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eastAsia" w:cs="Times New Roman"/>
                <w:b w:val="0"/>
                <w:bCs w:val="0"/>
                <w:color w:val="000000" w:themeColor="text1"/>
                <w:kern w:val="0"/>
                <w:sz w:val="21"/>
                <w:szCs w:val="21"/>
                <w:highlight w:val="none"/>
                <w:lang w:val="en-US" w:eastAsia="zh-CN"/>
                <w14:textFill>
                  <w14:solidFill>
                    <w14:schemeClr w14:val="tx1"/>
                  </w14:solidFill>
                </w14:textFill>
              </w:rPr>
              <w:t>危废暂存间</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、黑膜池、干湿分离车间、堆粪场做好防渗措施、防止</w:t>
            </w:r>
            <w:r>
              <w:rPr>
                <w:rFonts w:hint="eastAsia" w:cs="Times New Roman"/>
                <w:b w:val="0"/>
                <w:bCs w:val="0"/>
                <w:color w:val="000000" w:themeColor="text1"/>
                <w:kern w:val="0"/>
                <w:sz w:val="21"/>
                <w:szCs w:val="21"/>
                <w:highlight w:val="none"/>
                <w:lang w:val="en-US" w:eastAsia="zh-CN"/>
                <w14:textFill>
                  <w14:solidFill>
                    <w14:schemeClr w14:val="tx1"/>
                  </w14:solidFill>
                </w14:textFill>
              </w:rPr>
              <w:t>泄漏</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、火灾、爆炸导致的污染土壤及地下水等现象，</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按照应急预案做好事故防范措施</w:t>
            </w:r>
          </w:p>
        </w:tc>
      </w:tr>
      <w:tr w14:paraId="67926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8526" w:type="dxa"/>
            <w:gridSpan w:val="6"/>
            <w:vAlign w:val="top"/>
          </w:tcPr>
          <w:p w14:paraId="4798E8D9">
            <w:pPr>
              <w:kinsoku/>
              <w:autoSpaceDE/>
              <w:autoSpaceDN/>
              <w:bidi w:val="0"/>
              <w:spacing w:line="240" w:lineRule="auto"/>
              <w:jc w:val="left"/>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填表说明（列出项目相关信息及评价说明）：</w:t>
            </w:r>
          </w:p>
          <w:p w14:paraId="3F135C9C">
            <w:pPr>
              <w:kinsoku/>
              <w:autoSpaceDE/>
              <w:autoSpaceDN/>
              <w:bidi w:val="0"/>
              <w:spacing w:line="240" w:lineRule="auto"/>
              <w:jc w:val="left"/>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本项目涉及的有毒有害物质主要为氨、硫化氢主要来源于圈舍、</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黑膜池</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堆粪场</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lang w:eastAsia="zh-CN"/>
                <w14:textFill>
                  <w14:solidFill>
                    <w14:schemeClr w14:val="tx1"/>
                  </w14:solidFill>
                </w14:textFill>
              </w:rPr>
              <w:t>干湿分离车间</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排放的</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恶臭气体</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甲烷主要来源于黑膜池厌氧发酵产生的少</w:t>
            </w:r>
            <w:r>
              <w:rPr>
                <w:rFonts w:hint="eastAsia" w:cs="Times New Roman"/>
                <w:b w:val="0"/>
                <w:bCs w:val="0"/>
                <w:color w:val="000000" w:themeColor="text1"/>
                <w:kern w:val="0"/>
                <w:sz w:val="21"/>
                <w:szCs w:val="21"/>
                <w:highlight w:val="none"/>
                <w:lang w:val="en-US" w:eastAsia="zh-CN"/>
                <w14:textFill>
                  <w14:solidFill>
                    <w14:schemeClr w14:val="tx1"/>
                  </w14:solidFill>
                </w14:textFill>
              </w:rPr>
              <w:t>量</w:t>
            </w:r>
            <w:r>
              <w:rPr>
                <w:rFonts w:hint="default" w:ascii="Times New Roman" w:hAnsi="Times New Roman" w:cs="Times New Roman"/>
                <w:b w:val="0"/>
                <w:bCs w:val="0"/>
                <w:color w:val="000000" w:themeColor="text1"/>
                <w:kern w:val="0"/>
                <w:sz w:val="21"/>
                <w:szCs w:val="21"/>
                <w:highlight w:val="none"/>
                <w:lang w:val="en-US" w:eastAsia="zh-CN"/>
                <w14:textFill>
                  <w14:solidFill>
                    <w14:schemeClr w14:val="tx1"/>
                  </w14:solidFill>
                </w14:textFill>
              </w:rPr>
              <w:t>甲烷气体</w:t>
            </w:r>
            <w:r>
              <w:rPr>
                <w:rFonts w:hint="eastAsia" w:cs="Times New Roman"/>
                <w:b w:val="0"/>
                <w:bCs w:val="0"/>
                <w:color w:val="000000" w:themeColor="text1"/>
                <w:kern w:val="0"/>
                <w:sz w:val="21"/>
                <w:szCs w:val="21"/>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其数量与临界量的比值Q＜1，仅进行简单风险分析。</w:t>
            </w:r>
          </w:p>
        </w:tc>
      </w:tr>
    </w:tbl>
    <w:p w14:paraId="7C17D4C0">
      <w:pPr>
        <w:rPr>
          <w:color w:val="000000" w:themeColor="text1"/>
          <w:highlight w:val="none"/>
          <w14:textFill>
            <w14:solidFill>
              <w14:schemeClr w14:val="tx1"/>
            </w14:solidFill>
          </w14:textFill>
        </w:rPr>
      </w:pPr>
    </w:p>
    <w:p w14:paraId="1025C9B7">
      <w:pPr>
        <w:rPr>
          <w:color w:val="000000" w:themeColor="text1"/>
          <w:highlight w:val="none"/>
          <w14:textFill>
            <w14:solidFill>
              <w14:schemeClr w14:val="tx1"/>
            </w14:solidFill>
          </w14:textFill>
        </w:rPr>
        <w:sectPr>
          <w:headerReference r:id="rId15" w:type="default"/>
          <w:footerReference r:id="rId16" w:type="default"/>
          <w:pgSz w:w="11906" w:h="16839"/>
          <w:pgMar w:top="1440" w:right="1803" w:bottom="1440" w:left="1803" w:header="882" w:footer="886" w:gutter="0"/>
          <w:pgBorders>
            <w:top w:val="none" w:sz="0" w:space="0"/>
            <w:left w:val="none" w:sz="0" w:space="0"/>
            <w:bottom w:val="none" w:sz="0" w:space="0"/>
            <w:right w:val="none" w:sz="0" w:space="0"/>
          </w:pgBorders>
          <w:pgNumType w:fmt="decimal"/>
          <w:cols w:space="720" w:num="1"/>
        </w:sectPr>
      </w:pPr>
    </w:p>
    <w:p w14:paraId="2E03EDE2">
      <w:pPr>
        <w:pStyle w:val="2"/>
        <w:rPr>
          <w:color w:val="000000" w:themeColor="text1"/>
          <w:highlight w:val="none"/>
          <w14:textFill>
            <w14:solidFill>
              <w14:schemeClr w14:val="tx1"/>
            </w14:solidFill>
          </w14:textFill>
        </w:rPr>
      </w:pPr>
      <w:bookmarkStart w:id="230" w:name="bookmark30"/>
      <w:bookmarkEnd w:id="230"/>
      <w:bookmarkStart w:id="231" w:name="bookmark29"/>
      <w:bookmarkEnd w:id="231"/>
      <w:bookmarkStart w:id="232" w:name="_Toc9537"/>
      <w:bookmarkStart w:id="233" w:name="_Toc23510"/>
      <w:r>
        <w:rPr>
          <w:color w:val="000000" w:themeColor="text1"/>
          <w:highlight w:val="none"/>
          <w14:textFill>
            <w14:solidFill>
              <w14:schemeClr w14:val="tx1"/>
            </w14:solidFill>
          </w14:textFill>
        </w:rPr>
        <w:t>6.环境保护措施及其可行性论证</w:t>
      </w:r>
      <w:bookmarkEnd w:id="232"/>
      <w:bookmarkEnd w:id="233"/>
    </w:p>
    <w:p w14:paraId="6DDA54DF">
      <w:pPr>
        <w:pStyle w:val="3"/>
        <w:bidi w:val="0"/>
        <w:rPr>
          <w:color w:val="000000" w:themeColor="text1"/>
          <w:highlight w:val="none"/>
          <w14:textFill>
            <w14:solidFill>
              <w14:schemeClr w14:val="tx1"/>
            </w14:solidFill>
          </w14:textFill>
        </w:rPr>
      </w:pPr>
      <w:bookmarkStart w:id="234" w:name="_Toc29998"/>
      <w:bookmarkStart w:id="235" w:name="_Toc17503"/>
      <w:bookmarkStart w:id="236" w:name="_Toc27381"/>
      <w:r>
        <w:rPr>
          <w:color w:val="000000" w:themeColor="text1"/>
          <w:highlight w:val="none"/>
          <w14:textFill>
            <w14:solidFill>
              <w14:schemeClr w14:val="tx1"/>
            </w14:solidFill>
          </w14:textFill>
        </w:rPr>
        <w:t>6.1施工期环境保护措施</w:t>
      </w:r>
      <w:bookmarkEnd w:id="234"/>
      <w:bookmarkEnd w:id="235"/>
    </w:p>
    <w:p w14:paraId="6845D1B0">
      <w:pPr>
        <w:pStyle w:val="4"/>
        <w:bidi w:val="0"/>
        <w:rPr>
          <w:color w:val="000000" w:themeColor="text1"/>
          <w:highlight w:val="none"/>
          <w14:textFill>
            <w14:solidFill>
              <w14:schemeClr w14:val="tx1"/>
            </w14:solidFill>
          </w14:textFill>
        </w:rPr>
      </w:pPr>
      <w:bookmarkStart w:id="237" w:name="_Toc18337"/>
      <w:r>
        <w:rPr>
          <w:color w:val="000000" w:themeColor="text1"/>
          <w:highlight w:val="none"/>
          <w14:textFill>
            <w14:solidFill>
              <w14:schemeClr w14:val="tx1"/>
            </w14:solidFill>
          </w14:textFill>
        </w:rPr>
        <w:t>6.1.1施工期扬尘污染防治措施</w:t>
      </w:r>
      <w:bookmarkEnd w:id="237"/>
    </w:p>
    <w:p w14:paraId="090DBF5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本项目施工期可能产生的扬尘影响主要为</w:t>
      </w:r>
      <w:r>
        <w:rPr>
          <w:rFonts w:hint="eastAsia"/>
          <w:color w:val="000000" w:themeColor="text1"/>
          <w:highlight w:val="none"/>
          <w:lang w:val="en-US" w:eastAsia="zh-CN"/>
          <w14:textFill>
            <w14:solidFill>
              <w14:schemeClr w14:val="tx1"/>
            </w14:solidFill>
          </w14:textFill>
        </w:rPr>
        <w:t>开挖土方</w:t>
      </w:r>
      <w:r>
        <w:rPr>
          <w:color w:val="000000" w:themeColor="text1"/>
          <w:highlight w:val="none"/>
          <w14:textFill>
            <w14:solidFill>
              <w14:schemeClr w14:val="tx1"/>
            </w14:solidFill>
          </w14:textFill>
        </w:rPr>
        <w:t>产生的风力扬尘及运输车辆行驶扬尘，有关研究资料显示，在采取加强场地管理、及时洒水抑尘、采用商品混凝土等措施，可以有效的控制施工期扬尘影响的范围及程度。为了缓解施工期产生扬尘对周边环境的影响，最大限度</w:t>
      </w:r>
      <w:r>
        <w:rPr>
          <w:rFonts w:hint="eastAsia"/>
          <w:color w:val="000000" w:themeColor="text1"/>
          <w:highlight w:val="none"/>
          <w14:textFill>
            <w14:solidFill>
              <w14:schemeClr w14:val="tx1"/>
            </w14:solidFill>
          </w14:textFill>
        </w:rPr>
        <w:t>减少</w:t>
      </w:r>
      <w:r>
        <w:rPr>
          <w:color w:val="000000" w:themeColor="text1"/>
          <w:highlight w:val="none"/>
          <w14:textFill>
            <w14:solidFill>
              <w14:schemeClr w14:val="tx1"/>
            </w14:solidFill>
          </w14:textFill>
        </w:rPr>
        <w:t>本项目施工扬尘的影响，根据《防治城市扬尘污染技术规范》（HJ/T393-2007），《大气污染防治行动计划》本次环评提出如下防治措施：</w:t>
      </w:r>
    </w:p>
    <w:p w14:paraId="3D47B8A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（1）建设施工由建设单位指定专人负责施工现场扬尘污染措施的实施和监 督。施工工地出入口必须设立环境保护监督牌。必须注明项目名称、建设单位、施工单位、防治扬尘污染现场监督员姓名和联系电话、项目工期、环保措施</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举报电话等内容。</w:t>
      </w:r>
    </w:p>
    <w:p w14:paraId="2624857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（2）施工工地周围建设围挡。施工</w:t>
      </w:r>
      <w:r>
        <w:rPr>
          <w:rFonts w:hint="eastAsia"/>
          <w:color w:val="000000" w:themeColor="text1"/>
          <w:highlight w:val="none"/>
          <w:lang w:eastAsia="zh-CN"/>
          <w14:textFill>
            <w14:solidFill>
              <w14:schemeClr w14:val="tx1"/>
            </w14:solidFill>
          </w14:textFill>
        </w:rPr>
        <w:t>场地</w:t>
      </w:r>
      <w:r>
        <w:rPr>
          <w:color w:val="000000" w:themeColor="text1"/>
          <w:highlight w:val="none"/>
          <w14:textFill>
            <w14:solidFill>
              <w14:schemeClr w14:val="tx1"/>
            </w14:solidFill>
          </w14:textFill>
        </w:rPr>
        <w:t>周边必须设置1.8m以上的硬质围墙或围挡，严禁敞开式作业。围挡地段应设置防溢座，围挡之间以及围挡与防溢座之间无缝隙。对围挡落尘应当定期进行清洗。保证施工工地周围环境整洁；</w:t>
      </w:r>
    </w:p>
    <w:p w14:paraId="69B15DA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（3）物料堆放百分百覆盖。施工工地内堆放易产生扬尘污染物料的，必须密闭存放或覆盖；工程主体施工阶段必须使用密目式安全网进行封闭；</w:t>
      </w:r>
    </w:p>
    <w:p w14:paraId="15FA041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（4）出入车辆百分百冲洗。施工工地现场出入地面必须硬化处理并设置车辆冲洗台以及配套的排水、泥浆沉淀设施，冲洗设施到位；车辆在驶出工地前，应将车轮、车身冲洗干净，不得带泥上路；</w:t>
      </w:r>
    </w:p>
    <w:p w14:paraId="22D9D0C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（5）施工现场地面百分百硬化。施工现场的主要道路应铺设混凝土或沥青路面，场地内的其他地面进行硬化处理。土方开挖阶段，应对施工现场的车型道路进行简易硬化，并辅以洒水等降尘措施；</w:t>
      </w:r>
    </w:p>
    <w:p w14:paraId="5C59B35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（6）出现五级以上大风天气时，禁止进行土方和拆除施工等易产生扬尘污染的施工作业；</w:t>
      </w:r>
    </w:p>
    <w:p w14:paraId="32732EF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（7）施工期间，工地内从建筑上层将具有粉尘逸散</w:t>
      </w:r>
      <w:r>
        <w:rPr>
          <w:rFonts w:hint="eastAsia"/>
          <w:color w:val="000000" w:themeColor="text1"/>
          <w:highlight w:val="none"/>
          <w14:textFill>
            <w14:solidFill>
              <w14:schemeClr w14:val="tx1"/>
            </w14:solidFill>
          </w14:textFill>
        </w:rPr>
        <w:t>性</w:t>
      </w:r>
      <w:r>
        <w:rPr>
          <w:color w:val="000000" w:themeColor="text1"/>
          <w:highlight w:val="none"/>
          <w14:textFill>
            <w14:solidFill>
              <w14:schemeClr w14:val="tx1"/>
            </w14:solidFill>
          </w14:textFill>
        </w:rPr>
        <w:t>的物料、渣土或废弃物输送至地面或地下楼层时，应采用密闭方式输送，不得凌空抛洒；</w:t>
      </w:r>
    </w:p>
    <w:p w14:paraId="4B8DBF1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（8）在城市建成区范围内的建设工程，严禁在施工现场搅拌砂浆混凝土；</w:t>
      </w:r>
    </w:p>
    <w:p w14:paraId="271AFFC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（9）工程项目竣工后30日内，施工单位必须平整施工</w:t>
      </w:r>
      <w:r>
        <w:rPr>
          <w:rFonts w:hint="eastAsia"/>
          <w:color w:val="000000" w:themeColor="text1"/>
          <w:highlight w:val="none"/>
          <w:lang w:eastAsia="zh-CN"/>
          <w14:textFill>
            <w14:solidFill>
              <w14:schemeClr w14:val="tx1"/>
            </w14:solidFill>
          </w14:textFill>
        </w:rPr>
        <w:t>场地</w:t>
      </w:r>
      <w:r>
        <w:rPr>
          <w:color w:val="000000" w:themeColor="text1"/>
          <w:highlight w:val="none"/>
          <w14:textFill>
            <w14:solidFill>
              <w14:schemeClr w14:val="tx1"/>
            </w14:solidFill>
          </w14:textFill>
        </w:rPr>
        <w:t>，并清除积土、堆物；通过洒水、硬化道路，可抑制扬尘的产生；设置围挡，可将扬尘围挡在施工场地内，大量减少向外扩散的扬尘。因此，上述大气污染防治措施可行。</w:t>
      </w:r>
    </w:p>
    <w:p w14:paraId="2A2B1F1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施工期间，施工机械和运输车辆会排放一定数量的汽车尾气，但因排放量相对较少，不会对区域的空气环境质量产生实质性影响。</w:t>
      </w:r>
    </w:p>
    <w:p w14:paraId="103D310E">
      <w:pPr>
        <w:pStyle w:val="4"/>
        <w:rPr>
          <w:color w:val="000000" w:themeColor="text1"/>
          <w:highlight w:val="none"/>
          <w14:textFill>
            <w14:solidFill>
              <w14:schemeClr w14:val="tx1"/>
            </w14:solidFill>
          </w14:textFill>
        </w:rPr>
      </w:pPr>
      <w:bookmarkStart w:id="238" w:name="_Toc15798"/>
      <w:r>
        <w:rPr>
          <w:color w:val="000000" w:themeColor="text1"/>
          <w:highlight w:val="none"/>
          <w14:textFill>
            <w14:solidFill>
              <w14:schemeClr w14:val="tx1"/>
            </w14:solidFill>
          </w14:textFill>
        </w:rPr>
        <w:t>6.1.2施工期水污染防治措施</w:t>
      </w:r>
      <w:bookmarkEnd w:id="238"/>
    </w:p>
    <w:p w14:paraId="46298BD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为防止污水污染环境，必须采取相应的控制措施：</w:t>
      </w:r>
    </w:p>
    <w:p w14:paraId="0A52E7D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（1）施工期工地一切废物都要按指定地点堆放并及时组织清除，避免因暴雨径流而被冲走流入附近水体。</w:t>
      </w:r>
    </w:p>
    <w:p w14:paraId="20B21FC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（2）施工场地应加强管理，尽量保持场地平整，土石方堆放坡面应平整，以减少土石方等进入堆放地附近渠道。</w:t>
      </w:r>
    </w:p>
    <w:p w14:paraId="3DF01E5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施工现场要严格规定排水去向，对建筑施工中产生的土建泥浆水以及外排淤水等在施工前期设计好排水沟和沉淀池，将建筑泥浆水和冲洗水经沉淀分离后用于施工场地洒水降尘，防止泥浆水外排，沉淀泥浆应定期及时外运。</w:t>
      </w:r>
    </w:p>
    <w:p w14:paraId="5584B660">
      <w:pPr>
        <w:ind w:firstLine="480" w:firstLineChars="200"/>
        <w:rPr>
          <w:color w:val="000000" w:themeColor="text1"/>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（4）施工人员的生活污水不得随意排，施工期建设临时防渗</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化粪池</w:t>
      </w:r>
      <w:r>
        <w:rPr>
          <w:rFonts w:ascii="Times New Roman" w:hAnsi="Times New Roman" w:eastAsia="宋体" w:cs="宋体"/>
          <w:b w:val="0"/>
          <w:bCs w:val="0"/>
          <w:color w:val="000000" w:themeColor="text1"/>
          <w:kern w:val="0"/>
          <w:szCs w:val="24"/>
          <w:highlight w:val="none"/>
          <w14:textFill>
            <w14:solidFill>
              <w14:schemeClr w14:val="tx1"/>
            </w14:solidFill>
          </w14:textFill>
        </w:rPr>
        <w:t>，生活污水由</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防渗化粪池</w:t>
      </w:r>
      <w:r>
        <w:rPr>
          <w:rFonts w:ascii="Times New Roman" w:hAnsi="Times New Roman" w:eastAsia="宋体" w:cs="宋体"/>
          <w:b w:val="0"/>
          <w:bCs w:val="0"/>
          <w:color w:val="000000" w:themeColor="text1"/>
          <w:kern w:val="0"/>
          <w:szCs w:val="24"/>
          <w:highlight w:val="none"/>
          <w14:textFill>
            <w14:solidFill>
              <w14:schemeClr w14:val="tx1"/>
            </w14:solidFill>
          </w14:textFill>
        </w:rPr>
        <w:t>暂存，定期委托环卫部门采用吸污车清运至污水处理厂处理。</w:t>
      </w:r>
    </w:p>
    <w:p w14:paraId="0E2D1A1D">
      <w:pPr>
        <w:ind w:firstLine="480" w:firstLineChars="20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lang w:eastAsia="zh-CN"/>
          <w14:textFill>
            <w14:solidFill>
              <w14:schemeClr w14:val="tx1"/>
            </w14:solidFill>
          </w14:textFill>
        </w:rPr>
        <w:t>）施工</w:t>
      </w:r>
      <w:r>
        <w:rPr>
          <w:rFonts w:hint="eastAsia"/>
          <w:color w:val="000000" w:themeColor="text1"/>
          <w:highlight w:val="none"/>
          <w:lang w:val="en-US" w:eastAsia="zh-CN"/>
          <w14:textFill>
            <w14:solidFill>
              <w14:schemeClr w14:val="tx1"/>
            </w14:solidFill>
          </w14:textFill>
        </w:rPr>
        <w:t>时</w:t>
      </w:r>
      <w:r>
        <w:rPr>
          <w:rFonts w:hint="eastAsia"/>
          <w:color w:val="000000" w:themeColor="text1"/>
          <w:highlight w:val="none"/>
          <w:lang w:eastAsia="zh-CN"/>
          <w14:textFill>
            <w14:solidFill>
              <w14:schemeClr w14:val="tx1"/>
            </w14:solidFill>
          </w14:textFill>
        </w:rPr>
        <w:t>配备监理，对工程施工过程中的质量进行监督和检查，确保工程质量符合相关标准和规范。</w:t>
      </w:r>
    </w:p>
    <w:p w14:paraId="466DD43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）加强环境管理，防止施工机械油料泄漏或废油料倾倒进入水体后引起水污染，建议采取接漏的方式接收施工机械等漏油。</w:t>
      </w:r>
    </w:p>
    <w:p w14:paraId="7B7864E0">
      <w:pPr>
        <w:pStyle w:val="4"/>
        <w:rPr>
          <w:color w:val="000000" w:themeColor="text1"/>
          <w:highlight w:val="none"/>
          <w14:textFill>
            <w14:solidFill>
              <w14:schemeClr w14:val="tx1"/>
            </w14:solidFill>
          </w14:textFill>
        </w:rPr>
      </w:pPr>
      <w:bookmarkStart w:id="239" w:name="_Toc14042"/>
      <w:r>
        <w:rPr>
          <w:color w:val="000000" w:themeColor="text1"/>
          <w:highlight w:val="none"/>
          <w14:textFill>
            <w14:solidFill>
              <w14:schemeClr w14:val="tx1"/>
            </w14:solidFill>
          </w14:textFill>
        </w:rPr>
        <w:t>6.1.3施工期噪声污染防治措施</w:t>
      </w:r>
      <w:bookmarkEnd w:id="239"/>
    </w:p>
    <w:p w14:paraId="32BA5F2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为了减轻本工程施工期噪声的环境影响，可采取以下控制措施：</w:t>
      </w:r>
    </w:p>
    <w:p w14:paraId="2B2460C8">
      <w:pPr>
        <w:numPr>
          <w:ilvl w:val="0"/>
          <w:numId w:val="6"/>
        </w:num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采用先进的施工设备和建筑工艺技术，从源头控制噪声污染；</w:t>
      </w:r>
    </w:p>
    <w:p w14:paraId="27F0CB6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（2）加强施工管理，按当地规定的时间合理进行高噪声施工作业；</w:t>
      </w:r>
    </w:p>
    <w:p w14:paraId="3127B55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（3）施工机械应尽可能放置于对厂界外造成影响最小的地点；</w:t>
      </w:r>
    </w:p>
    <w:p w14:paraId="0071361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（4）在高噪声设备周围设置声屏障；</w:t>
      </w:r>
    </w:p>
    <w:p w14:paraId="3C96A09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（5）混凝土需要连续浇灌作用前，应做好各项准备工作，将搅拌机运行时间压到最低限度；</w:t>
      </w:r>
    </w:p>
    <w:p w14:paraId="1B06768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（6）加强对运输车辆的管理，严格规定运输车辆行驶路线及行驶时间，减少交通运输噪声对运输线路周边环境敏感点的影响；</w:t>
      </w:r>
    </w:p>
    <w:p w14:paraId="0F2A5ED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（7）提高施工人员特别是现场施工负责人员的环保意识，施工负责人应学习国家相关环保</w:t>
      </w:r>
      <w:r>
        <w:rPr>
          <w:rFonts w:hint="eastAsia"/>
          <w:color w:val="000000" w:themeColor="text1"/>
          <w:highlight w:val="none"/>
          <w14:textFill>
            <w14:solidFill>
              <w14:schemeClr w14:val="tx1"/>
            </w14:solidFill>
          </w14:textFill>
        </w:rPr>
        <w:t>法律法规</w:t>
      </w:r>
      <w:r>
        <w:rPr>
          <w:color w:val="000000" w:themeColor="text1"/>
          <w:highlight w:val="none"/>
          <w14:textFill>
            <w14:solidFill>
              <w14:schemeClr w14:val="tx1"/>
            </w14:solidFill>
          </w14:textFill>
        </w:rPr>
        <w:t>，增强环保意识，提高其自身素质，约束自己的行为，明确认识噪声对人体的危害，接触高噪声的人员，要采取必要的个人防护措施，如耳塞、耳罩等，保护身心健康。</w:t>
      </w:r>
    </w:p>
    <w:p w14:paraId="2E3B2F5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对施工场地噪声除采取以上</w:t>
      </w:r>
      <w:r>
        <w:rPr>
          <w:rFonts w:hint="eastAsia"/>
          <w:color w:val="000000" w:themeColor="text1"/>
          <w:highlight w:val="none"/>
          <w14:textFill>
            <w14:solidFill>
              <w14:schemeClr w14:val="tx1"/>
            </w14:solidFill>
          </w14:textFill>
        </w:rPr>
        <w:t>降噪</w:t>
      </w:r>
      <w:r>
        <w:rPr>
          <w:color w:val="000000" w:themeColor="text1"/>
          <w:highlight w:val="none"/>
          <w14:textFill>
            <w14:solidFill>
              <w14:schemeClr w14:val="tx1"/>
            </w14:solidFill>
          </w14:textFill>
        </w:rPr>
        <w:t>措施以外，还应与污水处理厂厂区附近企业及现场工程沿线周围单位建立良好的社区关系，对受施工干扰的单位应在作业前予以通知，并随时向他们汇报施工进度及施工中对降低噪声采取的措施，求得大家的共同理解。对受施工影响较大的居民或单位，应给予适当的补偿。此外，施工期间应设热线投诉电话，接受噪声扰民的投诉，并对投诉情况进行积极治理。</w:t>
      </w:r>
    </w:p>
    <w:p w14:paraId="35C33426">
      <w:pPr>
        <w:pStyle w:val="4"/>
        <w:rPr>
          <w:color w:val="000000" w:themeColor="text1"/>
          <w:highlight w:val="none"/>
          <w14:textFill>
            <w14:solidFill>
              <w14:schemeClr w14:val="tx1"/>
            </w14:solidFill>
          </w14:textFill>
        </w:rPr>
      </w:pPr>
      <w:bookmarkStart w:id="240" w:name="_Toc26742"/>
      <w:r>
        <w:rPr>
          <w:color w:val="000000" w:themeColor="text1"/>
          <w:highlight w:val="none"/>
          <w14:textFill>
            <w14:solidFill>
              <w14:schemeClr w14:val="tx1"/>
            </w14:solidFill>
          </w14:textFill>
        </w:rPr>
        <w:t>6.1.4施工期固体废物污染防治措施</w:t>
      </w:r>
      <w:bookmarkEnd w:id="240"/>
    </w:p>
    <w:p w14:paraId="03C9B7D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本项目施工期除基础开挖、场地平整产生的土石方外，也将有一定数量废弃的建筑材料如砂石、石灰、混凝土、木材及施工队伍生活垃圾等。</w:t>
      </w:r>
    </w:p>
    <w:p w14:paraId="5872336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建筑垃圾中可回收利用的废物应进行回收利用，减少浪费，节约资源；对无利用价值的建筑垃圾要及时清运、防止其因长期堆放而产生扬尘污染，严禁置于项目区周围影响环境。因此，在施工前应向城建、环卫部门申请建筑垃圾处置场所，随时把施工垃圾运往城市垃圾填埋场。</w:t>
      </w:r>
    </w:p>
    <w:p w14:paraId="1C7EAAE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在施工期必须制定废弃物管理计划。该计划应包括抛弃方案的执行计划、废弃物控制的报告程序和报告格式、维护程序等。施工单位必须按规定办理好废渣土排放的手续，获得批准后方可在指定的</w:t>
      </w:r>
      <w:r>
        <w:rPr>
          <w:rFonts w:hint="eastAsia"/>
          <w:color w:val="000000" w:themeColor="text1"/>
          <w:highlight w:val="none"/>
          <w14:textFill>
            <w14:solidFill>
              <w14:schemeClr w14:val="tx1"/>
            </w14:solidFill>
          </w14:textFill>
        </w:rPr>
        <w:t>收纳</w:t>
      </w:r>
      <w:r>
        <w:rPr>
          <w:color w:val="000000" w:themeColor="text1"/>
          <w:highlight w:val="none"/>
          <w14:textFill>
            <w14:solidFill>
              <w14:schemeClr w14:val="tx1"/>
            </w14:solidFill>
          </w14:textFill>
        </w:rPr>
        <w:t>地点弃土。车辆运输散体</w:t>
      </w:r>
      <w:r>
        <w:rPr>
          <w:rFonts w:hint="eastAsia"/>
          <w:color w:val="000000" w:themeColor="text1"/>
          <w:highlight w:val="none"/>
          <w14:textFill>
            <w14:solidFill>
              <w14:schemeClr w14:val="tx1"/>
            </w14:solidFill>
          </w14:textFill>
        </w:rPr>
        <w:t>物料</w:t>
      </w:r>
      <w:r>
        <w:rPr>
          <w:color w:val="000000" w:themeColor="text1"/>
          <w:highlight w:val="none"/>
          <w14:textFill>
            <w14:solidFill>
              <w14:schemeClr w14:val="tx1"/>
            </w14:solidFill>
          </w14:textFill>
        </w:rPr>
        <w:t>和废弃物时，必须密封、包扎、覆盖，不得沿途撒漏；运载土方的车辆必须在规定的时间内，按指定路段行驶。</w:t>
      </w:r>
    </w:p>
    <w:p w14:paraId="1909B30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土石方利用优先顺序如下：</w:t>
      </w:r>
    </w:p>
    <w:p w14:paraId="3DDAAA8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（1）尽量把土石方用于施工作业带的基础工程、加固工程、水土保持工程等；</w:t>
      </w:r>
    </w:p>
    <w:p w14:paraId="04EC2EF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（2）用于施工区土地的平整，平铺在施工作业带或其他允许的地方上；</w:t>
      </w:r>
    </w:p>
    <w:p w14:paraId="2CC259E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（3）可以运送给需要的第三方；</w:t>
      </w:r>
    </w:p>
    <w:p w14:paraId="250B02D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（4）确实多余的土石方应运到城市建筑垃圾场。</w:t>
      </w:r>
    </w:p>
    <w:p w14:paraId="42D08AC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施工期生活垃圾经收集后交由环卫部门处置。</w:t>
      </w:r>
    </w:p>
    <w:p w14:paraId="06127DC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通过加强施工期间的卫生管理，严禁乱堆、乱倒垃圾，可以减轻施工期固体废弃物对环境的影响。只要加强管理，采取切实可</w:t>
      </w:r>
      <w:r>
        <w:rPr>
          <w:color w:val="000000" w:themeColor="text1"/>
          <w:spacing w:val="-1"/>
          <w:highlight w:val="none"/>
          <w14:textFill>
            <w14:solidFill>
              <w14:schemeClr w14:val="tx1"/>
            </w14:solidFill>
          </w14:textFill>
        </w:rPr>
        <w:t>行的措施，施工废弃物不会对周围环境带来严重危害。</w:t>
      </w:r>
    </w:p>
    <w:p w14:paraId="638A7ABE">
      <w:pPr>
        <w:pStyle w:val="3"/>
        <w:rPr>
          <w:color w:val="000000" w:themeColor="text1"/>
          <w:highlight w:val="none"/>
          <w14:textFill>
            <w14:solidFill>
              <w14:schemeClr w14:val="tx1"/>
            </w14:solidFill>
          </w14:textFill>
        </w:rPr>
      </w:pPr>
      <w:bookmarkStart w:id="241" w:name="bookmark31"/>
      <w:bookmarkEnd w:id="241"/>
      <w:bookmarkStart w:id="242" w:name="_Toc10816"/>
      <w:bookmarkStart w:id="243" w:name="_Toc27897"/>
      <w:r>
        <w:rPr>
          <w:color w:val="000000" w:themeColor="text1"/>
          <w:highlight w:val="none"/>
          <w14:textFill>
            <w14:solidFill>
              <w14:schemeClr w14:val="tx1"/>
            </w14:solidFill>
          </w14:textFill>
        </w:rPr>
        <w:t>6.2运营期污染防治措施</w:t>
      </w:r>
      <w:bookmarkEnd w:id="242"/>
      <w:bookmarkEnd w:id="243"/>
    </w:p>
    <w:p w14:paraId="4BA0284C">
      <w:pPr>
        <w:pStyle w:val="4"/>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6.2.1废气污染防治措施可行性论证</w:t>
      </w:r>
      <w:bookmarkEnd w:id="236"/>
    </w:p>
    <w:p w14:paraId="7826607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本项目大气污染物主要来自圈舍粪便、</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干湿分离车间</w:t>
      </w:r>
      <w:r>
        <w:rPr>
          <w:color w:val="000000" w:themeColor="text1"/>
          <w:highlight w:val="none"/>
          <w14:textFill>
            <w14:solidFill>
              <w14:schemeClr w14:val="tx1"/>
            </w14:solidFill>
          </w14:textFill>
        </w:rPr>
        <w:t>，根据项目设计，采取污染防治措施如下：</w:t>
      </w:r>
    </w:p>
    <w:p w14:paraId="66EB708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猪舍采用</w:t>
      </w:r>
      <w:r>
        <w:rPr>
          <w:rFonts w:hint="eastAsia"/>
          <w:color w:val="000000" w:themeColor="text1"/>
          <w:highlight w:val="none"/>
          <w:lang w:eastAsia="zh-CN"/>
          <w14:textFill>
            <w14:solidFill>
              <w14:schemeClr w14:val="tx1"/>
            </w14:solidFill>
          </w14:textFill>
        </w:rPr>
        <w:t>半漏缝地板</w:t>
      </w:r>
      <w:r>
        <w:rPr>
          <w:color w:val="000000" w:themeColor="text1"/>
          <w:highlight w:val="none"/>
          <w14:textFill>
            <w14:solidFill>
              <w14:schemeClr w14:val="tx1"/>
            </w14:solidFill>
          </w14:textFill>
        </w:rPr>
        <w:t>，在猪饲养期间粪便均排入猪舍下粪尿储存池，在猪饲养期间不对水进行搅动起到封存的作用，恶臭废气散发量较小。</w:t>
      </w:r>
    </w:p>
    <w:p w14:paraId="5DED374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项目通过选择优质的饲料原料、改进饲料配方，在饲料中添加益生素、酶制剂、酸化剂等，猪饮食后可从消化源上减少猪只粪便中各种臭气源（氨气、硫化氢等）的产生。通过在饲料中添加丝兰素植物、</w:t>
      </w:r>
      <w:r>
        <w:rPr>
          <w:rFonts w:hint="eastAsia"/>
          <w:color w:val="000000" w:themeColor="text1"/>
          <w:highlight w:val="none"/>
          <w14:textFill>
            <w14:solidFill>
              <w14:schemeClr w14:val="tx1"/>
            </w14:solidFill>
          </w14:textFill>
        </w:rPr>
        <w:t>活性炭</w:t>
      </w:r>
      <w:r>
        <w:rPr>
          <w:color w:val="000000" w:themeColor="text1"/>
          <w:highlight w:val="none"/>
          <w14:textFill>
            <w14:solidFill>
              <w14:schemeClr w14:val="tx1"/>
            </w14:solidFill>
          </w14:textFill>
        </w:rPr>
        <w:t>、沙皂素等除臭剂，也可以从源头上减少硫化氢、氨等恶臭气体的排放。</w:t>
      </w:r>
    </w:p>
    <w:p w14:paraId="646F159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及时清理猪舍，保持猪舍卫生，通过加强猪舍的通风、改善饲养管理（湿拌料、及时清除粪便）等措施改善猪舍的空气质量。</w:t>
      </w:r>
    </w:p>
    <w:p w14:paraId="15AD8272">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所喷洒的植物型除臭剂，是以多种天然植物提取物精制而成的。天然植物除臭液雾化到空间，形成颗粒很小的雾状颗粒，雾状颗粒具有很大的比表面积，可以高效的吸收空气中的恶臭分子，被吸附的恶臭分子能够与植物液中的有效成分发生反应，生成无味、无毒的物质。植物性除臭剂通过4种物理化学作用力将臭气分子捕捉：范德华力、耦合力、化学反应力、吸附力，植物型除臭剂可以有效去除硫化氢、氨气、二氧化硫、甲硫醇、胺等多种常见的恶臭气体</w:t>
      </w:r>
      <w:r>
        <w:rPr>
          <w:rFonts w:hint="eastAsia"/>
          <w:color w:val="000000" w:themeColor="text1"/>
          <w:highlight w:val="none"/>
          <w14:textFill>
            <w14:solidFill>
              <w14:schemeClr w14:val="tx1"/>
            </w14:solidFill>
          </w14:textFill>
        </w:rPr>
        <w:t>。</w:t>
      </w:r>
    </w:p>
    <w:p w14:paraId="2192C50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因</w:t>
      </w:r>
      <w:r>
        <w:rPr>
          <w:rFonts w:hint="eastAsia"/>
          <w:color w:val="000000" w:themeColor="text1"/>
          <w:highlight w:val="none"/>
          <w:lang w:val="en-US" w:eastAsia="zh-CN"/>
          <w14:textFill>
            <w14:solidFill>
              <w14:schemeClr w14:val="tx1"/>
            </w14:solidFill>
          </w14:textFill>
        </w:rPr>
        <w:t>防止</w:t>
      </w:r>
      <w:r>
        <w:rPr>
          <w:color w:val="000000" w:themeColor="text1"/>
          <w:highlight w:val="none"/>
          <w14:textFill>
            <w14:solidFill>
              <w14:schemeClr w14:val="tx1"/>
            </w14:solidFill>
          </w14:textFill>
        </w:rPr>
        <w:t>疾病传染</w:t>
      </w:r>
      <w:r>
        <w:rPr>
          <w:rFonts w:hint="eastAsia"/>
          <w:color w:val="000000" w:themeColor="text1"/>
          <w:highlight w:val="none"/>
          <w:lang w:val="en-US" w:eastAsia="zh-CN"/>
          <w14:textFill>
            <w14:solidFill>
              <w14:schemeClr w14:val="tx1"/>
            </w14:solidFill>
          </w14:textFill>
        </w:rPr>
        <w:t>等</w:t>
      </w:r>
      <w:r>
        <w:rPr>
          <w:color w:val="000000" w:themeColor="text1"/>
          <w:highlight w:val="none"/>
          <w14:textFill>
            <w14:solidFill>
              <w14:schemeClr w14:val="tx1"/>
            </w14:solidFill>
          </w14:textFill>
        </w:rPr>
        <w:t>原因，</w:t>
      </w:r>
      <w:r>
        <w:rPr>
          <w:rFonts w:hint="eastAsia"/>
          <w:color w:val="000000" w:themeColor="text1"/>
          <w:highlight w:val="none"/>
          <w:lang w:val="en-US" w:eastAsia="zh-CN"/>
          <w14:textFill>
            <w14:solidFill>
              <w14:schemeClr w14:val="tx1"/>
            </w14:solidFill>
          </w14:textFill>
        </w:rPr>
        <w:t>本项目不设置</w:t>
      </w:r>
      <w:r>
        <w:rPr>
          <w:color w:val="000000" w:themeColor="text1"/>
          <w:highlight w:val="none"/>
          <w14:textFill>
            <w14:solidFill>
              <w14:schemeClr w14:val="tx1"/>
            </w14:solidFill>
          </w14:textFill>
        </w:rPr>
        <w:t>绿化带。</w:t>
      </w:r>
    </w:p>
    <w:p w14:paraId="4F00ACE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《畜禽养殖业污染治理工程技术规范》（HJ497-2009）中对恶臭控制提出了指导性的要求，具体如下：</w:t>
      </w:r>
    </w:p>
    <w:p w14:paraId="5497B17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（1）粪污处理各工艺单元宜设计为密闭形式，减少恶臭对周围环境的污染。</w:t>
      </w:r>
    </w:p>
    <w:p w14:paraId="7A6D385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（2）在集中式粪污处理厂的泄粪口及固液分离设备等位置宜喷淋生化除臭剂。</w:t>
      </w:r>
    </w:p>
    <w:p w14:paraId="27BAC53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根据上述要求，为了使项目恶臭对周边环境影响降到最低，针对本项目，环评建议项目增加的恶臭污染防治措施如下：</w:t>
      </w:r>
    </w:p>
    <w:p w14:paraId="1D89A8D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（1）控制饲养密度，并保持舍内通风，减少舍内微生物的产生。</w:t>
      </w:r>
    </w:p>
    <w:p w14:paraId="1A9B708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（2）设计日粮组成提高饲料利用率，适量降低日粮中氮和磷的浓度，以减少氮和磷的排放。</w:t>
      </w:r>
    </w:p>
    <w:p w14:paraId="1E44C12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（3）调节池内</w:t>
      </w:r>
      <w:r>
        <w:rPr>
          <w:rFonts w:hint="eastAsia"/>
          <w:color w:val="000000" w:themeColor="text1"/>
          <w:highlight w:val="none"/>
          <w14:textFill>
            <w14:solidFill>
              <w14:schemeClr w14:val="tx1"/>
            </w14:solidFill>
          </w14:textFill>
        </w:rPr>
        <w:t>pH值</w:t>
      </w:r>
      <w:r>
        <w:rPr>
          <w:color w:val="000000" w:themeColor="text1"/>
          <w:highlight w:val="none"/>
          <w14:textFill>
            <w14:solidFill>
              <w14:schemeClr w14:val="tx1"/>
            </w14:solidFill>
          </w14:textFill>
        </w:rPr>
        <w:t>创造不利于厌氧菌活动的条件以减少恶臭气体的产生；使用环保新产品，沸石是一种具有微孔和可交换离子的硅酸盐矿石，表面对NH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S、CO</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水分等有很强的吸附力，能抑制氨的产生和挥发，可使氨含量降低90%；应用磷酸钙减少舍内氨浓度效果良好，其去除氨的效果可达97%；向粪便或猪舍内投放吸附剂减少臭气的散发，将硫酸亚铁撒在粪便中，可以抑制粪便发酵分解，减少有害气体产生。</w:t>
      </w:r>
    </w:p>
    <w:p w14:paraId="1394995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（4）项目</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做好防渗。</w:t>
      </w:r>
    </w:p>
    <w:p w14:paraId="0089022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（5）项目猪粪堆肥过程，可向粪便投放沸石、锯末、秸秆、泥炭等含纤维素和木质素较多的吸附剂以减少猪粪处理过程产生的臭气。</w:t>
      </w:r>
    </w:p>
    <w:p w14:paraId="368D70A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（6）定期使用养殖场专用植物性除臭剂对猪舍进行除臭。</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卸粪口位置喷淋生化除臭剂。</w:t>
      </w:r>
    </w:p>
    <w:p w14:paraId="4DD835F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（7）项目设置100m卫生防护距离，在该卫生防护距离内禁止建设居民区、学校等其他敏感点。</w:t>
      </w:r>
    </w:p>
    <w:p w14:paraId="6F07E1C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蚊蝇滋生</w:t>
      </w:r>
      <w:r>
        <w:rPr>
          <w:color w:val="000000" w:themeColor="text1"/>
          <w:highlight w:val="none"/>
          <w14:textFill>
            <w14:solidFill>
              <w14:schemeClr w14:val="tx1"/>
            </w14:solidFill>
          </w14:textFill>
        </w:rPr>
        <w:t>季节喷洒虫卵消灭液，杜绝蚊蝇的生长，避免对附近居民的影响。</w:t>
      </w:r>
    </w:p>
    <w:p w14:paraId="62E784B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在落实上述恶臭气体防治措施的基础上，能够满足达标排放的要求。所以，在本项目严格规范操作的基础上，上述废气处理措施可行。</w:t>
      </w:r>
    </w:p>
    <w:p w14:paraId="3AAA4E1E">
      <w:pPr>
        <w:pStyle w:val="4"/>
        <w:rPr>
          <w:color w:val="000000" w:themeColor="text1"/>
          <w:highlight w:val="none"/>
          <w14:textFill>
            <w14:solidFill>
              <w14:schemeClr w14:val="tx1"/>
            </w14:solidFill>
          </w14:textFill>
        </w:rPr>
      </w:pPr>
      <w:bookmarkStart w:id="244" w:name="_Toc25515"/>
      <w:r>
        <w:rPr>
          <w:color w:val="000000" w:themeColor="text1"/>
          <w:highlight w:val="none"/>
          <w14:textFill>
            <w14:solidFill>
              <w14:schemeClr w14:val="tx1"/>
            </w14:solidFill>
          </w14:textFill>
        </w:rPr>
        <w:t>6.2.2水污染防治措施可行性论证</w:t>
      </w:r>
      <w:bookmarkEnd w:id="244"/>
    </w:p>
    <w:p w14:paraId="44664208">
      <w:pPr>
        <w:rPr>
          <w:b/>
          <w:bCs/>
          <w:color w:val="000000" w:themeColor="text1"/>
          <w:highlight w:val="none"/>
          <w14:textFill>
            <w14:solidFill>
              <w14:schemeClr w14:val="tx1"/>
            </w14:solidFill>
          </w14:textFill>
        </w:rPr>
      </w:pPr>
      <w:bookmarkStart w:id="245" w:name="_Toc20244"/>
      <w:r>
        <w:rPr>
          <w:rFonts w:hint="eastAsia"/>
          <w:b/>
          <w:bCs/>
          <w:color w:val="000000" w:themeColor="text1"/>
          <w:highlight w:val="none"/>
          <w14:textFill>
            <w14:solidFill>
              <w14:schemeClr w14:val="tx1"/>
            </w14:solidFill>
          </w14:textFill>
        </w:rPr>
        <w:t>6.2.2.1</w:t>
      </w:r>
      <w:r>
        <w:rPr>
          <w:b/>
          <w:bCs/>
          <w:color w:val="000000" w:themeColor="text1"/>
          <w:highlight w:val="none"/>
          <w14:textFill>
            <w14:solidFill>
              <w14:schemeClr w14:val="tx1"/>
            </w14:solidFill>
          </w14:textFill>
        </w:rPr>
        <w:t>本项目污水产生及处理情况</w:t>
      </w:r>
      <w:bookmarkEnd w:id="245"/>
    </w:p>
    <w:p w14:paraId="61A6147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畜禽养殖废水属于高浓度有机废水，经过厌氧无害化处理后的沼液，不仅含有作物所需的氮、磷、钾等大量元素，还含有硼、铜、铁、锰、钙、锌等丰富的中微量元素，以及大量的有机质、多种氨基酸、维生素、赤霉素、生长素、水解酶、有机酸和腐植酸等生物活性物质，是一种非常理想的液态肥料。</w:t>
      </w:r>
    </w:p>
    <w:p w14:paraId="23EC49B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为了最大限度的将沼液进行农田资源化利用，同时结合《畜禽规模养殖污染防治条例》</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防治畜禽养殖污染，推进畜禽养殖废弃物的综合利用和无害化处理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的目的，以及第十六条</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国家鼓励和支持采取种植和养殖相结合的方式消纳利用畜禽养殖废弃物，促进畜禽粪便、污水等废弃物就地就近利用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的要求。本项目采用</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对项目运营过程中产生的猪尿、猪舍冲洗废水、生活污水和废气处理设施定排水进行处理，</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集发酵、贮气于一体，采用防渗膜材料将整个厌氧发酵池塘进行全封闭</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反应彻底，污水滞留35天，滞留时间长、消化充分、密封性能好、日产沼气量多，利用吸收阳光、增温保温效果好，池底设自动排沼渣装置、池内沼渣量少等优点。</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整个系统就可稳定运行，工艺流程简单，运行维护方便。</w:t>
      </w:r>
    </w:p>
    <w:p w14:paraId="68AD0E5C">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"6.2.2.1"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6.2.2.</w:t>
      </w:r>
      <w:r>
        <w:rPr>
          <w:rFonts w:hint="eastAsia"/>
          <w:b/>
          <w:bCs/>
          <w:color w:val="000000" w:themeColor="text1"/>
          <w:highlight w:val="none"/>
          <w14:textFill>
            <w14:solidFill>
              <w14:schemeClr w14:val="tx1"/>
            </w14:solidFill>
          </w14:textFill>
        </w:rPr>
        <w:t>2</w:t>
      </w:r>
      <w:r>
        <w:rPr>
          <w:rFonts w:hint="eastAsia"/>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废水处理工艺分析</w:t>
      </w:r>
    </w:p>
    <w:p w14:paraId="6AB792A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采用的污水处理工艺符合《畜禽粪污资源化利用行动方案》（2017-2020）推荐的</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污水肥料化利用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模式，本项目粪污水最终经过该</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固液分离＋厌氧发酵</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污水处理工艺处理后，产生的废水可以满足《农田灌溉水质标准》（</w:t>
      </w:r>
      <w:r>
        <w:rPr>
          <w:rFonts w:hint="eastAsia"/>
          <w:color w:val="000000" w:themeColor="text1"/>
          <w:highlight w:val="none"/>
          <w14:textFill>
            <w14:solidFill>
              <w14:schemeClr w14:val="tx1"/>
            </w14:solidFill>
          </w14:textFill>
        </w:rPr>
        <w:t>GB 5084-2021</w:t>
      </w:r>
      <w:r>
        <w:rPr>
          <w:color w:val="000000" w:themeColor="text1"/>
          <w:highlight w:val="none"/>
          <w14:textFill>
            <w14:solidFill>
              <w14:schemeClr w14:val="tx1"/>
            </w14:solidFill>
          </w14:textFill>
        </w:rPr>
        <w:t>）中的旱作标准。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堆肥+废水处理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模式是资源利用的能源环保模式。粪便外运无害化处置后做有机肥出售，废水处理以生态处理技术为主体，实现废水无害化后综合利用。</w:t>
      </w:r>
    </w:p>
    <w:p w14:paraId="330719D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工艺说明：养殖场产生的污水主要是圈舍冲洗水</w:t>
      </w:r>
      <w:r>
        <w:rPr>
          <w:rFonts w:hint="eastAsia"/>
          <w:color w:val="000000" w:themeColor="text1"/>
          <w:highlight w:val="none"/>
          <w14:textFill>
            <w14:solidFill>
              <w14:schemeClr w14:val="tx1"/>
            </w14:solidFill>
          </w14:textFill>
        </w:rPr>
        <w:t>，以及</w:t>
      </w:r>
      <w:r>
        <w:rPr>
          <w:color w:val="000000" w:themeColor="text1"/>
          <w:highlight w:val="none"/>
          <w14:textFill>
            <w14:solidFill>
              <w14:schemeClr w14:val="tx1"/>
            </w14:solidFill>
          </w14:textFill>
        </w:rPr>
        <w:t>生活废水通过管道进入污水</w:t>
      </w:r>
      <w:r>
        <w:rPr>
          <w:rFonts w:hint="eastAsia"/>
          <w:color w:val="000000" w:themeColor="text1"/>
          <w:highlight w:val="none"/>
          <w:lang w:eastAsia="zh-CN"/>
          <w14:textFill>
            <w14:solidFill>
              <w14:schemeClr w14:val="tx1"/>
            </w14:solidFill>
          </w14:textFill>
        </w:rPr>
        <w:t>集粪池</w:t>
      </w:r>
      <w:r>
        <w:rPr>
          <w:color w:val="000000" w:themeColor="text1"/>
          <w:highlight w:val="none"/>
          <w14:textFill>
            <w14:solidFill>
              <w14:schemeClr w14:val="tx1"/>
            </w14:solidFill>
          </w14:textFill>
        </w:rPr>
        <w:t>。废水混合后经过干湿分离系统，进一步实现固液分离，废水最终进入</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，并使</w:t>
      </w:r>
      <w:r>
        <w:rPr>
          <w:rFonts w:hint="eastAsia"/>
          <w:color w:val="000000" w:themeColor="text1"/>
          <w:highlight w:val="none"/>
          <w:lang w:eastAsia="zh-CN"/>
          <w14:textFill>
            <w14:solidFill>
              <w14:schemeClr w14:val="tx1"/>
            </w14:solidFill>
          </w14:textFill>
        </w:rPr>
        <w:t>沼渣</w:t>
      </w:r>
      <w:r>
        <w:rPr>
          <w:color w:val="000000" w:themeColor="text1"/>
          <w:highlight w:val="none"/>
          <w14:textFill>
            <w14:solidFill>
              <w14:schemeClr w14:val="tx1"/>
            </w14:solidFill>
          </w14:textFill>
        </w:rPr>
        <w:t>分离和浓缩，最终处理产生的废水灌溉项目周边现有农田。</w:t>
      </w:r>
    </w:p>
    <w:p w14:paraId="40B97A9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粪污收集：刮板将粪尿刮到圈舍的地下粪渠，圈舍冲洗废水也一并进入到地下粪渠，粪渠坡度约为0.3%。在粪渠的始端设置水冲阀门，利用废水冲洗将粪污冲到混合搅拌池。</w:t>
      </w:r>
    </w:p>
    <w:p w14:paraId="480413C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粪污干湿分离系统：舍内粪尿及污水通过排污工程被收集排放到集污池，集污池内安装有潜水搅拌机和潜水切割泵，粪污经由搅拌机搅拌均匀后由切割泵提升至固液分离机进行螺旋挤压分离。分离后的固体粪渣含水量低，运输方便，堆肥制作成有机肥。液体污水通过出料管进入液体池，最终进入</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系统，经过发酵熟化后作为液态粪肥还田。</w:t>
      </w:r>
    </w:p>
    <w:p w14:paraId="34BD46E2">
      <w:pPr>
        <w:ind w:firstLine="480" w:firstLineChars="200"/>
        <w:rPr>
          <w:color w:val="000000" w:themeColor="text1"/>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根据水平衡分析数据，按废水平均产生量</w:t>
      </w:r>
      <w:r>
        <w:rPr>
          <w:rFonts w:hint="eastAsia" w:cs="宋体"/>
          <w:b w:val="0"/>
          <w:bCs w:val="0"/>
          <w:color w:val="000000" w:themeColor="text1"/>
          <w:kern w:val="0"/>
          <w:szCs w:val="24"/>
          <w:highlight w:val="none"/>
          <w:lang w:val="en-US" w:eastAsia="zh-CN"/>
          <w14:textFill>
            <w14:solidFill>
              <w14:schemeClr w14:val="tx1"/>
            </w14:solidFill>
          </w14:textFill>
        </w:rPr>
        <w:t>124.44</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/d，同时考虑废水处理的不稳定性，日处理系数按1.1计，</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黑膜池</w:t>
      </w:r>
      <w:r>
        <w:rPr>
          <w:rFonts w:ascii="Times New Roman" w:hAnsi="Times New Roman" w:eastAsia="宋体" w:cs="宋体"/>
          <w:b w:val="0"/>
          <w:bCs w:val="0"/>
          <w:color w:val="000000" w:themeColor="text1"/>
          <w:kern w:val="0"/>
          <w:szCs w:val="24"/>
          <w:highlight w:val="none"/>
          <w14:textFill>
            <w14:solidFill>
              <w14:schemeClr w14:val="tx1"/>
            </w14:solidFill>
          </w14:textFill>
        </w:rPr>
        <w:t>的厌氧周期为35天，根据以上数据计算，所需</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黑膜池</w:t>
      </w:r>
      <w:r>
        <w:rPr>
          <w:rFonts w:ascii="Times New Roman" w:hAnsi="Times New Roman" w:eastAsia="宋体" w:cs="宋体"/>
          <w:b w:val="0"/>
          <w:bCs w:val="0"/>
          <w:color w:val="000000" w:themeColor="text1"/>
          <w:kern w:val="0"/>
          <w:szCs w:val="24"/>
          <w:highlight w:val="none"/>
          <w14:textFill>
            <w14:solidFill>
              <w14:schemeClr w14:val="tx1"/>
            </w14:solidFill>
          </w14:textFill>
        </w:rPr>
        <w:t>的容积为</w:t>
      </w:r>
      <w:r>
        <w:rPr>
          <w:rFonts w:hint="eastAsia" w:cs="宋体"/>
          <w:b w:val="0"/>
          <w:bCs w:val="0"/>
          <w:color w:val="000000" w:themeColor="text1"/>
          <w:kern w:val="0"/>
          <w:szCs w:val="24"/>
          <w:highlight w:val="none"/>
          <w:lang w:val="en-US" w:eastAsia="zh-CN"/>
          <w14:textFill>
            <w14:solidFill>
              <w14:schemeClr w14:val="tx1"/>
            </w14:solidFill>
          </w14:textFill>
        </w:rPr>
        <w:t>4790.94</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w:t>
      </w:r>
      <w:r>
        <w:rPr>
          <w:rFonts w:eastAsia="宋体" w:cs="宋体"/>
          <w:color w:val="000000" w:themeColor="text1"/>
          <w:highlight w:val="none"/>
          <w14:textFill>
            <w14:solidFill>
              <w14:schemeClr w14:val="tx1"/>
            </w14:solidFill>
          </w14:textFill>
        </w:rPr>
        <w:t>设计</w:t>
      </w:r>
      <w:r>
        <w:rPr>
          <w:rFonts w:hint="eastAsia" w:eastAsia="宋体" w:cs="宋体"/>
          <w:color w:val="000000" w:themeColor="text1"/>
          <w:highlight w:val="none"/>
          <w:lang w:val="en-US" w:eastAsia="zh-CN"/>
          <w14:textFill>
            <w14:solidFill>
              <w14:schemeClr w14:val="tx1"/>
            </w14:solidFill>
          </w14:textFill>
        </w:rPr>
        <w:t>11125</w:t>
      </w:r>
      <w:r>
        <w:rPr>
          <w:rFonts w:eastAsia="宋体" w:cs="宋体"/>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黑膜池2座</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共22250</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能够满足污水处理需求。</w:t>
      </w:r>
    </w:p>
    <w:p w14:paraId="0B17AD4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沼液经暂存后在施肥季节用于周边</w:t>
      </w:r>
      <w:r>
        <w:rPr>
          <w:rFonts w:hint="eastAsia"/>
          <w:color w:val="000000" w:themeColor="text1"/>
          <w:highlight w:val="none"/>
          <w:lang w:eastAsia="zh-CN"/>
          <w14:textFill>
            <w14:solidFill>
              <w14:schemeClr w14:val="tx1"/>
            </w14:solidFill>
          </w14:textFill>
        </w:rPr>
        <w:t>农田</w:t>
      </w:r>
      <w:r>
        <w:rPr>
          <w:color w:val="000000" w:themeColor="text1"/>
          <w:highlight w:val="none"/>
          <w14:textFill>
            <w14:solidFill>
              <w14:schemeClr w14:val="tx1"/>
            </w14:solidFill>
          </w14:textFill>
        </w:rPr>
        <w:t>施肥，</w:t>
      </w:r>
      <w:r>
        <w:rPr>
          <w:rFonts w:hint="eastAsia"/>
          <w:color w:val="000000" w:themeColor="text1"/>
          <w:highlight w:val="none"/>
          <w:lang w:val="en-US" w:eastAsia="zh-CN"/>
          <w14:textFill>
            <w14:solidFill>
              <w14:schemeClr w14:val="tx1"/>
            </w14:solidFill>
          </w14:textFill>
        </w:rPr>
        <w:t>冬季时沼液无法还田，可暂时在黑膜池储存，</w:t>
      </w:r>
      <w:r>
        <w:rPr>
          <w:rFonts w:ascii="Times New Roman" w:hAnsi="Times New Roman" w:eastAsia="宋体" w:cs="宋体"/>
          <w:b w:val="0"/>
          <w:bCs w:val="0"/>
          <w:color w:val="000000" w:themeColor="text1"/>
          <w:kern w:val="0"/>
          <w:szCs w:val="24"/>
          <w:highlight w:val="none"/>
          <w14:textFill>
            <w14:solidFill>
              <w14:schemeClr w14:val="tx1"/>
            </w14:solidFill>
          </w14:textFill>
        </w:rPr>
        <w:t>按废水平均产生量</w:t>
      </w:r>
      <w:r>
        <w:rPr>
          <w:rFonts w:hint="eastAsia" w:cs="宋体"/>
          <w:b w:val="0"/>
          <w:bCs w:val="0"/>
          <w:color w:val="000000" w:themeColor="text1"/>
          <w:kern w:val="0"/>
          <w:szCs w:val="24"/>
          <w:highlight w:val="none"/>
          <w:lang w:val="en-US" w:eastAsia="zh-CN"/>
          <w14:textFill>
            <w14:solidFill>
              <w14:schemeClr w14:val="tx1"/>
            </w14:solidFill>
          </w14:textFill>
        </w:rPr>
        <w:t>124.44</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/d，同时考虑废水处理的不稳定性，日处理系数按1.1计，</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新疆冬季较长，暂存1</w:t>
      </w:r>
      <w:r>
        <w:rPr>
          <w:rFonts w:hint="eastAsia" w:cs="宋体"/>
          <w:b w:val="0"/>
          <w:bCs w:val="0"/>
          <w:color w:val="000000" w:themeColor="text1"/>
          <w:kern w:val="0"/>
          <w:szCs w:val="24"/>
          <w:highlight w:val="none"/>
          <w:lang w:val="en-US" w:eastAsia="zh-CN"/>
          <w14:textFill>
            <w14:solidFill>
              <w14:schemeClr w14:val="tx1"/>
            </w14:solidFill>
          </w14:textFill>
        </w:rPr>
        <w:t>5</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0天（</w:t>
      </w:r>
      <w:r>
        <w:rPr>
          <w:rFonts w:hint="eastAsia" w:cs="宋体"/>
          <w:b w:val="0"/>
          <w:bCs w:val="0"/>
          <w:color w:val="000000" w:themeColor="text1"/>
          <w:kern w:val="0"/>
          <w:szCs w:val="24"/>
          <w:highlight w:val="none"/>
          <w:lang w:val="en-US" w:eastAsia="zh-CN"/>
          <w14:textFill>
            <w14:solidFill>
              <w14:schemeClr w14:val="tx1"/>
            </w14:solidFill>
          </w14:textFill>
        </w:rPr>
        <w:t>5</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个月）</w:t>
      </w:r>
      <w:r>
        <w:rPr>
          <w:color w:val="000000" w:themeColor="text1"/>
          <w:highlight w:val="none"/>
          <w14:textFill>
            <w14:solidFill>
              <w14:schemeClr w14:val="tx1"/>
            </w14:solidFill>
          </w14:textFill>
        </w:rPr>
        <w:t>，</w:t>
      </w:r>
      <w:r>
        <w:rPr>
          <w:rFonts w:ascii="Times New Roman" w:hAnsi="Times New Roman" w:eastAsia="宋体" w:cs="宋体"/>
          <w:b w:val="0"/>
          <w:bCs w:val="0"/>
          <w:color w:val="000000" w:themeColor="text1"/>
          <w:kern w:val="0"/>
          <w:szCs w:val="24"/>
          <w:highlight w:val="none"/>
          <w14:textFill>
            <w14:solidFill>
              <w14:schemeClr w14:val="tx1"/>
            </w14:solidFill>
          </w14:textFill>
        </w:rPr>
        <w:t>所需</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黑膜池</w:t>
      </w:r>
      <w:r>
        <w:rPr>
          <w:rFonts w:ascii="Times New Roman" w:hAnsi="Times New Roman" w:eastAsia="宋体" w:cs="宋体"/>
          <w:b w:val="0"/>
          <w:bCs w:val="0"/>
          <w:color w:val="000000" w:themeColor="text1"/>
          <w:kern w:val="0"/>
          <w:szCs w:val="24"/>
          <w:highlight w:val="none"/>
          <w14:textFill>
            <w14:solidFill>
              <w14:schemeClr w14:val="tx1"/>
            </w14:solidFill>
          </w14:textFill>
        </w:rPr>
        <w:t>的容积为</w:t>
      </w:r>
      <w:r>
        <w:rPr>
          <w:rFonts w:hint="eastAsia" w:cs="宋体"/>
          <w:b w:val="0"/>
          <w:bCs w:val="0"/>
          <w:color w:val="000000" w:themeColor="text1"/>
          <w:kern w:val="0"/>
          <w:szCs w:val="24"/>
          <w:highlight w:val="none"/>
          <w:lang w:val="en-US" w:eastAsia="zh-CN"/>
          <w14:textFill>
            <w14:solidFill>
              <w14:schemeClr w14:val="tx1"/>
            </w14:solidFill>
          </w14:textFill>
        </w:rPr>
        <w:t>20532.6</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hint="eastAsia" w:ascii="Times New Roman" w:hAnsi="Times New Roman" w:cs="宋体"/>
          <w:b w:val="0"/>
          <w:bCs w:val="0"/>
          <w:color w:val="000000" w:themeColor="text1"/>
          <w:kern w:val="0"/>
          <w:szCs w:val="24"/>
          <w:highlight w:val="none"/>
          <w:vertAlign w:val="baseline"/>
          <w:lang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设计</w:t>
      </w:r>
      <w:r>
        <w:rPr>
          <w:rFonts w:hint="eastAsia" w:eastAsia="宋体" w:cs="宋体"/>
          <w:color w:val="000000" w:themeColor="text1"/>
          <w:highlight w:val="none"/>
          <w:lang w:val="en-US" w:eastAsia="zh-CN"/>
          <w14:textFill>
            <w14:solidFill>
              <w14:schemeClr w14:val="tx1"/>
            </w14:solidFill>
          </w14:textFill>
        </w:rPr>
        <w:t>11125</w:t>
      </w:r>
      <w:r>
        <w:rPr>
          <w:rFonts w:eastAsia="宋体" w:cs="宋体"/>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黑膜池2座</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共22250</w:t>
      </w:r>
      <w:r>
        <w:rPr>
          <w:rFonts w:ascii="Times New Roman" w:hAnsi="Times New Roman" w:eastAsia="宋体" w:cs="宋体"/>
          <w:b w:val="0"/>
          <w:bCs w:val="0"/>
          <w:color w:val="000000" w:themeColor="text1"/>
          <w:kern w:val="0"/>
          <w:szCs w:val="24"/>
          <w:highlight w:val="none"/>
          <w14:textFill>
            <w14:solidFill>
              <w14:schemeClr w14:val="tx1"/>
            </w14:solidFill>
          </w14:textFill>
        </w:rPr>
        <w:t>m</w:t>
      </w:r>
      <w:r>
        <w:rPr>
          <w:rFonts w:ascii="Times New Roman" w:hAnsi="Times New Roman" w:eastAsia="宋体" w:cs="宋体"/>
          <w:b w:val="0"/>
          <w:bCs w:val="0"/>
          <w:color w:val="000000" w:themeColor="text1"/>
          <w:kern w:val="0"/>
          <w:szCs w:val="24"/>
          <w:highlight w:val="none"/>
          <w:vertAlign w:val="superscript"/>
          <w14:textFill>
            <w14:solidFill>
              <w14:schemeClr w14:val="tx1"/>
            </w14:solidFill>
          </w14:textFill>
        </w:rPr>
        <w:t>3</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能够满足污水处理需求。</w:t>
      </w:r>
      <w:r>
        <w:rPr>
          <w:rFonts w:hint="eastAsia"/>
          <w:color w:val="000000" w:themeColor="text1"/>
          <w:highlight w:val="none"/>
          <w:lang w:val="en-US" w:eastAsia="zh-CN"/>
          <w14:textFill>
            <w14:solidFill>
              <w14:schemeClr w14:val="tx1"/>
            </w14:solidFill>
          </w14:textFill>
        </w:rPr>
        <w:t>故</w:t>
      </w: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能够满足沼液暂存的要求。本项目产生的沼液全部还田综合利用，满足减量化、资源化</w:t>
      </w:r>
      <w:r>
        <w:rPr>
          <w:rFonts w:hint="eastAsia"/>
          <w:color w:val="000000" w:themeColor="text1"/>
          <w:highlight w:val="none"/>
          <w14:textFill>
            <w14:solidFill>
              <w14:schemeClr w14:val="tx1"/>
            </w14:solidFill>
          </w14:textFill>
        </w:rPr>
        <w:t>及</w:t>
      </w:r>
      <w:r>
        <w:rPr>
          <w:color w:val="000000" w:themeColor="text1"/>
          <w:highlight w:val="none"/>
          <w14:textFill>
            <w14:solidFill>
              <w14:schemeClr w14:val="tx1"/>
            </w14:solidFill>
          </w14:textFill>
        </w:rPr>
        <w:t>无害化原则。</w:t>
      </w:r>
    </w:p>
    <w:p w14:paraId="5E54DD9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综上，本项目废水处理工程采用成熟的工艺，体现了循环经济的理念，工程的建设在经济上是合理的，技术上是可行的。</w:t>
      </w:r>
    </w:p>
    <w:p w14:paraId="65557753">
      <w:pPr>
        <w:rPr>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6.2.2.</w:t>
      </w:r>
      <w:r>
        <w:rPr>
          <w:rFonts w:hint="eastAsia"/>
          <w:b/>
          <w:bCs/>
          <w:color w:val="000000" w:themeColor="text1"/>
          <w:highlight w:val="none"/>
          <w:lang w:val="en-US" w:eastAsia="zh-CN"/>
          <w14:textFill>
            <w14:solidFill>
              <w14:schemeClr w14:val="tx1"/>
            </w14:solidFill>
          </w14:textFill>
        </w:rPr>
        <w:t>3</w:t>
      </w:r>
      <w:r>
        <w:rPr>
          <w:b/>
          <w:bCs/>
          <w:color w:val="000000" w:themeColor="text1"/>
          <w:highlight w:val="none"/>
          <w14:textFill>
            <w14:solidFill>
              <w14:schemeClr w14:val="tx1"/>
            </w14:solidFill>
          </w14:textFill>
        </w:rPr>
        <w:t>废水资源化利用合理性分析</w:t>
      </w:r>
    </w:p>
    <w:p w14:paraId="60D4EC7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本项目粪污水采用《畜禽粪污资源化利用行动方案》（2017-2020）推荐的</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污水肥料化利用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模式，本项目粪污水最终经过</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污水处理工艺处理后，产生的废水可以达到无害化标准要求，用于灌溉项目周边现有农田，种养结合，废水综合利用，全部用于场区周边农田，非灌溉期在场区</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对废水进行储存。</w:t>
      </w:r>
    </w:p>
    <w:p w14:paraId="34EED86E">
      <w:pPr>
        <w:pStyle w:val="4"/>
        <w:rPr>
          <w:color w:val="000000" w:themeColor="text1"/>
          <w:highlight w:val="none"/>
          <w14:textFill>
            <w14:solidFill>
              <w14:schemeClr w14:val="tx1"/>
            </w14:solidFill>
          </w14:textFill>
        </w:rPr>
      </w:pPr>
      <w:bookmarkStart w:id="246" w:name="_Toc10426"/>
      <w:r>
        <w:rPr>
          <w:color w:val="000000" w:themeColor="text1"/>
          <w:highlight w:val="none"/>
          <w14:textFill>
            <w14:solidFill>
              <w14:schemeClr w14:val="tx1"/>
            </w14:solidFill>
          </w14:textFill>
        </w:rPr>
        <w:t>6.2.3运营期下地水防治措施</w:t>
      </w:r>
      <w:bookmarkEnd w:id="246"/>
    </w:p>
    <w:p w14:paraId="77AA3CD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针对本项目可导致的地下水环境污染，其防治措施的制定按照</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源头控制，分区防控，污染监控，应急响应</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的思路，从污染物泄漏源头、入渗过程和扩散阶段分别进行控制，并制定合理有效的应急预案，从而达到保护地下水环境的目的。防治措施的制定思路为：</w:t>
      </w:r>
    </w:p>
    <w:p w14:paraId="596C8887">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"6.2.3.1"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6.2.3.1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源头控制措施</w:t>
      </w:r>
    </w:p>
    <w:p w14:paraId="29CE47E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为了最大限度降低养殖生产过程中高浓度有机废水的跑冒滴漏，防止地下水污染，本工程在生产工艺、设备、建筑结构、总图等方面应考虑相应的控制措施，具体措施如下：</w:t>
      </w:r>
    </w:p>
    <w:p w14:paraId="67F3CDE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（1）本项目</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干湿分离车间</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等易产生泄漏的重点区域、设备尽可能按其物料性质分类处置、固液分离。</w:t>
      </w:r>
      <w:r>
        <w:rPr>
          <w:rFonts w:hint="eastAsia"/>
          <w:color w:val="000000" w:themeColor="text1"/>
          <w:highlight w:val="none"/>
          <w:lang w:eastAsia="zh-CN"/>
          <w14:textFill>
            <w14:solidFill>
              <w14:schemeClr w14:val="tx1"/>
            </w14:solidFill>
          </w14:textFill>
        </w:rPr>
        <w:t>厂区</w:t>
      </w:r>
      <w:r>
        <w:rPr>
          <w:color w:val="000000" w:themeColor="text1"/>
          <w:highlight w:val="none"/>
          <w14:textFill>
            <w14:solidFill>
              <w14:schemeClr w14:val="tx1"/>
            </w14:solidFill>
          </w14:textFill>
        </w:rPr>
        <w:t>应设置防止</w:t>
      </w:r>
      <w:r>
        <w:rPr>
          <w:rFonts w:hint="eastAsia"/>
          <w:color w:val="000000" w:themeColor="text1"/>
          <w:highlight w:val="none"/>
          <w14:textFill>
            <w14:solidFill>
              <w14:schemeClr w14:val="tx1"/>
            </w14:solidFill>
          </w14:textFill>
        </w:rPr>
        <w:t>泄漏</w:t>
      </w:r>
      <w:r>
        <w:rPr>
          <w:color w:val="000000" w:themeColor="text1"/>
          <w:highlight w:val="none"/>
          <w14:textFill>
            <w14:solidFill>
              <w14:schemeClr w14:val="tx1"/>
            </w14:solidFill>
          </w14:textFill>
        </w:rPr>
        <w:t>的污染物和污水直接排出厂外的设施。</w:t>
      </w:r>
    </w:p>
    <w:p w14:paraId="11FEB6D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（2）设备装置系统内除输送消防水、生产用水和生活用水等非污染介质的管道外，管道上所有安装后不需拆卸的螺纹连接部位均应密封焊，</w:t>
      </w:r>
      <w:r>
        <w:rPr>
          <w:rFonts w:hint="eastAsia"/>
          <w:color w:val="000000" w:themeColor="text1"/>
          <w:highlight w:val="none"/>
          <w14:textFill>
            <w14:solidFill>
              <w14:schemeClr w14:val="tx1"/>
            </w14:solidFill>
          </w14:textFill>
        </w:rPr>
        <w:t>其他需要</w:t>
      </w:r>
      <w:r>
        <w:rPr>
          <w:color w:val="000000" w:themeColor="text1"/>
          <w:highlight w:val="none"/>
          <w14:textFill>
            <w14:solidFill>
              <w14:schemeClr w14:val="tx1"/>
            </w14:solidFill>
          </w14:textFill>
        </w:rPr>
        <w:t>经常进行拆装或不允许密封焊的螺纹连接部位应有可靠的密封措施。对于含污染物的管道，除与阀门、仪表和设备等连接可采用法兰连接外，应优先采用焊接，管道应做明显的标志，按规范要求进行气密性试验。如确实需要地下敷设时，应采取必要的防渗措施。输送生产废水的压力管道宜采用地上敷设，输送含污染物的地下重力污水管道及附属构筑物，必须进行闭水试验，试验段不得有渗漏。对于所有含污染物的管道和设备日常使用的</w:t>
      </w:r>
      <w:r>
        <w:rPr>
          <w:rFonts w:hint="eastAsia"/>
          <w:color w:val="000000" w:themeColor="text1"/>
          <w:highlight w:val="none"/>
          <w:lang w:eastAsia="zh-CN"/>
          <w14:textFill>
            <w14:solidFill>
              <w14:schemeClr w14:val="tx1"/>
            </w14:solidFill>
          </w14:textFill>
        </w:rPr>
        <w:t>排污口</w:t>
      </w:r>
      <w:r>
        <w:rPr>
          <w:color w:val="000000" w:themeColor="text1"/>
          <w:highlight w:val="none"/>
          <w14:textFill>
            <w14:solidFill>
              <w14:schemeClr w14:val="tx1"/>
            </w14:solidFill>
          </w14:textFill>
        </w:rPr>
        <w:t>应配备法兰盖。</w:t>
      </w:r>
    </w:p>
    <w:p w14:paraId="101A4CB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（3）场区仓库有可能发生物料或化学药品或含有污染物的介质泄漏的地面按污染区地面处理，地面坡向集水点的坡度须大于0.01，地面与墙、柱、设备基础等交接处须做翻边处理。</w:t>
      </w:r>
    </w:p>
    <w:p w14:paraId="0987B2BD">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"6.2.3.2"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6.2.3.2</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地下水分区防控措施</w:t>
      </w:r>
    </w:p>
    <w:p w14:paraId="2930E0F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根据本项目平面布置、污染物产生、收集及处理等环节将场区分为重点防渗区、一般防渗区和简单防渗区。</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干湿分离车间</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等属于重点防渗区，猪舍等属于一般防渗区，场区道路、职工宿舍区，办公区属于简单防渗区。</w:t>
      </w:r>
    </w:p>
    <w:p w14:paraId="2148C10B">
      <w:pPr>
        <w:ind w:firstLine="480" w:firstLineChars="200"/>
        <w:rPr>
          <w:rFonts w:hint="eastAsia" w:ascii="Times New Roman" w:hAnsi="Times New Roman"/>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一般防渗区：</w:t>
      </w:r>
      <w:r>
        <w:rPr>
          <w:rFonts w:hint="eastAsia" w:ascii="Times New Roman" w:hAnsi="Times New Roman"/>
          <w:color w:val="000000" w:themeColor="text1"/>
          <w:highlight w:val="none"/>
          <w:lang w:val="en-US" w:eastAsia="zh-CN"/>
          <w14:textFill>
            <w14:solidFill>
              <w14:schemeClr w14:val="tx1"/>
            </w14:solidFill>
          </w14:textFill>
        </w:rPr>
        <w:t>等效黏土防渗层 Mb≥1.5m，K≤1.0×</w:t>
      </w:r>
      <w:r>
        <w:rPr>
          <w:rFonts w:hint="default" w:ascii="Times New Roman" w:hAnsi="Times New Roman"/>
          <w:color w:val="000000" w:themeColor="text1"/>
          <w:highlight w:val="none"/>
          <w:lang w:val="en-US" w:eastAsia="zh-CN"/>
          <w14:textFill>
            <w14:solidFill>
              <w14:schemeClr w14:val="tx1"/>
            </w14:solidFill>
          </w14:textFill>
        </w:rPr>
        <w:t>10</w:t>
      </w:r>
      <w:r>
        <w:rPr>
          <w:rFonts w:hint="default" w:ascii="Times New Roman" w:hAnsi="Times New Roman"/>
          <w:color w:val="000000" w:themeColor="text1"/>
          <w:highlight w:val="none"/>
          <w:vertAlign w:val="superscript"/>
          <w:lang w:val="en-US" w:eastAsia="zh-CN"/>
          <w14:textFill>
            <w14:solidFill>
              <w14:schemeClr w14:val="tx1"/>
            </w14:solidFill>
          </w14:textFill>
        </w:rPr>
        <w:t xml:space="preserve"> -7</w:t>
      </w:r>
      <w:r>
        <w:rPr>
          <w:rFonts w:hint="default" w:ascii="Times New Roman" w:hAnsi="Times New Roman"/>
          <w:color w:val="000000" w:themeColor="text1"/>
          <w:highlight w:val="none"/>
          <w:lang w:val="en-US" w:eastAsia="zh-CN"/>
          <w14:textFill>
            <w14:solidFill>
              <w14:schemeClr w14:val="tx1"/>
            </w14:solidFill>
          </w14:textFill>
        </w:rPr>
        <w:t>cm/s</w:t>
      </w:r>
      <w:r>
        <w:rPr>
          <w:rFonts w:hint="eastAsia" w:ascii="Times New Roman" w:hAnsi="Times New Roman"/>
          <w:color w:val="000000" w:themeColor="text1"/>
          <w:highlight w:val="none"/>
          <w:lang w:val="en-US" w:eastAsia="zh-CN"/>
          <w14:textFill>
            <w14:solidFill>
              <w14:schemeClr w14:val="tx1"/>
            </w14:solidFill>
          </w14:textFill>
        </w:rPr>
        <w:t>；或参照 GB 16889 执行），在做好基层防渗的基础上进行水泥硬化。</w:t>
      </w:r>
    </w:p>
    <w:p w14:paraId="1EBAFAE7">
      <w:pPr>
        <w:bidi w:val="0"/>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重点防渗区：</w:t>
      </w:r>
      <w:r>
        <w:rPr>
          <w:rFonts w:hint="eastAsia"/>
          <w:color w:val="000000" w:themeColor="text1"/>
          <w:highlight w:val="none"/>
          <w:lang w:val="en-US" w:eastAsia="zh-CN"/>
          <w14:textFill>
            <w14:solidFill>
              <w14:schemeClr w14:val="tx1"/>
            </w14:solidFill>
          </w14:textFill>
        </w:rPr>
        <w:t>等效黏土防渗层 Mb≥6.0m，K≤1.0×10</w:t>
      </w:r>
      <w:r>
        <w:rPr>
          <w:rFonts w:hint="default"/>
          <w:color w:val="000000" w:themeColor="text1"/>
          <w:highlight w:val="none"/>
          <w:vertAlign w:val="superscript"/>
          <w:lang w:val="en-US" w:eastAsia="zh-CN"/>
          <w14:textFill>
            <w14:solidFill>
              <w14:schemeClr w14:val="tx1"/>
            </w14:solidFill>
          </w14:textFill>
        </w:rPr>
        <w:t xml:space="preserve"> -</w:t>
      </w:r>
      <w:r>
        <w:rPr>
          <w:rFonts w:hint="eastAsia"/>
          <w:color w:val="000000" w:themeColor="text1"/>
          <w:highlight w:val="none"/>
          <w:vertAlign w:val="superscript"/>
          <w:lang w:val="en-US" w:eastAsia="zh-CN"/>
          <w14:textFill>
            <w14:solidFill>
              <w14:schemeClr w14:val="tx1"/>
            </w14:solidFill>
          </w14:textFill>
        </w:rPr>
        <w:t>7</w:t>
      </w:r>
      <w:r>
        <w:rPr>
          <w:rFonts w:hint="default"/>
          <w:color w:val="000000" w:themeColor="text1"/>
          <w:highlight w:val="none"/>
          <w:lang w:val="en-US" w:eastAsia="zh-CN"/>
          <w14:textFill>
            <w14:solidFill>
              <w14:schemeClr w14:val="tx1"/>
            </w14:solidFill>
          </w14:textFill>
        </w:rPr>
        <w:t>cm/s</w:t>
      </w:r>
      <w:r>
        <w:rPr>
          <w:rFonts w:hint="eastAsia"/>
          <w:color w:val="000000" w:themeColor="text1"/>
          <w:highlight w:val="none"/>
          <w:lang w:val="en-US" w:eastAsia="zh-CN"/>
          <w14:textFill>
            <w14:solidFill>
              <w14:schemeClr w14:val="tx1"/>
            </w14:solidFill>
          </w14:textFill>
        </w:rPr>
        <w:t>；或参照 GB 18598 执行。</w:t>
      </w:r>
      <w:r>
        <w:rPr>
          <w:color w:val="000000" w:themeColor="text1"/>
          <w:highlight w:val="none"/>
          <w14:textFill>
            <w14:solidFill>
              <w14:schemeClr w14:val="tx1"/>
            </w14:solidFill>
          </w14:textFill>
        </w:rPr>
        <w:t>底部设置排气沟，最底部排气沟设置放水管，并设置导流渠，以防止污染地下水。</w:t>
      </w:r>
    </w:p>
    <w:p w14:paraId="5C77DEDB">
      <w:pPr>
        <w:bidi w:val="0"/>
        <w:ind w:firstLine="480" w:firstLineChars="200"/>
        <w:rPr>
          <w:rFonts w:hint="eastAsia" w:ascii="Times New Roman" w:hAnsi="Times New Roman"/>
          <w:color w:val="000000" w:themeColor="text1"/>
          <w:highlight w:val="none"/>
          <w:lang w:val="en-US" w:eastAsia="zh-CN"/>
          <w14:textFill>
            <w14:solidFill>
              <w14:schemeClr w14:val="tx1"/>
            </w14:solidFill>
          </w14:textFill>
        </w:rPr>
      </w:pPr>
      <w:r>
        <w:rPr>
          <w:rFonts w:hint="eastAsia" w:ascii="Times New Roman" w:hAnsi="Times New Roman"/>
          <w:color w:val="000000" w:themeColor="text1"/>
          <w:highlight w:val="none"/>
          <w:lang w:val="en-US" w:eastAsia="zh-CN"/>
          <w14:textFill>
            <w14:solidFill>
              <w14:schemeClr w14:val="tx1"/>
            </w14:solidFill>
          </w14:textFill>
        </w:rPr>
        <w:t>简单防渗区：采用混凝土进行一般地面硬化。</w:t>
      </w:r>
    </w:p>
    <w:p w14:paraId="35C4FAB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根据不同的分区采取相应的防渗措施，分区情况见表6.2-1。</w:t>
      </w:r>
    </w:p>
    <w:p w14:paraId="6E2E128F">
      <w:pPr>
        <w:bidi w:val="0"/>
        <w:spacing w:line="240" w:lineRule="auto"/>
        <w:jc w:val="center"/>
        <w:rPr>
          <w:rFonts w:hint="eastAsia"/>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表6.2-1  项目主要防渗环节及具体措施</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1759"/>
        <w:gridCol w:w="5649"/>
      </w:tblGrid>
      <w:tr w14:paraId="6493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67" w:type="dxa"/>
            <w:gridSpan w:val="2"/>
            <w:vAlign w:val="center"/>
          </w:tcPr>
          <w:p w14:paraId="786ACC6D">
            <w:pPr>
              <w:bidi w:val="0"/>
              <w:spacing w:line="240" w:lineRule="auto"/>
              <w:jc w:val="center"/>
              <w:rPr>
                <w:rFonts w:hint="eastAsia"/>
                <w:b/>
                <w:bCs/>
                <w:color w:val="000000" w:themeColor="text1"/>
                <w:sz w:val="21"/>
                <w:szCs w:val="21"/>
                <w:highlight w:val="none"/>
                <w:vertAlign w:val="baseli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防渗部位</w:t>
            </w:r>
          </w:p>
        </w:tc>
        <w:tc>
          <w:tcPr>
            <w:tcW w:w="5649" w:type="dxa"/>
            <w:vAlign w:val="center"/>
          </w:tcPr>
          <w:p w14:paraId="78EBC0C9">
            <w:pPr>
              <w:bidi w:val="0"/>
              <w:spacing w:line="240" w:lineRule="auto"/>
              <w:jc w:val="center"/>
              <w:rPr>
                <w:rFonts w:hint="eastAsia"/>
                <w:b/>
                <w:bCs/>
                <w:color w:val="000000" w:themeColor="text1"/>
                <w:sz w:val="21"/>
                <w:szCs w:val="21"/>
                <w:highlight w:val="none"/>
                <w:vertAlign w:val="baseli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防渗等级</w:t>
            </w:r>
          </w:p>
        </w:tc>
      </w:tr>
      <w:tr w14:paraId="66E3D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1108" w:type="dxa"/>
            <w:vAlign w:val="center"/>
          </w:tcPr>
          <w:p w14:paraId="3F3151EF">
            <w:pPr>
              <w:bidi w:val="0"/>
              <w:spacing w:line="240" w:lineRule="auto"/>
              <w:jc w:val="center"/>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重点防渗</w:t>
            </w:r>
          </w:p>
        </w:tc>
        <w:tc>
          <w:tcPr>
            <w:tcW w:w="1759" w:type="dxa"/>
            <w:vAlign w:val="center"/>
          </w:tcPr>
          <w:p w14:paraId="61C397DE">
            <w:pPr>
              <w:bidi w:val="0"/>
              <w:spacing w:line="240" w:lineRule="auto"/>
              <w:jc w:val="center"/>
              <w:rPr>
                <w:rFonts w:hint="eastAsia" w:eastAsia="宋体"/>
                <w:color w:val="000000" w:themeColor="text1"/>
                <w:sz w:val="21"/>
                <w:szCs w:val="21"/>
                <w:highlight w:val="none"/>
                <w:vertAlign w:val="baseli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黑膜池</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干湿分离车间</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堆粪场</w:t>
            </w:r>
            <w:r>
              <w:rPr>
                <w:rFonts w:hint="eastAsia"/>
                <w:color w:val="000000" w:themeColor="text1"/>
                <w:sz w:val="21"/>
                <w:szCs w:val="21"/>
                <w:highlight w:val="none"/>
                <w:lang w:eastAsia="zh-CN"/>
                <w14:textFill>
                  <w14:solidFill>
                    <w14:schemeClr w14:val="tx1"/>
                  </w14:solidFill>
                </w14:textFill>
              </w:rPr>
              <w:t>、危废暂存间、</w:t>
            </w: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发电机房</w:t>
            </w:r>
          </w:p>
        </w:tc>
        <w:tc>
          <w:tcPr>
            <w:tcW w:w="5649" w:type="dxa"/>
            <w:vAlign w:val="center"/>
          </w:tcPr>
          <w:p w14:paraId="4B899715">
            <w:pPr>
              <w:bidi w:val="0"/>
              <w:spacing w:line="240" w:lineRule="auto"/>
              <w:jc w:val="center"/>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等效黏土防渗层 Mb≥6.0m，K≤1.0×10</w:t>
            </w:r>
            <w:r>
              <w:rPr>
                <w:rFonts w:hint="eastAsia"/>
                <w:color w:val="000000" w:themeColor="text1"/>
                <w:sz w:val="21"/>
                <w:szCs w:val="21"/>
                <w:highlight w:val="none"/>
                <w:vertAlign w:val="superscript"/>
                <w14:textFill>
                  <w14:solidFill>
                    <w14:schemeClr w14:val="tx1"/>
                  </w14:solidFill>
                </w14:textFill>
              </w:rPr>
              <w:t xml:space="preserve"> -7</w:t>
            </w:r>
            <w:r>
              <w:rPr>
                <w:rFonts w:hint="eastAsia"/>
                <w:color w:val="000000" w:themeColor="text1"/>
                <w:sz w:val="21"/>
                <w:szCs w:val="21"/>
                <w:highlight w:val="none"/>
                <w14:textFill>
                  <w14:solidFill>
                    <w14:schemeClr w14:val="tx1"/>
                  </w14:solidFill>
                </w14:textFill>
              </w:rPr>
              <w:t>cm/s；s；或参照 GB 18598</w:t>
            </w:r>
          </w:p>
        </w:tc>
      </w:tr>
      <w:tr w14:paraId="275D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Align w:val="center"/>
          </w:tcPr>
          <w:p w14:paraId="58CADD4B">
            <w:pPr>
              <w:bidi w:val="0"/>
              <w:spacing w:line="240" w:lineRule="auto"/>
              <w:jc w:val="center"/>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一般防渗</w:t>
            </w:r>
          </w:p>
        </w:tc>
        <w:tc>
          <w:tcPr>
            <w:tcW w:w="1759" w:type="dxa"/>
            <w:vAlign w:val="center"/>
          </w:tcPr>
          <w:p w14:paraId="1E8469AE">
            <w:pPr>
              <w:bidi w:val="0"/>
              <w:spacing w:line="240" w:lineRule="auto"/>
              <w:jc w:val="center"/>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猪舍</w:t>
            </w:r>
          </w:p>
        </w:tc>
        <w:tc>
          <w:tcPr>
            <w:tcW w:w="5649" w:type="dxa"/>
            <w:vAlign w:val="center"/>
          </w:tcPr>
          <w:p w14:paraId="0C8ACEF7">
            <w:pPr>
              <w:bidi w:val="0"/>
              <w:spacing w:line="240" w:lineRule="auto"/>
              <w:jc w:val="center"/>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等效黏土防渗层 Mb≥1.5m，K≤1.0×10</w:t>
            </w:r>
            <w:r>
              <w:rPr>
                <w:rFonts w:hint="eastAsia"/>
                <w:color w:val="000000" w:themeColor="text1"/>
                <w:sz w:val="21"/>
                <w:szCs w:val="21"/>
                <w:highlight w:val="none"/>
                <w:vertAlign w:val="superscript"/>
                <w14:textFill>
                  <w14:solidFill>
                    <w14:schemeClr w14:val="tx1"/>
                  </w14:solidFill>
                </w14:textFill>
              </w:rPr>
              <w:t xml:space="preserve"> -7</w:t>
            </w:r>
            <w:r>
              <w:rPr>
                <w:rFonts w:hint="eastAsia"/>
                <w:color w:val="000000" w:themeColor="text1"/>
                <w:sz w:val="21"/>
                <w:szCs w:val="21"/>
                <w:highlight w:val="none"/>
                <w14:textFill>
                  <w14:solidFill>
                    <w14:schemeClr w14:val="tx1"/>
                  </w14:solidFill>
                </w14:textFill>
              </w:rPr>
              <w:t>cm/s；或参照 GB 16889 执行），在做好基层防渗的基础上进行水泥硬化。</w:t>
            </w:r>
          </w:p>
        </w:tc>
      </w:tr>
      <w:tr w14:paraId="4806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8" w:type="dxa"/>
            <w:vAlign w:val="center"/>
          </w:tcPr>
          <w:p w14:paraId="2C3DCF63">
            <w:pPr>
              <w:bidi w:val="0"/>
              <w:spacing w:line="240" w:lineRule="auto"/>
              <w:jc w:val="center"/>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简单防渗</w:t>
            </w:r>
          </w:p>
        </w:tc>
        <w:tc>
          <w:tcPr>
            <w:tcW w:w="1759" w:type="dxa"/>
            <w:vAlign w:val="center"/>
          </w:tcPr>
          <w:p w14:paraId="603D154D">
            <w:pPr>
              <w:bidi w:val="0"/>
              <w:spacing w:line="240" w:lineRule="auto"/>
              <w:jc w:val="center"/>
              <w:rPr>
                <w:rFonts w:hint="eastAsia" w:eastAsia="宋体"/>
                <w:color w:val="000000" w:themeColor="text1"/>
                <w:sz w:val="21"/>
                <w:szCs w:val="21"/>
                <w:highlight w:val="none"/>
                <w:vertAlign w:val="baseli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职工宿舍区</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14:textFill>
                  <w14:solidFill>
                    <w14:schemeClr w14:val="tx1"/>
                  </w14:solidFill>
                </w14:textFill>
              </w:rPr>
              <w:t>办公区</w:t>
            </w:r>
          </w:p>
        </w:tc>
        <w:tc>
          <w:tcPr>
            <w:tcW w:w="5649" w:type="dxa"/>
            <w:vAlign w:val="center"/>
          </w:tcPr>
          <w:p w14:paraId="5BE17D0D">
            <w:pPr>
              <w:bidi w:val="0"/>
              <w:spacing w:line="240" w:lineRule="auto"/>
              <w:jc w:val="center"/>
              <w:rPr>
                <w:rFonts w:hint="eastAsia"/>
                <w:color w:val="000000" w:themeColor="text1"/>
                <w:sz w:val="21"/>
                <w:szCs w:val="21"/>
                <w:highlight w:val="none"/>
                <w:vertAlign w:val="baseline"/>
                <w14:textFill>
                  <w14:solidFill>
                    <w14:schemeClr w14:val="tx1"/>
                  </w14:solidFill>
                </w14:textFill>
              </w:rPr>
            </w:pPr>
            <w:r>
              <w:rPr>
                <w:rFonts w:hint="eastAsia"/>
                <w:color w:val="000000" w:themeColor="text1"/>
                <w:sz w:val="21"/>
                <w:szCs w:val="21"/>
                <w:highlight w:val="none"/>
                <w14:textFill>
                  <w14:solidFill>
                    <w14:schemeClr w14:val="tx1"/>
                  </w14:solidFill>
                </w14:textFill>
              </w:rPr>
              <w:t>采用混凝土进行一般地面硬化</w:t>
            </w:r>
          </w:p>
        </w:tc>
      </w:tr>
    </w:tbl>
    <w:p w14:paraId="7F319D8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此外，养殖区内粪污管道均采用内径250mm的PVC材质管道，外部全部加设套管；养殖区和粪污区之间均采用110mm的PE材质管道，外部全部加设套管。项目粪污管道全部采用加设套管方式，并且每间隔一定距离设置阀门和检查井，同时管道两端设置压力检测装置，可以有效避免因管道泄漏粪污污染土壤和地下水。本项目分区防渗图详见图6.2-</w:t>
      </w:r>
      <w:r>
        <w:rPr>
          <w:rFonts w:hint="eastAsia"/>
          <w:color w:val="000000" w:themeColor="text1"/>
          <w:highlight w:val="none"/>
          <w14:textFill>
            <w14:solidFill>
              <w14:schemeClr w14:val="tx1"/>
            </w14:solidFill>
          </w14:textFill>
        </w:rPr>
        <w:t>1。</w:t>
      </w:r>
    </w:p>
    <w:p w14:paraId="66825ECF">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"6.2.3.3"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6.2.3.3</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地下水跟踪监测</w:t>
      </w:r>
    </w:p>
    <w:p w14:paraId="4CECBA7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掌握场区及周围地下水环境质量状况和地下水体中污染物的动态变化，及时发现污染物并有效控制污染物扩散，应对项目所在地及周围的地下水水质进行监控。同时建立地下水环境监测管理体系，制定地下水环境影响跟踪监测计划、建立地下水环境影响跟踪监测制度、配备先进的监测仪器和设备，以便及时发现问题，采取措施，为防治地下水污染采取相应的措施提供重要依据。</w:t>
      </w:r>
    </w:p>
    <w:p w14:paraId="4DA893F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根据场区环境水文地质条件和建设项目特点，本次环评制定监测计划见表6.2-2。</w:t>
      </w:r>
    </w:p>
    <w:p w14:paraId="4703898A">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表6.2-2  地下水跟踪监测</w:t>
      </w:r>
    </w:p>
    <w:tbl>
      <w:tblPr>
        <w:tblStyle w:val="58"/>
        <w:tblW w:w="81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7"/>
        <w:gridCol w:w="1500"/>
        <w:gridCol w:w="6054"/>
      </w:tblGrid>
      <w:tr w14:paraId="49A41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607" w:type="dxa"/>
            <w:vAlign w:val="center"/>
          </w:tcPr>
          <w:p w14:paraId="41A908D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1500" w:type="dxa"/>
            <w:vAlign w:val="center"/>
          </w:tcPr>
          <w:p w14:paraId="4AF3CD3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6054" w:type="dxa"/>
            <w:vAlign w:val="center"/>
          </w:tcPr>
          <w:p w14:paraId="51EFE20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监测内容</w:t>
            </w:r>
          </w:p>
        </w:tc>
      </w:tr>
      <w:tr w14:paraId="0534C2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07" w:type="dxa"/>
            <w:vAlign w:val="center"/>
          </w:tcPr>
          <w:p w14:paraId="3646913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1500" w:type="dxa"/>
            <w:vAlign w:val="center"/>
          </w:tcPr>
          <w:p w14:paraId="0AA4E9B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监测位置</w:t>
            </w:r>
          </w:p>
        </w:tc>
        <w:tc>
          <w:tcPr>
            <w:tcW w:w="6054" w:type="dxa"/>
            <w:vAlign w:val="center"/>
          </w:tcPr>
          <w:p w14:paraId="46C2D77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项目区的下游布设地下水水质监测井1眼</w:t>
            </w:r>
          </w:p>
        </w:tc>
      </w:tr>
      <w:tr w14:paraId="5B9A0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607" w:type="dxa"/>
            <w:vAlign w:val="center"/>
          </w:tcPr>
          <w:p w14:paraId="4466508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1500" w:type="dxa"/>
            <w:vAlign w:val="center"/>
          </w:tcPr>
          <w:p w14:paraId="783C450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监测项目</w:t>
            </w:r>
          </w:p>
        </w:tc>
        <w:tc>
          <w:tcPr>
            <w:tcW w:w="6054" w:type="dxa"/>
            <w:vAlign w:val="center"/>
          </w:tcPr>
          <w:p w14:paraId="61E7D74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pH、高锰酸盐指数、氨氮、硝酸盐、亚硝酸盐、氯化物、氟化物、硫酸盐、总硬度、硫化物、铜、锌、溶解性总固体、细菌总数、总大肠菌群等</w:t>
            </w:r>
          </w:p>
        </w:tc>
      </w:tr>
      <w:tr w14:paraId="0304F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607" w:type="dxa"/>
            <w:vAlign w:val="center"/>
          </w:tcPr>
          <w:p w14:paraId="0F5CB42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1500" w:type="dxa"/>
            <w:vAlign w:val="center"/>
          </w:tcPr>
          <w:p w14:paraId="00580B4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监测频率</w:t>
            </w:r>
          </w:p>
        </w:tc>
        <w:tc>
          <w:tcPr>
            <w:tcW w:w="6054" w:type="dxa"/>
            <w:vAlign w:val="center"/>
          </w:tcPr>
          <w:p w14:paraId="03B648C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每年监测一次（在遇突发地下水污染事件时应加密监测频率）</w:t>
            </w:r>
          </w:p>
        </w:tc>
      </w:tr>
      <w:tr w14:paraId="73AC6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6" w:hRule="atLeast"/>
          <w:jc w:val="center"/>
        </w:trPr>
        <w:tc>
          <w:tcPr>
            <w:tcW w:w="607" w:type="dxa"/>
            <w:vAlign w:val="center"/>
          </w:tcPr>
          <w:p w14:paraId="4952FFF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1500" w:type="dxa"/>
            <w:vAlign w:val="center"/>
          </w:tcPr>
          <w:p w14:paraId="2F0F837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监测数据管理</w:t>
            </w:r>
          </w:p>
        </w:tc>
        <w:tc>
          <w:tcPr>
            <w:tcW w:w="6054" w:type="dxa"/>
            <w:vAlign w:val="center"/>
          </w:tcPr>
          <w:p w14:paraId="34745D5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按项目有关规定及时建立档案，并定期向总经理汇报，对于常规监测数据应该进行公开，特别是对项目所在区域的居民进行公开，满足法律中关于知情权的要求。如发现异常或发生事故，加密监测频次，并分析污染原因，确定泄漏污染源，及时采取应急措施</w:t>
            </w:r>
          </w:p>
        </w:tc>
      </w:tr>
    </w:tbl>
    <w:p w14:paraId="17A141A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"6.2.3.4"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6.2.3.4</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管理措施</w:t>
      </w:r>
    </w:p>
    <w:p w14:paraId="55B4DFBC">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①管理措施</w:t>
      </w:r>
    </w:p>
    <w:p w14:paraId="51CF0A5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防止地下水受到污染是环境保护管理部门的主要职责之一。公司应设立专门的环境保护管理部门，由专人负责</w:t>
      </w:r>
      <w:r>
        <w:rPr>
          <w:rFonts w:hint="eastAsia"/>
          <w:color w:val="000000" w:themeColor="text1"/>
          <w:highlight w:val="none"/>
          <w:lang w:eastAsia="zh-CN"/>
          <w14:textFill>
            <w14:solidFill>
              <w14:schemeClr w14:val="tx1"/>
            </w14:solidFill>
          </w14:textFill>
        </w:rPr>
        <w:t>防治</w:t>
      </w:r>
      <w:r>
        <w:rPr>
          <w:color w:val="000000" w:themeColor="text1"/>
          <w:highlight w:val="none"/>
          <w14:textFill>
            <w14:solidFill>
              <w14:schemeClr w14:val="tx1"/>
            </w14:solidFill>
          </w14:textFill>
        </w:rPr>
        <w:t>地下水污染管理工作。</w:t>
      </w:r>
    </w:p>
    <w:p w14:paraId="68C7F4E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公司环境保护管理部门应委托具有地下水监测资质的单位负责地下水监测工作，并按要求及时分析整理原始资料、监测报告的编写工作。</w:t>
      </w:r>
    </w:p>
    <w:p w14:paraId="3AE4BA9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建立地下水监测数据数据库，与项目区环境管理系统相联系。</w:t>
      </w:r>
    </w:p>
    <w:p w14:paraId="4F8AB77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根据实际情况，按事故的性质、类型、影响范围、严重后果分等级地</w:t>
      </w:r>
      <w:r>
        <w:rPr>
          <w:rFonts w:hint="eastAsia"/>
          <w:color w:val="000000" w:themeColor="text1"/>
          <w:highlight w:val="none"/>
          <w14:textFill>
            <w14:solidFill>
              <w14:schemeClr w14:val="tx1"/>
            </w14:solidFill>
          </w14:textFill>
        </w:rPr>
        <w:t>制定</w:t>
      </w:r>
      <w:r>
        <w:rPr>
          <w:color w:val="000000" w:themeColor="text1"/>
          <w:highlight w:val="none"/>
          <w14:textFill>
            <w14:solidFill>
              <w14:schemeClr w14:val="tx1"/>
            </w14:solidFill>
          </w14:textFill>
        </w:rPr>
        <w:t>相应的预案。在制定预案时要根据本场环境污染事故潜在威胁的情况，认真细致地考虑各项影响因素，适当的时候组织有关部门、人员进行演练，不断补充完善。</w:t>
      </w:r>
    </w:p>
    <w:p w14:paraId="4F9F49F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②技术措施</w:t>
      </w:r>
    </w:p>
    <w:p w14:paraId="0E14997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按照《地下水环境监测技术规范》（HJ 164-2020）要求，及时上报监测数据。</w:t>
      </w:r>
    </w:p>
    <w:p w14:paraId="238C06E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日常例行监测中，一旦发现地下水水质监测数据异常，应尽快核查数据，确保数据的正确性。并将核查过的监测数据通告场区安全环保部门，由专人负责对数据进行分析、核实，并密切关注生产设施的运行情况，为防止地下水污染采取措施提供正确的依据。应采取的措施如下：了解场区生产是否出现异常情况，出现异常情况的装置、原因。加大监测密度，如监测频率由每年一次临时加密为每天一次或更多，连续多天，分析变化动向。</w:t>
      </w:r>
    </w:p>
    <w:p w14:paraId="41FC180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定期对污染区的生产装置、</w:t>
      </w:r>
      <w:r>
        <w:rPr>
          <w:rFonts w:hint="eastAsia"/>
          <w:color w:val="000000" w:themeColor="text1"/>
          <w:highlight w:val="none"/>
          <w:lang w:val="en-US" w:eastAsia="zh-CN"/>
          <w14:textFill>
            <w14:solidFill>
              <w14:schemeClr w14:val="tx1"/>
            </w14:solidFill>
          </w14:textFill>
        </w:rPr>
        <w:t>集粪</w:t>
      </w:r>
      <w:r>
        <w:rPr>
          <w:color w:val="000000" w:themeColor="text1"/>
          <w:highlight w:val="none"/>
          <w14:textFill>
            <w14:solidFill>
              <w14:schemeClr w14:val="tx1"/>
            </w14:solidFill>
          </w14:textFill>
        </w:rPr>
        <w:t>池、</w:t>
      </w:r>
      <w:r>
        <w:rPr>
          <w:rFonts w:hint="eastAsia"/>
          <w:color w:val="000000" w:themeColor="text1"/>
          <w:highlight w:val="none"/>
          <w:lang w:val="en-US" w:eastAsia="zh-CN"/>
          <w14:textFill>
            <w14:solidFill>
              <w14:schemeClr w14:val="tx1"/>
            </w14:solidFill>
          </w14:textFill>
        </w:rPr>
        <w:t>黑膜池、</w:t>
      </w:r>
      <w:r>
        <w:rPr>
          <w:color w:val="000000" w:themeColor="text1"/>
          <w:highlight w:val="none"/>
          <w14:textFill>
            <w14:solidFill>
              <w14:schemeClr w14:val="tx1"/>
            </w14:solidFill>
          </w14:textFill>
        </w:rPr>
        <w:t>阀门、管道等进行检查。</w:t>
      </w:r>
    </w:p>
    <w:p w14:paraId="0F7E67EF">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"6.2.3.5"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6.2.3.5</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建立风险事故应急响应机制</w:t>
      </w:r>
    </w:p>
    <w:p w14:paraId="28DCC7A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①应急预案</w:t>
      </w:r>
    </w:p>
    <w:p w14:paraId="538648A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在制定全场安全管理体制的基础上，</w:t>
      </w:r>
      <w:r>
        <w:rPr>
          <w:rFonts w:hint="eastAsia"/>
          <w:color w:val="000000" w:themeColor="text1"/>
          <w:highlight w:val="none"/>
          <w14:textFill>
            <w14:solidFill>
              <w14:schemeClr w14:val="tx1"/>
            </w14:solidFill>
          </w14:textFill>
        </w:rPr>
        <w:t>制定</w:t>
      </w:r>
      <w:r>
        <w:rPr>
          <w:color w:val="000000" w:themeColor="text1"/>
          <w:highlight w:val="none"/>
          <w14:textFill>
            <w14:solidFill>
              <w14:schemeClr w14:val="tx1"/>
            </w14:solidFill>
          </w14:textFill>
        </w:rPr>
        <w:t>专门的地下水污染事故的应急预案，并应</w:t>
      </w:r>
      <w:r>
        <w:rPr>
          <w:rFonts w:hint="eastAsia"/>
          <w:color w:val="000000" w:themeColor="text1"/>
          <w:highlight w:val="none"/>
          <w14:textFill>
            <w14:solidFill>
              <w14:schemeClr w14:val="tx1"/>
            </w14:solidFill>
          </w14:textFill>
        </w:rPr>
        <w:t>与其他</w:t>
      </w:r>
      <w:r>
        <w:rPr>
          <w:color w:val="000000" w:themeColor="text1"/>
          <w:highlight w:val="none"/>
          <w14:textFill>
            <w14:solidFill>
              <w14:schemeClr w14:val="tx1"/>
            </w14:solidFill>
          </w14:textFill>
        </w:rPr>
        <w:t>应急预案相协调。地下水应急预案应包括以下内容：</w:t>
      </w:r>
    </w:p>
    <w:p w14:paraId="72F1208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应急预案的日常协调和指挥机构；</w:t>
      </w:r>
    </w:p>
    <w:p w14:paraId="724F6D2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相关部门在应急预案中的职责和分工；</w:t>
      </w:r>
    </w:p>
    <w:p w14:paraId="4748A89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地下水环境保护目标的确定，采取的紧急处置措施和潜在污染可能性评估；</w:t>
      </w:r>
    </w:p>
    <w:p w14:paraId="2E26FB7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特大事故应急救援组织状况和人员、装备情况，平常的训练和演习；</w:t>
      </w:r>
    </w:p>
    <w:p w14:paraId="4289672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特大事故的社会支持和援助，应急救援的经费保障。</w:t>
      </w:r>
    </w:p>
    <w:p w14:paraId="564B20E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地下水应急预案详见表6.2-3。</w:t>
      </w:r>
    </w:p>
    <w:p w14:paraId="32E3EB30">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表6.2-3  地下水污染应急预案内容</w:t>
      </w:r>
    </w:p>
    <w:tbl>
      <w:tblPr>
        <w:tblStyle w:val="58"/>
        <w:tblW w:w="85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25"/>
        <w:gridCol w:w="2134"/>
        <w:gridCol w:w="5870"/>
      </w:tblGrid>
      <w:tr w14:paraId="1A9E3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54" w:hRule="atLeast"/>
          <w:jc w:val="center"/>
        </w:trPr>
        <w:tc>
          <w:tcPr>
            <w:tcW w:w="525" w:type="dxa"/>
            <w:vAlign w:val="center"/>
          </w:tcPr>
          <w:p w14:paraId="50AEE545">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序号</w:t>
            </w:r>
          </w:p>
        </w:tc>
        <w:tc>
          <w:tcPr>
            <w:tcW w:w="2134" w:type="dxa"/>
            <w:vAlign w:val="center"/>
          </w:tcPr>
          <w:p w14:paraId="5A72CDD7">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5870" w:type="dxa"/>
            <w:vAlign w:val="center"/>
          </w:tcPr>
          <w:p w14:paraId="3A9DD1B8">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内容及要求</w:t>
            </w:r>
          </w:p>
        </w:tc>
      </w:tr>
      <w:tr w14:paraId="580E3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54CE629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w:t>
            </w:r>
          </w:p>
        </w:tc>
        <w:tc>
          <w:tcPr>
            <w:tcW w:w="2134" w:type="dxa"/>
            <w:vAlign w:val="center"/>
          </w:tcPr>
          <w:p w14:paraId="0E9CC8A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总则</w:t>
            </w:r>
          </w:p>
        </w:tc>
        <w:tc>
          <w:tcPr>
            <w:tcW w:w="5870" w:type="dxa"/>
            <w:vAlign w:val="center"/>
          </w:tcPr>
          <w:p w14:paraId="211DD79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w:t>
            </w:r>
          </w:p>
        </w:tc>
      </w:tr>
      <w:tr w14:paraId="435EA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237F6E1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w:t>
            </w:r>
          </w:p>
        </w:tc>
        <w:tc>
          <w:tcPr>
            <w:tcW w:w="2134" w:type="dxa"/>
            <w:vAlign w:val="center"/>
          </w:tcPr>
          <w:p w14:paraId="63882F0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污染源概况</w:t>
            </w:r>
          </w:p>
        </w:tc>
        <w:tc>
          <w:tcPr>
            <w:tcW w:w="5870" w:type="dxa"/>
            <w:vAlign w:val="center"/>
          </w:tcPr>
          <w:p w14:paraId="011EE9C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详述污染源类型、数量及其分布，包括生产装置、辅助设施、公用工程等</w:t>
            </w:r>
          </w:p>
        </w:tc>
      </w:tr>
      <w:tr w14:paraId="7EEBF2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7404C62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w:t>
            </w:r>
          </w:p>
        </w:tc>
        <w:tc>
          <w:tcPr>
            <w:tcW w:w="2134" w:type="dxa"/>
            <w:vAlign w:val="center"/>
          </w:tcPr>
          <w:p w14:paraId="3849429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应急计划区</w:t>
            </w:r>
          </w:p>
        </w:tc>
        <w:tc>
          <w:tcPr>
            <w:tcW w:w="5870" w:type="dxa"/>
            <w:vAlign w:val="center"/>
          </w:tcPr>
          <w:p w14:paraId="4BC8FAA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列出危险目标：</w:t>
            </w:r>
            <w:r>
              <w:rPr>
                <w:rFonts w:hint="eastAsia"/>
                <w:color w:val="000000" w:themeColor="text1"/>
                <w:sz w:val="21"/>
                <w:szCs w:val="21"/>
                <w:highlight w:val="none"/>
                <w:lang w:eastAsia="zh-CN"/>
                <w14:textFill>
                  <w14:solidFill>
                    <w14:schemeClr w14:val="tx1"/>
                  </w14:solidFill>
                </w14:textFill>
              </w:rPr>
              <w:t>干湿分离车间</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危废暂存间</w:t>
            </w:r>
            <w:r>
              <w:rPr>
                <w:color w:val="000000" w:themeColor="text1"/>
                <w:sz w:val="21"/>
                <w:szCs w:val="21"/>
                <w:highlight w:val="none"/>
                <w14:textFill>
                  <w14:solidFill>
                    <w14:schemeClr w14:val="tx1"/>
                  </w14:solidFill>
                </w14:textFill>
              </w:rPr>
              <w:t>等，在厂区总图中标明位置</w:t>
            </w:r>
          </w:p>
        </w:tc>
      </w:tr>
      <w:tr w14:paraId="5BA62A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47FA0F5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w:t>
            </w:r>
          </w:p>
        </w:tc>
        <w:tc>
          <w:tcPr>
            <w:tcW w:w="2134" w:type="dxa"/>
            <w:vAlign w:val="center"/>
          </w:tcPr>
          <w:p w14:paraId="4A51B23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应急组织</w:t>
            </w:r>
          </w:p>
        </w:tc>
        <w:tc>
          <w:tcPr>
            <w:tcW w:w="5870" w:type="dxa"/>
            <w:vAlign w:val="center"/>
          </w:tcPr>
          <w:p w14:paraId="27F31CF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应急指挥部—负责现场全面指挥；专业救援队伍—负责事故控制、救援、善后处理；专业监测队伍负责对场监测站的支援；地方医院负责收治受伤、中毒人员；</w:t>
            </w:r>
          </w:p>
        </w:tc>
      </w:tr>
      <w:tr w14:paraId="332A0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27618A0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5</w:t>
            </w:r>
          </w:p>
        </w:tc>
        <w:tc>
          <w:tcPr>
            <w:tcW w:w="2134" w:type="dxa"/>
            <w:vAlign w:val="center"/>
          </w:tcPr>
          <w:p w14:paraId="0846E0E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应急状态分类及应急响应程序</w:t>
            </w:r>
          </w:p>
        </w:tc>
        <w:tc>
          <w:tcPr>
            <w:tcW w:w="5870" w:type="dxa"/>
            <w:vAlign w:val="center"/>
          </w:tcPr>
          <w:p w14:paraId="5B8E72D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规定地下水污染事故的级别及相应的应急分类响应程序。按照突发环境事件严重性和紧急程度，该预案将突发环境事件分为特别重大环境事件(Ⅰ级）、重大环境事件(Ⅱ级）、较大环境事件(Ⅲ级）和一般环境事件（V级）四级。</w:t>
            </w:r>
          </w:p>
        </w:tc>
      </w:tr>
      <w:tr w14:paraId="4389CF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5FF37F7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w:t>
            </w:r>
          </w:p>
        </w:tc>
        <w:tc>
          <w:tcPr>
            <w:tcW w:w="2134" w:type="dxa"/>
            <w:vAlign w:val="center"/>
          </w:tcPr>
          <w:p w14:paraId="51BB769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应急设施、设备与材料</w:t>
            </w:r>
          </w:p>
        </w:tc>
        <w:tc>
          <w:tcPr>
            <w:tcW w:w="5870" w:type="dxa"/>
            <w:vAlign w:val="center"/>
          </w:tcPr>
          <w:p w14:paraId="07CDFA1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防有毒有害物质外溢、扩散的应急设施、设备与材料。</w:t>
            </w:r>
          </w:p>
        </w:tc>
      </w:tr>
      <w:tr w14:paraId="1F693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7156C26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w:t>
            </w:r>
          </w:p>
        </w:tc>
        <w:tc>
          <w:tcPr>
            <w:tcW w:w="2134" w:type="dxa"/>
            <w:vAlign w:val="center"/>
          </w:tcPr>
          <w:p w14:paraId="0FAC231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应急通讯、通讯和交通</w:t>
            </w:r>
          </w:p>
        </w:tc>
        <w:tc>
          <w:tcPr>
            <w:tcW w:w="5870" w:type="dxa"/>
            <w:vAlign w:val="center"/>
          </w:tcPr>
          <w:p w14:paraId="0AFDF0E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规定应急状态下的通讯方式、通知方式和交通保障、管制。</w:t>
            </w:r>
          </w:p>
        </w:tc>
      </w:tr>
      <w:tr w14:paraId="3BDF5D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04645B6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w:t>
            </w:r>
          </w:p>
        </w:tc>
        <w:tc>
          <w:tcPr>
            <w:tcW w:w="2134" w:type="dxa"/>
            <w:vAlign w:val="center"/>
          </w:tcPr>
          <w:p w14:paraId="4F1323C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应急环境监测及事故后评估</w:t>
            </w:r>
          </w:p>
        </w:tc>
        <w:tc>
          <w:tcPr>
            <w:tcW w:w="5870" w:type="dxa"/>
            <w:vAlign w:val="center"/>
          </w:tcPr>
          <w:p w14:paraId="6DCB8A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由场区环境监测站进行现场地下水环境进行监测。对事故性质 与后果进行评估，为指挥部门提供决策依据。</w:t>
            </w:r>
          </w:p>
        </w:tc>
      </w:tr>
      <w:tr w14:paraId="15E412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4D7295A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w:t>
            </w:r>
          </w:p>
        </w:tc>
        <w:tc>
          <w:tcPr>
            <w:tcW w:w="2134" w:type="dxa"/>
            <w:vAlign w:val="center"/>
          </w:tcPr>
          <w:p w14:paraId="2E32A62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应急防护措施、清除泄漏措施方法和器材</w:t>
            </w:r>
          </w:p>
        </w:tc>
        <w:tc>
          <w:tcPr>
            <w:tcW w:w="5870" w:type="dxa"/>
            <w:vAlign w:val="center"/>
          </w:tcPr>
          <w:p w14:paraId="593EDED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事故现场：控制事故、防止扩大、蔓延及</w:t>
            </w:r>
            <w:r>
              <w:rPr>
                <w:rFonts w:hint="eastAsia"/>
                <w:color w:val="000000" w:themeColor="text1"/>
                <w:sz w:val="21"/>
                <w:szCs w:val="21"/>
                <w:highlight w:val="none"/>
                <w14:textFill>
                  <w14:solidFill>
                    <w14:schemeClr w14:val="tx1"/>
                  </w14:solidFill>
                </w14:textFill>
              </w:rPr>
              <w:t>连锁反应</w:t>
            </w:r>
            <w:r>
              <w:rPr>
                <w:color w:val="000000" w:themeColor="text1"/>
                <w:sz w:val="21"/>
                <w:szCs w:val="21"/>
                <w:highlight w:val="none"/>
                <w14:textFill>
                  <w14:solidFill>
                    <w14:schemeClr w14:val="tx1"/>
                  </w14:solidFill>
                </w14:textFill>
              </w:rPr>
              <w:t>。清除现场泄漏物，降低危害，相应的设施器材配备。邻近区域：控制污染区域，控制和清除污染措施及相应设备配备。</w:t>
            </w:r>
          </w:p>
        </w:tc>
      </w:tr>
      <w:tr w14:paraId="063F0B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449B57B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w:t>
            </w:r>
          </w:p>
        </w:tc>
        <w:tc>
          <w:tcPr>
            <w:tcW w:w="2134" w:type="dxa"/>
            <w:vAlign w:val="center"/>
          </w:tcPr>
          <w:p w14:paraId="0C58283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应急浓度、排放量控制、撤离组织计划、医疗救护与公众健康</w:t>
            </w:r>
          </w:p>
        </w:tc>
        <w:tc>
          <w:tcPr>
            <w:tcW w:w="5870" w:type="dxa"/>
            <w:vAlign w:val="center"/>
          </w:tcPr>
          <w:p w14:paraId="50509E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事故现场：事故处理人员制定污染物的应急控制浓度、排放量， 现场及邻近装置人员撤离组织计划及救护。环境敏感目标：受事故影响的邻近区域人员及公众对污染物应急控制浓度、排放量规定，撤离组织计划及救护。</w:t>
            </w:r>
          </w:p>
        </w:tc>
      </w:tr>
      <w:tr w14:paraId="7A172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jc w:val="center"/>
        </w:trPr>
        <w:tc>
          <w:tcPr>
            <w:tcW w:w="525" w:type="dxa"/>
            <w:vAlign w:val="center"/>
          </w:tcPr>
          <w:p w14:paraId="6F9E7FD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w:t>
            </w:r>
          </w:p>
        </w:tc>
        <w:tc>
          <w:tcPr>
            <w:tcW w:w="2134" w:type="dxa"/>
            <w:vAlign w:val="center"/>
          </w:tcPr>
          <w:p w14:paraId="4892FBE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应急状态终止与恢复措施</w:t>
            </w:r>
          </w:p>
        </w:tc>
        <w:tc>
          <w:tcPr>
            <w:tcW w:w="5870" w:type="dxa"/>
            <w:vAlign w:val="center"/>
          </w:tcPr>
          <w:p w14:paraId="60981DA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规定应急状态终止程序。事故现场善后处理，恢复措施。邻近区域解除事故警戒及善后恢复措施。建立重大环境事故责任追究、奖惩制度。</w:t>
            </w:r>
          </w:p>
        </w:tc>
      </w:tr>
      <w:tr w14:paraId="28F01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576D4B3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12</w:t>
            </w:r>
          </w:p>
        </w:tc>
        <w:tc>
          <w:tcPr>
            <w:tcW w:w="2134" w:type="dxa"/>
            <w:vAlign w:val="center"/>
          </w:tcPr>
          <w:p w14:paraId="115881A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人员培训与演练</w:t>
            </w:r>
          </w:p>
        </w:tc>
        <w:tc>
          <w:tcPr>
            <w:tcW w:w="5870" w:type="dxa"/>
            <w:vAlign w:val="center"/>
          </w:tcPr>
          <w:p w14:paraId="32DAB81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应急计划制定后，平时安排人员培训与演练。</w:t>
            </w:r>
          </w:p>
        </w:tc>
      </w:tr>
      <w:tr w14:paraId="4889A0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3E50DA8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13</w:t>
            </w:r>
          </w:p>
        </w:tc>
        <w:tc>
          <w:tcPr>
            <w:tcW w:w="2134" w:type="dxa"/>
            <w:vAlign w:val="center"/>
          </w:tcPr>
          <w:p w14:paraId="5B9EF32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公众教育和信息</w:t>
            </w:r>
          </w:p>
        </w:tc>
        <w:tc>
          <w:tcPr>
            <w:tcW w:w="5870" w:type="dxa"/>
            <w:vAlign w:val="center"/>
          </w:tcPr>
          <w:p w14:paraId="7694D28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对邻近地区开展公众教育、培训和发布有关信息。</w:t>
            </w:r>
          </w:p>
        </w:tc>
      </w:tr>
      <w:tr w14:paraId="6FE0C9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5622A90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14</w:t>
            </w:r>
          </w:p>
        </w:tc>
        <w:tc>
          <w:tcPr>
            <w:tcW w:w="2134" w:type="dxa"/>
            <w:vAlign w:val="center"/>
          </w:tcPr>
          <w:p w14:paraId="03F7C3F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记录和报告</w:t>
            </w:r>
          </w:p>
        </w:tc>
        <w:tc>
          <w:tcPr>
            <w:tcW w:w="5870" w:type="dxa"/>
            <w:vAlign w:val="center"/>
          </w:tcPr>
          <w:p w14:paraId="15A0A6D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设置应急事故专门记录，建档案和专门报告制度，设专门部门 和负责管理。</w:t>
            </w:r>
          </w:p>
        </w:tc>
      </w:tr>
      <w:tr w14:paraId="788BE0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525" w:type="dxa"/>
            <w:vAlign w:val="center"/>
          </w:tcPr>
          <w:p w14:paraId="56C0ACF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15</w:t>
            </w:r>
          </w:p>
        </w:tc>
        <w:tc>
          <w:tcPr>
            <w:tcW w:w="2134" w:type="dxa"/>
            <w:vAlign w:val="center"/>
          </w:tcPr>
          <w:p w14:paraId="27874E0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附件</w:t>
            </w:r>
          </w:p>
        </w:tc>
        <w:tc>
          <w:tcPr>
            <w:tcW w:w="5870" w:type="dxa"/>
            <w:vAlign w:val="center"/>
          </w:tcPr>
          <w:p w14:paraId="647BB82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与应急事故有关的多种附件材料的准备和形成。</w:t>
            </w:r>
          </w:p>
        </w:tc>
      </w:tr>
    </w:tbl>
    <w:p w14:paraId="55930836">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②应急处置</w:t>
      </w:r>
    </w:p>
    <w:p w14:paraId="280A552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一旦发现地下水发生异常情况，必须按照应急预案马上采取紧急措施。</w:t>
      </w:r>
    </w:p>
    <w:p w14:paraId="74D2502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当确定发生地下水异常情况时，按照</w:t>
      </w:r>
      <w:r>
        <w:rPr>
          <w:rFonts w:hint="eastAsia"/>
          <w:color w:val="000000" w:themeColor="text1"/>
          <w:highlight w:val="none"/>
          <w14:textFill>
            <w14:solidFill>
              <w14:schemeClr w14:val="tx1"/>
            </w14:solidFill>
          </w14:textFill>
        </w:rPr>
        <w:t>制定</w:t>
      </w:r>
      <w:r>
        <w:rPr>
          <w:color w:val="000000" w:themeColor="text1"/>
          <w:highlight w:val="none"/>
          <w14:textFill>
            <w14:solidFill>
              <w14:schemeClr w14:val="tx1"/>
            </w14:solidFill>
          </w14:textFill>
        </w:rPr>
        <w:t>的地下水应急预案，在第一时间内尽快上报主管领导，并通知当地生态环境局、附近地下水用户，密切关注地下水水质变化情况。</w:t>
      </w:r>
    </w:p>
    <w:p w14:paraId="265150B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组织专业队伍对事故现场进行调查、监测，查找环境事故发生地点、分析事故原因，尽量将紧急事件局部化，如可能应予以消除，采取包括切断生产装置或设施等措施，对粪污、污水进行封闭、截流，防止事故的扩散、蔓延及连</w:t>
      </w:r>
    </w:p>
    <w:p w14:paraId="6EF05C1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锁反应，尽量缩小地下水污染事故对人和财产的影响。</w:t>
      </w:r>
    </w:p>
    <w:p w14:paraId="49D2293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当通过监测发现对周围地下水造成污染时，根据观测井的反馈信息，控制污染区地下</w:t>
      </w:r>
      <w:r>
        <w:rPr>
          <w:rFonts w:hint="eastAsia"/>
          <w:color w:val="000000" w:themeColor="text1"/>
          <w:highlight w:val="none"/>
          <w:lang w:eastAsia="zh-CN"/>
          <w14:textFill>
            <w14:solidFill>
              <w14:schemeClr w14:val="tx1"/>
            </w14:solidFill>
          </w14:textFill>
        </w:rPr>
        <w:t>水流量</w:t>
      </w:r>
      <w:r>
        <w:rPr>
          <w:color w:val="000000" w:themeColor="text1"/>
          <w:highlight w:val="none"/>
          <w14:textFill>
            <w14:solidFill>
              <w14:schemeClr w14:val="tx1"/>
            </w14:solidFill>
          </w14:textFill>
        </w:rPr>
        <w:t>，防止污染物扩散。地下水排水系统是根据建设项目对地下水可能产生影响而采取的被动防范措施，是建设项目环境工程的重要组成部分。当地下水污染事件发生后，启动地下水排水应急系统，抽出污水送污水处理站集中处理，可有效抑制污染物向下游扩散速度，控制污染范围，使地下水质量得到尽快恢复。当发现厂区内受到范围污染时，首先确定污染的大致范围。根据污染的范围，启动相应的应急排水井，抽出污水送粪污处理系统集中处理。</w:t>
      </w:r>
    </w:p>
    <w:p w14:paraId="58395D6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对事故后果进行评估，并制定防止类似事件发生的措施。如果自身力量无法应对污染事故，应立即请求社会应急力量协助处理。</w:t>
      </w:r>
    </w:p>
    <w:p w14:paraId="42125B76">
      <w:pPr>
        <w:pStyle w:val="4"/>
        <w:rPr>
          <w:color w:val="000000" w:themeColor="text1"/>
          <w:highlight w:val="none"/>
          <w14:textFill>
            <w14:solidFill>
              <w14:schemeClr w14:val="tx1"/>
            </w14:solidFill>
          </w14:textFill>
        </w:rPr>
      </w:pPr>
      <w:bookmarkStart w:id="247" w:name="_Toc27875"/>
      <w:r>
        <w:rPr>
          <w:color w:val="000000" w:themeColor="text1"/>
          <w:highlight w:val="none"/>
          <w14:textFill>
            <w14:solidFill>
              <w14:schemeClr w14:val="tx1"/>
            </w14:solidFill>
          </w14:textFill>
        </w:rPr>
        <w:t>6.2.</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噪声防治措施可行性论证</w:t>
      </w:r>
      <w:bookmarkEnd w:id="247"/>
    </w:p>
    <w:p w14:paraId="1509823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本项目针对噪声源的具体情况，拟采取以下降噪措施： </w:t>
      </w:r>
    </w:p>
    <w:p w14:paraId="0BDF948B">
      <w:pPr>
        <w:rPr>
          <w:color w:val="000000" w:themeColor="text1"/>
          <w:highlight w:val="none"/>
          <w14:textFill>
            <w14:solidFill>
              <w14:schemeClr w14:val="tx1"/>
            </w14:solidFill>
          </w14:textFill>
        </w:rPr>
      </w:pPr>
      <w:bookmarkStart w:id="248" w:name="_Toc11493"/>
      <w:r>
        <w:rPr>
          <w:color w:val="000000" w:themeColor="text1"/>
          <w:highlight w:val="none"/>
          <w14:textFill>
            <w14:solidFill>
              <w14:schemeClr w14:val="tx1"/>
            </w14:solidFill>
          </w14:textFill>
        </w:rPr>
        <w:t>（1）选用低噪声设备并按照规范进行安装。</w:t>
      </w:r>
      <w:bookmarkEnd w:id="248"/>
    </w:p>
    <w:p w14:paraId="296DCBB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（2）对水泵类高噪声设备采取基础</w:t>
      </w:r>
      <w:r>
        <w:rPr>
          <w:rFonts w:hint="eastAsia"/>
          <w:color w:val="000000" w:themeColor="text1"/>
          <w:highlight w:val="none"/>
          <w14:textFill>
            <w14:solidFill>
              <w14:schemeClr w14:val="tx1"/>
            </w14:solidFill>
          </w14:textFill>
        </w:rPr>
        <w:t>减震的</w:t>
      </w:r>
      <w:r>
        <w:rPr>
          <w:color w:val="000000" w:themeColor="text1"/>
          <w:highlight w:val="none"/>
          <w14:textFill>
            <w14:solidFill>
              <w14:schemeClr w14:val="tx1"/>
            </w14:solidFill>
          </w14:textFill>
        </w:rPr>
        <w:t>消声方式，连接处采用柔性接头。</w:t>
      </w:r>
    </w:p>
    <w:p w14:paraId="3A3FF29F">
      <w:pPr>
        <w:rPr>
          <w:color w:val="000000" w:themeColor="text1"/>
          <w:highlight w:val="none"/>
          <w14:textFill>
            <w14:solidFill>
              <w14:schemeClr w14:val="tx1"/>
            </w14:solidFill>
          </w14:textFill>
        </w:rPr>
      </w:pPr>
      <w:bookmarkStart w:id="249" w:name="_Toc2071"/>
      <w:r>
        <w:rPr>
          <w:color w:val="000000" w:themeColor="text1"/>
          <w:highlight w:val="none"/>
          <w14:textFill>
            <w14:solidFill>
              <w14:schemeClr w14:val="tx1"/>
            </w14:solidFill>
          </w14:textFill>
        </w:rPr>
        <w:t>（3</w:t>
      </w:r>
      <w:bookmarkEnd w:id="249"/>
      <w:r>
        <w:rPr>
          <w:color w:val="000000" w:themeColor="text1"/>
          <w:highlight w:val="none"/>
          <w14:textFill>
            <w14:solidFill>
              <w14:schemeClr w14:val="tx1"/>
            </w14:solidFill>
          </w14:textFill>
        </w:rPr>
        <w:t>）其他降噪措施：尽可能满足猪群的饮食需要，避免因饥饿或口渴而发出叫声；减少外界噪声及突发性噪声等对猪舍的干扰，避免因惊吓而产生不安，使猪群保持安定平和的气氛。</w:t>
      </w:r>
    </w:p>
    <w:p w14:paraId="0D9C8D7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从技术角度分析，本项目采取的噪声措施技术成熟，具有针对性，只要经过专业设计、合理的设备选型，噪声控制措施技术上是可行的。</w:t>
      </w:r>
    </w:p>
    <w:p w14:paraId="2AC30EB8">
      <w:pPr>
        <w:pStyle w:val="4"/>
        <w:rPr>
          <w:color w:val="000000" w:themeColor="text1"/>
          <w:highlight w:val="none"/>
          <w14:textFill>
            <w14:solidFill>
              <w14:schemeClr w14:val="tx1"/>
            </w14:solidFill>
          </w14:textFill>
        </w:rPr>
      </w:pPr>
      <w:bookmarkStart w:id="250" w:name="_Toc17304"/>
      <w:r>
        <w:rPr>
          <w:color w:val="000000" w:themeColor="text1"/>
          <w:highlight w:val="none"/>
          <w14:textFill>
            <w14:solidFill>
              <w14:schemeClr w14:val="tx1"/>
            </w14:solidFill>
          </w14:textFill>
        </w:rPr>
        <w:t>6.2.</w:t>
      </w:r>
      <w:r>
        <w:rPr>
          <w:rFonts w:hint="eastAsia"/>
          <w:color w:val="000000" w:themeColor="text1"/>
          <w:highlight w:val="none"/>
          <w14:textFill>
            <w14:solidFill>
              <w14:schemeClr w14:val="tx1"/>
            </w14:solidFill>
          </w14:textFill>
        </w:rPr>
        <w:t>5</w:t>
      </w:r>
      <w:r>
        <w:rPr>
          <w:color w:val="000000" w:themeColor="text1"/>
          <w:highlight w:val="none"/>
          <w14:textFill>
            <w14:solidFill>
              <w14:schemeClr w14:val="tx1"/>
            </w14:solidFill>
          </w14:textFill>
        </w:rPr>
        <w:t>固废污染防治从事可行性论证</w:t>
      </w:r>
      <w:bookmarkEnd w:id="250"/>
    </w:p>
    <w:p w14:paraId="029ED08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本项目产生的固体废物主要包括猪粪、沼渣、</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、医疗废物</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职工生活垃圾。</w:t>
      </w:r>
    </w:p>
    <w:p w14:paraId="79D168B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（1）粪污治理措施</w:t>
      </w:r>
    </w:p>
    <w:p w14:paraId="70C11B4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本项目猪场圈舍粪便集中在</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处置，经腐熟发酵后，达到无害化标准后还田。</w:t>
      </w:r>
    </w:p>
    <w:p w14:paraId="760FC0C5">
      <w:pPr>
        <w:ind w:firstLine="480" w:firstLineChars="20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地的设计应满足《畜禽养殖业污染治理工程技术规范》</w:t>
      </w:r>
      <w:r>
        <w:rPr>
          <w:rFonts w:hint="eastAsia"/>
          <w:color w:val="000000" w:themeColor="text1"/>
          <w:highlight w:val="none"/>
          <w14:textFill>
            <w14:solidFill>
              <w14:schemeClr w14:val="tx1"/>
            </w14:solidFill>
          </w14:textFill>
        </w:rPr>
        <w:t>（HJ 497-2009）相关</w:t>
      </w:r>
      <w:r>
        <w:rPr>
          <w:color w:val="000000" w:themeColor="text1"/>
          <w:highlight w:val="none"/>
          <w14:textFill>
            <w14:solidFill>
              <w14:schemeClr w14:val="tx1"/>
            </w14:solidFill>
          </w14:textFill>
        </w:rPr>
        <w:t>规定要求：</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地一般应由粪便贮存池、</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地以及成品堆肥存放场地等组成；采用间歇式堆肥处理时，粪便贮存池的有效体积应按至少能容纳6个月粪便产生量计算；应考虑防渗漏措施，不得对地下水造成污染；应配置防雨淋设施和雨水排水系统。</w:t>
      </w:r>
    </w:p>
    <w:p w14:paraId="7D523C1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设计平面占地</w:t>
      </w:r>
      <w:r>
        <w:rPr>
          <w:rFonts w:hint="eastAsia"/>
          <w:color w:val="000000" w:themeColor="text1"/>
          <w:highlight w:val="none"/>
          <w:lang w:val="en-US" w:eastAsia="zh-CN"/>
          <w14:textFill>
            <w14:solidFill>
              <w14:schemeClr w14:val="tx1"/>
            </w14:solidFill>
          </w14:textFill>
        </w:rPr>
        <w:t>50</w:t>
      </w:r>
      <w:r>
        <w:rPr>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20</w:t>
      </w:r>
      <w:r>
        <w:rPr>
          <w:color w:val="000000" w:themeColor="text1"/>
          <w:highlight w:val="none"/>
          <w14:textFill>
            <w14:solidFill>
              <w14:schemeClr w14:val="tx1"/>
            </w14:solidFill>
          </w14:textFill>
        </w:rPr>
        <w:t>m，按粪堆高度4.5m计算，可堆放</w:t>
      </w:r>
      <w:r>
        <w:rPr>
          <w:rFonts w:hint="eastAsia"/>
          <w:color w:val="000000" w:themeColor="text1"/>
          <w:highlight w:val="none"/>
          <w:lang w:val="en-US" w:eastAsia="zh-CN"/>
          <w14:textFill>
            <w14:solidFill>
              <w14:schemeClr w14:val="tx1"/>
            </w14:solidFill>
          </w14:textFill>
        </w:rPr>
        <w:t>4500</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3</w:t>
      </w:r>
      <w:r>
        <w:rPr>
          <w:color w:val="000000" w:themeColor="text1"/>
          <w:highlight w:val="none"/>
          <w14:textFill>
            <w14:solidFill>
              <w14:schemeClr w14:val="tx1"/>
            </w14:solidFill>
          </w14:textFill>
        </w:rPr>
        <w:t>的粪污。好氧堆肥在加入发酵菌后腐熟无害化的日期较短，发酵时间</w:t>
      </w:r>
      <w:r>
        <w:rPr>
          <w:rFonts w:hint="eastAsia"/>
          <w:color w:val="000000" w:themeColor="text1"/>
          <w:highlight w:val="none"/>
          <w:lang w:eastAsia="zh-CN"/>
          <w14:textFill>
            <w14:solidFill>
              <w14:schemeClr w14:val="tx1"/>
            </w14:solidFill>
          </w14:textFill>
        </w:rPr>
        <w:t>一般为7-15d</w:t>
      </w:r>
      <w:r>
        <w:rPr>
          <w:color w:val="000000" w:themeColor="text1"/>
          <w:highlight w:val="none"/>
          <w14:textFill>
            <w14:solidFill>
              <w14:schemeClr w14:val="tx1"/>
            </w14:solidFill>
          </w14:textFill>
        </w:rPr>
        <w:t>。</w:t>
      </w:r>
    </w:p>
    <w:p w14:paraId="4C1DABA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粪便总排泄量</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为</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7666.96</w:t>
      </w:r>
      <w:r>
        <w:rPr>
          <w:rFonts w:hint="default"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t/a（</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t/d）。</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根据类比已投入运营的种猪育肥场运营经验，粪尿经固液分离后，约有3</w:t>
      </w:r>
      <w:r>
        <w:rPr>
          <w:rFonts w:ascii="Times New Roman" w:hAnsi="Times New Roman" w:eastAsia="宋体" w:cs="宋体"/>
          <w:b w:val="0"/>
          <w:bCs w:val="0"/>
          <w:color w:val="000000" w:themeColor="text1"/>
          <w:kern w:val="0"/>
          <w:szCs w:val="24"/>
          <w:highlight w:val="none"/>
          <w14:textFill>
            <w14:solidFill>
              <w14:schemeClr w14:val="tx1"/>
            </w14:solidFill>
          </w14:textFill>
        </w:rPr>
        <w:t>0%</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滤液产生量，即</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2</w:t>
      </w:r>
      <w:r>
        <w:rPr>
          <w:rFonts w:hint="eastAsia" w:cs="宋体"/>
          <w:b w:val="0"/>
          <w:bCs w:val="0"/>
          <w:color w:val="000000" w:themeColor="text1"/>
          <w:kern w:val="0"/>
          <w:szCs w:val="24"/>
          <w:highlight w:val="none"/>
          <w:lang w:val="en-US" w:eastAsia="zh-CN"/>
          <w14:textFill>
            <w14:solidFill>
              <w14:schemeClr w14:val="tx1"/>
            </w14:solidFill>
          </w14:textFill>
        </w:rPr>
        <w:t>300.09</w:t>
      </w:r>
      <w:r>
        <w:rPr>
          <w:rFonts w:hint="eastAsia" w:ascii="Times New Roman" w:hAnsi="Times New Roman" w:eastAsia="宋体" w:cs="宋体"/>
          <w:b w:val="0"/>
          <w:bCs w:val="0"/>
          <w:color w:val="000000" w:themeColor="text1"/>
          <w:kern w:val="0"/>
          <w:szCs w:val="24"/>
          <w:highlight w:val="none"/>
          <w:vertAlign w:val="baseline"/>
          <w:lang w:val="en-US" w:eastAsia="zh-CN"/>
          <w14:textFill>
            <w14:solidFill>
              <w14:schemeClr w14:val="tx1"/>
            </w14:solidFill>
          </w14:textFill>
        </w:rPr>
        <w:t>t</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cs="宋体"/>
          <w:b w:val="0"/>
          <w:bCs w:val="0"/>
          <w:color w:val="000000" w:themeColor="text1"/>
          <w:kern w:val="0"/>
          <w:szCs w:val="24"/>
          <w:highlight w:val="none"/>
          <w:lang w:val="en-US" w:eastAsia="zh-CN"/>
          <w14:textFill>
            <w14:solidFill>
              <w14:schemeClr w14:val="tx1"/>
            </w14:solidFill>
          </w14:textFill>
        </w:rPr>
        <w:t>2254.99</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。其余</w:t>
      </w:r>
      <w:r>
        <w:rPr>
          <w:rFonts w:ascii="Times New Roman" w:hAnsi="Times New Roman" w:eastAsia="宋体" w:cs="宋体"/>
          <w:b w:val="0"/>
          <w:bCs w:val="0"/>
          <w:color w:val="000000" w:themeColor="text1"/>
          <w:kern w:val="0"/>
          <w:szCs w:val="24"/>
          <w:highlight w:val="none"/>
          <w14:textFill>
            <w14:solidFill>
              <w14:schemeClr w14:val="tx1"/>
            </w14:solidFill>
          </w14:textFill>
        </w:rPr>
        <w:t>70%</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作为粪渣好氧堆肥生产有机肥基料。</w:t>
      </w:r>
      <w:r>
        <w:rPr>
          <w:rFonts w:hint="eastAsia" w:eastAsia="宋体" w:cs="宋体"/>
          <w:b w:val="0"/>
          <w:bCs w:val="0"/>
          <w:color w:val="000000" w:themeColor="text1"/>
          <w:kern w:val="0"/>
          <w:szCs w:val="24"/>
          <w:highlight w:val="none"/>
          <w:lang w:val="en-US" w:eastAsia="zh-CN"/>
          <w14:textFill>
            <w14:solidFill>
              <w14:schemeClr w14:val="tx1"/>
            </w14:solidFill>
          </w14:textFill>
        </w:rPr>
        <w:t>则去除</w:t>
      </w:r>
      <w:r>
        <w:rPr>
          <w:rFonts w:hint="default" w:ascii="Times New Roman" w:hAnsi="Times New Roman" w:eastAsia="宋体" w:cs="Times New Roman"/>
          <w:b w:val="0"/>
          <w:bCs w:val="0"/>
          <w:color w:val="000000" w:themeColor="text1"/>
          <w:highlight w:val="none"/>
          <w14:textFill>
            <w14:solidFill>
              <w14:schemeClr w14:val="tx1"/>
            </w14:solidFill>
          </w14:textFill>
        </w:rPr>
        <w:t>猪粪</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滤液</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后猪粪量为5366.87</w:t>
      </w:r>
      <w:r>
        <w:rPr>
          <w:rFonts w:hint="eastAsia" w:ascii="Times New Roman" w:hAnsi="Times New Roman" w:eastAsia="宋体" w:cs="宋体"/>
          <w:b w:val="0"/>
          <w:bCs w:val="0"/>
          <w:color w:val="000000" w:themeColor="text1"/>
          <w:kern w:val="0"/>
          <w:szCs w:val="24"/>
          <w:highlight w:val="none"/>
          <w:vertAlign w:val="baseline"/>
          <w:lang w:val="en-US" w:eastAsia="zh-CN"/>
          <w14:textFill>
            <w14:solidFill>
              <w14:schemeClr w14:val="tx1"/>
            </w14:solidFill>
          </w14:textFill>
        </w:rPr>
        <w:t>t</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厌氧反应后的沼渣产生量约为</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沼液的7%，则</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产生量为</w:t>
      </w:r>
      <w:r>
        <w:rPr>
          <w:rFonts w:hint="eastAsia" w:cs="宋体"/>
          <w:b w:val="0"/>
          <w:bCs w:val="0"/>
          <w:color w:val="000000" w:themeColor="text1"/>
          <w:kern w:val="0"/>
          <w:szCs w:val="24"/>
          <w:highlight w:val="none"/>
          <w:lang w:val="en-US" w:eastAsia="zh-CN"/>
          <w14:textFill>
            <w14:solidFill>
              <w14:schemeClr w14:val="tx1"/>
            </w14:solidFill>
          </w14:textFill>
        </w:rPr>
        <w:t>3179.43</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t</w:t>
      </w:r>
      <w:r>
        <w:rPr>
          <w:rFonts w:ascii="Times New Roman" w:hAnsi="Times New Roman" w:eastAsia="宋体" w:cs="宋体"/>
          <w:b w:val="0"/>
          <w:bCs w:val="0"/>
          <w:color w:val="000000" w:themeColor="text1"/>
          <w:kern w:val="0"/>
          <w:szCs w:val="24"/>
          <w:highlight w:val="none"/>
          <w14:textFill>
            <w14:solidFill>
              <w14:schemeClr w14:val="tx1"/>
            </w14:solidFill>
          </w14:textFill>
        </w:rPr>
        <w:t>/a</w:t>
      </w:r>
      <w:r>
        <w:rPr>
          <w:rFonts w:hint="eastAsia" w:ascii="Times New Roman" w:hAnsi="Times New Roman" w:eastAsia="宋体" w:cs="宋体"/>
          <w:b w:val="0"/>
          <w:bCs w:val="0"/>
          <w:color w:val="000000" w:themeColor="text1"/>
          <w:kern w:val="0"/>
          <w:szCs w:val="24"/>
          <w:highlight w:val="none"/>
          <w:lang w:eastAsia="zh-CN"/>
          <w14:textFill>
            <w14:solidFill>
              <w14:schemeClr w14:val="tx1"/>
            </w14:solidFill>
          </w14:textFill>
        </w:rPr>
        <w:t>，沼渣</w:t>
      </w:r>
      <w:r>
        <w:rPr>
          <w:rFonts w:hint="eastAsia" w:ascii="Times New Roman" w:hAnsi="Times New Roman" w:eastAsia="宋体" w:cs="宋体"/>
          <w:b w:val="0"/>
          <w:bCs w:val="0"/>
          <w:color w:val="000000" w:themeColor="text1"/>
          <w:kern w:val="0"/>
          <w:szCs w:val="24"/>
          <w:highlight w:val="none"/>
          <w14:textFill>
            <w14:solidFill>
              <w14:schemeClr w14:val="tx1"/>
            </w14:solidFill>
          </w14:textFill>
        </w:rPr>
        <w:t>可做农肥，与发酵后的猪粪一起作为有机肥还田。</w:t>
      </w:r>
    </w:p>
    <w:p w14:paraId="3BD36385">
      <w:pPr>
        <w:kinsoku/>
        <w:autoSpaceDE/>
        <w:autoSpaceDN/>
        <w:bidi w:val="0"/>
        <w:spacing w:line="360" w:lineRule="auto"/>
        <w:ind w:firstLine="480" w:firstLineChars="200"/>
        <w:jc w:val="left"/>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故</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堆粪场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容纳的为</w:t>
      </w:r>
      <w:r>
        <w:rPr>
          <w:rFonts w:hint="eastAsia" w:cs="Times New Roman"/>
          <w:b w:val="0"/>
          <w:bCs w:val="0"/>
          <w:color w:val="000000" w:themeColor="text1"/>
          <w:sz w:val="24"/>
          <w:szCs w:val="24"/>
          <w:highlight w:val="none"/>
          <w:lang w:val="en-US" w:eastAsia="zh-CN"/>
          <w14:textFill>
            <w14:solidFill>
              <w14:schemeClr w14:val="tx1"/>
            </w14:solidFill>
          </w14:textFill>
        </w:rPr>
        <w:t>5366.87</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t粪渣和</w:t>
      </w:r>
      <w:r>
        <w:rPr>
          <w:rFonts w:hint="eastAsia" w:cs="宋体"/>
          <w:b w:val="0"/>
          <w:bCs w:val="0"/>
          <w:color w:val="000000" w:themeColor="text1"/>
          <w:kern w:val="0"/>
          <w:szCs w:val="24"/>
          <w:highlight w:val="none"/>
          <w:lang w:val="en-US" w:eastAsia="zh-CN"/>
          <w14:textFill>
            <w14:solidFill>
              <w14:schemeClr w14:val="tx1"/>
            </w14:solidFill>
          </w14:textFill>
        </w:rPr>
        <w:t>3179.43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t沼渣，共</w:t>
      </w:r>
      <w:r>
        <w:rPr>
          <w:rFonts w:hint="eastAsia" w:cs="Times New Roman"/>
          <w:b w:val="0"/>
          <w:bCs w:val="0"/>
          <w:color w:val="000000" w:themeColor="text1"/>
          <w:sz w:val="24"/>
          <w:szCs w:val="24"/>
          <w:highlight w:val="none"/>
          <w:lang w:val="en-US" w:eastAsia="zh-CN"/>
          <w14:textFill>
            <w14:solidFill>
              <w14:schemeClr w14:val="tx1"/>
            </w14:solidFill>
          </w14:textFill>
        </w:rPr>
        <w:t>8546.3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t（猪粪肥的密度约为1.1g/cm</w:t>
      </w:r>
      <w:r>
        <w:rPr>
          <w:rFonts w:hint="eastAsia"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，故为</w:t>
      </w:r>
      <w:r>
        <w:rPr>
          <w:rFonts w:hint="eastAsia" w:cs="Times New Roman"/>
          <w:b w:val="0"/>
          <w:bCs w:val="0"/>
          <w:color w:val="000000" w:themeColor="text1"/>
          <w:sz w:val="24"/>
          <w:szCs w:val="24"/>
          <w:highlight w:val="none"/>
          <w:lang w:val="en-US" w:eastAsia="zh-CN"/>
          <w14:textFill>
            <w14:solidFill>
              <w14:schemeClr w14:val="tx1"/>
            </w14:solidFill>
          </w14:textFill>
        </w:rPr>
        <w:t>7769.36</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7BCEF074">
      <w:pPr>
        <w:kinsoku/>
        <w:autoSpaceDE/>
        <w:autoSpaceDN/>
        <w:bidi w:val="0"/>
        <w:spacing w:line="360" w:lineRule="auto"/>
        <w:ind w:firstLine="480" w:firstLineChars="200"/>
        <w:jc w:val="left"/>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按照日产日清原则，腐熟发酵无害化后的粪便及时拉走还田不占用</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堆粪场</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w:t>
      </w:r>
    </w:p>
    <w:p w14:paraId="530B80B7">
      <w:pPr>
        <w:kinsoku/>
        <w:autoSpaceDE/>
        <w:autoSpaceDN/>
        <w:bidi w:val="0"/>
        <w:spacing w:line="360" w:lineRule="auto"/>
        <w:jc w:val="left"/>
        <w:rPr>
          <w:rFonts w:hint="eastAsia" w:eastAsia="宋体"/>
          <w:color w:val="000000" w:themeColor="text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实现滚动式循环。本项目猪场产生粪污量为</w:t>
      </w:r>
      <w:r>
        <w:rPr>
          <w:rFonts w:hint="eastAsia" w:cs="Times New Roman"/>
          <w:b w:val="0"/>
          <w:bCs w:val="0"/>
          <w:color w:val="000000" w:themeColor="text1"/>
          <w:kern w:val="0"/>
          <w:sz w:val="24"/>
          <w:szCs w:val="24"/>
          <w:highlight w:val="none"/>
          <w:lang w:val="en-US" w:eastAsia="zh-CN"/>
          <w14:textFill>
            <w14:solidFill>
              <w14:schemeClr w14:val="tx1"/>
            </w14:solidFill>
          </w14:textFill>
        </w:rPr>
        <w:t>21.29</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m</w:t>
      </w:r>
      <w:r>
        <w:rPr>
          <w:rFonts w:hint="eastAsia" w:ascii="Times New Roman" w:hAnsi="Times New Roman" w:eastAsia="宋体" w:cs="宋体"/>
          <w:b w:val="0"/>
          <w:bCs w:val="0"/>
          <w:color w:val="000000" w:themeColor="text1"/>
          <w:kern w:val="0"/>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/d，最多可满足储存</w:t>
      </w:r>
      <w:r>
        <w:rPr>
          <w:rFonts w:hint="eastAsia" w:cs="Times New Roman"/>
          <w:b w:val="0"/>
          <w:bCs w:val="0"/>
          <w:color w:val="000000" w:themeColor="text1"/>
          <w:kern w:val="0"/>
          <w:sz w:val="24"/>
          <w:szCs w:val="24"/>
          <w:highlight w:val="none"/>
          <w:lang w:val="en-US" w:eastAsia="zh-CN"/>
          <w14:textFill>
            <w14:solidFill>
              <w14:schemeClr w14:val="tx1"/>
            </w14:solidFill>
          </w14:textFill>
        </w:rPr>
        <w:t>211</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天的容纳量</w:t>
      </w:r>
      <w:r>
        <w:rPr>
          <w:rFonts w:hint="eastAsia" w:cs="Times New Roman"/>
          <w:b w:val="0"/>
          <w:bCs w:val="0"/>
          <w:color w:val="000000" w:themeColor="text1"/>
          <w:kern w:val="0"/>
          <w:sz w:val="24"/>
          <w:szCs w:val="24"/>
          <w:highlight w:val="none"/>
          <w:lang w:eastAsia="zh-CN"/>
          <w14:textFill>
            <w14:solidFill>
              <w14:schemeClr w14:val="tx1"/>
            </w14:solidFill>
          </w14:textFill>
        </w:rPr>
        <w:t>（</w:t>
      </w:r>
      <w:r>
        <w:rPr>
          <w:rFonts w:hint="eastAsia" w:cs="Times New Roman"/>
          <w:b w:val="0"/>
          <w:bCs w:val="0"/>
          <w:color w:val="000000" w:themeColor="text1"/>
          <w:kern w:val="0"/>
          <w:sz w:val="24"/>
          <w:szCs w:val="24"/>
          <w:highlight w:val="none"/>
          <w:lang w:val="en-US" w:eastAsia="zh-CN"/>
          <w14:textFill>
            <w14:solidFill>
              <w14:schemeClr w14:val="tx1"/>
            </w14:solidFill>
          </w14:textFill>
        </w:rPr>
        <w:t>大于6个月</w:t>
      </w:r>
      <w:r>
        <w:rPr>
          <w:rFonts w:hint="eastAsia" w:cs="Times New Roman"/>
          <w:b w:val="0"/>
          <w:bCs w:val="0"/>
          <w:color w:val="000000" w:themeColor="text1"/>
          <w:kern w:val="0"/>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，因此该</w:t>
      </w:r>
      <w:r>
        <w:rPr>
          <w:rFonts w:hint="default" w:ascii="Times New Roman" w:hAnsi="Times New Roman" w:eastAsia="宋体" w:cs="Times New Roman"/>
          <w:b w:val="0"/>
          <w:bCs w:val="0"/>
          <w:color w:val="000000" w:themeColor="text1"/>
          <w:kern w:val="0"/>
          <w:sz w:val="24"/>
          <w:szCs w:val="24"/>
          <w:highlight w:val="none"/>
          <w:lang w:eastAsia="zh-CN"/>
          <w14:textFill>
            <w14:solidFill>
              <w14:schemeClr w14:val="tx1"/>
            </w14:solidFill>
          </w14:textFill>
        </w:rPr>
        <w:t>堆粪场</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的容积规模可同时满足</w:t>
      </w:r>
      <w:r>
        <w:rPr>
          <w:rFonts w:hint="default" w:ascii="Times New Roman" w:hAnsi="Times New Roman" w:cs="Times New Roman"/>
          <w:b w:val="0"/>
          <w:bCs w:val="0"/>
          <w:color w:val="000000" w:themeColor="text1"/>
          <w:kern w:val="0"/>
          <w:sz w:val="24"/>
          <w:szCs w:val="24"/>
          <w:highlight w:val="none"/>
          <w:lang w:val="en-US" w:eastAsia="zh-CN"/>
          <w14:textFill>
            <w14:solidFill>
              <w14:schemeClr w14:val="tx1"/>
            </w14:solidFill>
          </w14:textFill>
        </w:rPr>
        <w:t>本工程</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固体粪便处置需要。</w:t>
      </w:r>
    </w:p>
    <w:p w14:paraId="0CB2A42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本项目猪粪最终经堆存发酵处置后应满足《粪便无害化卫生要求》（GB7959-</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2012）中污染物排放标准及《畜禽养殖业污染物排放标准》</w:t>
      </w:r>
      <w:r>
        <w:rPr>
          <w:rFonts w:hint="eastAsia"/>
          <w:color w:val="000000" w:themeColor="text1"/>
          <w:highlight w:val="none"/>
          <w14:textFill>
            <w14:solidFill>
              <w14:schemeClr w14:val="tx1"/>
            </w14:solidFill>
          </w14:textFill>
        </w:rPr>
        <w:t>（DB31/1098-2018）</w:t>
      </w:r>
      <w:r>
        <w:rPr>
          <w:color w:val="000000" w:themeColor="text1"/>
          <w:highlight w:val="none"/>
          <w14:textFill>
            <w14:solidFill>
              <w14:schemeClr w14:val="tx1"/>
            </w14:solidFill>
          </w14:textFill>
        </w:rPr>
        <w:t>表6中畜禽养殖业废渣无害化环境标准要求。</w:t>
      </w:r>
    </w:p>
    <w:p w14:paraId="510AB82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（2）生活垃圾治理措施</w:t>
      </w:r>
    </w:p>
    <w:p w14:paraId="2432340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本项目生活垃圾</w:t>
      </w:r>
      <w:r>
        <w:rPr>
          <w:rFonts w:ascii="Times New Roman" w:hAnsi="Times New Roman" w:eastAsia="宋体" w:cs="宋体"/>
          <w:color w:val="000000" w:themeColor="text1"/>
          <w:highlight w:val="none"/>
          <w14:textFill>
            <w14:solidFill>
              <w14:schemeClr w14:val="tx1"/>
            </w14:solidFill>
          </w14:textFill>
        </w:rPr>
        <w:t>产生量</w:t>
      </w:r>
      <w:r>
        <w:rPr>
          <w:rFonts w:hint="eastAsia" w:ascii="Times New Roman" w:hAnsi="Times New Roman" w:eastAsia="宋体" w:cs="宋体"/>
          <w:color w:val="000000" w:themeColor="text1"/>
          <w:highlight w:val="none"/>
          <w:lang w:val="en-US" w:eastAsia="zh-CN"/>
          <w14:textFill>
            <w14:solidFill>
              <w14:schemeClr w14:val="tx1"/>
            </w14:solidFill>
          </w14:textFill>
        </w:rPr>
        <w:t>5.475</w:t>
      </w:r>
      <w:r>
        <w:rPr>
          <w:rFonts w:ascii="Times New Roman" w:hAnsi="Times New Roman" w:eastAsia="宋体" w:cs="宋体"/>
          <w:color w:val="000000" w:themeColor="text1"/>
          <w:highlight w:val="none"/>
          <w14:textFill>
            <w14:solidFill>
              <w14:schemeClr w14:val="tx1"/>
            </w14:solidFill>
          </w14:textFill>
        </w:rPr>
        <w:t>t/a。在生活区设置</w:t>
      </w:r>
      <w:r>
        <w:rPr>
          <w:rFonts w:hint="eastAsia" w:ascii="Times New Roman" w:hAnsi="Times New Roman" w:eastAsia="宋体" w:cs="宋体"/>
          <w:color w:val="000000" w:themeColor="text1"/>
          <w:highlight w:val="none"/>
          <w:lang w:eastAsia="zh-CN"/>
          <w14:textFill>
            <w14:solidFill>
              <w14:schemeClr w14:val="tx1"/>
            </w14:solidFill>
          </w14:textFill>
        </w:rPr>
        <w:t>垃圾桶</w:t>
      </w:r>
      <w:r>
        <w:rPr>
          <w:color w:val="000000" w:themeColor="text1"/>
          <w:highlight w:val="none"/>
          <w14:textFill>
            <w14:solidFill>
              <w14:schemeClr w14:val="tx1"/>
            </w14:solidFill>
          </w14:textFill>
        </w:rPr>
        <w:t>，日常产生的垃圾用袋子包装好后分类堆放，定期由环卫部门就近拉运至</w:t>
      </w:r>
      <w:r>
        <w:rPr>
          <w:rFonts w:hint="eastAsia"/>
          <w:color w:val="000000" w:themeColor="text1"/>
          <w:highlight w:val="none"/>
          <w:lang w:eastAsia="zh-CN"/>
          <w14:textFill>
            <w14:solidFill>
              <w14:schemeClr w14:val="tx1"/>
            </w14:solidFill>
          </w14:textFill>
        </w:rPr>
        <w:t>胡杨河市</w:t>
      </w:r>
      <w:r>
        <w:rPr>
          <w:color w:val="000000" w:themeColor="text1"/>
          <w:highlight w:val="none"/>
          <w14:textFill>
            <w14:solidFill>
              <w14:schemeClr w14:val="tx1"/>
            </w14:solidFill>
          </w14:textFill>
        </w:rPr>
        <w:t>生活垃圾填埋场。</w:t>
      </w:r>
    </w:p>
    <w:p w14:paraId="3FF608C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尸体治理措施</w:t>
      </w:r>
    </w:p>
    <w:p w14:paraId="1E494FB2">
      <w:pPr>
        <w:ind w:firstLine="480" w:firstLineChars="200"/>
        <w:rPr>
          <w:rFonts w:ascii="Times New Roman" w:hAnsi="Times New Roman"/>
          <w:color w:val="000000" w:themeColor="text1"/>
          <w:highlight w:val="none"/>
          <w14:textFill>
            <w14:solidFill>
              <w14:schemeClr w14:val="tx1"/>
            </w14:solidFill>
          </w14:textFill>
        </w:rPr>
      </w:pPr>
      <w:r>
        <w:rPr>
          <w:rFonts w:ascii="Times New Roman" w:hAnsi="Times New Roman"/>
          <w:color w:val="000000" w:themeColor="text1"/>
          <w:highlight w:val="none"/>
          <w14:textFill>
            <w14:solidFill>
              <w14:schemeClr w14:val="tx1"/>
            </w14:solidFill>
          </w14:textFill>
        </w:rPr>
        <w:t>根据《畜禽养殖业污染防治技术规范》（HJ/T81-2001）的相关规定，企业对</w:t>
      </w:r>
      <w:r>
        <w:rPr>
          <w:rFonts w:hint="eastAsia"/>
          <w:color w:val="000000" w:themeColor="text1"/>
          <w:highlight w:val="none"/>
          <w:lang w:eastAsia="zh-CN"/>
          <w14:textFill>
            <w14:solidFill>
              <w14:schemeClr w14:val="tx1"/>
            </w14:solidFill>
          </w14:textFill>
        </w:rPr>
        <w:t>病死猪、胎衣</w:t>
      </w:r>
      <w:r>
        <w:rPr>
          <w:rFonts w:ascii="Times New Roman" w:hAnsi="Times New Roman"/>
          <w:color w:val="000000" w:themeColor="text1"/>
          <w:highlight w:val="none"/>
          <w14:textFill>
            <w14:solidFill>
              <w14:schemeClr w14:val="tx1"/>
            </w14:solidFill>
          </w14:textFill>
        </w:rPr>
        <w:t>尸体及时处理，严禁随意丢弃，严禁出售或作为饲料再利用。</w:t>
      </w:r>
      <w:r>
        <w:rPr>
          <w:color w:val="000000" w:themeColor="text1"/>
          <w:highlight w:val="none"/>
          <w14:textFill>
            <w14:solidFill>
              <w14:schemeClr w14:val="tx1"/>
            </w14:solidFill>
          </w14:textFill>
        </w:rPr>
        <w:t>本项目</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委托有资质单位进行处置，妥善处理。</w:t>
      </w:r>
    </w:p>
    <w:p w14:paraId="69736948">
      <w:pPr>
        <w:ind w:firstLine="48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根据《病死畜禽和病害畜禽产品无害化处理管理办法》（农业农村部令 2022年第3号）</w:t>
      </w:r>
      <w:r>
        <w:rPr>
          <w:rFonts w:hint="eastAsia" w:ascii="Times New Roman" w:hAnsi="Times New Roman"/>
          <w:color w:val="000000" w:themeColor="text1"/>
          <w:highlight w:val="none"/>
          <w:lang w:eastAsia="zh-CN"/>
          <w14:textFill>
            <w14:solidFill>
              <w14:schemeClr w14:val="tx1"/>
            </w14:solidFill>
          </w14:textFill>
        </w:rPr>
        <w:t>：</w:t>
      </w:r>
      <w:r>
        <w:rPr>
          <w:rFonts w:hint="eastAsia" w:ascii="Times New Roman" w:hAnsi="Times New Roman"/>
          <w:color w:val="000000" w:themeColor="text1"/>
          <w:highlight w:val="none"/>
          <w14:textFill>
            <w14:solidFill>
              <w14:schemeClr w14:val="tx1"/>
            </w14:solidFill>
          </w14:textFill>
        </w:rPr>
        <w:t>畜禽养殖场、养殖户、屠宰厂（场）、隔离场应当及时对病死畜禽和病害畜禽产品进行贮存和清运。</w:t>
      </w:r>
    </w:p>
    <w:p w14:paraId="67FB8D25">
      <w:pPr>
        <w:ind w:firstLine="480" w:firstLineChars="20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畜禽养殖场、屠宰厂（场）、隔离场委托病死畜禽无害化处理场处理的，应当符合以下要求：</w:t>
      </w:r>
    </w:p>
    <w:p w14:paraId="663F38D9">
      <w:pPr>
        <w:ind w:firstLine="480" w:firstLineChars="200"/>
        <w:rPr>
          <w:rFonts w:hint="eastAsia"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①</w:t>
      </w:r>
      <w:r>
        <w:rPr>
          <w:rFonts w:hint="eastAsia" w:ascii="Times New Roman" w:hAnsi="Times New Roman"/>
          <w:color w:val="000000" w:themeColor="text1"/>
          <w:highlight w:val="none"/>
          <w14:textFill>
            <w14:solidFill>
              <w14:schemeClr w14:val="tx1"/>
            </w14:solidFill>
          </w14:textFill>
        </w:rPr>
        <w:t>采取必要的冷藏冷冻、清洗消毒等措施；</w:t>
      </w:r>
    </w:p>
    <w:p w14:paraId="2C5AE4C8">
      <w:pPr>
        <w:ind w:firstLine="480" w:firstLineChars="200"/>
        <w:rPr>
          <w:rFonts w:hint="eastAsia"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②</w:t>
      </w:r>
      <w:r>
        <w:rPr>
          <w:rFonts w:hint="eastAsia" w:ascii="Times New Roman" w:hAnsi="Times New Roman"/>
          <w:color w:val="000000" w:themeColor="text1"/>
          <w:highlight w:val="none"/>
          <w14:textFill>
            <w14:solidFill>
              <w14:schemeClr w14:val="tx1"/>
            </w14:solidFill>
          </w14:textFill>
        </w:rPr>
        <w:t>具有病死畜禽和病害畜禽产品输出通道；</w:t>
      </w:r>
    </w:p>
    <w:p w14:paraId="7443E119">
      <w:pPr>
        <w:ind w:firstLine="480" w:firstLineChars="200"/>
        <w:rPr>
          <w:rFonts w:hint="eastAsia"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③</w:t>
      </w:r>
      <w:r>
        <w:rPr>
          <w:rFonts w:hint="eastAsia" w:ascii="Times New Roman" w:hAnsi="Times New Roman"/>
          <w:color w:val="000000" w:themeColor="text1"/>
          <w:highlight w:val="none"/>
          <w14:textFill>
            <w14:solidFill>
              <w14:schemeClr w14:val="tx1"/>
            </w14:solidFill>
          </w14:textFill>
        </w:rPr>
        <w:t>及时通知病死畜禽无害化处理场进行收集，或自行送至指定地点。</w:t>
      </w:r>
    </w:p>
    <w:p w14:paraId="0FCAB364">
      <w:pPr>
        <w:ind w:firstLine="480" w:firstLineChars="200"/>
        <w:rPr>
          <w:rFonts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病死畜禽和病害畜禽产品专用运输车辆应当符合以下要求：</w:t>
      </w:r>
    </w:p>
    <w:p w14:paraId="2E34C87D">
      <w:pPr>
        <w:ind w:firstLine="480" w:firstLineChars="200"/>
        <w:rPr>
          <w:rFonts w:hint="eastAsia"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①</w:t>
      </w:r>
      <w:r>
        <w:rPr>
          <w:rFonts w:hint="eastAsia" w:ascii="Times New Roman" w:hAnsi="Times New Roman"/>
          <w:color w:val="000000" w:themeColor="text1"/>
          <w:highlight w:val="none"/>
          <w14:textFill>
            <w14:solidFill>
              <w14:schemeClr w14:val="tx1"/>
            </w14:solidFill>
          </w14:textFill>
        </w:rPr>
        <w:t>不得运输病死畜禽和病害畜禽产品以外的其他物品；</w:t>
      </w:r>
    </w:p>
    <w:p w14:paraId="398E99B0">
      <w:pPr>
        <w:ind w:firstLine="480" w:firstLineChars="200"/>
        <w:rPr>
          <w:rFonts w:hint="eastAsia"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②</w:t>
      </w:r>
      <w:r>
        <w:rPr>
          <w:rFonts w:hint="eastAsia" w:ascii="Times New Roman" w:hAnsi="Times New Roman"/>
          <w:color w:val="000000" w:themeColor="text1"/>
          <w:highlight w:val="none"/>
          <w14:textFill>
            <w14:solidFill>
              <w14:schemeClr w14:val="tx1"/>
            </w14:solidFill>
          </w14:textFill>
        </w:rPr>
        <w:t>车厢密闭、防水、防渗、耐腐蚀，易于清洗和消毒；</w:t>
      </w:r>
    </w:p>
    <w:p w14:paraId="254EFC70">
      <w:pPr>
        <w:ind w:firstLine="480" w:firstLineChars="200"/>
        <w:rPr>
          <w:rFonts w:hint="eastAsia"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③</w:t>
      </w:r>
      <w:r>
        <w:rPr>
          <w:rFonts w:hint="eastAsia" w:ascii="Times New Roman" w:hAnsi="Times New Roman"/>
          <w:color w:val="000000" w:themeColor="text1"/>
          <w:highlight w:val="none"/>
          <w14:textFill>
            <w14:solidFill>
              <w14:schemeClr w14:val="tx1"/>
            </w14:solidFill>
          </w14:textFill>
        </w:rPr>
        <w:t>配备能够接入国家监管监控平台的车辆定位跟踪系统、车载终端；</w:t>
      </w:r>
    </w:p>
    <w:p w14:paraId="59682252">
      <w:pPr>
        <w:ind w:firstLine="480" w:firstLineChars="200"/>
        <w:rPr>
          <w:rFonts w:hint="eastAsia"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④</w:t>
      </w:r>
      <w:r>
        <w:rPr>
          <w:rFonts w:hint="eastAsia" w:ascii="Times New Roman" w:hAnsi="Times New Roman"/>
          <w:color w:val="000000" w:themeColor="text1"/>
          <w:highlight w:val="none"/>
          <w14:textFill>
            <w14:solidFill>
              <w14:schemeClr w14:val="tx1"/>
            </w14:solidFill>
          </w14:textFill>
        </w:rPr>
        <w:t>配备人员防护、清洗消毒等应急防疫用品；</w:t>
      </w:r>
    </w:p>
    <w:p w14:paraId="5C64869B">
      <w:pPr>
        <w:ind w:firstLine="480" w:firstLineChars="200"/>
        <w:rPr>
          <w:rFonts w:hint="eastAsia"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⑤</w:t>
      </w:r>
      <w:r>
        <w:rPr>
          <w:rFonts w:hint="eastAsia" w:ascii="Times New Roman" w:hAnsi="Times New Roman"/>
          <w:color w:val="000000" w:themeColor="text1"/>
          <w:highlight w:val="none"/>
          <w14:textFill>
            <w14:solidFill>
              <w14:schemeClr w14:val="tx1"/>
            </w14:solidFill>
          </w14:textFill>
        </w:rPr>
        <w:t>有符合动物防疫需要的其他设施设备。</w:t>
      </w:r>
    </w:p>
    <w:p w14:paraId="5A2B7C55">
      <w:pPr>
        <w:ind w:firstLine="480" w:firstLineChars="20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运输病死畜禽和病害畜禽产品的单位和个人，应当遵守下列规定：</w:t>
      </w:r>
    </w:p>
    <w:p w14:paraId="28442B9F">
      <w:pPr>
        <w:ind w:firstLine="480" w:firstLineChars="200"/>
        <w:rPr>
          <w:rFonts w:hint="eastAsia"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①</w:t>
      </w:r>
      <w:r>
        <w:rPr>
          <w:rFonts w:hint="eastAsia" w:ascii="Times New Roman" w:hAnsi="Times New Roman"/>
          <w:color w:val="000000" w:themeColor="text1"/>
          <w:highlight w:val="none"/>
          <w14:textFill>
            <w14:solidFill>
              <w14:schemeClr w14:val="tx1"/>
            </w14:solidFill>
          </w14:textFill>
        </w:rPr>
        <w:t>及时对车辆、相关工具及作业环境进行消毒；</w:t>
      </w:r>
    </w:p>
    <w:p w14:paraId="5855C8B3">
      <w:pPr>
        <w:ind w:firstLine="480" w:firstLineChars="200"/>
        <w:rPr>
          <w:rFonts w:hint="eastAsia"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②</w:t>
      </w:r>
      <w:r>
        <w:rPr>
          <w:rFonts w:hint="eastAsia" w:ascii="Times New Roman" w:hAnsi="Times New Roman"/>
          <w:color w:val="000000" w:themeColor="text1"/>
          <w:highlight w:val="none"/>
          <w14:textFill>
            <w14:solidFill>
              <w14:schemeClr w14:val="tx1"/>
            </w14:solidFill>
          </w14:textFill>
        </w:rPr>
        <w:t>作业过程中如发生渗漏，应当妥善处理后再继续运输； </w:t>
      </w:r>
    </w:p>
    <w:p w14:paraId="7832047B">
      <w:pPr>
        <w:ind w:firstLine="480" w:firstLineChars="200"/>
        <w:rPr>
          <w:rFonts w:ascii="Times New Roman" w:hAnsi="Times New Roman"/>
          <w:color w:val="000000" w:themeColor="text1"/>
          <w:highlight w:val="none"/>
          <w14:textFill>
            <w14:solidFill>
              <w14:schemeClr w14:val="tx1"/>
            </w14:solidFill>
          </w14:textFill>
        </w:rPr>
      </w:pPr>
      <w:r>
        <w:rPr>
          <w:rFonts w:hint="default" w:ascii="Calibri" w:hAnsi="Calibri" w:cs="Calibri"/>
          <w:color w:val="000000" w:themeColor="text1"/>
          <w:highlight w:val="none"/>
          <w14:textFill>
            <w14:solidFill>
              <w14:schemeClr w14:val="tx1"/>
            </w14:solidFill>
          </w14:textFill>
        </w:rPr>
        <w:t>③</w:t>
      </w:r>
      <w:r>
        <w:rPr>
          <w:rFonts w:hint="eastAsia" w:ascii="Times New Roman" w:hAnsi="Times New Roman"/>
          <w:color w:val="000000" w:themeColor="text1"/>
          <w:highlight w:val="none"/>
          <w14:textFill>
            <w14:solidFill>
              <w14:schemeClr w14:val="tx1"/>
            </w14:solidFill>
          </w14:textFill>
        </w:rPr>
        <w:t>做好人员防护和消毒。</w:t>
      </w:r>
    </w:p>
    <w:p w14:paraId="3A71EB9B">
      <w:pPr>
        <w:rPr>
          <w:color w:val="000000" w:themeColor="text1"/>
          <w:highlight w:val="none"/>
          <w14:textFill>
            <w14:solidFill>
              <w14:schemeClr w14:val="tx1"/>
            </w14:solidFill>
          </w14:textFill>
        </w:rPr>
      </w:pPr>
      <w:bookmarkStart w:id="251" w:name="_Toc32348"/>
      <w:r>
        <w:rPr>
          <w:color w:val="000000" w:themeColor="text1"/>
          <w:highlight w:val="none"/>
          <w14:textFill>
            <w14:solidFill>
              <w14:schemeClr w14:val="tx1"/>
            </w14:solidFill>
          </w14:textFill>
        </w:rPr>
        <w:t>（4）危险废物治理措施</w:t>
      </w:r>
    </w:p>
    <w:p w14:paraId="6E4CE34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按照《医疗废物集中处置技术规范（试行）》规定，项目应设置</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，对医疗废弃物进行分类暂存，对于存在传染性的医疗固废，必须按照《危险废物贮存污染控制标准》（</w:t>
      </w:r>
      <w:r>
        <w:rPr>
          <w:rFonts w:hint="eastAsia"/>
          <w:color w:val="000000" w:themeColor="text1"/>
          <w:highlight w:val="none"/>
          <w14:textFill>
            <w14:solidFill>
              <w14:schemeClr w14:val="tx1"/>
            </w14:solidFill>
          </w14:textFill>
        </w:rPr>
        <w:t>GB 18597-2023</w:t>
      </w:r>
      <w:r>
        <w:rPr>
          <w:color w:val="000000" w:themeColor="text1"/>
          <w:highlight w:val="none"/>
          <w14:textFill>
            <w14:solidFill>
              <w14:schemeClr w14:val="tx1"/>
            </w14:solidFill>
          </w14:textFill>
        </w:rPr>
        <w:t>）进行收集管理，医疗废物最终交由有资质单位处置。</w:t>
      </w:r>
    </w:p>
    <w:p w14:paraId="66F3A1C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本项目医疗废物的暂存设施设计要求如下：</w:t>
      </w:r>
    </w:p>
    <w:p w14:paraId="17561B2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按《危险废物贮存污染控制标准》（</w:t>
      </w:r>
      <w:r>
        <w:rPr>
          <w:rFonts w:hint="eastAsia"/>
          <w:color w:val="000000" w:themeColor="text1"/>
          <w:highlight w:val="none"/>
          <w14:textFill>
            <w14:solidFill>
              <w14:schemeClr w14:val="tx1"/>
            </w14:solidFill>
          </w14:textFill>
        </w:rPr>
        <w:t>GB 18597-2023</w:t>
      </w:r>
      <w:r>
        <w:rPr>
          <w:color w:val="000000" w:themeColor="text1"/>
          <w:highlight w:val="none"/>
          <w14:textFill>
            <w14:solidFill>
              <w14:schemeClr w14:val="tx1"/>
            </w14:solidFill>
          </w14:textFill>
        </w:rPr>
        <w:t>）的要求，</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应按照以下要求进行设置：</w:t>
      </w:r>
    </w:p>
    <w:p w14:paraId="533345D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场地标高要高于场区地面标高；</w:t>
      </w:r>
    </w:p>
    <w:p w14:paraId="5CCF4C2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内部场地均要进行防渗处理，在现有混凝土基础防渗表面上喷涂防腐、防渗环氧树脂，加强基础防渗；</w:t>
      </w:r>
    </w:p>
    <w:p w14:paraId="104A80C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要按要求设置提示性</w:t>
      </w:r>
      <w:r>
        <w:rPr>
          <w:rFonts w:hint="eastAsia"/>
          <w:color w:val="000000" w:themeColor="text1"/>
          <w:highlight w:val="none"/>
          <w14:textFill>
            <w14:solidFill>
              <w14:schemeClr w14:val="tx1"/>
            </w14:solidFill>
          </w14:textFill>
        </w:rPr>
        <w:t>和</w:t>
      </w:r>
      <w:r>
        <w:rPr>
          <w:color w:val="000000" w:themeColor="text1"/>
          <w:highlight w:val="none"/>
          <w14:textFill>
            <w14:solidFill>
              <w14:schemeClr w14:val="tx1"/>
            </w14:solidFill>
          </w14:textFill>
        </w:rPr>
        <w:t>警示性图形标志；</w:t>
      </w:r>
    </w:p>
    <w:p w14:paraId="52545A6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④应建立档案制度，将存放的危险废物的种类和数量，以及存放设施的检查维护等资料详细记录在案，长期保存，供随时查阅。除此之外，</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还要记录危险废物的名称、来源、数量、特性和包装容器的类别、入库日期、存放库位、出库日期及接受单位名称；</w:t>
      </w:r>
    </w:p>
    <w:p w14:paraId="48E065E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⑤危险废物要装入容器内，并禁止将不相容（相互反应）的危险废物在同一容器内混装。容器上必须粘贴符合《危险废物贮存污染控制标准》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GB18597-20</w:t>
      </w:r>
      <w:r>
        <w:rPr>
          <w:rFonts w:hint="eastAsia"/>
          <w:color w:val="000000" w:themeColor="text1"/>
          <w:highlight w:val="none"/>
          <w14:textFill>
            <w14:solidFill>
              <w14:schemeClr w14:val="tx1"/>
            </w14:solidFill>
          </w14:textFill>
        </w:rPr>
        <w:t>23</w:t>
      </w:r>
      <w:r>
        <w:rPr>
          <w:color w:val="000000" w:themeColor="text1"/>
          <w:highlight w:val="none"/>
          <w14:textFill>
            <w14:solidFill>
              <w14:schemeClr w14:val="tx1"/>
            </w14:solidFill>
          </w14:textFill>
        </w:rPr>
        <w:t>）的危险废物标签；</w:t>
      </w:r>
    </w:p>
    <w:p w14:paraId="1E613D5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⑥装载危险废物的容器必须完好无损，材质要满足相应的强度要求，容器材质与衬里要与危险废物相容（不相互反应）；</w:t>
      </w:r>
    </w:p>
    <w:p w14:paraId="15EA77E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⑦</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地面要用</w:t>
      </w:r>
      <w:r>
        <w:rPr>
          <w:rFonts w:hint="eastAsia"/>
          <w:color w:val="000000" w:themeColor="text1"/>
          <w:highlight w:val="none"/>
          <w:lang w:eastAsia="zh-CN"/>
          <w14:textFill>
            <w14:solidFill>
              <w14:schemeClr w14:val="tx1"/>
            </w14:solidFill>
          </w14:textFill>
        </w:rPr>
        <w:t>坚固</w:t>
      </w:r>
      <w:r>
        <w:rPr>
          <w:color w:val="000000" w:themeColor="text1"/>
          <w:highlight w:val="none"/>
          <w14:textFill>
            <w14:solidFill>
              <w14:schemeClr w14:val="tx1"/>
            </w14:solidFill>
          </w14:textFill>
        </w:rPr>
        <w:t>、防渗的材料建筑，并必须与危险废物相容；必须有泄漏液体的收集装置；内部要有安全照明设施和观察窗口；内部场地要有耐腐蚀的硬化地面且表面无裂隙；不相容的危险废物必须分开存放并设有隔离间隔离；</w:t>
      </w:r>
    </w:p>
    <w:p w14:paraId="1EFE445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⑧</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配备通讯设备、照明设施、安全防护服装及工具，并设有应急防护设施。</w:t>
      </w:r>
    </w:p>
    <w:p w14:paraId="7617281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本项目医疗废物的暂存、转运管理要求如下：</w:t>
      </w:r>
    </w:p>
    <w:p w14:paraId="12BFBAF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A医疗废物产生地点应当有医疗废物分类收集方法的示意图或者文字说明。</w:t>
      </w:r>
    </w:p>
    <w:p w14:paraId="2C85007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B盛装的医疗废物达到包装物或者容器的3/4时，应当使用有效的封口方式，使包装物或者容器的封口紧实、严密。</w:t>
      </w:r>
    </w:p>
    <w:p w14:paraId="7CB46D6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C包装物或者容器的外表面被感染性废物污染时，应当对被污染处进行消毒处理或者增加一层包装。</w:t>
      </w:r>
    </w:p>
    <w:p w14:paraId="76425B3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D盛装医疗废物的每个包装物、容器外表面应当有警示标识，在每个包装物、容器上应当系中文标签，中文标签的内容应当包括：医疗废物产生单位、产生日期、类别及需要的特别说明等。</w:t>
      </w:r>
    </w:p>
    <w:p w14:paraId="52735F9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E运送人员每天从医疗废物产生地点将分类包装的医疗废物按照规定的时间和路线运送至内部指定的暂时贮存地点。</w:t>
      </w:r>
    </w:p>
    <w:p w14:paraId="37E6795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F运送人员在运送医疗废物前，应当检查包装物或者容器的标识、标签及封口是否符合要求，不得将不符合要求的医疗废物运送至暂时贮存地点。</w:t>
      </w:r>
    </w:p>
    <w:p w14:paraId="7E5F094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G运送人员在运送医疗废物时，应当防止造成包装物或容器破损和医疗废物的流失、泄漏和扩散，并防止医疗废物直接接触身体。</w:t>
      </w:r>
    </w:p>
    <w:p w14:paraId="1FA085E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H运送医疗废物应当使用防渗漏、防遗</w:t>
      </w:r>
      <w:r>
        <w:rPr>
          <w:rFonts w:hint="eastAsia"/>
          <w:color w:val="000000" w:themeColor="text1"/>
          <w:highlight w:val="none"/>
          <w14:textFill>
            <w14:solidFill>
              <w14:schemeClr w14:val="tx1"/>
            </w14:solidFill>
          </w14:textFill>
        </w:rPr>
        <w:t>洒</w:t>
      </w:r>
      <w:r>
        <w:rPr>
          <w:color w:val="000000" w:themeColor="text1"/>
          <w:highlight w:val="none"/>
          <w14:textFill>
            <w14:solidFill>
              <w14:schemeClr w14:val="tx1"/>
            </w14:solidFill>
          </w14:textFill>
        </w:rPr>
        <w:t>、无锐利边角、易于装卸和清洁的专用运送工具。每天运送工作结束后，应当对运送工具及时进行清洁和消毒。</w:t>
      </w:r>
    </w:p>
    <w:p w14:paraId="3AA4D04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I应当建立医疗废物暂时贮存设施、设备，不得露天存放医疗废物。</w:t>
      </w:r>
    </w:p>
    <w:p w14:paraId="11A7FE9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J建立的医疗废物暂时贮存设施、设备应当达到以下要求：</w:t>
      </w:r>
    </w:p>
    <w:p w14:paraId="33940A9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①远离职工宿舍、人员活动区和生活垃圾存放场所，方便医疗废物运送人员及运送工具、车辆的出入；</w:t>
      </w:r>
    </w:p>
    <w:p w14:paraId="5BE0C67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②有严密的封闭措施，设专（兼）职人员管理，防止非工作人员接触医疗废物；</w:t>
      </w:r>
    </w:p>
    <w:p w14:paraId="5A08298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③有防鼠、防蚊蝇、防蟑螂的安全措施；</w:t>
      </w:r>
    </w:p>
    <w:p w14:paraId="49F9844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④防止渗漏和雨水冲刷；</w:t>
      </w:r>
    </w:p>
    <w:p w14:paraId="69022A9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⑤易于清洁和消毒；</w:t>
      </w:r>
    </w:p>
    <w:p w14:paraId="763CB54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⑥避免阳光直射；</w:t>
      </w:r>
    </w:p>
    <w:p w14:paraId="0612744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⑦设有明显的医疗废物警示标识和</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 xml:space="preserve">禁止吸烟、饮食 </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的警示标识。</w:t>
      </w:r>
    </w:p>
    <w:p w14:paraId="2F03CB5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K暂时贮存病理性废物，应当具备低温贮存或者防腐条件。</w:t>
      </w:r>
    </w:p>
    <w:p w14:paraId="3A61AF4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L应当将医疗废物交由取得县级以上人民政府环境保护行政主管部门许可的医疗废物集中处置单位处置，依照危险废物转移联单制度填写和保存转移联单。</w:t>
      </w:r>
    </w:p>
    <w:p w14:paraId="745DE20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M应当对医疗废物进行登记，登记内容应当包括医疗废物的来源、种类、重量或者数量、交接时间、最终去向以及经办人签名等项目。登记资料至少保存3年。</w:t>
      </w:r>
    </w:p>
    <w:p w14:paraId="58B3464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N医疗废物转交出去后，应当对暂时贮存地点、设施及时进行清洁和消毒处理。</w:t>
      </w:r>
    </w:p>
    <w:p w14:paraId="379B67C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O禁止转让、买卖医疗废物。</w:t>
      </w:r>
    </w:p>
    <w:p w14:paraId="50692F30">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kern w:val="0"/>
          <w:szCs w:val="24"/>
          <w:highlight w:val="none"/>
          <w:lang w:val="en-US" w:eastAsia="zh-CN"/>
          <w14:textFill>
            <w14:solidFill>
              <w14:schemeClr w14:val="tx1"/>
            </w14:solidFill>
          </w14:textFill>
        </w:rPr>
      </w:pPr>
      <w:r>
        <w:rPr>
          <w:color w:val="000000" w:themeColor="text1"/>
          <w:highlight w:val="none"/>
          <w14:textFill>
            <w14:solidFill>
              <w14:schemeClr w14:val="tx1"/>
            </w14:solidFill>
          </w14:textFill>
        </w:rPr>
        <w:t>P禁止在非收集、非暂时贮存地点倾倒、堆放医疗废物，禁止将医疗废物混入其它废物和生活垃圾。</w:t>
      </w:r>
    </w:p>
    <w:p w14:paraId="5E27E18F">
      <w:pPr>
        <w:pStyle w:val="4"/>
        <w:bidi w:val="0"/>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6.2.</w:t>
      </w:r>
      <w:r>
        <w:rPr>
          <w:rFonts w:hint="eastAsia" w:cs="Times New Roman"/>
          <w:color w:val="000000" w:themeColor="text1"/>
          <w:highlight w:val="none"/>
          <w:shd w:val="clear" w:color="auto" w:fill="auto"/>
          <w:lang w:val="en-US" w:eastAsia="zh-CN"/>
          <w14:textFill>
            <w14:solidFill>
              <w14:schemeClr w14:val="tx1"/>
            </w14:solidFill>
          </w14:textFill>
        </w:rPr>
        <w:t>6</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土壤污染防治措施</w:t>
      </w:r>
    </w:p>
    <w:p w14:paraId="549A4655">
      <w:pPr>
        <w:pStyle w:val="5"/>
        <w:pageBreakBefore w:val="0"/>
        <w:numPr>
          <w:ilvl w:val="3"/>
          <w:numId w:val="0"/>
        </w:numPr>
        <w:kinsoku/>
        <w:wordWrap/>
        <w:overflowPunct/>
        <w:topLinePunct w:val="0"/>
        <w:bidi w:val="0"/>
        <w:adjustRightInd/>
        <w:spacing w:line="360" w:lineRule="auto"/>
        <w:ind w:leftChars="0"/>
        <w:textAlignment w:val="auto"/>
        <w:rPr>
          <w:rFonts w:hint="default" w:ascii="Times New Roman" w:hAnsi="Times New Roman"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6.2.</w:t>
      </w:r>
      <w:r>
        <w:rPr>
          <w:rFonts w:hint="eastAsia" w:cs="Times New Roman"/>
          <w:color w:val="000000" w:themeColor="text1"/>
          <w:highlight w:val="none"/>
          <w:shd w:val="clear" w:color="auto" w:fill="auto"/>
          <w:lang w:val="en-US" w:eastAsia="zh-CN"/>
          <w14:textFill>
            <w14:solidFill>
              <w14:schemeClr w14:val="tx1"/>
            </w14:solidFill>
          </w14:textFill>
        </w:rPr>
        <w:t>6</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.1防治措施</w:t>
      </w:r>
    </w:p>
    <w:p w14:paraId="45516B56">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highlight w:val="none"/>
          <w14:textFill>
            <w14:solidFill>
              <w14:schemeClr w14:val="tx1"/>
            </w14:solidFill>
          </w14:textFill>
        </w:rPr>
        <w:t>（1）加强废水处理设施的维护和管理，及时发现处理设备的隐患，确保处理系统正常运行。</w:t>
      </w:r>
    </w:p>
    <w:p w14:paraId="37936CDD">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（2）加强施工质量，对</w:t>
      </w:r>
      <w:r>
        <w:rPr>
          <w:rFonts w:hint="eastAsia" w:cs="Times New Roman"/>
          <w:b w:val="0"/>
          <w:bCs w:val="0"/>
          <w:color w:val="000000" w:themeColor="text1"/>
          <w:kern w:val="0"/>
          <w:szCs w:val="24"/>
          <w:highlight w:val="none"/>
          <w:lang w:eastAsia="zh-CN"/>
          <w14:textFill>
            <w14:solidFill>
              <w14:schemeClr w14:val="tx1"/>
            </w14:solidFill>
          </w14:textFill>
        </w:rPr>
        <w:t>危废暂存间</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w:t>
      </w:r>
      <w:r>
        <w:rPr>
          <w:rFonts w:hint="eastAsia" w:ascii="Times New Roman" w:hAnsi="Times New Roman" w:cs="Times New Roman"/>
          <w:b w:val="0"/>
          <w:bCs w:val="0"/>
          <w:color w:val="000000" w:themeColor="text1"/>
          <w:kern w:val="0"/>
          <w:szCs w:val="24"/>
          <w:highlight w:val="none"/>
          <w:lang w:val="en-US" w:eastAsia="zh-CN"/>
          <w14:textFill>
            <w14:solidFill>
              <w14:schemeClr w14:val="tx1"/>
            </w14:solidFill>
          </w14:textFill>
        </w:rPr>
        <w:t>黑膜池</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kern w:val="0"/>
          <w:szCs w:val="24"/>
          <w:highlight w:val="none"/>
          <w:lang w:val="en-US" w:eastAsia="zh-CN"/>
          <w14:textFill>
            <w14:solidFill>
              <w14:schemeClr w14:val="tx1"/>
            </w14:solidFill>
          </w14:textFill>
        </w:rPr>
        <w:t>堆</w:t>
      </w:r>
      <w:r>
        <w:rPr>
          <w:rFonts w:hint="eastAsia" w:ascii="Times New Roman" w:hAnsi="Times New Roman" w:cs="Times New Roman"/>
          <w:b w:val="0"/>
          <w:bCs w:val="0"/>
          <w:color w:val="000000" w:themeColor="text1"/>
          <w:kern w:val="0"/>
          <w:szCs w:val="24"/>
          <w:highlight w:val="none"/>
          <w:lang w:val="en-US" w:eastAsia="zh-CN"/>
          <w14:textFill>
            <w14:solidFill>
              <w14:schemeClr w14:val="tx1"/>
            </w14:solidFill>
          </w14:textFill>
        </w:rPr>
        <w:t>粪</w:t>
      </w:r>
      <w:r>
        <w:rPr>
          <w:rFonts w:hint="eastAsia" w:ascii="Times New Roman" w:hAnsi="Times New Roman" w:eastAsia="宋体" w:cs="Times New Roman"/>
          <w:b w:val="0"/>
          <w:bCs w:val="0"/>
          <w:color w:val="000000" w:themeColor="text1"/>
          <w:kern w:val="0"/>
          <w:szCs w:val="24"/>
          <w:highlight w:val="none"/>
          <w:lang w:val="en-US" w:eastAsia="zh-CN"/>
          <w14:textFill>
            <w14:solidFill>
              <w14:schemeClr w14:val="tx1"/>
            </w14:solidFill>
          </w14:textFill>
        </w:rPr>
        <w:t>场、</w:t>
      </w:r>
      <w:r>
        <w:rPr>
          <w:rFonts w:hint="eastAsia" w:ascii="Times New Roman" w:hAnsi="Times New Roman" w:cs="Times New Roman"/>
          <w:b w:val="0"/>
          <w:bCs w:val="0"/>
          <w:color w:val="000000" w:themeColor="text1"/>
          <w:kern w:val="0"/>
          <w:szCs w:val="28"/>
          <w:highlight w:val="none"/>
          <w:shd w:val="clear" w:color="auto" w:fill="auto"/>
          <w:lang w:val="en-US" w:eastAsia="zh-CN"/>
          <w14:textFill>
            <w14:solidFill>
              <w14:schemeClr w14:val="tx1"/>
            </w14:solidFill>
          </w14:textFill>
        </w:rPr>
        <w:t>固液分离间、</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按重点防渗区采取措施，等效黏土防渗层 Mb≥6.0m，K≤1.0×10</w:t>
      </w:r>
      <w:r>
        <w:rPr>
          <w:rFonts w:hint="eastAsia" w:ascii="Times New Roman" w:hAnsi="Times New Roman" w:eastAsia="宋体" w:cs="Times New Roman"/>
          <w:b w:val="0"/>
          <w:bCs w:val="0"/>
          <w:color w:val="000000" w:themeColor="text1"/>
          <w:kern w:val="0"/>
          <w:szCs w:val="24"/>
          <w:highlight w:val="none"/>
          <w:vertAlign w:val="superscript"/>
          <w14:textFill>
            <w14:solidFill>
              <w14:schemeClr w14:val="tx1"/>
            </w14:solidFill>
          </w14:textFill>
        </w:rPr>
        <w:t xml:space="preserve"> -7</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cm/s；s；或参照 GB 18598</w:t>
      </w:r>
      <w:r>
        <w:rPr>
          <w:rFonts w:hint="default" w:ascii="Times New Roman" w:hAnsi="Times New Roman" w:eastAsia="宋体" w:cs="Times New Roman"/>
          <w:b w:val="0"/>
          <w:bCs w:val="0"/>
          <w:color w:val="000000" w:themeColor="text1"/>
          <w:kern w:val="0"/>
          <w:szCs w:val="24"/>
          <w:highlight w:val="none"/>
          <w14:textFill>
            <w14:solidFill>
              <w14:schemeClr w14:val="tx1"/>
            </w14:solidFill>
          </w14:textFill>
        </w:rPr>
        <w:t>。</w:t>
      </w:r>
    </w:p>
    <w:p w14:paraId="5189BAF1">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pPr>
      <w:r>
        <w:rPr>
          <w:rFonts w:hint="eastAsia" w:ascii="Times New Roman" w:hAnsi="Times New Roman" w:cs="Times New Roman"/>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cs="Times New Roman"/>
          <w:b w:val="0"/>
          <w:bCs w:val="0"/>
          <w:color w:val="000000" w:themeColor="text1"/>
          <w:kern w:val="0"/>
          <w:szCs w:val="24"/>
          <w:highlight w:val="none"/>
          <w:lang w:val="en-US" w:eastAsia="zh-CN"/>
          <w14:textFill>
            <w14:solidFill>
              <w14:schemeClr w14:val="tx1"/>
            </w14:solidFill>
          </w14:textFill>
        </w:rPr>
        <w:t>3</w:t>
      </w:r>
      <w:r>
        <w:rPr>
          <w:rFonts w:hint="eastAsia" w:ascii="Times New Roman" w:hAnsi="Times New Roman" w:cs="Times New Roman"/>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 xml:space="preserve">对猪舍等按一般防渗区采取防渗措施。等效黏土防渗层 Mb≥1.5m，K≤1.0×10 </w:t>
      </w:r>
      <w:r>
        <w:rPr>
          <w:rFonts w:hint="eastAsia" w:ascii="Times New Roman" w:hAnsi="Times New Roman" w:eastAsia="宋体" w:cs="Times New Roman"/>
          <w:b w:val="0"/>
          <w:bCs w:val="0"/>
          <w:color w:val="000000" w:themeColor="text1"/>
          <w:kern w:val="0"/>
          <w:szCs w:val="24"/>
          <w:highlight w:val="none"/>
          <w:vertAlign w:val="superscript"/>
          <w14:textFill>
            <w14:solidFill>
              <w14:schemeClr w14:val="tx1"/>
            </w14:solidFill>
          </w14:textFill>
        </w:rPr>
        <w:t>-7</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cm/s；或参照 GB 16889 执行），在做好基层防渗的基础上进行水泥硬化，在做好基层防渗的基础上进行水泥硬化。</w:t>
      </w:r>
    </w:p>
    <w:p w14:paraId="17A726BA">
      <w:pPr>
        <w:keepNext w:val="0"/>
        <w:keepLines w:val="0"/>
        <w:pageBreakBefore w:val="0"/>
        <w:widowControl/>
        <w:numPr>
          <w:ilvl w:val="0"/>
          <w:numId w:val="0"/>
        </w:numPr>
        <w:kinsoku/>
        <w:wordWrap/>
        <w:overflowPunct w:val="0"/>
        <w:topLinePunct/>
        <w:autoSpaceDE/>
        <w:autoSpaceDN/>
        <w:bidi w:val="0"/>
        <w:adjustRightInd/>
        <w:snapToGrid/>
        <w:spacing w:line="360" w:lineRule="auto"/>
        <w:ind w:leftChars="200"/>
        <w:jc w:val="both"/>
        <w:textAlignment w:val="auto"/>
        <w:rPr>
          <w:rFonts w:hint="eastAsia" w:ascii="Times New Roman" w:hAnsi="Times New Roman" w:cs="Times New Roman" w:eastAsiaTheme="minorEastAsia"/>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highlight w:val="none"/>
          <w14:textFill>
            <w14:solidFill>
              <w14:schemeClr w14:val="tx1"/>
            </w14:solidFill>
          </w14:textFill>
        </w:rPr>
        <w:t>（4）场区边界建设雨水截流沟、排水沟，及时拦截和导排雨水，减少废水产生量，降低事故风险。</w:t>
      </w:r>
    </w:p>
    <w:p w14:paraId="6B9DE459">
      <w:pPr>
        <w:pStyle w:val="5"/>
        <w:pageBreakBefore w:val="0"/>
        <w:numPr>
          <w:ilvl w:val="3"/>
          <w:numId w:val="0"/>
        </w:numPr>
        <w:kinsoku/>
        <w:wordWrap/>
        <w:overflowPunct/>
        <w:topLinePunct w:val="0"/>
        <w:bidi w:val="0"/>
        <w:adjustRightInd/>
        <w:spacing w:line="360" w:lineRule="auto"/>
        <w:ind w:leftChars="0"/>
        <w:textAlignment w:val="auto"/>
        <w:rPr>
          <w:rFonts w:hint="default" w:ascii="Times New Roman" w:hAnsi="Times New Roman"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6.2.</w:t>
      </w:r>
      <w:r>
        <w:rPr>
          <w:rFonts w:hint="eastAsia" w:cs="Times New Roman"/>
          <w:color w:val="000000" w:themeColor="text1"/>
          <w:highlight w:val="none"/>
          <w:shd w:val="clear" w:color="auto" w:fill="auto"/>
          <w:lang w:val="en-US" w:eastAsia="zh-CN"/>
          <w14:textFill>
            <w14:solidFill>
              <w14:schemeClr w14:val="tx1"/>
            </w14:solidFill>
          </w14:textFill>
        </w:rPr>
        <w:t>6</w:t>
      </w:r>
      <w:r>
        <w:rPr>
          <w:rFonts w:hint="eastAsia" w:ascii="Times New Roman" w:hAnsi="Times New Roman" w:cs="Times New Roman"/>
          <w:color w:val="000000" w:themeColor="text1"/>
          <w:highlight w:val="none"/>
          <w:shd w:val="clear" w:color="auto" w:fill="auto"/>
          <w:lang w:val="en-US" w:eastAsia="zh-CN"/>
          <w14:textFill>
            <w14:solidFill>
              <w14:schemeClr w14:val="tx1"/>
            </w14:solidFill>
          </w14:textFill>
        </w:rPr>
        <w:t>.2跟踪监测</w:t>
      </w:r>
    </w:p>
    <w:p w14:paraId="75AF4685">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highlight w:val="none"/>
          <w14:textFill>
            <w14:solidFill>
              <w14:schemeClr w14:val="tx1"/>
            </w14:solidFill>
          </w14:textFill>
        </w:rPr>
        <w:t>（1）监测点位</w:t>
      </w:r>
    </w:p>
    <w:p w14:paraId="4C32DEA2">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highlight w:val="none"/>
          <w14:textFill>
            <w14:solidFill>
              <w14:schemeClr w14:val="tx1"/>
            </w14:solidFill>
          </w14:textFill>
        </w:rPr>
        <w:t>根据《</w:t>
      </w:r>
      <w:r>
        <w:rPr>
          <w:rFonts w:hint="eastAsia" w:cs="Times New Roman" w:eastAsiaTheme="minorEastAsia"/>
          <w:color w:val="000000" w:themeColor="text1"/>
          <w:highlight w:val="none"/>
          <w:lang w:eastAsia="zh-CN"/>
          <w14:textFill>
            <w14:solidFill>
              <w14:schemeClr w14:val="tx1"/>
            </w14:solidFill>
          </w14:textFill>
        </w:rPr>
        <w:t>环境影响评价技术导则 土壤环境（试行）</w:t>
      </w:r>
      <w:r>
        <w:rPr>
          <w:rFonts w:hint="eastAsia" w:ascii="Times New Roman" w:hAnsi="Times New Roman" w:cs="Times New Roman" w:eastAsiaTheme="minorEastAsia"/>
          <w:color w:val="000000" w:themeColor="text1"/>
          <w:highlight w:val="none"/>
          <w14:textFill>
            <w14:solidFill>
              <w14:schemeClr w14:val="tx1"/>
            </w14:solidFill>
          </w14:textFill>
        </w:rPr>
        <w:t>》（HJ964-2018）的要求确定土壤跟踪监测点布设原则，结合厂区占地位置，共布设1个土壤跟踪监测点，考虑项目运营期土壤最可能受到污染同时受到污染</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影响</w:t>
      </w:r>
      <w:r>
        <w:rPr>
          <w:rFonts w:hint="eastAsia" w:ascii="Times New Roman" w:hAnsi="Times New Roman" w:cs="Times New Roman" w:eastAsiaTheme="minorEastAsia"/>
          <w:color w:val="000000" w:themeColor="text1"/>
          <w:highlight w:val="none"/>
          <w14:textFill>
            <w14:solidFill>
              <w14:schemeClr w14:val="tx1"/>
            </w14:solidFill>
          </w14:textFill>
        </w:rPr>
        <w:t>较严重的</w:t>
      </w:r>
      <w:r>
        <w:rPr>
          <w:rFonts w:hint="eastAsia" w:cs="Times New Roman" w:eastAsiaTheme="minorEastAsia"/>
          <w:color w:val="000000" w:themeColor="text1"/>
          <w:highlight w:val="none"/>
          <w:lang w:val="en-US" w:eastAsia="zh-CN"/>
          <w14:textFill>
            <w14:solidFill>
              <w14:schemeClr w14:val="tx1"/>
            </w14:solidFill>
          </w14:textFill>
        </w:rPr>
        <w:t>堆粪场</w:t>
      </w:r>
      <w:r>
        <w:rPr>
          <w:rFonts w:hint="eastAsia" w:ascii="Times New Roman" w:hAnsi="Times New Roman" w:cs="Times New Roman" w:eastAsiaTheme="minorEastAsia"/>
          <w:color w:val="000000" w:themeColor="text1"/>
          <w:highlight w:val="none"/>
          <w14:textFill>
            <w14:solidFill>
              <w14:schemeClr w14:val="tx1"/>
            </w14:solidFill>
          </w14:textFill>
        </w:rPr>
        <w:t>，因此在上述区域分别设置1个土壤跟踪监测点位。</w:t>
      </w:r>
    </w:p>
    <w:p w14:paraId="6DC433F8">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highlight w:val="none"/>
          <w14:textFill>
            <w14:solidFill>
              <w14:schemeClr w14:val="tx1"/>
            </w14:solidFill>
          </w14:textFill>
        </w:rPr>
        <w:t>监测点布设情况见表</w:t>
      </w:r>
      <w:r>
        <w:rPr>
          <w:rFonts w:hint="eastAsia" w:cs="Times New Roman" w:eastAsiaTheme="minorEastAsia"/>
          <w:color w:val="000000" w:themeColor="text1"/>
          <w:highlight w:val="none"/>
          <w:lang w:val="en-US" w:eastAsia="zh-CN"/>
          <w14:textFill>
            <w14:solidFill>
              <w14:schemeClr w14:val="tx1"/>
            </w14:solidFill>
          </w14:textFill>
        </w:rPr>
        <w:t>6.2-4</w:t>
      </w:r>
      <w:r>
        <w:rPr>
          <w:rFonts w:hint="eastAsia" w:ascii="Times New Roman" w:hAnsi="Times New Roman" w:cs="Times New Roman" w:eastAsiaTheme="minorEastAsia"/>
          <w:color w:val="000000" w:themeColor="text1"/>
          <w:highlight w:val="none"/>
          <w14:textFill>
            <w14:solidFill>
              <w14:schemeClr w14:val="tx1"/>
            </w14:solidFill>
          </w14:textFill>
        </w:rPr>
        <w:t>。</w:t>
      </w:r>
    </w:p>
    <w:p w14:paraId="050D2492">
      <w:pPr>
        <w:snapToGrid w:val="0"/>
        <w:spacing w:line="240" w:lineRule="auto"/>
        <w:ind w:firstLine="422" w:firstLineChars="200"/>
        <w:jc w:val="center"/>
        <w:rPr>
          <w:rFonts w:hint="eastAsia"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表</w:t>
      </w:r>
      <w:r>
        <w:rPr>
          <w:rFonts w:hint="eastAsia" w:cs="Times New Roman"/>
          <w:b/>
          <w:bCs/>
          <w:color w:val="000000" w:themeColor="text1"/>
          <w:sz w:val="21"/>
          <w:szCs w:val="21"/>
          <w:highlight w:val="none"/>
          <w:shd w:val="clear" w:color="auto" w:fill="auto"/>
          <w:lang w:val="en-US" w:eastAsia="zh-CN"/>
          <w14:textFill>
            <w14:solidFill>
              <w14:schemeClr w14:val="tx1"/>
            </w14:solidFill>
          </w14:textFill>
        </w:rPr>
        <w:t>6.2-4</w:t>
      </w:r>
      <w:r>
        <w:rPr>
          <w:rFonts w:hint="eastAsia" w:ascii="Times New Roman" w:hAnsi="Times New Roman" w:eastAsia="宋体" w:cs="Times New Roman"/>
          <w:b/>
          <w:bCs/>
          <w:color w:val="000000" w:themeColor="text1"/>
          <w:sz w:val="21"/>
          <w:szCs w:val="21"/>
          <w:highlight w:val="none"/>
          <w:shd w:val="clear" w:color="auto" w:fill="auto"/>
          <w:lang w:val="en-US" w:eastAsia="zh-CN"/>
          <w14:textFill>
            <w14:solidFill>
              <w14:schemeClr w14:val="tx1"/>
            </w14:solidFill>
          </w14:textFill>
        </w:rPr>
        <w:t xml:space="preserve">  环境监测点一览表</w:t>
      </w:r>
    </w:p>
    <w:tbl>
      <w:tblPr>
        <w:tblStyle w:val="77"/>
        <w:tblW w:w="485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6"/>
        <w:gridCol w:w="2066"/>
        <w:gridCol w:w="2066"/>
        <w:gridCol w:w="2066"/>
      </w:tblGrid>
      <w:tr w14:paraId="15F6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250" w:type="pct"/>
            <w:vAlign w:val="center"/>
          </w:tcPr>
          <w:p w14:paraId="7A298FEA">
            <w:pPr>
              <w:pStyle w:val="72"/>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功能</w:t>
            </w:r>
          </w:p>
        </w:tc>
        <w:tc>
          <w:tcPr>
            <w:tcW w:w="1250" w:type="pct"/>
            <w:vAlign w:val="center"/>
          </w:tcPr>
          <w:p w14:paraId="55D4BBA8">
            <w:pPr>
              <w:pStyle w:val="72"/>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编号</w:t>
            </w:r>
          </w:p>
        </w:tc>
        <w:tc>
          <w:tcPr>
            <w:tcW w:w="1250" w:type="pct"/>
            <w:vAlign w:val="center"/>
          </w:tcPr>
          <w:p w14:paraId="6857190D">
            <w:pPr>
              <w:pStyle w:val="72"/>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位置</w:t>
            </w:r>
          </w:p>
        </w:tc>
        <w:tc>
          <w:tcPr>
            <w:tcW w:w="1250" w:type="pct"/>
            <w:vAlign w:val="center"/>
          </w:tcPr>
          <w:p w14:paraId="19F26F44">
            <w:pPr>
              <w:pStyle w:val="72"/>
              <w:spacing w:line="240" w:lineRule="auto"/>
              <w:jc w:val="cente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b/>
                <w:bCs/>
                <w:color w:val="000000" w:themeColor="text1"/>
                <w:kern w:val="0"/>
                <w:sz w:val="21"/>
                <w:szCs w:val="21"/>
                <w:highlight w:val="none"/>
                <w14:textFill>
                  <w14:solidFill>
                    <w14:schemeClr w14:val="tx1"/>
                  </w14:solidFill>
                </w14:textFill>
              </w:rPr>
              <w:t>监测要求</w:t>
            </w:r>
          </w:p>
        </w:tc>
      </w:tr>
      <w:tr w14:paraId="281D6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1250" w:type="pct"/>
            <w:vAlign w:val="center"/>
          </w:tcPr>
          <w:p w14:paraId="02848232">
            <w:pPr>
              <w:pStyle w:val="72"/>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占地范围内</w:t>
            </w:r>
          </w:p>
        </w:tc>
        <w:tc>
          <w:tcPr>
            <w:tcW w:w="1250" w:type="pct"/>
            <w:vAlign w:val="center"/>
          </w:tcPr>
          <w:p w14:paraId="74640B1A">
            <w:pPr>
              <w:pStyle w:val="72"/>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T1</w:t>
            </w:r>
          </w:p>
        </w:tc>
        <w:tc>
          <w:tcPr>
            <w:tcW w:w="1250" w:type="pct"/>
            <w:vAlign w:val="center"/>
          </w:tcPr>
          <w:p w14:paraId="0B3F37EC">
            <w:pPr>
              <w:pStyle w:val="72"/>
              <w:spacing w:line="240" w:lineRule="auto"/>
              <w:jc w:val="center"/>
              <w:rPr>
                <w:rFonts w:hint="eastAsia" w:ascii="Times New Roman" w:hAnsi="Times New Roman" w:cs="Times New Roman" w:eastAsiaTheme="minorEastAsia"/>
                <w:color w:val="000000" w:themeColor="text1"/>
                <w:kern w:val="0"/>
                <w:sz w:val="21"/>
                <w:szCs w:val="21"/>
                <w:highlight w:val="none"/>
                <w:lang w:eastAsia="zh-CN"/>
                <w14:textFill>
                  <w14:solidFill>
                    <w14:schemeClr w14:val="tx1"/>
                  </w14:solidFill>
                </w14:textFill>
              </w:rPr>
            </w:pPr>
            <w:r>
              <w:rPr>
                <w:rFonts w:hint="eastAsia" w:cs="Times New Roman" w:eastAsiaTheme="minorEastAsia"/>
                <w:color w:val="000000" w:themeColor="text1"/>
                <w:kern w:val="0"/>
                <w:sz w:val="21"/>
                <w:szCs w:val="21"/>
                <w:highlight w:val="none"/>
                <w:lang w:val="en-US" w:eastAsia="zh-CN"/>
                <w14:textFill>
                  <w14:solidFill>
                    <w14:schemeClr w14:val="tx1"/>
                  </w14:solidFill>
                </w14:textFill>
              </w:rPr>
              <w:t>堆粪场</w:t>
            </w:r>
          </w:p>
        </w:tc>
        <w:tc>
          <w:tcPr>
            <w:tcW w:w="1250" w:type="pct"/>
            <w:vAlign w:val="center"/>
          </w:tcPr>
          <w:p w14:paraId="7C1BB4B0">
            <w:pPr>
              <w:pStyle w:val="72"/>
              <w:spacing w:line="240" w:lineRule="auto"/>
              <w:jc w:val="cente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pPr>
            <w:r>
              <w:rPr>
                <w:rFonts w:hint="default" w:ascii="Times New Roman" w:hAnsi="Times New Roman" w:cs="Times New Roman" w:eastAsiaTheme="minorEastAsia"/>
                <w:color w:val="000000" w:themeColor="text1"/>
                <w:kern w:val="0"/>
                <w:sz w:val="21"/>
                <w:szCs w:val="21"/>
                <w:highlight w:val="none"/>
                <w14:textFill>
                  <w14:solidFill>
                    <w14:schemeClr w14:val="tx1"/>
                  </w14:solidFill>
                </w14:textFill>
              </w:rPr>
              <w:t>柱状样</w:t>
            </w:r>
          </w:p>
        </w:tc>
      </w:tr>
    </w:tbl>
    <w:p w14:paraId="6CED59D7">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highlight w:val="none"/>
          <w14:textFill>
            <w14:solidFill>
              <w14:schemeClr w14:val="tx1"/>
            </w14:solidFill>
          </w14:textFill>
        </w:rPr>
        <w:t>（2）监测频率及监测因子</w:t>
      </w:r>
    </w:p>
    <w:p w14:paraId="1463AECD">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highlight w:val="none"/>
          <w14:textFill>
            <w14:solidFill>
              <w14:schemeClr w14:val="tx1"/>
            </w14:solidFill>
          </w14:textFill>
        </w:rPr>
        <w:t>监测频率：</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必要时开展跟踪监测</w:t>
      </w:r>
      <w:r>
        <w:rPr>
          <w:rFonts w:hint="eastAsia" w:ascii="Times New Roman" w:hAnsi="Times New Roman" w:cs="Times New Roman" w:eastAsiaTheme="minorEastAsia"/>
          <w:color w:val="000000" w:themeColor="text1"/>
          <w:highlight w:val="none"/>
          <w14:textFill>
            <w14:solidFill>
              <w14:schemeClr w14:val="tx1"/>
            </w14:solidFill>
          </w14:textFill>
        </w:rPr>
        <w:t>。</w:t>
      </w:r>
    </w:p>
    <w:p w14:paraId="34C924AE">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highlight w:val="none"/>
          <w14:textFill>
            <w14:solidFill>
              <w14:schemeClr w14:val="tx1"/>
            </w14:solidFill>
          </w14:textFill>
        </w:rPr>
        <w:t>监测项目：《</w:t>
      </w:r>
      <w:r>
        <w:rPr>
          <w:rFonts w:hint="eastAsia" w:cs="Times New Roman" w:eastAsiaTheme="minorEastAsia"/>
          <w:color w:val="000000" w:themeColor="text1"/>
          <w:highlight w:val="none"/>
          <w:lang w:eastAsia="zh-CN"/>
          <w14:textFill>
            <w14:solidFill>
              <w14:schemeClr w14:val="tx1"/>
            </w14:solidFill>
          </w14:textFill>
        </w:rPr>
        <w:t>畜禽养殖产地环境评价规范</w:t>
      </w:r>
      <w:r>
        <w:rPr>
          <w:rFonts w:hint="eastAsia" w:ascii="Times New Roman" w:hAnsi="Times New Roman" w:cs="Times New Roman" w:eastAsiaTheme="minorEastAsia"/>
          <w:color w:val="000000" w:themeColor="text1"/>
          <w:highlight w:val="none"/>
          <w14:textFill>
            <w14:solidFill>
              <w14:schemeClr w14:val="tx1"/>
            </w14:solidFill>
          </w14:textFill>
        </w:rPr>
        <w:t>》（HJ568-2010）中表4养殖场土壤环境质量评价标准全值。</w:t>
      </w:r>
    </w:p>
    <w:p w14:paraId="6BA26F85">
      <w:pPr>
        <w:pStyle w:val="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6.2.</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生态环境保护措施</w:t>
      </w:r>
      <w:bookmarkEnd w:id="251"/>
    </w:p>
    <w:p w14:paraId="1E766C2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本项目废水无害化处理后，作为液体肥料用于项目周边现有农田灌溉。本项目周边农田面积广阔，可完全资源化利用本项目废水。</w:t>
      </w:r>
    </w:p>
    <w:p w14:paraId="0D01BBD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为了更好地保护农田生态环境，促进农业生产可持续发展，采用本项目液肥农田灌溉时，应注意以下几点：按农作物种类，每年每亩地勾兑灌溉液肥3次，避免液肥集中灌溉造成污染、农作物减产。</w:t>
      </w:r>
    </w:p>
    <w:p w14:paraId="74E7FBF9">
      <w:pPr>
        <w:pStyle w:val="4"/>
        <w:bidi w:val="0"/>
        <w:rPr>
          <w:rFonts w:hint="eastAsia"/>
          <w:color w:val="000000" w:themeColor="text1"/>
          <w:highlight w:val="none"/>
          <w14:textFill>
            <w14:solidFill>
              <w14:schemeClr w14:val="tx1"/>
            </w14:solidFill>
          </w14:textFill>
        </w:rPr>
      </w:pPr>
      <w:bookmarkStart w:id="252" w:name="_Toc5045"/>
      <w:r>
        <w:rPr>
          <w:rFonts w:hint="eastAsia"/>
          <w:color w:val="000000" w:themeColor="text1"/>
          <w:highlight w:val="none"/>
          <w14:textFill>
            <w14:solidFill>
              <w14:schemeClr w14:val="tx1"/>
            </w14:solidFill>
          </w14:textFill>
        </w:rPr>
        <w:t>6.</w:t>
      </w:r>
      <w:r>
        <w:rPr>
          <w:rFonts w:hint="eastAsia"/>
          <w:color w:val="000000" w:themeColor="text1"/>
          <w:highlight w:val="none"/>
          <w:lang w:val="en-US" w:eastAsia="zh-CN"/>
          <w14:textFill>
            <w14:solidFill>
              <w14:schemeClr w14:val="tx1"/>
            </w14:solidFill>
          </w14:textFill>
        </w:rPr>
        <w:t>2.8</w:t>
      </w:r>
      <w:r>
        <w:rPr>
          <w:rFonts w:hint="eastAsia"/>
          <w:color w:val="000000" w:themeColor="text1"/>
          <w:highlight w:val="none"/>
          <w14:textFill>
            <w14:solidFill>
              <w14:schemeClr w14:val="tx1"/>
            </w14:solidFill>
          </w14:textFill>
        </w:rPr>
        <w:t>环境风险防范措施</w:t>
      </w:r>
      <w:bookmarkEnd w:id="252"/>
    </w:p>
    <w:p w14:paraId="2E94397D">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14:textFill>
            <w14:solidFill>
              <w14:schemeClr w14:val="tx1"/>
            </w14:solidFill>
          </w14:textFill>
        </w:rPr>
      </w:pPr>
      <w:r>
        <w:rPr>
          <w:rFonts w:hint="eastAsia" w:ascii="Times New Roman" w:hAnsi="Times New Roman" w:cs="Times New Roman" w:eastAsiaTheme="minorEastAsia"/>
          <w:color w:val="000000" w:themeColor="text1"/>
          <w:highlight w:val="none"/>
          <w14:textFill>
            <w14:solidFill>
              <w14:schemeClr w14:val="tx1"/>
            </w14:solidFill>
          </w14:textFill>
        </w:rPr>
        <w:t>应加大事故防范措施建设，加大防范力度，防患于未然。另外，要制定合理可行的事故应急预案，以控制事故和减少对环境造成的危害。</w:t>
      </w:r>
    </w:p>
    <w:p w14:paraId="3F4E05F7">
      <w:pPr>
        <w:bidi w:val="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6.2.8.1火灾防范措施</w:t>
      </w:r>
    </w:p>
    <w:p w14:paraId="43650EF7">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（1）饲料堆放区域严禁烟火，设置烟雾报警系统和消防设施。</w:t>
      </w:r>
    </w:p>
    <w:p w14:paraId="41FB525D">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（2）制定安全管理制度、安全操作规程和工艺操作规程。</w:t>
      </w:r>
    </w:p>
    <w:p w14:paraId="49407CD9">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（3）生产工人必须经过考核录用，认真培训。认真学习工艺生产技术、安全生产要点和岗位安全操作规程，熟悉生产原辅料及产品日常防护、急救措施以及泄漏处理和灭火方法，考试合格后，持证上岗。</w:t>
      </w:r>
    </w:p>
    <w:p w14:paraId="28B9579F">
      <w:pPr>
        <w:bidi w:val="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6.2.8.2有害物质泄漏防范措施</w:t>
      </w:r>
    </w:p>
    <w:p w14:paraId="579D0BEA">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000000" w:themeColor="text1"/>
          <w:kern w:val="0"/>
          <w:szCs w:val="24"/>
          <w:highlight w:val="none"/>
          <w:lang w:val="en-US" w:eastAsia="zh-CN"/>
          <w14:textFill>
            <w14:solidFill>
              <w14:schemeClr w14:val="tx1"/>
            </w14:solidFill>
          </w14:textFill>
        </w:rPr>
      </w:pPr>
      <w:r>
        <w:rPr>
          <w:rFonts w:hint="eastAsia" w:ascii="Times New Roman" w:hAnsi="Times New Roman" w:cs="Times New Roman"/>
          <w:b w:val="0"/>
          <w:bCs w:val="0"/>
          <w:color w:val="000000" w:themeColor="text1"/>
          <w:kern w:val="0"/>
          <w:szCs w:val="24"/>
          <w:highlight w:val="none"/>
          <w:lang w:eastAsia="zh-CN"/>
          <w14:textFill>
            <w14:solidFill>
              <w14:schemeClr w14:val="tx1"/>
            </w14:solidFill>
          </w14:textFill>
        </w:rPr>
        <w:t>（</w:t>
      </w:r>
      <w:r>
        <w:rPr>
          <w:rFonts w:hint="eastAsia" w:ascii="Times New Roman" w:hAnsi="Times New Roman" w:cs="Times New Roman"/>
          <w:b w:val="0"/>
          <w:bCs w:val="0"/>
          <w:color w:val="000000" w:themeColor="text1"/>
          <w:kern w:val="0"/>
          <w:szCs w:val="24"/>
          <w:highlight w:val="none"/>
          <w:lang w:val="en-US" w:eastAsia="zh-CN"/>
          <w14:textFill>
            <w14:solidFill>
              <w14:schemeClr w14:val="tx1"/>
            </w14:solidFill>
          </w14:textFill>
        </w:rPr>
        <w:t>1</w:t>
      </w:r>
      <w:r>
        <w:rPr>
          <w:rFonts w:hint="eastAsia" w:ascii="Times New Roman" w:hAnsi="Times New Roman" w:cs="Times New Roman"/>
          <w:b w:val="0"/>
          <w:bCs w:val="0"/>
          <w:color w:val="000000" w:themeColor="text1"/>
          <w:kern w:val="0"/>
          <w:szCs w:val="24"/>
          <w:highlight w:val="none"/>
          <w:lang w:eastAsia="zh-CN"/>
          <w14:textFill>
            <w14:solidFill>
              <w14:schemeClr w14:val="tx1"/>
            </w14:solidFill>
          </w14:textFill>
        </w:rPr>
        <w:t>）</w:t>
      </w:r>
      <w:r>
        <w:rPr>
          <w:rFonts w:hint="eastAsia" w:cs="Times New Roman"/>
          <w:b w:val="0"/>
          <w:bCs w:val="0"/>
          <w:color w:val="000000" w:themeColor="text1"/>
          <w:kern w:val="0"/>
          <w:szCs w:val="24"/>
          <w:highlight w:val="none"/>
          <w:lang w:eastAsia="zh-CN"/>
          <w14:textFill>
            <w14:solidFill>
              <w14:schemeClr w14:val="tx1"/>
            </w14:solidFill>
          </w14:textFill>
        </w:rPr>
        <w:t>危废暂存间</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w:t>
      </w:r>
      <w:r>
        <w:rPr>
          <w:rFonts w:hint="eastAsia" w:ascii="Times New Roman" w:hAnsi="Times New Roman" w:cs="Times New Roman"/>
          <w:b w:val="0"/>
          <w:bCs w:val="0"/>
          <w:color w:val="000000" w:themeColor="text1"/>
          <w:kern w:val="0"/>
          <w:szCs w:val="24"/>
          <w:highlight w:val="none"/>
          <w:lang w:val="en-US" w:eastAsia="zh-CN"/>
          <w14:textFill>
            <w14:solidFill>
              <w14:schemeClr w14:val="tx1"/>
            </w14:solidFill>
          </w14:textFill>
        </w:rPr>
        <w:t>黑膜池</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kern w:val="0"/>
          <w:szCs w:val="24"/>
          <w:highlight w:val="none"/>
          <w:lang w:val="en-US" w:eastAsia="zh-CN"/>
          <w14:textFill>
            <w14:solidFill>
              <w14:schemeClr w14:val="tx1"/>
            </w14:solidFill>
          </w14:textFill>
        </w:rPr>
        <w:t>堆</w:t>
      </w:r>
      <w:r>
        <w:rPr>
          <w:rFonts w:hint="eastAsia" w:ascii="Times New Roman" w:hAnsi="Times New Roman" w:cs="Times New Roman"/>
          <w:b w:val="0"/>
          <w:bCs w:val="0"/>
          <w:color w:val="000000" w:themeColor="text1"/>
          <w:kern w:val="0"/>
          <w:szCs w:val="24"/>
          <w:highlight w:val="none"/>
          <w:lang w:val="en-US" w:eastAsia="zh-CN"/>
          <w14:textFill>
            <w14:solidFill>
              <w14:schemeClr w14:val="tx1"/>
            </w14:solidFill>
          </w14:textFill>
        </w:rPr>
        <w:t>粪</w:t>
      </w:r>
      <w:r>
        <w:rPr>
          <w:rFonts w:hint="eastAsia" w:ascii="Times New Roman" w:hAnsi="Times New Roman" w:eastAsia="宋体" w:cs="Times New Roman"/>
          <w:b w:val="0"/>
          <w:bCs w:val="0"/>
          <w:color w:val="000000" w:themeColor="text1"/>
          <w:kern w:val="0"/>
          <w:szCs w:val="24"/>
          <w:highlight w:val="none"/>
          <w:lang w:val="en-US" w:eastAsia="zh-CN"/>
          <w14:textFill>
            <w14:solidFill>
              <w14:schemeClr w14:val="tx1"/>
            </w14:solidFill>
          </w14:textFill>
        </w:rPr>
        <w:t>场、</w:t>
      </w:r>
      <w:r>
        <w:rPr>
          <w:rFonts w:hint="eastAsia" w:ascii="Times New Roman" w:hAnsi="Times New Roman" w:cs="Times New Roman"/>
          <w:b w:val="0"/>
          <w:bCs w:val="0"/>
          <w:color w:val="000000" w:themeColor="text1"/>
          <w:kern w:val="0"/>
          <w:szCs w:val="28"/>
          <w:highlight w:val="none"/>
          <w:shd w:val="clear" w:color="auto" w:fill="auto"/>
          <w:lang w:val="en-US" w:eastAsia="zh-CN"/>
          <w14:textFill>
            <w14:solidFill>
              <w14:schemeClr w14:val="tx1"/>
            </w14:solidFill>
          </w14:textFill>
        </w:rPr>
        <w:t>固液分离间、</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按重点防渗区采取措施，等效黏土防渗层 Mb≥6.0m，K≤1.0×10</w:t>
      </w:r>
      <w:r>
        <w:rPr>
          <w:rFonts w:hint="eastAsia" w:ascii="Times New Roman" w:hAnsi="Times New Roman" w:eastAsia="宋体" w:cs="Times New Roman"/>
          <w:b w:val="0"/>
          <w:bCs w:val="0"/>
          <w:color w:val="000000" w:themeColor="text1"/>
          <w:kern w:val="0"/>
          <w:szCs w:val="24"/>
          <w:highlight w:val="none"/>
          <w:vertAlign w:val="superscript"/>
          <w14:textFill>
            <w14:solidFill>
              <w14:schemeClr w14:val="tx1"/>
            </w14:solidFill>
          </w14:textFill>
        </w:rPr>
        <w:t xml:space="preserve"> -7</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cm/s；或参照 GB 18598</w:t>
      </w:r>
      <w:r>
        <w:rPr>
          <w:rFonts w:hint="default" w:ascii="Times New Roman" w:hAnsi="Times New Roman" w:eastAsia="宋体" w:cs="Times New Roman"/>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 xml:space="preserve">对猪舍等按一般防渗区采取防渗措施。等效黏土防渗层 Mb≥1.5m，K≤1.0×10 </w:t>
      </w:r>
      <w:r>
        <w:rPr>
          <w:rFonts w:hint="eastAsia" w:ascii="Times New Roman" w:hAnsi="Times New Roman" w:eastAsia="宋体" w:cs="Times New Roman"/>
          <w:b w:val="0"/>
          <w:bCs w:val="0"/>
          <w:color w:val="000000" w:themeColor="text1"/>
          <w:kern w:val="0"/>
          <w:szCs w:val="24"/>
          <w:highlight w:val="none"/>
          <w:vertAlign w:val="superscript"/>
          <w14:textFill>
            <w14:solidFill>
              <w14:schemeClr w14:val="tx1"/>
            </w14:solidFill>
          </w14:textFill>
        </w:rPr>
        <w:t>-7</w:t>
      </w:r>
      <w:r>
        <w:rPr>
          <w:rFonts w:hint="eastAsia" w:ascii="Times New Roman" w:hAnsi="Times New Roman" w:eastAsia="宋体" w:cs="Times New Roman"/>
          <w:b w:val="0"/>
          <w:bCs w:val="0"/>
          <w:color w:val="000000" w:themeColor="text1"/>
          <w:kern w:val="0"/>
          <w:szCs w:val="24"/>
          <w:highlight w:val="none"/>
          <w14:textFill>
            <w14:solidFill>
              <w14:schemeClr w14:val="tx1"/>
            </w14:solidFill>
          </w14:textFill>
        </w:rPr>
        <w:t>cm/s；或参照 GB 16889 执行），在做好基层防渗的基础上进行水泥硬化，在做好基层防渗的基础上进行水泥硬化。</w:t>
      </w:r>
      <w:r>
        <w:rPr>
          <w:rFonts w:hint="eastAsia" w:ascii="Times New Roman" w:hAnsi="Times New Roman" w:eastAsia="宋体" w:cs="Times New Roman"/>
          <w:b w:val="0"/>
          <w:bCs w:val="0"/>
          <w:color w:val="000000" w:themeColor="text1"/>
          <w:kern w:val="0"/>
          <w:szCs w:val="24"/>
          <w:highlight w:val="none"/>
          <w:lang w:val="en-US" w:eastAsia="zh-CN"/>
          <w14:textFill>
            <w14:solidFill>
              <w14:schemeClr w14:val="tx1"/>
            </w14:solidFill>
          </w14:textFill>
        </w:rPr>
        <w:t>其他建筑物及道路采取简单防渗，对其地面采用混凝土进行一般地面硬化。</w:t>
      </w:r>
    </w:p>
    <w:p w14:paraId="2B7B1C3F">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（2）加强环境监测，定期检查厂区硫化物、氨等恶臭</w:t>
      </w:r>
      <w:r>
        <w:rPr>
          <w:rFonts w:hint="eastAsia" w:cs="Times New Roman" w:eastAsiaTheme="minorEastAsia"/>
          <w:color w:val="000000" w:themeColor="text1"/>
          <w:highlight w:val="none"/>
          <w:lang w:val="en-US" w:eastAsia="zh-CN"/>
          <w14:textFill>
            <w14:solidFill>
              <w14:schemeClr w14:val="tx1"/>
            </w14:solidFill>
          </w14:textFill>
        </w:rPr>
        <w:t>气体</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的气体浓度；发现异常情况立即处理。</w:t>
      </w:r>
    </w:p>
    <w:p w14:paraId="6BCC469A">
      <w:pPr>
        <w:bidi w:val="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6.2.8.3疫病风险防范措施</w:t>
      </w:r>
    </w:p>
    <w:p w14:paraId="084E3550">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为预防生猪疫情的发生，本养殖场首先做好综合预防措施和扑灭措施，预防措施包括：加强饲养管理，增强猪的抵抗力；坚持自繁自养；</w:t>
      </w:r>
      <w:r>
        <w:rPr>
          <w:rFonts w:hint="eastAsia" w:cs="Times New Roman" w:eastAsiaTheme="minorEastAsia"/>
          <w:color w:val="000000" w:themeColor="text1"/>
          <w:highlight w:val="none"/>
          <w:lang w:val="en-US" w:eastAsia="zh-CN"/>
          <w14:textFill>
            <w14:solidFill>
              <w14:schemeClr w14:val="tx1"/>
            </w14:solidFill>
          </w14:textFill>
        </w:rPr>
        <w:t>制定</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合理的免疫程序；药物预防。扑灭措施包括：疫情上报、诊断、隔离和封锁、紧急接种和治疗、消毒、尸体处理。当发生重大动物疫情时应按照当地政府和主管部门要求采取措施：</w:t>
      </w:r>
    </w:p>
    <w:p w14:paraId="6C55C6E5">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（1）加强饲养管理，增强生猪抵抗力。</w:t>
      </w:r>
    </w:p>
    <w:p w14:paraId="1DE607A5">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①要按照猪的品种、性别、年龄、体重、强弱等进行合理分群饲养。根据各类猪的营养需要、饲养标准，确定适宜的饲粮和饲喂方法。</w:t>
      </w:r>
    </w:p>
    <w:p w14:paraId="1EA554B3">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②保证猪舍清洁舒适，通风良好。每月用药物进行1～2次定期消毒。空出的猪舍，一定要彻底消毒，一周后才可进猪。</w:t>
      </w:r>
    </w:p>
    <w:p w14:paraId="60EAB54D">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（2）</w:t>
      </w:r>
      <w:r>
        <w:rPr>
          <w:rFonts w:hint="eastAsia" w:cs="Times New Roman" w:eastAsiaTheme="minorEastAsia"/>
          <w:color w:val="000000" w:themeColor="text1"/>
          <w:highlight w:val="none"/>
          <w:lang w:val="en-US" w:eastAsia="zh-CN"/>
          <w14:textFill>
            <w14:solidFill>
              <w14:schemeClr w14:val="tx1"/>
            </w14:solidFill>
          </w14:textFill>
        </w:rPr>
        <w:t>制定</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合理的免疫程序，与当地兽医</w:t>
      </w:r>
      <w:r>
        <w:rPr>
          <w:rFonts w:hint="eastAsia" w:cs="Times New Roman" w:eastAsiaTheme="minorEastAsia"/>
          <w:color w:val="000000" w:themeColor="text1"/>
          <w:highlight w:val="none"/>
          <w:lang w:val="en-US" w:eastAsia="zh-CN"/>
          <w14:textFill>
            <w14:solidFill>
              <w14:schemeClr w14:val="tx1"/>
            </w14:solidFill>
          </w14:textFill>
        </w:rPr>
        <w:t>主管</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部门保持联系，做好场区生猪免疫工作。</w:t>
      </w:r>
    </w:p>
    <w:p w14:paraId="7641B971">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（3）发现传染病的紧急处理，发现传染病或疑似传染病时，应按照《中华人民共和国动物防疫法》的有关条款，采取相应的紧急防治措施，就地扑灭，尸体应作无害化处理。</w:t>
      </w:r>
    </w:p>
    <w:p w14:paraId="39C2A60E">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（4）</w:t>
      </w:r>
      <w:r>
        <w:rPr>
          <w:rFonts w:hint="eastAsia" w:cs="Times New Roman" w:eastAsiaTheme="minorEastAsia"/>
          <w:color w:val="000000" w:themeColor="text1"/>
          <w:highlight w:val="none"/>
          <w:lang w:val="en-US" w:eastAsia="zh-CN"/>
          <w14:textFill>
            <w14:solidFill>
              <w14:schemeClr w14:val="tx1"/>
            </w14:solidFill>
          </w14:textFill>
        </w:rPr>
        <w:t>养殖场</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区进行封闭式管理。</w:t>
      </w:r>
    </w:p>
    <w:p w14:paraId="6272D124">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①人员管理：禁止非本场人员进入生产区；本场饲养人员进入生产区时，必须更换工作衣鞋，通过消毒后入内；本场兽医不得到场外就诊、防疫。</w:t>
      </w:r>
    </w:p>
    <w:p w14:paraId="549BD1AB">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②工具、车辆要求：场内外工具、车辆要严格分开，并定期消毒；外来工具、车辆一般不予进入。力争做到饲养幼猪全进全出，禁止与其他动物混养；禁止生的畜产品带入生产区。</w:t>
      </w:r>
    </w:p>
    <w:p w14:paraId="63923C54">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③把好引种关：引种前要了解产地疫病情况，并经动物防疫部门监测检疫，引入后要隔离饲养观察。</w:t>
      </w:r>
    </w:p>
    <w:p w14:paraId="44B0248C">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（5）科学免疫。</w:t>
      </w:r>
    </w:p>
    <w:p w14:paraId="735A32C5">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①对生猪实行科学免疫是有效防止疫病发生的重要措施。养殖场应根据本场的疫病史、场周围的疫情、生猪免疫抗体水平及猪的不同饲养阶段等情况，有针对性地制定免疫计划。</w:t>
      </w:r>
    </w:p>
    <w:p w14:paraId="1B0A1E70">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②选择购买由国家畜牧兽医行政管理部门定点生产的疫苗，加强疫苗保管储存，并由兽医按防疫注射操作规程实行免疫，同时建立免疫档案。有条件的应及时开展免疫效果监测，并根据监测情况调整免疫程序。</w:t>
      </w:r>
    </w:p>
    <w:p w14:paraId="2DAE238A">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6）规范消毒。消毒工作须做到经常化、制度化，要定期交替使用广谱、高效、低毒的消毒剂；制定科学的消毒程序，定期对猪舍周边环境消毒，任何饲养阶段的猪舍每周至少消毒2次，在条件允许的情况下，要实施带体消毒。</w:t>
      </w:r>
    </w:p>
    <w:p w14:paraId="143F8258">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（7）合理用药。</w:t>
      </w:r>
    </w:p>
    <w:p w14:paraId="10326C40">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兽医用药要严格实行处方用药制度，定期采集一些病猪的病料进行细菌分离培养和药敏试验，并根据药敏试验结果选择敏感药物进行预防、治疗，避免耐药菌株的产生。</w:t>
      </w:r>
    </w:p>
    <w:p w14:paraId="08675A4D">
      <w:pPr>
        <w:numPr>
          <w:ilvl w:val="0"/>
          <w:numId w:val="7"/>
        </w:num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疫情监测。</w:t>
      </w:r>
    </w:p>
    <w:p w14:paraId="7DE0BB55">
      <w:pPr>
        <w:numPr>
          <w:ilvl w:val="0"/>
          <w:numId w:val="0"/>
        </w:numPr>
        <w:bidi w:val="0"/>
        <w:ind w:firstLine="480" w:firstLineChars="20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兽医每天要定期巡查猪舍，发现疫情要及时采取应对措施。一旦发生重大动物疫情时，要立即向当地动物防疫监督机构报告，并及时采取隔离、消毒、扑杀、紧急免疫等有效措施，控制疫情，防止疫情扩散。</w:t>
      </w:r>
    </w:p>
    <w:p w14:paraId="4ADBE59D">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（9）日常卫生。</w:t>
      </w:r>
    </w:p>
    <w:p w14:paraId="0854610D">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平常要认真做好厂区内卫生工作，及时处理粪便，定期进行灭鼠、灭蝇、灭蚊等工作。</w:t>
      </w:r>
    </w:p>
    <w:p w14:paraId="76778C75">
      <w:pPr>
        <w:bidi w:val="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6.2.8.4养殖场隔离舍建设要求及日常防治措施</w:t>
      </w:r>
    </w:p>
    <w:p w14:paraId="6D102AE8">
      <w:pPr>
        <w:keepNext w:val="0"/>
        <w:keepLines w:val="0"/>
        <w:pageBreakBefore w:val="0"/>
        <w:widowControl/>
        <w:numPr>
          <w:ilvl w:val="0"/>
          <w:numId w:val="0"/>
        </w:numPr>
        <w:kinsoku/>
        <w:wordWrap/>
        <w:overflowPunct w:val="0"/>
        <w:topLinePunct/>
        <w:autoSpaceDE/>
        <w:autoSpaceDN/>
        <w:bidi w:val="0"/>
        <w:adjustRightInd/>
        <w:snapToGrid/>
        <w:spacing w:line="360" w:lineRule="auto"/>
        <w:ind w:firstLine="480" w:firstLineChars="200"/>
        <w:jc w:val="both"/>
        <w:textAlignment w:val="auto"/>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本次环评建议设置隔离舍，隔离舍必须在年主导风向的下风向，并且不得在地下水径流的上游区。此外隔离区必须与生产区、生活办公区隔开，一般</w:t>
      </w:r>
      <w:r>
        <w:rPr>
          <w:rFonts w:hint="eastAsia" w:cs="Times New Roman" w:eastAsiaTheme="minorEastAsia"/>
          <w:color w:val="000000" w:themeColor="text1"/>
          <w:highlight w:val="none"/>
          <w:lang w:val="en-US" w:eastAsia="zh-CN"/>
          <w14:textFill>
            <w14:solidFill>
              <w14:schemeClr w14:val="tx1"/>
            </w14:solidFill>
          </w14:textFill>
        </w:rPr>
        <w:t>隔离</w:t>
      </w: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区设置在距离生产区、生活办公区50-100m远处较为合适。要求隔离舍四周隔开，并设专用消毒设施，隔离场的入口处设置警示标志。</w:t>
      </w:r>
    </w:p>
    <w:p w14:paraId="0185D0BC">
      <w:pPr>
        <w:pStyle w:val="14"/>
        <w:ind w:firstLine="480" w:firstLineChars="200"/>
        <w:rPr>
          <w:rFonts w:hint="eastAsia" w:eastAsiaTheme="minorEastAsia"/>
          <w:color w:val="000000" w:themeColor="text1"/>
          <w:highlight w:val="none"/>
          <w:lang w:eastAsia="zh-CN"/>
          <w14:textFill>
            <w14:solidFill>
              <w14:schemeClr w14:val="tx1"/>
            </w14:solidFill>
          </w14:textFill>
        </w:rPr>
      </w:pPr>
      <w:r>
        <w:rPr>
          <w:rFonts w:hint="eastAsia" w:ascii="Times New Roman" w:hAnsi="Times New Roman" w:cs="Times New Roman" w:eastAsiaTheme="minorEastAsia"/>
          <w:color w:val="000000" w:themeColor="text1"/>
          <w:highlight w:val="none"/>
          <w:lang w:val="en-US" w:eastAsia="zh-CN"/>
          <w14:textFill>
            <w14:solidFill>
              <w14:schemeClr w14:val="tx1"/>
            </w14:solidFill>
          </w14:textFill>
        </w:rPr>
        <w:t>另外隔离舍区要加强管理：要求工作人员无人兽共患传染病；严禁非工作人员进入隔离区；工作人员进出隔离区应该遵循程序，更衣→换鞋→经消毒池→消毒通道进出；隔离舍要定期彻底清洗/毒隔设备（运输车辆等）；工作人员未经管理人员批准随意进出隔离舍；不得携进（出）任何物品。</w:t>
      </w:r>
    </w:p>
    <w:p w14:paraId="1D7275F7">
      <w:pPr>
        <w:rPr>
          <w:color w:val="000000" w:themeColor="text1"/>
          <w:highlight w:val="none"/>
          <w14:textFill>
            <w14:solidFill>
              <w14:schemeClr w14:val="tx1"/>
            </w14:solidFill>
          </w14:textFill>
        </w:rPr>
        <w:sectPr>
          <w:headerReference r:id="rId17" w:type="default"/>
          <w:footerReference r:id="rId18" w:type="default"/>
          <w:pgSz w:w="11906" w:h="16839"/>
          <w:pgMar w:top="1440" w:right="1803" w:bottom="1440" w:left="1803" w:header="882" w:footer="886" w:gutter="0"/>
          <w:pgBorders>
            <w:top w:val="none" w:sz="0" w:space="0"/>
            <w:left w:val="none" w:sz="0" w:space="0"/>
            <w:bottom w:val="none" w:sz="0" w:space="0"/>
            <w:right w:val="none" w:sz="0" w:space="0"/>
          </w:pgBorders>
          <w:pgNumType w:fmt="decimal"/>
          <w:cols w:space="720" w:num="1"/>
        </w:sectPr>
      </w:pPr>
    </w:p>
    <w:p w14:paraId="6C71A63F">
      <w:pPr>
        <w:pStyle w:val="2"/>
        <w:rPr>
          <w:color w:val="000000" w:themeColor="text1"/>
          <w:highlight w:val="none"/>
          <w14:textFill>
            <w14:solidFill>
              <w14:schemeClr w14:val="tx1"/>
            </w14:solidFill>
          </w14:textFill>
        </w:rPr>
      </w:pPr>
      <w:bookmarkStart w:id="253" w:name="bookmark33"/>
      <w:bookmarkEnd w:id="253"/>
      <w:bookmarkStart w:id="254" w:name="bookmark32"/>
      <w:bookmarkEnd w:id="254"/>
      <w:bookmarkStart w:id="255" w:name="_Toc17939"/>
      <w:bookmarkStart w:id="256" w:name="_Toc22554"/>
      <w:r>
        <w:rPr>
          <w:color w:val="000000" w:themeColor="text1"/>
          <w:highlight w:val="none"/>
          <w14:textFill>
            <w14:solidFill>
              <w14:schemeClr w14:val="tx1"/>
            </w14:solidFill>
          </w14:textFill>
        </w:rPr>
        <w:t>7.环境经济损益分析</w:t>
      </w:r>
      <w:bookmarkEnd w:id="255"/>
      <w:bookmarkEnd w:id="256"/>
    </w:p>
    <w:p w14:paraId="5A849FE1">
      <w:pPr>
        <w:pStyle w:val="3"/>
        <w:rPr>
          <w:color w:val="000000" w:themeColor="text1"/>
          <w:highlight w:val="none"/>
          <w14:textFill>
            <w14:solidFill>
              <w14:schemeClr w14:val="tx1"/>
            </w14:solidFill>
          </w14:textFill>
        </w:rPr>
      </w:pPr>
      <w:bookmarkStart w:id="257" w:name="_Toc5512"/>
      <w:bookmarkStart w:id="258" w:name="_Toc6322"/>
      <w:r>
        <w:rPr>
          <w:color w:val="000000" w:themeColor="text1"/>
          <w:highlight w:val="none"/>
          <w14:textFill>
            <w14:solidFill>
              <w14:schemeClr w14:val="tx1"/>
            </w14:solidFill>
          </w14:textFill>
        </w:rPr>
        <w:t>7.1效益分析</w:t>
      </w:r>
      <w:bookmarkEnd w:id="257"/>
      <w:bookmarkEnd w:id="258"/>
    </w:p>
    <w:p w14:paraId="2AAC914D">
      <w:pPr>
        <w:pStyle w:val="4"/>
        <w:rPr>
          <w:color w:val="000000" w:themeColor="text1"/>
          <w:highlight w:val="none"/>
          <w14:textFill>
            <w14:solidFill>
              <w14:schemeClr w14:val="tx1"/>
            </w14:solidFill>
          </w14:textFill>
        </w:rPr>
      </w:pPr>
      <w:bookmarkStart w:id="259" w:name="_Toc27046"/>
      <w:r>
        <w:rPr>
          <w:color w:val="000000" w:themeColor="text1"/>
          <w:highlight w:val="none"/>
          <w14:textFill>
            <w14:solidFill>
              <w14:schemeClr w14:val="tx1"/>
            </w14:solidFill>
          </w14:textFill>
        </w:rPr>
        <w:t>7.1.1经济效益</w:t>
      </w:r>
      <w:bookmarkEnd w:id="259"/>
    </w:p>
    <w:p w14:paraId="17C875D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本项目投入总资金</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000万元，环保投资</w:t>
      </w:r>
      <w:r>
        <w:rPr>
          <w:rFonts w:hint="eastAsia"/>
          <w:color w:val="000000" w:themeColor="text1"/>
          <w:highlight w:val="none"/>
          <w:lang w:val="en-US" w:eastAsia="zh-CN"/>
          <w14:textFill>
            <w14:solidFill>
              <w14:schemeClr w14:val="tx1"/>
            </w14:solidFill>
          </w14:textFill>
        </w:rPr>
        <w:t>217.5</w:t>
      </w:r>
      <w:r>
        <w:rPr>
          <w:color w:val="000000" w:themeColor="text1"/>
          <w:highlight w:val="none"/>
          <w14:textFill>
            <w14:solidFill>
              <w14:schemeClr w14:val="tx1"/>
            </w14:solidFill>
          </w14:textFill>
        </w:rPr>
        <w:t>万元，占全部投资的</w:t>
      </w:r>
      <w:r>
        <w:rPr>
          <w:rFonts w:hint="eastAsia"/>
          <w:color w:val="000000" w:themeColor="text1"/>
          <w:highlight w:val="none"/>
          <w:lang w:val="en-US" w:eastAsia="zh-CN"/>
          <w14:textFill>
            <w14:solidFill>
              <w14:schemeClr w14:val="tx1"/>
            </w14:solidFill>
          </w14:textFill>
        </w:rPr>
        <w:t>7.25</w:t>
      </w:r>
      <w:r>
        <w:rPr>
          <w:color w:val="000000" w:themeColor="text1"/>
          <w:highlight w:val="none"/>
          <w14:textFill>
            <w14:solidFill>
              <w14:schemeClr w14:val="tx1"/>
            </w14:solidFill>
          </w14:textFill>
        </w:rPr>
        <w:t>%。本项目经济效益较好，且具有一定的抗风险能力，在经济上是可行的。</w:t>
      </w:r>
    </w:p>
    <w:p w14:paraId="2826F691">
      <w:pPr>
        <w:pStyle w:val="4"/>
        <w:rPr>
          <w:color w:val="000000" w:themeColor="text1"/>
          <w:highlight w:val="none"/>
          <w14:textFill>
            <w14:solidFill>
              <w14:schemeClr w14:val="tx1"/>
            </w14:solidFill>
          </w14:textFill>
        </w:rPr>
      </w:pPr>
      <w:bookmarkStart w:id="260" w:name="_Toc2565"/>
      <w:r>
        <w:rPr>
          <w:color w:val="000000" w:themeColor="text1"/>
          <w:highlight w:val="none"/>
          <w14:textFill>
            <w14:solidFill>
              <w14:schemeClr w14:val="tx1"/>
            </w14:solidFill>
          </w14:textFill>
        </w:rPr>
        <w:t>7.1.2社会效益</w:t>
      </w:r>
      <w:bookmarkEnd w:id="260"/>
    </w:p>
    <w:p w14:paraId="45767AE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本项目符合国家产业政策，本项目采用优良种猪育肥、引进国外先进模式 和管理经验、推动</w:t>
      </w:r>
      <w:r>
        <w:rPr>
          <w:rFonts w:hint="eastAsia"/>
          <w:color w:val="000000" w:themeColor="text1"/>
          <w:highlight w:val="none"/>
          <w:lang w:eastAsia="zh-CN"/>
          <w14:textFill>
            <w14:solidFill>
              <w14:schemeClr w14:val="tx1"/>
            </w14:solidFill>
          </w14:textFill>
        </w:rPr>
        <w:t>胡杨河市</w:t>
      </w:r>
      <w:r>
        <w:rPr>
          <w:color w:val="000000" w:themeColor="text1"/>
          <w:highlight w:val="none"/>
          <w14:textFill>
            <w14:solidFill>
              <w14:schemeClr w14:val="tx1"/>
            </w14:solidFill>
          </w14:textFill>
        </w:rPr>
        <w:t>畜牧业进一步做大做强增强人民体质等方面都具有重</w:t>
      </w:r>
    </w:p>
    <w:p w14:paraId="1E2A004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要意义。本项目的社会效益主要表现在：</w:t>
      </w:r>
    </w:p>
    <w:p w14:paraId="49B5148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（1）通过该项目的实施，有利于加大农业综合开发利用力度，有利于资源</w:t>
      </w:r>
    </w:p>
    <w:p w14:paraId="666F16B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优势转化为产业优势，提高土地的产出效益。</w:t>
      </w:r>
    </w:p>
    <w:p w14:paraId="13FD2036">
      <w:pPr>
        <w:numPr>
          <w:ilvl w:val="0"/>
          <w:numId w:val="8"/>
        </w:num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通过引进优良品质、采用现代化的养殖工艺与装备，通过标准化、规模化生猪饲养模式，推动</w:t>
      </w:r>
      <w:r>
        <w:rPr>
          <w:rFonts w:hint="eastAsia"/>
          <w:color w:val="000000" w:themeColor="text1"/>
          <w:highlight w:val="none"/>
          <w:lang w:eastAsia="zh-CN"/>
          <w14:textFill>
            <w14:solidFill>
              <w14:schemeClr w14:val="tx1"/>
            </w14:solidFill>
          </w14:textFill>
        </w:rPr>
        <w:t>胡杨河市</w:t>
      </w:r>
      <w:r>
        <w:rPr>
          <w:color w:val="000000" w:themeColor="text1"/>
          <w:highlight w:val="none"/>
          <w14:textFill>
            <w14:solidFill>
              <w14:schemeClr w14:val="tx1"/>
            </w14:solidFill>
          </w14:textFill>
        </w:rPr>
        <w:t>畜牧业实现高效生产和可持续发展具有较好的示范作用。</w:t>
      </w:r>
    </w:p>
    <w:p w14:paraId="13A8C7FE">
      <w:pPr>
        <w:numPr>
          <w:ilvl w:val="0"/>
          <w:numId w:val="0"/>
        </w:num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（3）畜禽粪制成优质有机肥用于土壤施肥、土壤改良。项目为周围种植业提供了大量优质有机肥，降低了化肥在农产品生产中的使用量，为无公害、绿色、有机农产品的生产提供了有利条件。</w:t>
      </w:r>
    </w:p>
    <w:p w14:paraId="61BEBF6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（4）项目实施后将促进和带动周边加工业等相关产业的发展，同时，可以进一步促进规划区内基础设施的建设。</w:t>
      </w:r>
    </w:p>
    <w:p w14:paraId="77EA4A5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（5）本项目的实施可以直接或间接的增加许多就业机会，促进社会的安定团结。</w:t>
      </w:r>
    </w:p>
    <w:p w14:paraId="46F5E112">
      <w:pPr>
        <w:ind w:firstLine="480" w:firstLineChars="200"/>
        <w:rPr>
          <w:rFonts w:ascii="Arial"/>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t>（6）项目的实施可以增加地方政府的税收，促进地方经济发展和人民生活质量的提高。</w:t>
      </w:r>
    </w:p>
    <w:p w14:paraId="2788CE25">
      <w:pPr>
        <w:pStyle w:val="4"/>
        <w:rPr>
          <w:color w:val="000000" w:themeColor="text1"/>
          <w:highlight w:val="none"/>
          <w14:textFill>
            <w14:solidFill>
              <w14:schemeClr w14:val="tx1"/>
            </w14:solidFill>
          </w14:textFill>
        </w:rPr>
      </w:pPr>
      <w:bookmarkStart w:id="261" w:name="_Toc19686"/>
      <w:r>
        <w:rPr>
          <w:color w:val="000000" w:themeColor="text1"/>
          <w:highlight w:val="none"/>
          <w14:textFill>
            <w14:solidFill>
              <w14:schemeClr w14:val="tx1"/>
            </w14:solidFill>
          </w14:textFill>
        </w:rPr>
        <w:t>7.1.3</w:t>
      </w:r>
      <w:r>
        <w:rPr>
          <w:rFonts w:hint="eastAsia"/>
          <w:color w:val="000000" w:themeColor="text1"/>
          <w:highlight w:val="none"/>
          <w14:textFill>
            <w14:solidFill>
              <w14:schemeClr w14:val="tx1"/>
            </w14:solidFill>
          </w14:textFill>
        </w:rPr>
        <w:t xml:space="preserve"> </w:t>
      </w:r>
      <w:r>
        <w:rPr>
          <w:color w:val="000000" w:themeColor="text1"/>
          <w:highlight w:val="none"/>
          <w14:textFill>
            <w14:solidFill>
              <w14:schemeClr w14:val="tx1"/>
            </w14:solidFill>
          </w14:textFill>
        </w:rPr>
        <w:t>环境效益</w:t>
      </w:r>
      <w:bookmarkEnd w:id="261"/>
    </w:p>
    <w:p w14:paraId="17F56DA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在设计中充分考虑了环境保护的要求，严格执行各项环境保护标准。采用的工艺为原料消耗较低、工艺先进、成熟可靠、少污染的新工艺、新技术、新设备，从根本上减少了污染，有利于环境保护。针对在生产中产生的污染物，从实际出发采取多种相应的处理措施。如合理划分排水系统，</w:t>
      </w:r>
      <w:r>
        <w:rPr>
          <w:rFonts w:hint="eastAsia"/>
          <w:color w:val="000000" w:themeColor="text1"/>
          <w:highlight w:val="none"/>
          <w:lang w:val="en-US" w:eastAsia="zh-CN"/>
          <w14:textFill>
            <w14:solidFill>
              <w14:schemeClr w14:val="tx1"/>
            </w14:solidFill>
          </w14:textFill>
        </w:rPr>
        <w:t>冬季使用电采暖，</w:t>
      </w:r>
      <w:r>
        <w:rPr>
          <w:color w:val="000000" w:themeColor="text1"/>
          <w:highlight w:val="none"/>
          <w14:textFill>
            <w14:solidFill>
              <w14:schemeClr w14:val="tx1"/>
            </w14:solidFill>
          </w14:textFill>
        </w:rPr>
        <w:t>减少废气排放；生产废水处理后循环利用；在设备选型时，选用低噪声设施，并采取消声措施，减少噪声对环境的影响等。本项目采取上述环境治理措施后，外排的污染物很少，既保护了环境又为企业带来了一定的经济效益。主要表现为以下几个方面：</w:t>
      </w:r>
    </w:p>
    <w:p w14:paraId="61D74E9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（1）废水削减</w:t>
      </w:r>
    </w:p>
    <w:p w14:paraId="1CECC99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该养殖场日排</w:t>
      </w:r>
      <w:r>
        <w:rPr>
          <w:rFonts w:hint="eastAsia"/>
          <w:color w:val="000000" w:themeColor="text1"/>
          <w:highlight w:val="none"/>
          <w14:textFill>
            <w14:solidFill>
              <w14:schemeClr w14:val="tx1"/>
            </w14:solidFill>
          </w14:textFill>
        </w:rPr>
        <w:t>尿</w:t>
      </w:r>
      <w:r>
        <w:rPr>
          <w:color w:val="000000" w:themeColor="text1"/>
          <w:highlight w:val="none"/>
          <w14:textFill>
            <w14:solidFill>
              <w14:schemeClr w14:val="tx1"/>
            </w14:solidFill>
          </w14:textFill>
        </w:rPr>
        <w:t>液、冲洗水和生活污水</w:t>
      </w:r>
      <w:r>
        <w:rPr>
          <w:rFonts w:hint="eastAsia" w:cs="宋体"/>
          <w:b w:val="0"/>
          <w:bCs w:val="0"/>
          <w:color w:val="000000" w:themeColor="text1"/>
          <w:kern w:val="0"/>
          <w:szCs w:val="24"/>
          <w:highlight w:val="none"/>
          <w:lang w:val="en-US" w:eastAsia="zh-CN"/>
          <w14:textFill>
            <w14:solidFill>
              <w14:schemeClr w14:val="tx1"/>
            </w14:solidFill>
          </w14:textFill>
        </w:rPr>
        <w:t>45420.39</w:t>
      </w:r>
      <w:r>
        <w:rPr>
          <w:color w:val="000000" w:themeColor="text1"/>
          <w:highlight w:val="none"/>
          <w14:textFill>
            <w14:solidFill>
              <w14:schemeClr w14:val="tx1"/>
            </w14:solidFill>
          </w14:textFill>
        </w:rPr>
        <w:t>t/a，经</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处理后全部转化为液体有机肥灌溉周边农田，全部综合利用，全部实现资源化。固废削减</w:t>
      </w:r>
    </w:p>
    <w:p w14:paraId="7F4785B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本项目猪粪</w:t>
      </w:r>
      <w:r>
        <w:rPr>
          <w:rFonts w:ascii="Times New Roman" w:hAnsi="Times New Roman" w:eastAsia="宋体" w:cs="宋体"/>
          <w:color w:val="000000" w:themeColor="text1"/>
          <w:highlight w:val="none"/>
          <w14:textFill>
            <w14:solidFill>
              <w14:schemeClr w14:val="tx1"/>
            </w14:solidFill>
          </w14:textFill>
        </w:rPr>
        <w:t>产量为</w:t>
      </w:r>
      <w:r>
        <w:rPr>
          <w:rFonts w:hint="eastAsia" w:ascii="Times New Roman" w:hAnsi="Times New Roman" w:eastAsia="宋体" w:cs="宋体"/>
          <w:color w:val="000000" w:themeColor="text1"/>
          <w:highlight w:val="none"/>
          <w:lang w:val="en-US" w:eastAsia="zh-CN"/>
          <w14:textFill>
            <w14:solidFill>
              <w14:schemeClr w14:val="tx1"/>
            </w14:solidFill>
          </w14:textFill>
        </w:rPr>
        <w:t>5366.87</w:t>
      </w:r>
      <w:r>
        <w:rPr>
          <w:rFonts w:hint="default" w:ascii="Times New Roman" w:hAnsi="Times New Roman" w:eastAsia="宋体" w:cs="宋体"/>
          <w:color w:val="000000" w:themeColor="text1"/>
          <w:highlight w:val="none"/>
          <w:lang w:val="en-US" w:eastAsia="zh-CN"/>
          <w14:textFill>
            <w14:solidFill>
              <w14:schemeClr w14:val="tx1"/>
            </w14:solidFill>
          </w14:textFill>
        </w:rPr>
        <w:t>t/a</w:t>
      </w:r>
      <w:r>
        <w:rPr>
          <w:rFonts w:ascii="Times New Roman" w:hAnsi="Times New Roman" w:eastAsia="宋体" w:cs="宋体"/>
          <w:color w:val="000000" w:themeColor="text1"/>
          <w:highlight w:val="none"/>
          <w14:textFill>
            <w14:solidFill>
              <w14:schemeClr w14:val="tx1"/>
            </w14:solidFill>
          </w14:textFill>
        </w:rPr>
        <w:t>，猪粪经固液分</w:t>
      </w:r>
      <w:r>
        <w:rPr>
          <w:color w:val="000000" w:themeColor="text1"/>
          <w:highlight w:val="none"/>
          <w14:textFill>
            <w14:solidFill>
              <w14:schemeClr w14:val="tx1"/>
            </w14:solidFill>
          </w14:textFill>
        </w:rPr>
        <w:t>离发酵处理后作为固体有机肥，最终施用于周围农田。</w:t>
      </w:r>
    </w:p>
    <w:p w14:paraId="5380DDD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）生态环境效益</w:t>
      </w:r>
    </w:p>
    <w:p w14:paraId="30B0270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本项目猪粪制成有机肥内含大量N、P、K 营养成分。长期施用化肥会对土壤造成重金属、有机副成分、氟、放射性等污染，同时，还会改变土壤理化性质、破坏土壤微生物环境。由于有机肥对改良土壤有重要作用，因此，猪粪发酵制成有机肥对土壤的改良功效明显。</w:t>
      </w:r>
    </w:p>
    <w:p w14:paraId="67F626B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本项目环保投资</w:t>
      </w:r>
      <w:r>
        <w:rPr>
          <w:rFonts w:hint="eastAsia"/>
          <w:color w:val="000000" w:themeColor="text1"/>
          <w:highlight w:val="none"/>
          <w:lang w:val="en-US" w:eastAsia="zh-CN"/>
          <w14:textFill>
            <w14:solidFill>
              <w14:schemeClr w14:val="tx1"/>
            </w14:solidFill>
          </w14:textFill>
        </w:rPr>
        <w:t>217.5</w:t>
      </w:r>
      <w:r>
        <w:rPr>
          <w:color w:val="000000" w:themeColor="text1"/>
          <w:highlight w:val="none"/>
          <w14:textFill>
            <w14:solidFill>
              <w14:schemeClr w14:val="tx1"/>
            </w14:solidFill>
          </w14:textFill>
        </w:rPr>
        <w:t>万元，占全部投资的</w:t>
      </w:r>
      <w:r>
        <w:rPr>
          <w:rFonts w:hint="eastAsia"/>
          <w:color w:val="000000" w:themeColor="text1"/>
          <w:highlight w:val="none"/>
          <w:lang w:val="en-US" w:eastAsia="zh-CN"/>
          <w14:textFill>
            <w14:solidFill>
              <w14:schemeClr w14:val="tx1"/>
            </w14:solidFill>
          </w14:textFill>
        </w:rPr>
        <w:t>7.25</w:t>
      </w:r>
      <w:r>
        <w:rPr>
          <w:color w:val="000000" w:themeColor="text1"/>
          <w:highlight w:val="none"/>
          <w14:textFill>
            <w14:solidFill>
              <w14:schemeClr w14:val="tx1"/>
            </w14:solidFill>
          </w14:textFill>
        </w:rPr>
        <w:t>%。环保投资的落实可以保证环保设施的投入和正常运行，将带来较大的经济效益。本项目各装置从工艺上选择先进的具有节能和环保效果的技术，采用国内成熟生产工艺，工艺流程设计严谨，设备传动及控制系统设计先进，构造合理，为降低能耗提供了技术保证。</w:t>
      </w:r>
    </w:p>
    <w:p w14:paraId="05D5A87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从总体上看，项目建成后，环境正效益远大于环境负效益。</w:t>
      </w:r>
    </w:p>
    <w:p w14:paraId="021AC8C8">
      <w:pPr>
        <w:ind w:firstLine="480" w:firstLineChars="200"/>
        <w:rPr>
          <w:rFonts w:ascii="Arial"/>
          <w:color w:val="000000" w:themeColor="text1"/>
          <w:sz w:val="21"/>
          <w:highlight w:val="none"/>
          <w14:textFill>
            <w14:solidFill>
              <w14:schemeClr w14:val="tx1"/>
            </w14:solidFill>
          </w14:textFill>
        </w:rPr>
      </w:pPr>
      <w:r>
        <w:rPr>
          <w:color w:val="000000" w:themeColor="text1"/>
          <w:highlight w:val="none"/>
          <w14:textFill>
            <w14:solidFill>
              <w14:schemeClr w14:val="tx1"/>
            </w14:solidFill>
          </w14:textFill>
        </w:rPr>
        <w:t>综上所述，本项目设计工艺先进，环保设施</w:t>
      </w:r>
      <w:r>
        <w:rPr>
          <w:rFonts w:hint="eastAsia"/>
          <w:color w:val="000000" w:themeColor="text1"/>
          <w:highlight w:val="none"/>
          <w14:textFill>
            <w14:solidFill>
              <w14:schemeClr w14:val="tx1"/>
            </w14:solidFill>
          </w14:textFill>
        </w:rPr>
        <w:t>较为</w:t>
      </w:r>
      <w:r>
        <w:rPr>
          <w:color w:val="000000" w:themeColor="text1"/>
          <w:highlight w:val="none"/>
          <w14:textFill>
            <w14:solidFill>
              <w14:schemeClr w14:val="tx1"/>
            </w14:solidFill>
          </w14:textFill>
        </w:rPr>
        <w:t>完备，具有较好的经济效益、社会效益和环境效益。</w:t>
      </w:r>
    </w:p>
    <w:p w14:paraId="2E5592F3">
      <w:pPr>
        <w:pStyle w:val="3"/>
        <w:rPr>
          <w:color w:val="000000" w:themeColor="text1"/>
          <w:highlight w:val="none"/>
          <w14:textFill>
            <w14:solidFill>
              <w14:schemeClr w14:val="tx1"/>
            </w14:solidFill>
          </w14:textFill>
        </w:rPr>
      </w:pPr>
      <w:bookmarkStart w:id="262" w:name="bookmark34"/>
      <w:bookmarkEnd w:id="262"/>
      <w:bookmarkStart w:id="263" w:name="_Toc16187"/>
      <w:bookmarkStart w:id="264" w:name="_Toc588"/>
      <w:r>
        <w:rPr>
          <w:color w:val="000000" w:themeColor="text1"/>
          <w:highlight w:val="none"/>
          <w14:textFill>
            <w14:solidFill>
              <w14:schemeClr w14:val="tx1"/>
            </w14:solidFill>
          </w14:textFill>
        </w:rPr>
        <w:t>7.2环保投资估算</w:t>
      </w:r>
      <w:bookmarkEnd w:id="263"/>
      <w:bookmarkEnd w:id="264"/>
    </w:p>
    <w:p w14:paraId="39D13313">
      <w:pPr>
        <w:kinsoku/>
        <w:autoSpaceDE/>
        <w:autoSpaceDN/>
        <w:bidi w:val="0"/>
        <w:spacing w:line="360" w:lineRule="auto"/>
        <w:ind w:firstLine="480" w:firstLineChars="200"/>
        <w:jc w:val="left"/>
        <w:rPr>
          <w:rFonts w:ascii="Arial" w:hAnsi="Times New Roman" w:eastAsia="宋体" w:cs="宋体"/>
          <w:b w:val="0"/>
          <w:bCs w:val="0"/>
          <w:color w:val="000000" w:themeColor="text1"/>
          <w:kern w:val="0"/>
          <w:sz w:val="21"/>
          <w:szCs w:val="24"/>
          <w:highlight w:val="none"/>
          <w14:textFill>
            <w14:solidFill>
              <w14:schemeClr w14:val="tx1"/>
            </w14:solidFill>
          </w14:textFill>
        </w:rPr>
      </w:pPr>
      <w:r>
        <w:rPr>
          <w:rFonts w:ascii="Times New Roman" w:hAnsi="Times New Roman" w:eastAsia="宋体" w:cs="宋体"/>
          <w:b w:val="0"/>
          <w:bCs w:val="0"/>
          <w:color w:val="000000" w:themeColor="text1"/>
          <w:kern w:val="0"/>
          <w:szCs w:val="24"/>
          <w:highlight w:val="none"/>
          <w14:textFill>
            <w14:solidFill>
              <w14:schemeClr w14:val="tx1"/>
            </w14:solidFill>
          </w14:textFill>
        </w:rPr>
        <w:t>本项目的环境保护投资主要由废气、废水、固废、噪声治理等组成，主要包括</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设备、措施</w:t>
      </w:r>
      <w:r>
        <w:rPr>
          <w:rFonts w:ascii="Times New Roman" w:hAnsi="Times New Roman" w:eastAsia="宋体" w:cs="宋体"/>
          <w:b w:val="0"/>
          <w:bCs w:val="0"/>
          <w:color w:val="000000" w:themeColor="text1"/>
          <w:kern w:val="0"/>
          <w:szCs w:val="24"/>
          <w:highlight w:val="none"/>
          <w14:textFill>
            <w14:solidFill>
              <w14:schemeClr w14:val="tx1"/>
            </w14:solidFill>
          </w14:textFill>
        </w:rPr>
        <w:t>等费用，合计约</w:t>
      </w:r>
      <w:r>
        <w:rPr>
          <w:rFonts w:hint="eastAsia" w:cs="宋体"/>
          <w:b w:val="0"/>
          <w:bCs w:val="0"/>
          <w:color w:val="000000" w:themeColor="text1"/>
          <w:kern w:val="0"/>
          <w:szCs w:val="24"/>
          <w:highlight w:val="none"/>
          <w:lang w:val="en-US" w:eastAsia="zh-CN"/>
          <w14:textFill>
            <w14:solidFill>
              <w14:schemeClr w14:val="tx1"/>
            </w14:solidFill>
          </w14:textFill>
        </w:rPr>
        <w:t>2</w:t>
      </w:r>
      <w:r>
        <w:rPr>
          <w:rFonts w:hint="eastAsia" w:ascii="Times New Roman" w:hAnsi="Times New Roman" w:cs="宋体"/>
          <w:b w:val="0"/>
          <w:bCs w:val="0"/>
          <w:color w:val="000000" w:themeColor="text1"/>
          <w:kern w:val="0"/>
          <w:szCs w:val="24"/>
          <w:highlight w:val="none"/>
          <w:lang w:val="en-US" w:eastAsia="zh-CN"/>
          <w14:textFill>
            <w14:solidFill>
              <w14:schemeClr w14:val="tx1"/>
            </w14:solidFill>
          </w14:textFill>
        </w:rPr>
        <w:t>17.5</w:t>
      </w:r>
      <w:r>
        <w:rPr>
          <w:rFonts w:ascii="Times New Roman" w:hAnsi="Times New Roman" w:eastAsia="宋体" w:cs="宋体"/>
          <w:b w:val="0"/>
          <w:bCs w:val="0"/>
          <w:color w:val="000000" w:themeColor="text1"/>
          <w:kern w:val="0"/>
          <w:szCs w:val="24"/>
          <w:highlight w:val="none"/>
          <w14:textFill>
            <w14:solidFill>
              <w14:schemeClr w14:val="tx1"/>
            </w14:solidFill>
          </w14:textFill>
        </w:rPr>
        <w:t>万元。本项目总投资</w:t>
      </w:r>
      <w:r>
        <w:rPr>
          <w:rFonts w:hint="eastAsia" w:cs="宋体"/>
          <w:b w:val="0"/>
          <w:bCs w:val="0"/>
          <w:color w:val="000000" w:themeColor="text1"/>
          <w:kern w:val="0"/>
          <w:szCs w:val="24"/>
          <w:highlight w:val="none"/>
          <w:lang w:val="en-US" w:eastAsia="zh-CN"/>
          <w14:textFill>
            <w14:solidFill>
              <w14:schemeClr w14:val="tx1"/>
            </w14:solidFill>
          </w14:textFill>
        </w:rPr>
        <w:t>3</w:t>
      </w:r>
      <w:r>
        <w:rPr>
          <w:rFonts w:ascii="Times New Roman" w:hAnsi="Times New Roman" w:eastAsia="宋体" w:cs="宋体"/>
          <w:b w:val="0"/>
          <w:bCs w:val="0"/>
          <w:color w:val="000000" w:themeColor="text1"/>
          <w:kern w:val="0"/>
          <w:szCs w:val="24"/>
          <w:highlight w:val="none"/>
          <w14:textFill>
            <w14:solidFill>
              <w14:schemeClr w14:val="tx1"/>
            </w14:solidFill>
          </w14:textFill>
        </w:rPr>
        <w:t>000万元，约占总投资的</w:t>
      </w:r>
      <w:r>
        <w:rPr>
          <w:rFonts w:hint="eastAsia" w:cs="宋体"/>
          <w:b w:val="0"/>
          <w:bCs w:val="0"/>
          <w:color w:val="000000" w:themeColor="text1"/>
          <w:kern w:val="0"/>
          <w:szCs w:val="24"/>
          <w:highlight w:val="none"/>
          <w:lang w:val="en-US" w:eastAsia="zh-CN"/>
          <w14:textFill>
            <w14:solidFill>
              <w14:schemeClr w14:val="tx1"/>
            </w14:solidFill>
          </w14:textFill>
        </w:rPr>
        <w:t>7.25</w:t>
      </w:r>
      <w:r>
        <w:rPr>
          <w:rFonts w:ascii="Times New Roman" w:hAnsi="Times New Roman" w:eastAsia="宋体" w:cs="宋体"/>
          <w:b w:val="0"/>
          <w:bCs w:val="0"/>
          <w:color w:val="000000" w:themeColor="text1"/>
          <w:kern w:val="0"/>
          <w:szCs w:val="24"/>
          <w:highlight w:val="none"/>
          <w14:textFill>
            <w14:solidFill>
              <w14:schemeClr w14:val="tx1"/>
            </w14:solidFill>
          </w14:textFill>
        </w:rPr>
        <w:t>%，费用估算见表7.</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2</w:t>
      </w:r>
      <w:r>
        <w:rPr>
          <w:rFonts w:ascii="Times New Roman" w:hAnsi="Times New Roman" w:eastAsia="宋体" w:cs="宋体"/>
          <w:b w:val="0"/>
          <w:bCs w:val="0"/>
          <w:color w:val="000000" w:themeColor="text1"/>
          <w:kern w:val="0"/>
          <w:szCs w:val="24"/>
          <w:highlight w:val="none"/>
          <w14:textFill>
            <w14:solidFill>
              <w14:schemeClr w14:val="tx1"/>
            </w14:solidFill>
          </w14:textFill>
        </w:rPr>
        <w:t>-</w:t>
      </w:r>
      <w:r>
        <w:rPr>
          <w:rFonts w:hint="eastAsia" w:ascii="Times New Roman" w:hAnsi="Times New Roman" w:eastAsia="宋体" w:cs="宋体"/>
          <w:b w:val="0"/>
          <w:bCs w:val="0"/>
          <w:color w:val="000000" w:themeColor="text1"/>
          <w:kern w:val="0"/>
          <w:szCs w:val="24"/>
          <w:highlight w:val="none"/>
          <w:lang w:val="en-US" w:eastAsia="zh-CN"/>
          <w14:textFill>
            <w14:solidFill>
              <w14:schemeClr w14:val="tx1"/>
            </w14:solidFill>
          </w14:textFill>
        </w:rPr>
        <w:t>1</w:t>
      </w:r>
      <w:r>
        <w:rPr>
          <w:rFonts w:ascii="Times New Roman" w:hAnsi="Times New Roman" w:eastAsia="宋体" w:cs="宋体"/>
          <w:b w:val="0"/>
          <w:bCs w:val="0"/>
          <w:color w:val="000000" w:themeColor="text1"/>
          <w:kern w:val="0"/>
          <w:szCs w:val="24"/>
          <w:highlight w:val="none"/>
          <w14:textFill>
            <w14:solidFill>
              <w14:schemeClr w14:val="tx1"/>
            </w14:solidFill>
          </w14:textFill>
        </w:rPr>
        <w:t>所示。</w:t>
      </w:r>
    </w:p>
    <w:p w14:paraId="28867F3B">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表7.</w:t>
      </w:r>
      <w:r>
        <w:rPr>
          <w:rFonts w:hint="eastAsia" w:ascii="Times New Roman" w:hAnsi="Times New Roman" w:eastAsia="宋体" w:cs="宋体"/>
          <w:b/>
          <w:bCs/>
          <w:color w:val="000000" w:themeColor="text1"/>
          <w:kern w:val="0"/>
          <w:sz w:val="21"/>
          <w:szCs w:val="21"/>
          <w:highlight w:val="none"/>
          <w:lang w:val="en-US" w:eastAsia="zh-CN"/>
          <w14:textFill>
            <w14:solidFill>
              <w14:schemeClr w14:val="tx1"/>
            </w14:solidFill>
          </w14:textFill>
        </w:rPr>
        <w:t>2</w:t>
      </w:r>
      <w:r>
        <w:rPr>
          <w:rFonts w:ascii="Times New Roman" w:hAnsi="Times New Roman" w:eastAsia="宋体" w:cs="宋体"/>
          <w:b/>
          <w:bCs/>
          <w:color w:val="000000" w:themeColor="text1"/>
          <w:kern w:val="0"/>
          <w:sz w:val="21"/>
          <w:szCs w:val="21"/>
          <w:highlight w:val="none"/>
          <w14:textFill>
            <w14:solidFill>
              <w14:schemeClr w14:val="tx1"/>
            </w14:solidFill>
          </w14:textFill>
        </w:rPr>
        <w:t>-1  污染物治理措施及投资一览表</w:t>
      </w:r>
    </w:p>
    <w:tbl>
      <w:tblPr>
        <w:tblStyle w:val="58"/>
        <w:tblW w:w="82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30"/>
        <w:gridCol w:w="557"/>
        <w:gridCol w:w="890"/>
        <w:gridCol w:w="4993"/>
        <w:gridCol w:w="1322"/>
      </w:tblGrid>
      <w:tr w14:paraId="21C23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530" w:type="dxa"/>
            <w:vAlign w:val="center"/>
          </w:tcPr>
          <w:p w14:paraId="4AB5AE8B">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时段</w:t>
            </w:r>
          </w:p>
        </w:tc>
        <w:tc>
          <w:tcPr>
            <w:tcW w:w="1447" w:type="dxa"/>
            <w:gridSpan w:val="2"/>
            <w:vAlign w:val="center"/>
          </w:tcPr>
          <w:p w14:paraId="4FEED381">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项目</w:t>
            </w:r>
          </w:p>
        </w:tc>
        <w:tc>
          <w:tcPr>
            <w:tcW w:w="4993" w:type="dxa"/>
            <w:vAlign w:val="center"/>
          </w:tcPr>
          <w:p w14:paraId="0D27F795">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主要内容</w:t>
            </w:r>
          </w:p>
        </w:tc>
        <w:tc>
          <w:tcPr>
            <w:tcW w:w="1322" w:type="dxa"/>
            <w:vAlign w:val="center"/>
          </w:tcPr>
          <w:p w14:paraId="367D7645">
            <w:pPr>
              <w:kinsoku/>
              <w:autoSpaceDE/>
              <w:autoSpaceDN/>
              <w:bidi w:val="0"/>
              <w:spacing w:line="240" w:lineRule="auto"/>
              <w:jc w:val="center"/>
              <w:rPr>
                <w:rFonts w:ascii="Times New Roman" w:hAnsi="Times New Roman" w:eastAsia="宋体" w:cs="宋体"/>
                <w:b/>
                <w:bCs/>
                <w:color w:val="000000" w:themeColor="text1"/>
                <w:kern w:val="0"/>
                <w:sz w:val="21"/>
                <w:szCs w:val="21"/>
                <w:highlight w:val="none"/>
                <w14:textFill>
                  <w14:solidFill>
                    <w14:schemeClr w14:val="tx1"/>
                  </w14:solidFill>
                </w14:textFill>
              </w:rPr>
            </w:pPr>
            <w:r>
              <w:rPr>
                <w:rFonts w:ascii="Times New Roman" w:hAnsi="Times New Roman" w:eastAsia="宋体" w:cs="宋体"/>
                <w:b/>
                <w:bCs/>
                <w:color w:val="000000" w:themeColor="text1"/>
                <w:kern w:val="0"/>
                <w:sz w:val="21"/>
                <w:szCs w:val="21"/>
                <w:highlight w:val="none"/>
                <w14:textFill>
                  <w14:solidFill>
                    <w14:schemeClr w14:val="tx1"/>
                  </w14:solidFill>
                </w14:textFill>
              </w:rPr>
              <w:t>投资（万元）</w:t>
            </w:r>
          </w:p>
        </w:tc>
      </w:tr>
      <w:tr w14:paraId="70462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530" w:type="dxa"/>
            <w:vMerge w:val="restart"/>
            <w:tcBorders>
              <w:bottom w:val="nil"/>
            </w:tcBorders>
            <w:vAlign w:val="center"/>
          </w:tcPr>
          <w:p w14:paraId="1AC84A96">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运营期</w:t>
            </w:r>
          </w:p>
        </w:tc>
        <w:tc>
          <w:tcPr>
            <w:tcW w:w="1447" w:type="dxa"/>
            <w:gridSpan w:val="2"/>
            <w:tcBorders>
              <w:bottom w:val="nil"/>
            </w:tcBorders>
            <w:vAlign w:val="center"/>
          </w:tcPr>
          <w:p w14:paraId="4E8CAE2A">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废气治理</w:t>
            </w:r>
          </w:p>
        </w:tc>
        <w:tc>
          <w:tcPr>
            <w:tcW w:w="4993" w:type="dxa"/>
            <w:vAlign w:val="center"/>
          </w:tcPr>
          <w:p w14:paraId="46E9FFF1">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臭气治理：密闭、粪污清理、除臭剂</w:t>
            </w:r>
          </w:p>
        </w:tc>
        <w:tc>
          <w:tcPr>
            <w:tcW w:w="1322" w:type="dxa"/>
            <w:vAlign w:val="center"/>
          </w:tcPr>
          <w:p w14:paraId="3BA0CBD6">
            <w:pPr>
              <w:kinsoku/>
              <w:autoSpaceDE/>
              <w:autoSpaceDN/>
              <w:bidi w:val="0"/>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3</w:t>
            </w: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0</w:t>
            </w:r>
          </w:p>
        </w:tc>
      </w:tr>
      <w:tr w14:paraId="403066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530" w:type="dxa"/>
            <w:vMerge w:val="continue"/>
            <w:tcBorders>
              <w:top w:val="nil"/>
              <w:bottom w:val="nil"/>
            </w:tcBorders>
            <w:vAlign w:val="center"/>
          </w:tcPr>
          <w:p w14:paraId="2B6B642B">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1447" w:type="dxa"/>
            <w:gridSpan w:val="2"/>
            <w:vAlign w:val="center"/>
          </w:tcPr>
          <w:p w14:paraId="12815DAF">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废水治理</w:t>
            </w:r>
          </w:p>
        </w:tc>
        <w:tc>
          <w:tcPr>
            <w:tcW w:w="4993" w:type="dxa"/>
            <w:vAlign w:val="center"/>
          </w:tcPr>
          <w:p w14:paraId="7192B10F">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固液分离+防渗集粪池、</w:t>
            </w: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黑膜池</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及防渗</w:t>
            </w:r>
          </w:p>
        </w:tc>
        <w:tc>
          <w:tcPr>
            <w:tcW w:w="1322" w:type="dxa"/>
            <w:vAlign w:val="center"/>
          </w:tcPr>
          <w:p w14:paraId="4E063E1F">
            <w:pPr>
              <w:kinsoku/>
              <w:autoSpaceDE/>
              <w:autoSpaceDN/>
              <w:bidi w:val="0"/>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1</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27.5</w:t>
            </w:r>
          </w:p>
        </w:tc>
      </w:tr>
      <w:tr w14:paraId="5F006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30" w:type="dxa"/>
            <w:vMerge w:val="continue"/>
            <w:tcBorders>
              <w:top w:val="nil"/>
              <w:bottom w:val="nil"/>
            </w:tcBorders>
            <w:vAlign w:val="center"/>
          </w:tcPr>
          <w:p w14:paraId="16E7E79D">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1447" w:type="dxa"/>
            <w:gridSpan w:val="2"/>
            <w:tcBorders>
              <w:bottom w:val="single" w:color="auto" w:sz="4" w:space="0"/>
            </w:tcBorders>
            <w:vAlign w:val="center"/>
          </w:tcPr>
          <w:p w14:paraId="5DAD97B4">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噪声治理</w:t>
            </w:r>
          </w:p>
        </w:tc>
        <w:tc>
          <w:tcPr>
            <w:tcW w:w="4993" w:type="dxa"/>
            <w:tcBorders>
              <w:bottom w:val="single" w:color="auto" w:sz="4" w:space="0"/>
            </w:tcBorders>
            <w:vAlign w:val="center"/>
          </w:tcPr>
          <w:p w14:paraId="300BA138">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机械设备加装减振垫、设备间设置吸声、隔声措施来降 噪等</w:t>
            </w:r>
          </w:p>
        </w:tc>
        <w:tc>
          <w:tcPr>
            <w:tcW w:w="1322" w:type="dxa"/>
            <w:vAlign w:val="center"/>
          </w:tcPr>
          <w:p w14:paraId="17A9E615">
            <w:pPr>
              <w:kinsoku/>
              <w:autoSpaceDE/>
              <w:autoSpaceDN/>
              <w:bidi w:val="0"/>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10</w:t>
            </w:r>
          </w:p>
        </w:tc>
      </w:tr>
      <w:tr w14:paraId="7F3F8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530" w:type="dxa"/>
            <w:vMerge w:val="continue"/>
            <w:tcBorders>
              <w:top w:val="nil"/>
              <w:bottom w:val="nil"/>
              <w:right w:val="single" w:color="auto" w:sz="4" w:space="0"/>
            </w:tcBorders>
            <w:vAlign w:val="center"/>
          </w:tcPr>
          <w:p w14:paraId="6603832E">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557" w:type="dxa"/>
            <w:vMerge w:val="restart"/>
            <w:tcBorders>
              <w:top w:val="single" w:color="auto" w:sz="4" w:space="0"/>
              <w:left w:val="single" w:color="auto" w:sz="4" w:space="0"/>
              <w:bottom w:val="nil"/>
            </w:tcBorders>
            <w:vAlign w:val="center"/>
          </w:tcPr>
          <w:p w14:paraId="3E0B6BEC">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固废 治理</w:t>
            </w:r>
          </w:p>
        </w:tc>
        <w:tc>
          <w:tcPr>
            <w:tcW w:w="890" w:type="dxa"/>
            <w:tcBorders>
              <w:top w:val="single" w:color="auto" w:sz="4" w:space="0"/>
            </w:tcBorders>
            <w:vAlign w:val="center"/>
          </w:tcPr>
          <w:p w14:paraId="358B34B5">
            <w:pPr>
              <w:kinsoku/>
              <w:autoSpaceDE/>
              <w:autoSpaceDN/>
              <w:bidi w:val="0"/>
              <w:spacing w:line="240" w:lineRule="auto"/>
              <w:jc w:val="center"/>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hint="eastAsia" w:cs="宋体"/>
                <w:b w:val="0"/>
                <w:bCs w:val="0"/>
                <w:color w:val="000000" w:themeColor="text1"/>
                <w:kern w:val="0"/>
                <w:sz w:val="21"/>
                <w:szCs w:val="21"/>
                <w:highlight w:val="none"/>
                <w:lang w:eastAsia="zh-CN"/>
                <w14:textFill>
                  <w14:solidFill>
                    <w14:schemeClr w14:val="tx1"/>
                  </w14:solidFill>
                </w14:textFill>
              </w:rPr>
              <w:t>病死猪、胎衣</w:t>
            </w:r>
          </w:p>
        </w:tc>
        <w:tc>
          <w:tcPr>
            <w:tcW w:w="4993" w:type="dxa"/>
            <w:tcBorders>
              <w:top w:val="single" w:color="auto" w:sz="4" w:space="0"/>
              <w:right w:val="single" w:color="auto" w:sz="4" w:space="0"/>
            </w:tcBorders>
            <w:vAlign w:val="center"/>
          </w:tcPr>
          <w:p w14:paraId="11038137">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委托有资质单位处理</w:t>
            </w:r>
          </w:p>
        </w:tc>
        <w:tc>
          <w:tcPr>
            <w:tcW w:w="1322" w:type="dxa"/>
            <w:tcBorders>
              <w:left w:val="single" w:color="auto" w:sz="4" w:space="0"/>
            </w:tcBorders>
            <w:vAlign w:val="center"/>
          </w:tcPr>
          <w:p w14:paraId="6EF5D506">
            <w:pPr>
              <w:kinsoku/>
              <w:autoSpaceDE/>
              <w:autoSpaceDN/>
              <w:bidi w:val="0"/>
              <w:spacing w:line="240" w:lineRule="auto"/>
              <w:jc w:val="cente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5</w:t>
            </w:r>
          </w:p>
        </w:tc>
      </w:tr>
      <w:tr w14:paraId="3EF3F9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530" w:type="dxa"/>
            <w:vMerge w:val="continue"/>
            <w:tcBorders>
              <w:top w:val="nil"/>
              <w:bottom w:val="nil"/>
              <w:right w:val="single" w:color="auto" w:sz="4" w:space="0"/>
            </w:tcBorders>
            <w:vAlign w:val="center"/>
          </w:tcPr>
          <w:p w14:paraId="220CC93F">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557" w:type="dxa"/>
            <w:vMerge w:val="continue"/>
            <w:tcBorders>
              <w:left w:val="single" w:color="auto" w:sz="4" w:space="0"/>
            </w:tcBorders>
            <w:vAlign w:val="center"/>
          </w:tcPr>
          <w:p w14:paraId="58668BBF">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890" w:type="dxa"/>
            <w:tcBorders>
              <w:top w:val="single" w:color="auto" w:sz="4" w:space="0"/>
            </w:tcBorders>
            <w:vAlign w:val="center"/>
          </w:tcPr>
          <w:p w14:paraId="3BB240E0">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t>兽用</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医疗废物</w:t>
            </w:r>
          </w:p>
        </w:tc>
        <w:tc>
          <w:tcPr>
            <w:tcW w:w="4993" w:type="dxa"/>
            <w:tcBorders>
              <w:top w:val="single" w:color="auto" w:sz="4" w:space="0"/>
              <w:right w:val="single" w:color="auto" w:sz="4" w:space="0"/>
            </w:tcBorders>
            <w:vAlign w:val="center"/>
          </w:tcPr>
          <w:p w14:paraId="32074495">
            <w:pPr>
              <w:kinsoku/>
              <w:autoSpaceDE/>
              <w:autoSpaceDN/>
              <w:bidi w:val="0"/>
              <w:spacing w:line="240" w:lineRule="auto"/>
              <w:jc w:val="cente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eastAsia="zh-CN"/>
                <w14:textFill>
                  <w14:solidFill>
                    <w14:schemeClr w14:val="tx1"/>
                  </w14:solidFill>
                </w14:textFill>
              </w:rPr>
              <w:t>危废暂存间</w:t>
            </w:r>
          </w:p>
        </w:tc>
        <w:tc>
          <w:tcPr>
            <w:tcW w:w="1322" w:type="dxa"/>
            <w:tcBorders>
              <w:left w:val="single" w:color="auto" w:sz="4" w:space="0"/>
            </w:tcBorders>
            <w:vAlign w:val="center"/>
          </w:tcPr>
          <w:p w14:paraId="4EC80E1E">
            <w:pPr>
              <w:kinsoku/>
              <w:autoSpaceDE/>
              <w:autoSpaceDN/>
              <w:bidi w:val="0"/>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10</w:t>
            </w:r>
          </w:p>
        </w:tc>
      </w:tr>
      <w:tr w14:paraId="2814D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jc w:val="center"/>
        </w:trPr>
        <w:tc>
          <w:tcPr>
            <w:tcW w:w="530" w:type="dxa"/>
            <w:vMerge w:val="continue"/>
            <w:tcBorders>
              <w:top w:val="nil"/>
              <w:bottom w:val="nil"/>
              <w:right w:val="single" w:color="auto" w:sz="4" w:space="0"/>
            </w:tcBorders>
            <w:vAlign w:val="center"/>
          </w:tcPr>
          <w:p w14:paraId="408D2C18">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557" w:type="dxa"/>
            <w:vMerge w:val="continue"/>
            <w:tcBorders>
              <w:top w:val="nil"/>
              <w:left w:val="single" w:color="auto" w:sz="4" w:space="0"/>
              <w:bottom w:val="nil"/>
            </w:tcBorders>
            <w:vAlign w:val="center"/>
          </w:tcPr>
          <w:p w14:paraId="6EB42533">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890" w:type="dxa"/>
            <w:vAlign w:val="center"/>
          </w:tcPr>
          <w:p w14:paraId="3EBD6DF3">
            <w:pPr>
              <w:kinsoku/>
              <w:autoSpaceDE/>
              <w:autoSpaceDN/>
              <w:bidi w:val="0"/>
              <w:spacing w:line="240" w:lineRule="auto"/>
              <w:jc w:val="center"/>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t>堆粪场</w:t>
            </w:r>
          </w:p>
        </w:tc>
        <w:tc>
          <w:tcPr>
            <w:tcW w:w="4993" w:type="dxa"/>
            <w:tcBorders>
              <w:right w:val="single" w:color="auto" w:sz="4" w:space="0"/>
            </w:tcBorders>
            <w:vAlign w:val="center"/>
          </w:tcPr>
          <w:p w14:paraId="64FF9E34">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半</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封闭式</w:t>
            </w:r>
            <w:r>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t>堆粪场</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w:t>
            </w:r>
            <w:r>
              <w:rPr>
                <w:rFonts w:hint="eastAsia" w:ascii="Times New Roman" w:hAnsi="Times New Roman" w:eastAsia="宋体" w:cs="宋体"/>
                <w:b w:val="0"/>
                <w:bCs w:val="0"/>
                <w:color w:val="000000" w:themeColor="text1"/>
                <w:kern w:val="0"/>
                <w:sz w:val="21"/>
                <w:szCs w:val="21"/>
                <w:highlight w:val="none"/>
                <w:lang w:eastAsia="zh-CN"/>
                <w14:textFill>
                  <w14:solidFill>
                    <w14:schemeClr w14:val="tx1"/>
                  </w14:solidFill>
                </w14:textFill>
              </w:rPr>
              <w:t>堆粪场</w:t>
            </w: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地坪防渗、防雨</w:t>
            </w:r>
          </w:p>
        </w:tc>
        <w:tc>
          <w:tcPr>
            <w:tcW w:w="1322" w:type="dxa"/>
            <w:tcBorders>
              <w:left w:val="single" w:color="auto" w:sz="4" w:space="0"/>
            </w:tcBorders>
            <w:vAlign w:val="center"/>
          </w:tcPr>
          <w:p w14:paraId="5E54714E">
            <w:pPr>
              <w:kinsoku/>
              <w:autoSpaceDE/>
              <w:autoSpaceDN/>
              <w:bidi w:val="0"/>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2</w:t>
            </w:r>
            <w:r>
              <w:rPr>
                <w:rFonts w:hint="eastAsia" w:cs="宋体"/>
                <w:b w:val="0"/>
                <w:bCs w:val="0"/>
                <w:color w:val="000000" w:themeColor="text1"/>
                <w:kern w:val="0"/>
                <w:sz w:val="21"/>
                <w:szCs w:val="21"/>
                <w:highlight w:val="none"/>
                <w:lang w:val="en-US" w:eastAsia="zh-CN"/>
                <w14:textFill>
                  <w14:solidFill>
                    <w14:schemeClr w14:val="tx1"/>
                  </w14:solidFill>
                </w14:textFill>
              </w:rPr>
              <w:t>5</w:t>
            </w:r>
          </w:p>
        </w:tc>
      </w:tr>
      <w:tr w14:paraId="00DB4F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jc w:val="center"/>
        </w:trPr>
        <w:tc>
          <w:tcPr>
            <w:tcW w:w="530" w:type="dxa"/>
            <w:vMerge w:val="continue"/>
            <w:tcBorders>
              <w:top w:val="nil"/>
              <w:bottom w:val="nil"/>
              <w:right w:val="single" w:color="auto" w:sz="4" w:space="0"/>
            </w:tcBorders>
            <w:vAlign w:val="center"/>
          </w:tcPr>
          <w:p w14:paraId="70FB77EA">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557" w:type="dxa"/>
            <w:vMerge w:val="continue"/>
            <w:tcBorders>
              <w:top w:val="nil"/>
              <w:left w:val="single" w:color="auto" w:sz="4" w:space="0"/>
              <w:bottom w:val="single" w:color="auto" w:sz="4" w:space="0"/>
            </w:tcBorders>
            <w:vAlign w:val="center"/>
          </w:tcPr>
          <w:p w14:paraId="5AA239AD">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890" w:type="dxa"/>
            <w:tcBorders>
              <w:bottom w:val="single" w:color="auto" w:sz="4" w:space="0"/>
            </w:tcBorders>
            <w:vAlign w:val="center"/>
          </w:tcPr>
          <w:p w14:paraId="2DB1A8A3">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生活垃圾</w:t>
            </w:r>
          </w:p>
        </w:tc>
        <w:tc>
          <w:tcPr>
            <w:tcW w:w="4993" w:type="dxa"/>
            <w:tcBorders>
              <w:bottom w:val="single" w:color="auto" w:sz="4" w:space="0"/>
              <w:right w:val="single" w:color="auto" w:sz="4" w:space="0"/>
            </w:tcBorders>
            <w:vAlign w:val="center"/>
          </w:tcPr>
          <w:p w14:paraId="37DC8F22">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生活垃圾收集箱</w:t>
            </w:r>
          </w:p>
        </w:tc>
        <w:tc>
          <w:tcPr>
            <w:tcW w:w="1322" w:type="dxa"/>
            <w:tcBorders>
              <w:left w:val="single" w:color="auto" w:sz="4" w:space="0"/>
            </w:tcBorders>
            <w:vAlign w:val="center"/>
          </w:tcPr>
          <w:p w14:paraId="7EB5B4A5">
            <w:pPr>
              <w:kinsoku/>
              <w:autoSpaceDE/>
              <w:autoSpaceDN/>
              <w:bidi w:val="0"/>
              <w:spacing w:line="240" w:lineRule="auto"/>
              <w:jc w:val="cente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2</w:t>
            </w:r>
          </w:p>
        </w:tc>
      </w:tr>
      <w:tr w14:paraId="02470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530" w:type="dxa"/>
            <w:vMerge w:val="continue"/>
            <w:tcBorders>
              <w:top w:val="nil"/>
            </w:tcBorders>
            <w:vAlign w:val="center"/>
          </w:tcPr>
          <w:p w14:paraId="62931BE9">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p>
        </w:tc>
        <w:tc>
          <w:tcPr>
            <w:tcW w:w="1447" w:type="dxa"/>
            <w:gridSpan w:val="2"/>
            <w:tcBorders>
              <w:top w:val="single" w:color="auto" w:sz="4" w:space="0"/>
            </w:tcBorders>
            <w:vAlign w:val="center"/>
          </w:tcPr>
          <w:p w14:paraId="109B3A29">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其它</w:t>
            </w:r>
          </w:p>
        </w:tc>
        <w:tc>
          <w:tcPr>
            <w:tcW w:w="4993" w:type="dxa"/>
            <w:tcBorders>
              <w:top w:val="single" w:color="auto" w:sz="4" w:space="0"/>
            </w:tcBorders>
            <w:vAlign w:val="center"/>
          </w:tcPr>
          <w:p w14:paraId="7F5F098A">
            <w:pPr>
              <w:kinsoku/>
              <w:autoSpaceDE/>
              <w:autoSpaceDN/>
              <w:bidi w:val="0"/>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环境管理手续</w:t>
            </w:r>
          </w:p>
        </w:tc>
        <w:tc>
          <w:tcPr>
            <w:tcW w:w="1322" w:type="dxa"/>
            <w:vAlign w:val="center"/>
          </w:tcPr>
          <w:p w14:paraId="4DAF3F5B">
            <w:pPr>
              <w:kinsoku/>
              <w:autoSpaceDE/>
              <w:autoSpaceDN/>
              <w:bidi w:val="0"/>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8</w:t>
            </w:r>
          </w:p>
        </w:tc>
      </w:tr>
      <w:tr w14:paraId="58D5A5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jc w:val="center"/>
        </w:trPr>
        <w:tc>
          <w:tcPr>
            <w:tcW w:w="530" w:type="dxa"/>
            <w:vAlign w:val="center"/>
          </w:tcPr>
          <w:p w14:paraId="1E301DEA">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合计</w:t>
            </w:r>
          </w:p>
        </w:tc>
        <w:tc>
          <w:tcPr>
            <w:tcW w:w="1447" w:type="dxa"/>
            <w:gridSpan w:val="2"/>
            <w:vAlign w:val="center"/>
          </w:tcPr>
          <w:p w14:paraId="03201F26">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w:t>
            </w:r>
          </w:p>
        </w:tc>
        <w:tc>
          <w:tcPr>
            <w:tcW w:w="4993" w:type="dxa"/>
            <w:vAlign w:val="center"/>
          </w:tcPr>
          <w:p w14:paraId="57288552">
            <w:pPr>
              <w:kinsoku/>
              <w:autoSpaceDE/>
              <w:autoSpaceDN/>
              <w:bidi w:val="0"/>
              <w:spacing w:line="240" w:lineRule="auto"/>
              <w:jc w:val="center"/>
              <w:rPr>
                <w:rFonts w:ascii="Times New Roman" w:hAnsi="Times New Roman" w:eastAsia="宋体" w:cs="宋体"/>
                <w:b w:val="0"/>
                <w:bCs w:val="0"/>
                <w:color w:val="000000" w:themeColor="text1"/>
                <w:kern w:val="0"/>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w:t>
            </w:r>
          </w:p>
        </w:tc>
        <w:tc>
          <w:tcPr>
            <w:tcW w:w="1322" w:type="dxa"/>
            <w:vAlign w:val="center"/>
          </w:tcPr>
          <w:p w14:paraId="7DA6141D">
            <w:pPr>
              <w:kinsoku/>
              <w:autoSpaceDE/>
              <w:autoSpaceDN/>
              <w:bidi w:val="0"/>
              <w:spacing w:line="240" w:lineRule="auto"/>
              <w:jc w:val="center"/>
              <w:rPr>
                <w:rFonts w:hint="default"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pPr>
            <w:r>
              <w:rPr>
                <w:rFonts w:hint="eastAsia" w:cs="宋体"/>
                <w:b w:val="0"/>
                <w:bCs w:val="0"/>
                <w:color w:val="000000" w:themeColor="text1"/>
                <w:kern w:val="0"/>
                <w:sz w:val="21"/>
                <w:szCs w:val="21"/>
                <w:highlight w:val="none"/>
                <w:lang w:val="en-US" w:eastAsia="zh-CN"/>
                <w14:textFill>
                  <w14:solidFill>
                    <w14:schemeClr w14:val="tx1"/>
                  </w14:solidFill>
                </w14:textFill>
              </w:rPr>
              <w:t>2</w:t>
            </w:r>
            <w:r>
              <w:rPr>
                <w:rFonts w:hint="eastAsia" w:ascii="Times New Roman" w:hAnsi="Times New Roman" w:cs="宋体"/>
                <w:b w:val="0"/>
                <w:bCs w:val="0"/>
                <w:color w:val="000000" w:themeColor="text1"/>
                <w:kern w:val="0"/>
                <w:sz w:val="21"/>
                <w:szCs w:val="21"/>
                <w:highlight w:val="none"/>
                <w:lang w:val="en-US" w:eastAsia="zh-CN"/>
                <w14:textFill>
                  <w14:solidFill>
                    <w14:schemeClr w14:val="tx1"/>
                  </w14:solidFill>
                </w14:textFill>
              </w:rPr>
              <w:t>17.5</w:t>
            </w:r>
          </w:p>
        </w:tc>
      </w:tr>
    </w:tbl>
    <w:p w14:paraId="054B8B3C">
      <w:pPr>
        <w:rPr>
          <w:color w:val="000000" w:themeColor="text1"/>
          <w:highlight w:val="none"/>
          <w14:textFill>
            <w14:solidFill>
              <w14:schemeClr w14:val="tx1"/>
            </w14:solidFill>
          </w14:textFill>
        </w:rPr>
      </w:pPr>
    </w:p>
    <w:p w14:paraId="3EBD202D">
      <w:pPr>
        <w:rPr>
          <w:color w:val="000000" w:themeColor="text1"/>
          <w:highlight w:val="none"/>
          <w14:textFill>
            <w14:solidFill>
              <w14:schemeClr w14:val="tx1"/>
            </w14:solidFill>
          </w14:textFill>
        </w:rPr>
        <w:sectPr>
          <w:headerReference r:id="rId19" w:type="default"/>
          <w:footerReference r:id="rId20" w:type="default"/>
          <w:pgSz w:w="11906" w:h="16839"/>
          <w:pgMar w:top="1440" w:right="1803" w:bottom="1440" w:left="1803" w:header="882" w:footer="886" w:gutter="0"/>
          <w:pgBorders>
            <w:top w:val="none" w:sz="0" w:space="0"/>
            <w:left w:val="none" w:sz="0" w:space="0"/>
            <w:bottom w:val="none" w:sz="0" w:space="0"/>
            <w:right w:val="none" w:sz="0" w:space="0"/>
          </w:pgBorders>
          <w:pgNumType w:fmt="decimal"/>
          <w:cols w:space="720" w:num="1"/>
        </w:sectPr>
      </w:pPr>
    </w:p>
    <w:p w14:paraId="55F84B51">
      <w:pPr>
        <w:pStyle w:val="2"/>
        <w:rPr>
          <w:color w:val="000000" w:themeColor="text1"/>
          <w:highlight w:val="none"/>
          <w14:textFill>
            <w14:solidFill>
              <w14:schemeClr w14:val="tx1"/>
            </w14:solidFill>
          </w14:textFill>
        </w:rPr>
      </w:pPr>
      <w:bookmarkStart w:id="265" w:name="bookmark35"/>
      <w:bookmarkEnd w:id="265"/>
      <w:bookmarkStart w:id="266" w:name="_Toc641"/>
      <w:bookmarkStart w:id="267" w:name="_Toc14459"/>
      <w:r>
        <w:rPr>
          <w:color w:val="000000" w:themeColor="text1"/>
          <w:highlight w:val="none"/>
          <w14:textFill>
            <w14:solidFill>
              <w14:schemeClr w14:val="tx1"/>
            </w14:solidFill>
          </w14:textFill>
        </w:rPr>
        <w:t>8.环境管理与监测计划</w:t>
      </w:r>
      <w:bookmarkEnd w:id="266"/>
      <w:bookmarkEnd w:id="267"/>
    </w:p>
    <w:p w14:paraId="59147AF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为了贯彻执行国家和地方环境保护</w:t>
      </w:r>
      <w:r>
        <w:rPr>
          <w:rFonts w:hint="eastAsia"/>
          <w:color w:val="000000" w:themeColor="text1"/>
          <w:highlight w:val="none"/>
          <w14:textFill>
            <w14:solidFill>
              <w14:schemeClr w14:val="tx1"/>
            </w14:solidFill>
          </w14:textFill>
        </w:rPr>
        <w:t>法律法规</w:t>
      </w:r>
      <w:r>
        <w:rPr>
          <w:color w:val="000000" w:themeColor="text1"/>
          <w:highlight w:val="none"/>
          <w14:textFill>
            <w14:solidFill>
              <w14:schemeClr w14:val="tx1"/>
            </w14:solidFill>
          </w14:textFill>
        </w:rPr>
        <w:t>、政策与标准，及时掌握和了解污染控制措施的效果，以及项目所在区域环境质量的变化情况，更好地监控环保设施的运行情况，协调与地方环保职能部门</w:t>
      </w:r>
      <w:r>
        <w:rPr>
          <w:rFonts w:hint="eastAsia"/>
          <w:color w:val="000000" w:themeColor="text1"/>
          <w:highlight w:val="none"/>
          <w14:textFill>
            <w14:solidFill>
              <w14:schemeClr w14:val="tx1"/>
            </w14:solidFill>
          </w14:textFill>
        </w:rPr>
        <w:t>和其他</w:t>
      </w:r>
      <w:r>
        <w:rPr>
          <w:color w:val="000000" w:themeColor="text1"/>
          <w:highlight w:val="none"/>
          <w14:textFill>
            <w14:solidFill>
              <w14:schemeClr w14:val="tx1"/>
            </w14:solidFill>
          </w14:textFill>
        </w:rPr>
        <w:t>有关部门的工作，同时保证企业生产管理和环境管理的正常运作，建立环境管理体系与监测制度是非常必要和重要的。</w:t>
      </w:r>
    </w:p>
    <w:p w14:paraId="082FA23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管理体系与监测机构的建立能够帮助企业及早发现问题，使企业在发展生产的同时节约能源、降低原材料消耗，控制污染物排放量，减轻污染物排放对环境产生的影响，为企业创造更好的经济效益和环境效益，树立良好的社</w:t>
      </w:r>
      <w:r>
        <w:rPr>
          <w:rFonts w:hint="eastAsia"/>
          <w:color w:val="000000" w:themeColor="text1"/>
          <w:highlight w:val="none"/>
          <w14:textFill>
            <w14:solidFill>
              <w14:schemeClr w14:val="tx1"/>
            </w14:solidFill>
          </w14:textFill>
        </w:rPr>
        <w:t>会</w:t>
      </w:r>
      <w:r>
        <w:rPr>
          <w:color w:val="000000" w:themeColor="text1"/>
          <w:highlight w:val="none"/>
          <w14:textFill>
            <w14:solidFill>
              <w14:schemeClr w14:val="tx1"/>
            </w14:solidFill>
          </w14:textFill>
        </w:rPr>
        <w:t>形象。</w:t>
      </w:r>
    </w:p>
    <w:p w14:paraId="6803EF66">
      <w:pPr>
        <w:pStyle w:val="3"/>
        <w:rPr>
          <w:color w:val="000000" w:themeColor="text1"/>
          <w:highlight w:val="none"/>
          <w14:textFill>
            <w14:solidFill>
              <w14:schemeClr w14:val="tx1"/>
            </w14:solidFill>
          </w14:textFill>
        </w:rPr>
      </w:pPr>
      <w:bookmarkStart w:id="268" w:name="bookmark36"/>
      <w:bookmarkEnd w:id="268"/>
      <w:bookmarkStart w:id="269" w:name="_Toc27815"/>
      <w:bookmarkStart w:id="270" w:name="_Toc18511"/>
      <w:r>
        <w:rPr>
          <w:color w:val="000000" w:themeColor="text1"/>
          <w:highlight w:val="none"/>
          <w14:textFill>
            <w14:solidFill>
              <w14:schemeClr w14:val="tx1"/>
            </w14:solidFill>
          </w14:textFill>
        </w:rPr>
        <w:t>8.1环境管理</w:t>
      </w:r>
      <w:bookmarkEnd w:id="269"/>
      <w:bookmarkEnd w:id="270"/>
    </w:p>
    <w:p w14:paraId="233C3C9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企业环境管理的基本任务是以保护环境为目标，清洁生产为手段，发展生 产与经济效益为目的，可以促进企业的生产管理、物资管理和技术管理，使资 源、能源得到充分利用，降低企业能耗、物耗，减少污染物排放总量，起到保</w:t>
      </w:r>
    </w:p>
    <w:p w14:paraId="5AB38323">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护环境，改善企业与周围群众的关系，同时也使企业达到提高经济效益的目的。</w:t>
      </w:r>
    </w:p>
    <w:p w14:paraId="682DF13C">
      <w:pPr>
        <w:pStyle w:val="4"/>
        <w:rPr>
          <w:color w:val="000000" w:themeColor="text1"/>
          <w:highlight w:val="none"/>
          <w14:textFill>
            <w14:solidFill>
              <w14:schemeClr w14:val="tx1"/>
            </w14:solidFill>
          </w14:textFill>
        </w:rPr>
      </w:pPr>
      <w:bookmarkStart w:id="271" w:name="_Toc28691"/>
      <w:r>
        <w:rPr>
          <w:color w:val="000000" w:themeColor="text1"/>
          <w:highlight w:val="none"/>
          <w14:textFill>
            <w14:solidFill>
              <w14:schemeClr w14:val="tx1"/>
            </w14:solidFill>
          </w14:textFill>
        </w:rPr>
        <w:t>8.1.2运营期环境管理要求</w:t>
      </w:r>
      <w:bookmarkEnd w:id="271"/>
    </w:p>
    <w:p w14:paraId="5A828FA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"8.1.2.1"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8.1.2.1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环境管理机构</w:t>
      </w:r>
    </w:p>
    <w:p w14:paraId="041AEB08">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（1）环境管理机构</w:t>
      </w:r>
    </w:p>
    <w:p w14:paraId="480AFC1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根据国家有关规定要求，为切实加强环境保护工作，搞好全场污染源的监控，环境保护管理应采取厂长负责制，并配备专职或兼职环保管理人员1</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2人，负责项目的环保工作。</w:t>
      </w:r>
    </w:p>
    <w:p w14:paraId="7255A1E4">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（2）环境管理的职责及工作内容</w:t>
      </w:r>
    </w:p>
    <w:p w14:paraId="5300975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①贯彻执行《中华人民共和国环境保护法》及其有关</w:t>
      </w:r>
      <w:r>
        <w:rPr>
          <w:rFonts w:hint="eastAsia"/>
          <w:color w:val="000000" w:themeColor="text1"/>
          <w:highlight w:val="none"/>
          <w14:textFill>
            <w14:solidFill>
              <w14:schemeClr w14:val="tx1"/>
            </w14:solidFill>
          </w14:textFill>
        </w:rPr>
        <w:t>法律法规</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按照</w:t>
      </w:r>
      <w:r>
        <w:rPr>
          <w:color w:val="000000" w:themeColor="text1"/>
          <w:highlight w:val="none"/>
          <w14:textFill>
            <w14:solidFill>
              <w14:schemeClr w14:val="tx1"/>
            </w14:solidFill>
          </w14:textFill>
        </w:rPr>
        <w:t>国家的环保政策、环境标准及环境监测要求，</w:t>
      </w:r>
      <w:r>
        <w:rPr>
          <w:rFonts w:hint="eastAsia"/>
          <w:color w:val="000000" w:themeColor="text1"/>
          <w:highlight w:val="none"/>
          <w14:textFill>
            <w14:solidFill>
              <w14:schemeClr w14:val="tx1"/>
            </w14:solidFill>
          </w14:textFill>
        </w:rPr>
        <w:t>制定</w:t>
      </w:r>
      <w:r>
        <w:rPr>
          <w:color w:val="000000" w:themeColor="text1"/>
          <w:highlight w:val="none"/>
          <w14:textFill>
            <w14:solidFill>
              <w14:schemeClr w14:val="tx1"/>
            </w14:solidFill>
          </w14:textFill>
        </w:rPr>
        <w:t>环境管理规章制度，并监督执行；</w:t>
      </w:r>
    </w:p>
    <w:p w14:paraId="694FD0F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②掌握本企业各污染源治理措施工艺、设备、运行及维护等资料，掌握废物综合利用情况，建立污染控制管理档案及管理台账；</w:t>
      </w:r>
    </w:p>
    <w:p w14:paraId="40B6FA9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③制定生产过程中各项污染物排放指标以及环保设施的运行参数，并定期考核统计；</w:t>
      </w:r>
    </w:p>
    <w:p w14:paraId="104602B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④推广应用先进的环保技术和经验，组织开展环保专业技术培训，搞好环境保护的宣传工作，</w:t>
      </w:r>
      <w:r>
        <w:rPr>
          <w:rFonts w:hint="eastAsia"/>
          <w:color w:val="000000" w:themeColor="text1"/>
          <w:highlight w:val="none"/>
          <w14:textFill>
            <w14:solidFill>
              <w14:schemeClr w14:val="tx1"/>
            </w14:solidFill>
          </w14:textFill>
        </w:rPr>
        <w:t>增强</w:t>
      </w:r>
      <w:r>
        <w:rPr>
          <w:color w:val="000000" w:themeColor="text1"/>
          <w:highlight w:val="none"/>
          <w14:textFill>
            <w14:solidFill>
              <w14:schemeClr w14:val="tx1"/>
            </w14:solidFill>
          </w14:textFill>
        </w:rPr>
        <w:t>全场人员的环境保护意识；</w:t>
      </w:r>
    </w:p>
    <w:p w14:paraId="33EC6AA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⑤监督项目环保设施的安装、调试等工作，坚持</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三同时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原则，保证环保设施的设计、施工、运行与主体工程同时进行；</w:t>
      </w:r>
    </w:p>
    <w:p w14:paraId="7959440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⑥组织开展本单位环境保护专业技术培训，提高人员素质；</w:t>
      </w:r>
    </w:p>
    <w:p w14:paraId="3DE052C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⑦认真落实企业污染物排放总量控制指标，解决落实过</w:t>
      </w:r>
      <w:r>
        <w:rPr>
          <w:rFonts w:hint="eastAsia"/>
          <w:color w:val="000000" w:themeColor="text1"/>
          <w:highlight w:val="none"/>
          <w:lang w:eastAsia="zh-CN"/>
          <w14:textFill>
            <w14:solidFill>
              <w14:schemeClr w14:val="tx1"/>
            </w14:solidFill>
          </w14:textFill>
        </w:rPr>
        <w:t>程中</w:t>
      </w:r>
      <w:r>
        <w:rPr>
          <w:color w:val="000000" w:themeColor="text1"/>
          <w:highlight w:val="none"/>
          <w14:textFill>
            <w14:solidFill>
              <w14:schemeClr w14:val="tx1"/>
            </w14:solidFill>
          </w14:textFill>
        </w:rPr>
        <w:t>出现的问题。</w:t>
      </w:r>
    </w:p>
    <w:p w14:paraId="36314563">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"8.1.2.2"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8.1.2.2</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环境管理制度</w:t>
      </w:r>
    </w:p>
    <w:p w14:paraId="4680FC8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企业应建立健全环境管理制度体系，将环保工作纳入考核体系，确保在日常运行中将环保目标</w:t>
      </w:r>
      <w:r>
        <w:rPr>
          <w:rFonts w:hint="eastAsia"/>
          <w:color w:val="000000" w:themeColor="text1"/>
          <w:highlight w:val="none"/>
          <w14:textFill>
            <w14:solidFill>
              <w14:schemeClr w14:val="tx1"/>
            </w14:solidFill>
          </w14:textFill>
        </w:rPr>
        <w:t>落到实处</w:t>
      </w:r>
      <w:r>
        <w:rPr>
          <w:color w:val="000000" w:themeColor="text1"/>
          <w:highlight w:val="none"/>
          <w14:textFill>
            <w14:solidFill>
              <w14:schemeClr w14:val="tx1"/>
            </w14:solidFill>
          </w14:textFill>
        </w:rPr>
        <w:t>。建设单位在生产管理中制定主要环境管理内容如</w:t>
      </w:r>
    </w:p>
    <w:p w14:paraId="2A16B84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下：</w:t>
      </w:r>
    </w:p>
    <w:p w14:paraId="268C8C19">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color w:val="000000" w:themeColor="text1"/>
          <w:highlight w:val="none"/>
          <w14:textFill>
            <w14:solidFill>
              <w14:schemeClr w14:val="tx1"/>
            </w14:solidFill>
          </w14:textFill>
        </w:rPr>
        <w:t>三同时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制度</w:t>
      </w:r>
    </w:p>
    <w:p w14:paraId="0A0BD3C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根据《建设项目环境保护管理条例》，建设项目需要配套建设的环境保护设施，必须与主体工程同时设计、同时施工、同时投产使用。本项目配套建设的环境保护设施经验收合格，方可投入生产</w:t>
      </w:r>
      <w:r>
        <w:rPr>
          <w:rFonts w:hint="eastAsia"/>
          <w:color w:val="000000" w:themeColor="text1"/>
          <w:highlight w:val="none"/>
          <w:lang w:eastAsia="zh-CN"/>
          <w14:textFill>
            <w14:solidFill>
              <w14:schemeClr w14:val="tx1"/>
            </w14:solidFill>
          </w14:textFill>
        </w:rPr>
        <w:t>或</w:t>
      </w:r>
      <w:r>
        <w:rPr>
          <w:color w:val="000000" w:themeColor="text1"/>
          <w:highlight w:val="none"/>
          <w14:textFill>
            <w14:solidFill>
              <w14:schemeClr w14:val="tx1"/>
            </w14:solidFill>
          </w14:textFill>
        </w:rPr>
        <w:t>使用。项目竣工后，建设单位应当按照环境保护行政主管部门规定的标准和程序，对配套建设的环境保护设施进行自主验收，编制验收报告。建设单位在环境保护设施验收过程中，应当如实查验、监测、记载建设项目环境保护设施的建设和调试情况，不得弄虚作假，验收报告应依法向社会公开。</w:t>
      </w:r>
    </w:p>
    <w:p w14:paraId="1EEAA050">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（2）环保台账制度</w:t>
      </w:r>
    </w:p>
    <w:p w14:paraId="1ADA5C2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厂内需完善记录制度和档案保存制度，有利于环境管理质量的追踪和持续改进；记录</w:t>
      </w:r>
      <w:r>
        <w:rPr>
          <w:rFonts w:hint="eastAsia"/>
          <w:color w:val="000000" w:themeColor="text1"/>
          <w:highlight w:val="none"/>
          <w14:textFill>
            <w14:solidFill>
              <w14:schemeClr w14:val="tx1"/>
            </w14:solidFill>
          </w14:textFill>
        </w:rPr>
        <w:t>和台账</w:t>
      </w:r>
      <w:r>
        <w:rPr>
          <w:color w:val="000000" w:themeColor="text1"/>
          <w:highlight w:val="none"/>
          <w14:textFill>
            <w14:solidFill>
              <w14:schemeClr w14:val="tx1"/>
            </w14:solidFill>
          </w14:textFill>
        </w:rPr>
        <w:t>包括设施运行和维护记录、</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进出台帐、废水、废气污染物监测</w:t>
      </w:r>
      <w:r>
        <w:rPr>
          <w:rFonts w:hint="eastAsia"/>
          <w:color w:val="000000" w:themeColor="text1"/>
          <w:highlight w:val="none"/>
          <w14:textFill>
            <w14:solidFill>
              <w14:schemeClr w14:val="tx1"/>
            </w14:solidFill>
          </w14:textFill>
        </w:rPr>
        <w:t>台账</w:t>
      </w:r>
      <w:r>
        <w:rPr>
          <w:color w:val="000000" w:themeColor="text1"/>
          <w:highlight w:val="none"/>
          <w14:textFill>
            <w14:solidFill>
              <w14:schemeClr w14:val="tx1"/>
            </w14:solidFill>
          </w14:textFill>
        </w:rPr>
        <w:t>、所有物料</w:t>
      </w:r>
      <w:r>
        <w:rPr>
          <w:rFonts w:hint="eastAsia"/>
          <w:color w:val="000000" w:themeColor="text1"/>
          <w:highlight w:val="none"/>
          <w14:textFill>
            <w14:solidFill>
              <w14:schemeClr w14:val="tx1"/>
            </w14:solidFill>
          </w14:textFill>
        </w:rPr>
        <w:t>使用台账</w:t>
      </w:r>
      <w:r>
        <w:rPr>
          <w:color w:val="000000" w:themeColor="text1"/>
          <w:highlight w:val="none"/>
          <w14:textFill>
            <w14:solidFill>
              <w14:schemeClr w14:val="tx1"/>
            </w14:solidFill>
          </w14:textFill>
        </w:rPr>
        <w:t>、突发性事件的处理、调查记录等，妥善保存所有记录、</w:t>
      </w:r>
      <w:r>
        <w:rPr>
          <w:rFonts w:hint="eastAsia"/>
          <w:color w:val="000000" w:themeColor="text1"/>
          <w:highlight w:val="none"/>
          <w14:textFill>
            <w14:solidFill>
              <w14:schemeClr w14:val="tx1"/>
            </w14:solidFill>
          </w14:textFill>
        </w:rPr>
        <w:t>台账及</w:t>
      </w:r>
      <w:r>
        <w:rPr>
          <w:color w:val="000000" w:themeColor="text1"/>
          <w:highlight w:val="none"/>
          <w14:textFill>
            <w14:solidFill>
              <w14:schemeClr w14:val="tx1"/>
            </w14:solidFill>
          </w14:textFill>
        </w:rPr>
        <w:t>污染物排放监测资料、环境管理档案资料等。</w:t>
      </w:r>
    </w:p>
    <w:p w14:paraId="63F0B7A4">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污染治理设施管理制度</w:t>
      </w:r>
    </w:p>
    <w:p w14:paraId="228B8E7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项目建成后，必须确保污染处理设施长期、稳定、有效</w:t>
      </w:r>
      <w:r>
        <w:rPr>
          <w:rFonts w:hint="eastAsia"/>
          <w:color w:val="000000" w:themeColor="text1"/>
          <w:highlight w:val="none"/>
          <w14:textFill>
            <w14:solidFill>
              <w14:schemeClr w14:val="tx1"/>
            </w14:solidFill>
          </w14:textFill>
        </w:rPr>
        <w:t>的</w:t>
      </w:r>
      <w:r>
        <w:rPr>
          <w:color w:val="000000" w:themeColor="text1"/>
          <w:highlight w:val="none"/>
          <w14:textFill>
            <w14:solidFill>
              <w14:schemeClr w14:val="tx1"/>
            </w14:solidFill>
          </w14:textFill>
        </w:rPr>
        <w:t>运行，不得擅自拆除或者闲置污染处理设施，不得故意不正常使用污染处理设施。污染处理设施的管理必须与生产经营活动一起纳入单位日常管理工作的范畴，落实责任人、操作人员、维修人员、运行经费、设备的备品备件、化学药品和其他原辅材料。同时要建立岗位责任制、制定操作规程、建立</w:t>
      </w:r>
      <w:r>
        <w:rPr>
          <w:rFonts w:hint="eastAsia"/>
          <w:color w:val="000000" w:themeColor="text1"/>
          <w:highlight w:val="none"/>
          <w14:textFill>
            <w14:solidFill>
              <w14:schemeClr w14:val="tx1"/>
            </w14:solidFill>
          </w14:textFill>
        </w:rPr>
        <w:t>管理台账</w:t>
      </w:r>
      <w:r>
        <w:rPr>
          <w:color w:val="000000" w:themeColor="text1"/>
          <w:highlight w:val="none"/>
          <w14:textFill>
            <w14:solidFill>
              <w14:schemeClr w14:val="tx1"/>
            </w14:solidFill>
          </w14:textFill>
        </w:rPr>
        <w:t>。</w:t>
      </w:r>
    </w:p>
    <w:p w14:paraId="0EE8F64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）报告制度</w:t>
      </w:r>
    </w:p>
    <w:p w14:paraId="1D71024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执行重点企业月报表实施月报制度。月报内容主要为污染治理设施的运行情况、污染物排放情况及污染事故或污染纠纷等。项目排污发生重大变化、污染治理设施改变或项目改扩建等必须向当地环境保护主管部门申报。</w:t>
      </w:r>
    </w:p>
    <w:p w14:paraId="20704131">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（5）污染治理设施的管理、监控制度</w:t>
      </w:r>
    </w:p>
    <w:p w14:paraId="1F38CE2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项目建成后，必须确保污染治理设施长期、稳定、有效</w:t>
      </w:r>
      <w:r>
        <w:rPr>
          <w:rFonts w:hint="eastAsia"/>
          <w:color w:val="000000" w:themeColor="text1"/>
          <w:highlight w:val="none"/>
          <w14:textFill>
            <w14:solidFill>
              <w14:schemeClr w14:val="tx1"/>
            </w14:solidFill>
          </w14:textFill>
        </w:rPr>
        <w:t>地</w:t>
      </w:r>
      <w:r>
        <w:rPr>
          <w:color w:val="000000" w:themeColor="text1"/>
          <w:highlight w:val="none"/>
          <w14:textFill>
            <w14:solidFill>
              <w14:schemeClr w14:val="tx1"/>
            </w14:solidFill>
          </w14:textFill>
        </w:rPr>
        <w:t>运行，配合上级环保主管部门检查、监督与项目配套建设的废水、废气、噪声、固废等治理措施的落实情况；检查、监督环保设备等的运行、维护和管理情况，监督厂内各排放口（废水、废气等）污染物的排放状态。</w:t>
      </w:r>
    </w:p>
    <w:p w14:paraId="51CDB90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（6）日常环境管理制度</w:t>
      </w:r>
    </w:p>
    <w:p w14:paraId="6DE66896">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保护目标，建设单位制定并实施环保工作规划及年度污染治理计划；建立并实施从总经理到班组各层次的环境目标管理责任制，对每个员工均应按岗位责任制制定专门的责任范围及操作规程，明确责任目标；定期检查环保设施的运行状况及设备的维修与管理，严格控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三废</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的排放；协同有关环境保护主管部门组织落实</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三同时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，参与有关方案的审定及竣工验收；一旦发生环境风险事故，环境管理机构将参与事故的处理。</w:t>
      </w:r>
    </w:p>
    <w:p w14:paraId="74A3409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（7）危废全流程管理要求</w:t>
      </w:r>
    </w:p>
    <w:p w14:paraId="12704C0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相关导则、标准、技术规范要求，严格落实环境管理与监测制度，对项目</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收集、贮存、运输、利用、处置各环节进行全过程环境监管。</w:t>
      </w:r>
    </w:p>
    <w:p w14:paraId="69850472">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（8）环保奖惩制度</w:t>
      </w:r>
    </w:p>
    <w:p w14:paraId="5A53667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各级管理人员都应树立环境保护的思想，建设单位应设置环境保护奖惩条例；对爱护环保治理设施、节约能源的工作者实施奖励；对于环保观念淡薄，不按环保要求管理，造成环保设施损坏、环境污染及能源浪费者予以处罚。</w:t>
      </w:r>
    </w:p>
    <w:p w14:paraId="6BD1343D">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（9）信息公开制度</w:t>
      </w:r>
    </w:p>
    <w:p w14:paraId="1E1E3C2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建设单位在环评编制、审批、排污许可证申请、竣工环保验收、正常运行等各阶段均应按照有关要求，通过网站或者其他便于公众知悉的方式，依法向社会公开</w:t>
      </w:r>
      <w:r>
        <w:rPr>
          <w:rFonts w:hint="eastAsia"/>
          <w:color w:val="000000" w:themeColor="text1"/>
          <w:highlight w:val="none"/>
          <w:lang w:eastAsia="zh-CN"/>
          <w14:textFill>
            <w14:solidFill>
              <w14:schemeClr w14:val="tx1"/>
            </w14:solidFill>
          </w14:textFill>
        </w:rPr>
        <w:t>项目</w:t>
      </w:r>
      <w:r>
        <w:rPr>
          <w:color w:val="000000" w:themeColor="text1"/>
          <w:highlight w:val="none"/>
          <w14:textFill>
            <w14:solidFill>
              <w14:schemeClr w14:val="tx1"/>
            </w14:solidFill>
          </w14:textFill>
        </w:rPr>
        <w:t>污染物排放清单，明确污染物排放的管理要求。包括工程组成及原辅材料组分要求，建设项目拟采取的环境保护措施及主要运行参数，排放的污染物种类、排放浓度和总量指标，排污口信息，执行的环境标准，环境风险防范措施以及环境监测等相关内容。</w:t>
      </w:r>
    </w:p>
    <w:p w14:paraId="27C6E156">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"8.1.2.3"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8.1.2.3</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营运期环境管理要求</w:t>
      </w:r>
    </w:p>
    <w:p w14:paraId="523DE5B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①建设单位应进行</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申报登记。将</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的实际产生、贮存、利用、处置等情况纳入生产记录，建立</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管理台账和企业内部产生和收集、贮存、转移等部门</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交接制度。</w:t>
      </w:r>
    </w:p>
    <w:p w14:paraId="49DC33F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②企业为固体废物污染防治的责任主体，企业应建立风险管理及应急救援体系，执行环境监测计划、转移联单管理制度及国家和省有关转移管理的相关规定、人员培训考核制度、档案管理制度、</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全流程管理制度等。</w:t>
      </w:r>
    </w:p>
    <w:p w14:paraId="0E891DF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③规范建设</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贮存场所并按照要求设置警告标志，</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包装、容器和贮存场所应按照有关要求张贴标识。</w:t>
      </w:r>
    </w:p>
    <w:p w14:paraId="11CCB5C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④加强固体废物在厂内堆存期间的环境管理；加强对</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的收集、储存、运输等措施的管理；定期更换光触媒灯管和光触媒过滤棉，并详细记录购买及更换台账，提供采购发票复印件，每月报环保部门备案，相关记录至少保存3年。</w:t>
      </w:r>
    </w:p>
    <w:p w14:paraId="3106C54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⑤加强管道、设备的保养和维护。安装必要的用水</w:t>
      </w:r>
      <w:r>
        <w:rPr>
          <w:rFonts w:hint="eastAsia"/>
          <w:color w:val="000000" w:themeColor="text1"/>
          <w:highlight w:val="none"/>
          <w14:textFill>
            <w14:solidFill>
              <w14:schemeClr w14:val="tx1"/>
            </w14:solidFill>
          </w14:textFill>
        </w:rPr>
        <w:t>检测仪表</w:t>
      </w:r>
      <w:r>
        <w:rPr>
          <w:color w:val="000000" w:themeColor="text1"/>
          <w:highlight w:val="none"/>
          <w14:textFill>
            <w14:solidFill>
              <w14:schemeClr w14:val="tx1"/>
            </w14:solidFill>
          </w14:textFill>
        </w:rPr>
        <w:t>，减少跑、冒、滴、漏，最大限度地减少用水量。</w:t>
      </w:r>
    </w:p>
    <w:p w14:paraId="5442A6D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⑥加强本项目的环境管理和环境监测。设专职环境管理人员，按报告书的要求认真落实环境监测计划。</w:t>
      </w:r>
    </w:p>
    <w:p w14:paraId="3B19E50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⑦对</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收集、贮存、运输、利用、处置各环节要进行全过程环境监管。</w:t>
      </w:r>
    </w:p>
    <w:p w14:paraId="3F1F912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⑧公司每年设立专项资金，用于</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收集、贮存、危废委托处理相关费用，公司财务配合相关费用缴纳，以及危险应急等其他资金保障工作。</w:t>
      </w:r>
    </w:p>
    <w:p w14:paraId="6170814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⑨加强全厂职工的安全生产和环境保护知识的教育。配备必要的环境管理专职人员，落实、检查环保设施的运行状况，配合当地环保部门做好本厂的环境管理、验收、监督和检查工作。</w:t>
      </w:r>
    </w:p>
    <w:p w14:paraId="7875A8CC">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"8.1.2.4"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8.1.2.4</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建立环境管理体系</w:t>
      </w:r>
    </w:p>
    <w:p w14:paraId="11FBA8D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本项目建成后，为使环境管理制度更完善、有效，建议按ISO14000要求建立、实施和保持环境管理体系，确保污水处理厂安全操作、设备管理及维护保养、生产管理制度全过程满足相关</w:t>
      </w:r>
      <w:r>
        <w:rPr>
          <w:rFonts w:hint="eastAsia"/>
          <w:color w:val="000000" w:themeColor="text1"/>
          <w:highlight w:val="none"/>
          <w14:textFill>
            <w14:solidFill>
              <w14:schemeClr w14:val="tx1"/>
            </w14:solidFill>
          </w14:textFill>
        </w:rPr>
        <w:t>法律法规</w:t>
      </w:r>
      <w:r>
        <w:rPr>
          <w:color w:val="000000" w:themeColor="text1"/>
          <w:highlight w:val="none"/>
          <w14:textFill>
            <w14:solidFill>
              <w14:schemeClr w14:val="tx1"/>
            </w14:solidFill>
          </w14:textFill>
        </w:rPr>
        <w:t>的要求，为环境保护工作</w:t>
      </w:r>
      <w:r>
        <w:rPr>
          <w:rFonts w:hint="eastAsia"/>
          <w:color w:val="000000" w:themeColor="text1"/>
          <w:highlight w:val="none"/>
          <w14:textFill>
            <w14:solidFill>
              <w14:schemeClr w14:val="tx1"/>
            </w14:solidFill>
          </w14:textFill>
        </w:rPr>
        <w:t>作出</w:t>
      </w:r>
      <w:r>
        <w:rPr>
          <w:color w:val="000000" w:themeColor="text1"/>
          <w:highlight w:val="none"/>
          <w14:textFill>
            <w14:solidFill>
              <w14:schemeClr w14:val="tx1"/>
            </w14:solidFill>
          </w14:textFill>
        </w:rPr>
        <w:t>更大贡献。</w:t>
      </w:r>
    </w:p>
    <w:p w14:paraId="7C2AADB1">
      <w:pPr>
        <w:pStyle w:val="3"/>
        <w:rPr>
          <w:color w:val="000000" w:themeColor="text1"/>
          <w:highlight w:val="none"/>
          <w14:textFill>
            <w14:solidFill>
              <w14:schemeClr w14:val="tx1"/>
            </w14:solidFill>
          </w14:textFill>
        </w:rPr>
      </w:pPr>
      <w:bookmarkStart w:id="272" w:name="bookmark37"/>
      <w:bookmarkEnd w:id="272"/>
      <w:bookmarkStart w:id="273" w:name="_Toc24188"/>
      <w:bookmarkStart w:id="274" w:name="_Toc8237"/>
      <w:r>
        <w:rPr>
          <w:color w:val="000000" w:themeColor="text1"/>
          <w:highlight w:val="none"/>
          <w14:textFill>
            <w14:solidFill>
              <w14:schemeClr w14:val="tx1"/>
            </w14:solidFill>
          </w14:textFill>
        </w:rPr>
        <w:t>8.2环境监测计划</w:t>
      </w:r>
      <w:bookmarkEnd w:id="273"/>
      <w:bookmarkEnd w:id="274"/>
    </w:p>
    <w:p w14:paraId="5D8ED67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环境监测计划是企业环境管理的重要组成部分，既是掌握建设项目内部三 废污染物排放浓度和排放规律，评价环保设施性能，调节生产工艺过程，制定 控制和治理污染方案的有效依据，也是建立健全企业环境保护规定、制度、操</w:t>
      </w:r>
    </w:p>
    <w:p w14:paraId="112E6BAE">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作规程，以及防治污染，完善环境保护目标的重要措施。</w:t>
      </w:r>
    </w:p>
    <w:p w14:paraId="490B3CA7">
      <w:pPr>
        <w:pStyle w:val="4"/>
        <w:rPr>
          <w:color w:val="000000" w:themeColor="text1"/>
          <w:highlight w:val="none"/>
          <w14:textFill>
            <w14:solidFill>
              <w14:schemeClr w14:val="tx1"/>
            </w14:solidFill>
          </w14:textFill>
        </w:rPr>
      </w:pPr>
      <w:bookmarkStart w:id="275" w:name="_Toc2835"/>
      <w:r>
        <w:rPr>
          <w:color w:val="000000" w:themeColor="text1"/>
          <w:highlight w:val="none"/>
          <w14:textFill>
            <w14:solidFill>
              <w14:schemeClr w14:val="tx1"/>
            </w14:solidFill>
          </w14:textFill>
        </w:rPr>
        <w:t>8.2.1环境监测机构职责</w:t>
      </w:r>
      <w:bookmarkEnd w:id="275"/>
    </w:p>
    <w:p w14:paraId="67FF5A3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（1）依据国家颁发的环境质量标准、污染物排放标准及地方环保主管部门的要求，制定全场的监测计划和工作方案。</w:t>
      </w:r>
    </w:p>
    <w:p w14:paraId="3D4B56E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（2）根据监测计划预定的监测任务，安排全场主要排污点的监测任务，并将监测结果和环境考核指标及时上报各级主管部门。</w:t>
      </w:r>
    </w:p>
    <w:p w14:paraId="3DB0474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（3）对本场的环保处理设施的运行指标进行监测，保证环保设施的正常</w:t>
      </w:r>
      <w:r>
        <w:rPr>
          <w:rFonts w:hint="eastAsia"/>
          <w:color w:val="000000" w:themeColor="text1"/>
          <w:highlight w:val="none"/>
          <w14:textFill>
            <w14:solidFill>
              <w14:schemeClr w14:val="tx1"/>
            </w14:solidFill>
          </w14:textFill>
        </w:rPr>
        <w:t>运</w:t>
      </w:r>
      <w:r>
        <w:rPr>
          <w:color w:val="000000" w:themeColor="text1"/>
          <w:highlight w:val="none"/>
          <w14:textFill>
            <w14:solidFill>
              <w14:schemeClr w14:val="tx1"/>
            </w14:solidFill>
          </w14:textFill>
        </w:rPr>
        <w:t>转。整理、分析监测技术资料，填报各类环保监测报表，建立环保监测档案。</w:t>
      </w:r>
    </w:p>
    <w:p w14:paraId="0AD424C9">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（4）通过对监测结果的综合分析，摸清污染源排放情况，防止污染事故的发生，如果出现异常情况及时反馈到有关部门，以便采取应急措施。</w:t>
      </w:r>
    </w:p>
    <w:p w14:paraId="3E2743D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（5）对各类突发性或不规律排污进行监测和分析，监督排污口达标情况。掌握污染物排放规律和发展趋势，掌握污染动态，严防污染事故发生。</w:t>
      </w:r>
    </w:p>
    <w:p w14:paraId="6F9D1881">
      <w:pPr>
        <w:pStyle w:val="4"/>
        <w:rPr>
          <w:color w:val="000000" w:themeColor="text1"/>
          <w:highlight w:val="none"/>
          <w14:textFill>
            <w14:solidFill>
              <w14:schemeClr w14:val="tx1"/>
            </w14:solidFill>
          </w14:textFill>
        </w:rPr>
      </w:pPr>
      <w:bookmarkStart w:id="276" w:name="_Toc14726"/>
      <w:r>
        <w:rPr>
          <w:color w:val="000000" w:themeColor="text1"/>
          <w:highlight w:val="none"/>
          <w14:textFill>
            <w14:solidFill>
              <w14:schemeClr w14:val="tx1"/>
            </w14:solidFill>
          </w14:textFill>
        </w:rPr>
        <w:t>8.2.2环境监测计划</w:t>
      </w:r>
      <w:bookmarkEnd w:id="276"/>
    </w:p>
    <w:p w14:paraId="3206D771">
      <w:pPr>
        <w:rPr>
          <w:b/>
          <w:bCs/>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"8.2.2.1" </w:instrText>
      </w:r>
      <w:r>
        <w:rPr>
          <w:color w:val="000000" w:themeColor="text1"/>
          <w:highlight w:val="none"/>
          <w14:textFill>
            <w14:solidFill>
              <w14:schemeClr w14:val="tx1"/>
            </w14:solidFill>
          </w14:textFill>
        </w:rPr>
        <w:fldChar w:fldCharType="separate"/>
      </w:r>
      <w:r>
        <w:rPr>
          <w:b/>
          <w:bCs/>
          <w:color w:val="000000" w:themeColor="text1"/>
          <w:highlight w:val="none"/>
          <w14:textFill>
            <w14:solidFill>
              <w14:schemeClr w14:val="tx1"/>
            </w14:solidFill>
          </w14:textFill>
        </w:rPr>
        <w:t>8.2.2.1</w:t>
      </w:r>
      <w:r>
        <w:rPr>
          <w:b/>
          <w:bCs/>
          <w:color w:val="000000" w:themeColor="text1"/>
          <w:highlight w:val="none"/>
          <w14:textFill>
            <w14:solidFill>
              <w14:schemeClr w14:val="tx1"/>
            </w14:solidFill>
          </w14:textFill>
        </w:rPr>
        <w:fldChar w:fldCharType="end"/>
      </w:r>
      <w:r>
        <w:rPr>
          <w:b/>
          <w:bCs/>
          <w:color w:val="000000" w:themeColor="text1"/>
          <w:highlight w:val="none"/>
          <w14:textFill>
            <w14:solidFill>
              <w14:schemeClr w14:val="tx1"/>
            </w14:solidFill>
          </w14:textFill>
        </w:rPr>
        <w:t>污染源监测计划</w:t>
      </w:r>
    </w:p>
    <w:p w14:paraId="0B9B4C6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w:t>
      </w:r>
      <w:r>
        <w:rPr>
          <w:rFonts w:hint="eastAsia"/>
          <w:color w:val="000000" w:themeColor="text1"/>
          <w:highlight w:val="none"/>
          <w14:textFill>
            <w14:solidFill>
              <w14:schemeClr w14:val="tx1"/>
            </w14:solidFill>
          </w14:textFill>
        </w:rPr>
        <w:t>排污许可证申请与核发技术规范 畜禽养殖行业</w:t>
      </w:r>
      <w:r>
        <w:rPr>
          <w:color w:val="000000" w:themeColor="text1"/>
          <w:highlight w:val="none"/>
          <w14:textFill>
            <w14:solidFill>
              <w14:schemeClr w14:val="tx1"/>
            </w14:solidFill>
          </w14:textFill>
        </w:rPr>
        <w:t>》（HJ1029-2019）中自行监测管理要求，自行监测污染源和污染物应包括排放标准中涉及的废气、废水污染源和污染物。畜禽养殖行业排污单位废物污染物监测指标为臭气浓度，废水污染物监测指标包括</w:t>
      </w:r>
      <w:r>
        <w:rPr>
          <w:rFonts w:hint="eastAsia"/>
          <w:color w:val="000000" w:themeColor="text1"/>
          <w:highlight w:val="none"/>
          <w14:textFill>
            <w14:solidFill>
              <w14:schemeClr w14:val="tx1"/>
            </w14:solidFill>
          </w14:textFill>
        </w:rPr>
        <w:t>GB 18596-2001</w:t>
      </w:r>
      <w:r>
        <w:rPr>
          <w:color w:val="000000" w:themeColor="text1"/>
          <w:highlight w:val="none"/>
          <w14:textFill>
            <w14:solidFill>
              <w14:schemeClr w14:val="tx1"/>
            </w14:solidFill>
          </w14:textFill>
        </w:rPr>
        <w:t>中规定的因子以及总氮。</w:t>
      </w:r>
    </w:p>
    <w:p w14:paraId="56783A9B">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lang w:eastAsia="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根据《排污单位自行监测技术指南畜禽养殖行业》（HJ1252-2022）中自行监测管理要求，自行监测污染源和污染物应包括排放标准中涉及的废气、废水污染源和污染物。畜禽养殖行业排污单位废物污染物监测指标为臭气浓度，废水污染物监测指标包括</w:t>
      </w:r>
      <w:r>
        <w:rPr>
          <w:rFonts w:hint="default" w:ascii="Times New Roman" w:hAnsi="Times New Roman" w:cs="Times New Roman"/>
          <w:color w:val="000000" w:themeColor="text1"/>
          <w:sz w:val="24"/>
          <w:szCs w:val="24"/>
          <w:highlight w:val="none"/>
          <w:lang w:eastAsia="zh-CN"/>
          <w14:textFill>
            <w14:solidFill>
              <w14:schemeClr w14:val="tx1"/>
            </w14:solidFill>
          </w14:textFill>
        </w:rPr>
        <w:t>GB 18596-2001</w:t>
      </w:r>
      <w:r>
        <w:rPr>
          <w:rFonts w:hint="default" w:ascii="Times New Roman" w:hAnsi="Times New Roman" w:cs="Times New Roman"/>
          <w:color w:val="000000" w:themeColor="text1"/>
          <w:sz w:val="24"/>
          <w:szCs w:val="24"/>
          <w:highlight w:val="none"/>
          <w14:textFill>
            <w14:solidFill>
              <w14:schemeClr w14:val="tx1"/>
            </w14:solidFill>
          </w14:textFill>
        </w:rPr>
        <w:t>中规定的因子以及总氮。</w:t>
      </w:r>
    </w:p>
    <w:p w14:paraId="4A0FC54D">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1）企业自行监测</w:t>
      </w:r>
    </w:p>
    <w:p w14:paraId="72BD5882">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企业自行监测应当遵守国家环境监测技术规范和方法。</w:t>
      </w:r>
    </w:p>
    <w:p w14:paraId="2BF8D428">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①无组织排放监测点位</w:t>
      </w:r>
    </w:p>
    <w:p w14:paraId="21389D45">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无组织排放监测点位为厂界。</w:t>
      </w:r>
    </w:p>
    <w:p w14:paraId="5487FCFC">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监测项目：</w:t>
      </w:r>
      <w:r>
        <w:rPr>
          <w:rFonts w:hint="eastAsia" w:cs="Times New Roman"/>
          <w:color w:val="000000" w:themeColor="text1"/>
          <w:sz w:val="24"/>
          <w:szCs w:val="24"/>
          <w:highlight w:val="none"/>
          <w:lang w:val="en-US" w:eastAsia="zh-CN"/>
          <w14:textFill>
            <w14:solidFill>
              <w14:schemeClr w14:val="tx1"/>
            </w14:solidFill>
          </w14:textFill>
        </w:rPr>
        <w:t>TSp、</w:t>
      </w: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S、臭气浓度</w:t>
      </w:r>
    </w:p>
    <w:p w14:paraId="09D2D329">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监测频次：每年监测1次。</w:t>
      </w:r>
    </w:p>
    <w:p w14:paraId="7AA9ACEA">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②废水监测</w:t>
      </w:r>
    </w:p>
    <w:p w14:paraId="35E23A66">
      <w:pPr>
        <w:spacing w:line="360" w:lineRule="auto"/>
        <w:ind w:firstLine="480" w:firstLineChars="20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本项目废水采用“固液分离+厌氧发酵”工艺处理后回用于周边农田灌溉。不外排，故无需开展监测。</w:t>
      </w:r>
    </w:p>
    <w:p w14:paraId="228D8221">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③地下水监测</w:t>
      </w:r>
    </w:p>
    <w:p w14:paraId="05588F8A">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地下水监测点位为项目区上游、下游各 1 个地下水井</w:t>
      </w:r>
    </w:p>
    <w:p w14:paraId="275482D5">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地下水水井，共2处监测点位。</w:t>
      </w:r>
    </w:p>
    <w:p w14:paraId="7B358621">
      <w:p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监测项目：</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耗氧量（COD</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Mn</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法，以O</w:t>
      </w:r>
      <w:r>
        <w:rPr>
          <w:rFonts w:hint="default" w:ascii="Times New Roman" w:hAnsi="Times New Roman" w:cs="Times New Roman"/>
          <w:color w:val="000000" w:themeColor="text1"/>
          <w:sz w:val="24"/>
          <w:szCs w:val="24"/>
          <w:highlight w:val="none"/>
          <w:vertAlign w:val="subscript"/>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计、氨氮、溶解性总固体、总大肠菌群）</w:t>
      </w:r>
      <w:r>
        <w:rPr>
          <w:rFonts w:hint="default" w:ascii="Times New Roman" w:hAnsi="Times New Roman" w:cs="Times New Roman"/>
          <w:color w:val="000000" w:themeColor="text1"/>
          <w:sz w:val="24"/>
          <w:szCs w:val="24"/>
          <w:highlight w:val="none"/>
          <w14:textFill>
            <w14:solidFill>
              <w14:schemeClr w14:val="tx1"/>
            </w14:solidFill>
          </w14:textFill>
        </w:rPr>
        <w:t>。</w:t>
      </w:r>
    </w:p>
    <w:p w14:paraId="708AB08E">
      <w:pPr>
        <w:spacing w:line="360" w:lineRule="auto"/>
        <w:ind w:firstLine="480" w:firstLineChars="200"/>
        <w:rPr>
          <w:rFonts w:hint="default" w:ascii="Times New Roman" w:hAnsi="Times New Roman" w:cs="Times New Roman" w:eastAsiaTheme="minorEastAsia"/>
          <w:color w:val="000000" w:themeColor="text1"/>
          <w:sz w:val="24"/>
          <w:szCs w:val="24"/>
          <w:highlight w:val="none"/>
          <w:lang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监测频率：每年监测1次。</w:t>
      </w:r>
    </w:p>
    <w:p w14:paraId="6DD0F6D1">
      <w:pPr>
        <w:numPr>
          <w:ilvl w:val="0"/>
          <w:numId w:val="0"/>
        </w:numPr>
        <w:spacing w:line="360" w:lineRule="auto"/>
        <w:ind w:firstLine="480" w:firstLineChars="200"/>
        <w:rPr>
          <w:rFonts w:hint="default" w:ascii="Times New Roman" w:hAnsi="Times New Roman" w:cs="Times New Roman"/>
          <w:color w:val="000000" w:themeColor="text1"/>
          <w:sz w:val="24"/>
          <w:szCs w:val="24"/>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根据《排污许可证申请与核发技术规范畜禽养殖行业》（HJ1029-2019），更新完善排污许可管理要求。</w:t>
      </w:r>
    </w:p>
    <w:p w14:paraId="521A524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（2）监督性监测</w:t>
      </w:r>
    </w:p>
    <w:p w14:paraId="28424C2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环境监测机构应当根据国家或地方污染物排放（控制）标准</w:t>
      </w:r>
      <w:r>
        <w:rPr>
          <w:rFonts w:hint="eastAsia"/>
          <w:color w:val="000000" w:themeColor="text1"/>
          <w:highlight w:val="none"/>
          <w14:textFill>
            <w14:solidFill>
              <w14:schemeClr w14:val="tx1"/>
            </w14:solidFill>
          </w14:textFill>
        </w:rPr>
        <w:t>及</w:t>
      </w:r>
      <w:r>
        <w:rPr>
          <w:color w:val="000000" w:themeColor="text1"/>
          <w:highlight w:val="none"/>
          <w14:textFill>
            <w14:solidFill>
              <w14:schemeClr w14:val="tx1"/>
            </w14:solidFill>
          </w14:textFill>
        </w:rPr>
        <w:t>本项目环境影响评价报告书及其批复、环境监测技术规范以及环境管理的需要，开展监督监测。</w:t>
      </w:r>
    </w:p>
    <w:p w14:paraId="02168CB9">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）环境监控计划</w:t>
      </w:r>
    </w:p>
    <w:p w14:paraId="50995B3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①废气污染源监督检查</w:t>
      </w:r>
    </w:p>
    <w:p w14:paraId="506614C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检查本项目生产运营过程中是否对圈舍的畜禽粪及时清运，冲洗水收集至</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、废水</w:t>
      </w:r>
      <w:r>
        <w:rPr>
          <w:rFonts w:hint="eastAsia"/>
          <w:color w:val="000000" w:themeColor="text1"/>
          <w:highlight w:val="none"/>
          <w:lang w:eastAsia="zh-CN"/>
          <w14:textFill>
            <w14:solidFill>
              <w14:schemeClr w14:val="tx1"/>
            </w14:solidFill>
          </w14:textFill>
        </w:rPr>
        <w:t>黑膜池</w:t>
      </w:r>
      <w:r>
        <w:rPr>
          <w:color w:val="000000" w:themeColor="text1"/>
          <w:highlight w:val="none"/>
          <w14:textFill>
            <w14:solidFill>
              <w14:schemeClr w14:val="tx1"/>
            </w14:solidFill>
          </w14:textFill>
        </w:rPr>
        <w:t>采取防渗措施，臭气防护的效果是否符合有关标准。</w:t>
      </w:r>
    </w:p>
    <w:p w14:paraId="2B9F091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②废水污染源监督检查</w:t>
      </w:r>
    </w:p>
    <w:p w14:paraId="205F0C3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检查企业是否对生产过程中产生的猪尿液、圈舍冲洗水及生活污水通过</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进行了无害化处理。监督企业不准将未处理的排放污水乱排乱倒。</w:t>
      </w:r>
    </w:p>
    <w:p w14:paraId="5FFFE01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根据《排污单位自行监测技术指南 总则》（HJ819-2017）和本项目的环境影响预测和分析，运营期的监测项目为恶臭气体（臭气浓度、NH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S）、废水相关监测项目。本项目污染源监测（监控）计划见表8.2-1。</w:t>
      </w:r>
    </w:p>
    <w:p w14:paraId="65BFDDFC">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表8.2-1  污染物排放监控计划</w:t>
      </w:r>
    </w:p>
    <w:tbl>
      <w:tblPr>
        <w:tblStyle w:val="58"/>
        <w:tblW w:w="8481" w:type="dxa"/>
        <w:tblInd w:w="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701"/>
        <w:gridCol w:w="1994"/>
        <w:gridCol w:w="3806"/>
        <w:gridCol w:w="1284"/>
      </w:tblGrid>
      <w:tr w14:paraId="4DF508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696" w:type="dxa"/>
            <w:vAlign w:val="center"/>
          </w:tcPr>
          <w:p w14:paraId="0E20C91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阶段</w:t>
            </w:r>
          </w:p>
        </w:tc>
        <w:tc>
          <w:tcPr>
            <w:tcW w:w="701" w:type="dxa"/>
            <w:vAlign w:val="center"/>
          </w:tcPr>
          <w:p w14:paraId="34B0B039">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污染源</w:t>
            </w:r>
          </w:p>
        </w:tc>
        <w:tc>
          <w:tcPr>
            <w:tcW w:w="1994" w:type="dxa"/>
            <w:vAlign w:val="center"/>
          </w:tcPr>
          <w:p w14:paraId="742D853B">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监测地点</w:t>
            </w:r>
          </w:p>
        </w:tc>
        <w:tc>
          <w:tcPr>
            <w:tcW w:w="3806" w:type="dxa"/>
            <w:vAlign w:val="center"/>
          </w:tcPr>
          <w:p w14:paraId="3116182D">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监测项目</w:t>
            </w:r>
          </w:p>
        </w:tc>
        <w:tc>
          <w:tcPr>
            <w:tcW w:w="1284" w:type="dxa"/>
            <w:vAlign w:val="center"/>
          </w:tcPr>
          <w:p w14:paraId="3BC222DE">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监测频率</w:t>
            </w:r>
          </w:p>
        </w:tc>
      </w:tr>
      <w:tr w14:paraId="780B79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6" w:type="dxa"/>
            <w:vMerge w:val="restart"/>
            <w:tcBorders>
              <w:bottom w:val="nil"/>
            </w:tcBorders>
            <w:vAlign w:val="center"/>
          </w:tcPr>
          <w:p w14:paraId="4B1B51C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运营期</w:t>
            </w:r>
          </w:p>
        </w:tc>
        <w:tc>
          <w:tcPr>
            <w:tcW w:w="701" w:type="dxa"/>
            <w:vAlign w:val="center"/>
          </w:tcPr>
          <w:p w14:paraId="1EF7B4B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w:t>
            </w:r>
          </w:p>
        </w:tc>
        <w:tc>
          <w:tcPr>
            <w:tcW w:w="1994" w:type="dxa"/>
            <w:vAlign w:val="center"/>
          </w:tcPr>
          <w:p w14:paraId="2F9D92F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w:t>
            </w:r>
          </w:p>
        </w:tc>
        <w:tc>
          <w:tcPr>
            <w:tcW w:w="3806" w:type="dxa"/>
            <w:vAlign w:val="center"/>
          </w:tcPr>
          <w:p w14:paraId="19662A9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TSP、</w:t>
            </w: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S、臭气浓度</w:t>
            </w:r>
          </w:p>
        </w:tc>
        <w:tc>
          <w:tcPr>
            <w:tcW w:w="1284" w:type="dxa"/>
            <w:vAlign w:val="center"/>
          </w:tcPr>
          <w:p w14:paraId="694D3D5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年/次</w:t>
            </w:r>
          </w:p>
        </w:tc>
      </w:tr>
      <w:tr w14:paraId="2C23F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6" w:type="dxa"/>
            <w:vMerge w:val="continue"/>
            <w:tcBorders>
              <w:top w:val="nil"/>
              <w:bottom w:val="nil"/>
            </w:tcBorders>
            <w:vAlign w:val="center"/>
          </w:tcPr>
          <w:p w14:paraId="73C0A4D5">
            <w:pPr>
              <w:spacing w:line="240" w:lineRule="auto"/>
              <w:jc w:val="center"/>
              <w:rPr>
                <w:color w:val="000000" w:themeColor="text1"/>
                <w:sz w:val="21"/>
                <w:szCs w:val="21"/>
                <w:highlight w:val="none"/>
                <w14:textFill>
                  <w14:solidFill>
                    <w14:schemeClr w14:val="tx1"/>
                  </w14:solidFill>
                </w14:textFill>
              </w:rPr>
            </w:pPr>
          </w:p>
        </w:tc>
        <w:tc>
          <w:tcPr>
            <w:tcW w:w="701" w:type="dxa"/>
            <w:vMerge w:val="restart"/>
            <w:tcBorders>
              <w:bottom w:val="nil"/>
            </w:tcBorders>
            <w:vAlign w:val="center"/>
          </w:tcPr>
          <w:p w14:paraId="15D546FB">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p>
        </w:tc>
        <w:tc>
          <w:tcPr>
            <w:tcW w:w="1994" w:type="dxa"/>
            <w:vMerge w:val="restart"/>
            <w:tcBorders>
              <w:bottom w:val="nil"/>
            </w:tcBorders>
            <w:vAlign w:val="center"/>
          </w:tcPr>
          <w:p w14:paraId="6FA1150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废水总排口</w:t>
            </w:r>
          </w:p>
        </w:tc>
        <w:tc>
          <w:tcPr>
            <w:tcW w:w="3806" w:type="dxa"/>
            <w:vAlign w:val="center"/>
          </w:tcPr>
          <w:p w14:paraId="372A168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流量、CODCr、NH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w:t>
            </w:r>
          </w:p>
        </w:tc>
        <w:tc>
          <w:tcPr>
            <w:tcW w:w="1284" w:type="dxa"/>
            <w:vAlign w:val="center"/>
          </w:tcPr>
          <w:p w14:paraId="25F6257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自动监测</w:t>
            </w:r>
          </w:p>
        </w:tc>
      </w:tr>
      <w:tr w14:paraId="15C20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696" w:type="dxa"/>
            <w:vMerge w:val="continue"/>
            <w:tcBorders>
              <w:top w:val="nil"/>
              <w:bottom w:val="nil"/>
            </w:tcBorders>
            <w:vAlign w:val="center"/>
          </w:tcPr>
          <w:p w14:paraId="36A682A0">
            <w:pPr>
              <w:spacing w:line="240" w:lineRule="auto"/>
              <w:jc w:val="center"/>
              <w:rPr>
                <w:color w:val="000000" w:themeColor="text1"/>
                <w:sz w:val="21"/>
                <w:szCs w:val="21"/>
                <w:highlight w:val="none"/>
                <w14:textFill>
                  <w14:solidFill>
                    <w14:schemeClr w14:val="tx1"/>
                  </w14:solidFill>
                </w14:textFill>
              </w:rPr>
            </w:pPr>
          </w:p>
        </w:tc>
        <w:tc>
          <w:tcPr>
            <w:tcW w:w="701" w:type="dxa"/>
            <w:vMerge w:val="continue"/>
            <w:tcBorders>
              <w:top w:val="nil"/>
              <w:bottom w:val="nil"/>
            </w:tcBorders>
            <w:vAlign w:val="center"/>
          </w:tcPr>
          <w:p w14:paraId="2611A097">
            <w:pPr>
              <w:spacing w:line="240" w:lineRule="auto"/>
              <w:jc w:val="center"/>
              <w:rPr>
                <w:color w:val="000000" w:themeColor="text1"/>
                <w:sz w:val="21"/>
                <w:szCs w:val="21"/>
                <w:highlight w:val="none"/>
                <w14:textFill>
                  <w14:solidFill>
                    <w14:schemeClr w14:val="tx1"/>
                  </w14:solidFill>
                </w14:textFill>
              </w:rPr>
            </w:pPr>
          </w:p>
        </w:tc>
        <w:tc>
          <w:tcPr>
            <w:tcW w:w="1994" w:type="dxa"/>
            <w:vMerge w:val="continue"/>
            <w:tcBorders>
              <w:top w:val="nil"/>
              <w:bottom w:val="nil"/>
            </w:tcBorders>
            <w:vAlign w:val="center"/>
          </w:tcPr>
          <w:p w14:paraId="779470F9">
            <w:pPr>
              <w:spacing w:line="240" w:lineRule="auto"/>
              <w:jc w:val="center"/>
              <w:rPr>
                <w:color w:val="000000" w:themeColor="text1"/>
                <w:sz w:val="21"/>
                <w:szCs w:val="21"/>
                <w:highlight w:val="none"/>
                <w14:textFill>
                  <w14:solidFill>
                    <w14:schemeClr w14:val="tx1"/>
                  </w14:solidFill>
                </w14:textFill>
              </w:rPr>
            </w:pPr>
          </w:p>
        </w:tc>
        <w:tc>
          <w:tcPr>
            <w:tcW w:w="3806" w:type="dxa"/>
            <w:vAlign w:val="center"/>
          </w:tcPr>
          <w:p w14:paraId="3A11286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TN、TP</w:t>
            </w:r>
          </w:p>
        </w:tc>
        <w:tc>
          <w:tcPr>
            <w:tcW w:w="1284" w:type="dxa"/>
            <w:vAlign w:val="center"/>
          </w:tcPr>
          <w:p w14:paraId="4A067718">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季/次</w:t>
            </w:r>
          </w:p>
        </w:tc>
      </w:tr>
      <w:tr w14:paraId="2298D6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6" w:type="dxa"/>
            <w:vMerge w:val="continue"/>
            <w:tcBorders>
              <w:top w:val="nil"/>
              <w:bottom w:val="nil"/>
            </w:tcBorders>
            <w:vAlign w:val="center"/>
          </w:tcPr>
          <w:p w14:paraId="33340562">
            <w:pPr>
              <w:spacing w:line="240" w:lineRule="auto"/>
              <w:jc w:val="center"/>
              <w:rPr>
                <w:color w:val="000000" w:themeColor="text1"/>
                <w:sz w:val="21"/>
                <w:szCs w:val="21"/>
                <w:highlight w:val="none"/>
                <w14:textFill>
                  <w14:solidFill>
                    <w14:schemeClr w14:val="tx1"/>
                  </w14:solidFill>
                </w14:textFill>
              </w:rPr>
            </w:pPr>
          </w:p>
        </w:tc>
        <w:tc>
          <w:tcPr>
            <w:tcW w:w="701" w:type="dxa"/>
            <w:vMerge w:val="continue"/>
            <w:tcBorders>
              <w:top w:val="nil"/>
            </w:tcBorders>
            <w:vAlign w:val="center"/>
          </w:tcPr>
          <w:p w14:paraId="68D2E8EA">
            <w:pPr>
              <w:spacing w:line="240" w:lineRule="auto"/>
              <w:jc w:val="center"/>
              <w:rPr>
                <w:color w:val="000000" w:themeColor="text1"/>
                <w:sz w:val="21"/>
                <w:szCs w:val="21"/>
                <w:highlight w:val="none"/>
                <w14:textFill>
                  <w14:solidFill>
                    <w14:schemeClr w14:val="tx1"/>
                  </w14:solidFill>
                </w14:textFill>
              </w:rPr>
            </w:pPr>
          </w:p>
        </w:tc>
        <w:tc>
          <w:tcPr>
            <w:tcW w:w="1994" w:type="dxa"/>
            <w:vMerge w:val="continue"/>
            <w:tcBorders>
              <w:top w:val="nil"/>
            </w:tcBorders>
            <w:vAlign w:val="center"/>
          </w:tcPr>
          <w:p w14:paraId="2712B040">
            <w:pPr>
              <w:spacing w:line="240" w:lineRule="auto"/>
              <w:jc w:val="center"/>
              <w:rPr>
                <w:color w:val="000000" w:themeColor="text1"/>
                <w:sz w:val="21"/>
                <w:szCs w:val="21"/>
                <w:highlight w:val="none"/>
                <w14:textFill>
                  <w14:solidFill>
                    <w14:schemeClr w14:val="tx1"/>
                  </w14:solidFill>
                </w14:textFill>
              </w:rPr>
            </w:pPr>
          </w:p>
        </w:tc>
        <w:tc>
          <w:tcPr>
            <w:tcW w:w="3806" w:type="dxa"/>
            <w:vAlign w:val="center"/>
          </w:tcPr>
          <w:p w14:paraId="170D0F5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悬浮物、BOD</w:t>
            </w:r>
            <w:r>
              <w:rPr>
                <w:color w:val="000000" w:themeColor="text1"/>
                <w:sz w:val="21"/>
                <w:szCs w:val="21"/>
                <w:highlight w:val="none"/>
                <w:vertAlign w:val="subscript"/>
                <w14:textFill>
                  <w14:solidFill>
                    <w14:schemeClr w14:val="tx1"/>
                  </w14:solidFill>
                </w14:textFill>
              </w:rPr>
              <w:t>5</w:t>
            </w:r>
            <w:r>
              <w:rPr>
                <w:color w:val="000000" w:themeColor="text1"/>
                <w:sz w:val="21"/>
                <w:szCs w:val="21"/>
                <w:highlight w:val="none"/>
                <w14:textFill>
                  <w14:solidFill>
                    <w14:schemeClr w14:val="tx1"/>
                  </w14:solidFill>
                </w14:textFill>
              </w:rPr>
              <w:t>、粪大肠菌群、蛔虫卵</w:t>
            </w:r>
          </w:p>
        </w:tc>
        <w:tc>
          <w:tcPr>
            <w:tcW w:w="1284" w:type="dxa"/>
            <w:vAlign w:val="center"/>
          </w:tcPr>
          <w:p w14:paraId="03EBFA1D">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季/次</w:t>
            </w:r>
          </w:p>
        </w:tc>
      </w:tr>
      <w:tr w14:paraId="53F05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96" w:type="dxa"/>
            <w:vMerge w:val="continue"/>
            <w:tcBorders>
              <w:top w:val="nil"/>
              <w:bottom w:val="nil"/>
            </w:tcBorders>
            <w:vAlign w:val="center"/>
          </w:tcPr>
          <w:p w14:paraId="609E9C48">
            <w:pPr>
              <w:spacing w:line="240" w:lineRule="auto"/>
              <w:jc w:val="center"/>
              <w:rPr>
                <w:color w:val="000000" w:themeColor="text1"/>
                <w:sz w:val="21"/>
                <w:szCs w:val="21"/>
                <w:highlight w:val="none"/>
                <w14:textFill>
                  <w14:solidFill>
                    <w14:schemeClr w14:val="tx1"/>
                  </w14:solidFill>
                </w14:textFill>
              </w:rPr>
            </w:pPr>
          </w:p>
        </w:tc>
        <w:tc>
          <w:tcPr>
            <w:tcW w:w="701" w:type="dxa"/>
            <w:vAlign w:val="center"/>
          </w:tcPr>
          <w:p w14:paraId="5379819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地下水</w:t>
            </w:r>
          </w:p>
        </w:tc>
        <w:tc>
          <w:tcPr>
            <w:tcW w:w="1994" w:type="dxa"/>
            <w:vAlign w:val="center"/>
          </w:tcPr>
          <w:p w14:paraId="0FCC181C">
            <w:pPr>
              <w:kinsoku/>
              <w:autoSpaceDE/>
              <w:autoSpaceDN/>
              <w:bidi w:val="0"/>
              <w:spacing w:line="240" w:lineRule="auto"/>
              <w:jc w:val="center"/>
              <w:rPr>
                <w:color w:val="000000" w:themeColor="text1"/>
                <w:sz w:val="21"/>
                <w:szCs w:val="21"/>
                <w:highlight w:val="none"/>
                <w14:textFill>
                  <w14:solidFill>
                    <w14:schemeClr w14:val="tx1"/>
                  </w14:solidFill>
                </w14:textFill>
              </w:rPr>
            </w:pPr>
            <w:r>
              <w:rPr>
                <w:rFonts w:ascii="Times New Roman" w:hAnsi="Times New Roman" w:eastAsia="宋体" w:cs="宋体"/>
                <w:b w:val="0"/>
                <w:bCs w:val="0"/>
                <w:color w:val="000000" w:themeColor="text1"/>
                <w:kern w:val="0"/>
                <w:sz w:val="21"/>
                <w:szCs w:val="21"/>
                <w:highlight w:val="none"/>
                <w14:textFill>
                  <w14:solidFill>
                    <w14:schemeClr w14:val="tx1"/>
                  </w14:solidFill>
                </w14:textFill>
              </w:rPr>
              <w:t>项目区上游、下游各1 个地下水井</w:t>
            </w:r>
          </w:p>
        </w:tc>
        <w:tc>
          <w:tcPr>
            <w:tcW w:w="3806" w:type="dxa"/>
            <w:vAlign w:val="center"/>
          </w:tcPr>
          <w:p w14:paraId="2EEE5A71">
            <w:pPr>
              <w:spacing w:line="240" w:lineRule="auto"/>
              <w:ind w:firstLine="420" w:firstLineChars="200"/>
              <w:rPr>
                <w:color w:val="000000" w:themeColor="text1"/>
                <w:sz w:val="21"/>
                <w:szCs w:val="21"/>
                <w:highlight w:val="none"/>
                <w14:textFill>
                  <w14:solidFill>
                    <w14:schemeClr w14:val="tx1"/>
                  </w14:solidFill>
                </w14:textFill>
              </w:rPr>
            </w:pP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耗氧量（CODMn法，以O</w:t>
            </w:r>
            <w:r>
              <w:rPr>
                <w:rFonts w:hint="eastAsia" w:ascii="Times New Roman" w:hAnsi="Times New Roman" w:eastAsia="宋体" w:cs="宋体"/>
                <w:b w:val="0"/>
                <w:bCs w:val="0"/>
                <w:color w:val="000000" w:themeColor="text1"/>
                <w:kern w:val="0"/>
                <w:sz w:val="21"/>
                <w:szCs w:val="21"/>
                <w:highlight w:val="none"/>
                <w:vertAlign w:val="subscript"/>
                <w:lang w:val="en-US" w:eastAsia="zh-CN"/>
                <w14:textFill>
                  <w14:solidFill>
                    <w14:schemeClr w14:val="tx1"/>
                  </w14:solidFill>
                </w14:textFill>
              </w:rPr>
              <w:t>2</w:t>
            </w:r>
            <w:r>
              <w:rPr>
                <w:rFonts w:hint="eastAsia" w:ascii="Times New Roman" w:hAnsi="Times New Roman" w:eastAsia="宋体" w:cs="宋体"/>
                <w:b w:val="0"/>
                <w:bCs w:val="0"/>
                <w:color w:val="000000" w:themeColor="text1"/>
                <w:kern w:val="0"/>
                <w:sz w:val="21"/>
                <w:szCs w:val="21"/>
                <w:highlight w:val="none"/>
                <w:lang w:val="en-US" w:eastAsia="zh-CN"/>
                <w14:textFill>
                  <w14:solidFill>
                    <w14:schemeClr w14:val="tx1"/>
                  </w14:solidFill>
                </w14:textFill>
              </w:rPr>
              <w:t>计、氨氮、溶解性总固体、总大肠菌群）</w:t>
            </w:r>
            <w:r>
              <w:rPr>
                <w:rFonts w:hint="eastAsia" w:ascii="Times New Roman" w:hAnsi="Times New Roman" w:eastAsia="宋体" w:cs="宋体"/>
                <w:b w:val="0"/>
                <w:bCs w:val="0"/>
                <w:color w:val="000000" w:themeColor="text1"/>
                <w:kern w:val="0"/>
                <w:sz w:val="21"/>
                <w:szCs w:val="21"/>
                <w:highlight w:val="none"/>
                <w14:textFill>
                  <w14:solidFill>
                    <w14:schemeClr w14:val="tx1"/>
                  </w14:solidFill>
                </w14:textFill>
              </w:rPr>
              <w:t>。</w:t>
            </w:r>
          </w:p>
        </w:tc>
        <w:tc>
          <w:tcPr>
            <w:tcW w:w="1284" w:type="dxa"/>
            <w:vAlign w:val="center"/>
          </w:tcPr>
          <w:p w14:paraId="0421F1D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年/次</w:t>
            </w:r>
          </w:p>
        </w:tc>
      </w:tr>
      <w:tr w14:paraId="2ECAB1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696" w:type="dxa"/>
            <w:vMerge w:val="continue"/>
            <w:tcBorders>
              <w:top w:val="nil"/>
              <w:bottom w:val="nil"/>
            </w:tcBorders>
            <w:vAlign w:val="center"/>
          </w:tcPr>
          <w:p w14:paraId="7D975CA7">
            <w:pPr>
              <w:spacing w:line="240" w:lineRule="auto"/>
              <w:jc w:val="center"/>
              <w:rPr>
                <w:color w:val="000000" w:themeColor="text1"/>
                <w:sz w:val="21"/>
                <w:szCs w:val="21"/>
                <w:highlight w:val="none"/>
                <w14:textFill>
                  <w14:solidFill>
                    <w14:schemeClr w14:val="tx1"/>
                  </w14:solidFill>
                </w14:textFill>
              </w:rPr>
            </w:pPr>
          </w:p>
        </w:tc>
        <w:tc>
          <w:tcPr>
            <w:tcW w:w="701" w:type="dxa"/>
            <w:vAlign w:val="center"/>
          </w:tcPr>
          <w:p w14:paraId="2EE31E9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w:t>
            </w:r>
          </w:p>
        </w:tc>
        <w:tc>
          <w:tcPr>
            <w:tcW w:w="1994" w:type="dxa"/>
            <w:vAlign w:val="center"/>
          </w:tcPr>
          <w:p w14:paraId="2E030CE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w:t>
            </w:r>
          </w:p>
        </w:tc>
        <w:tc>
          <w:tcPr>
            <w:tcW w:w="3806" w:type="dxa"/>
            <w:vAlign w:val="center"/>
          </w:tcPr>
          <w:p w14:paraId="30EF357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等效A声级</w:t>
            </w:r>
          </w:p>
        </w:tc>
        <w:tc>
          <w:tcPr>
            <w:tcW w:w="1284" w:type="dxa"/>
            <w:vAlign w:val="center"/>
          </w:tcPr>
          <w:p w14:paraId="19FB11A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季/次</w:t>
            </w:r>
          </w:p>
        </w:tc>
      </w:tr>
      <w:tr w14:paraId="1C049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696" w:type="dxa"/>
            <w:vMerge w:val="continue"/>
            <w:tcBorders>
              <w:top w:val="nil"/>
            </w:tcBorders>
            <w:vAlign w:val="center"/>
          </w:tcPr>
          <w:p w14:paraId="107A90F7">
            <w:pPr>
              <w:spacing w:line="240" w:lineRule="auto"/>
              <w:jc w:val="center"/>
              <w:rPr>
                <w:color w:val="000000" w:themeColor="text1"/>
                <w:sz w:val="21"/>
                <w:szCs w:val="21"/>
                <w:highlight w:val="none"/>
                <w14:textFill>
                  <w14:solidFill>
                    <w14:schemeClr w14:val="tx1"/>
                  </w14:solidFill>
                </w14:textFill>
              </w:rPr>
            </w:pPr>
          </w:p>
        </w:tc>
        <w:tc>
          <w:tcPr>
            <w:tcW w:w="701" w:type="dxa"/>
            <w:vAlign w:val="center"/>
          </w:tcPr>
          <w:p w14:paraId="6CA80BD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土壤</w:t>
            </w:r>
          </w:p>
        </w:tc>
        <w:tc>
          <w:tcPr>
            <w:tcW w:w="1994" w:type="dxa"/>
            <w:vAlign w:val="center"/>
          </w:tcPr>
          <w:p w14:paraId="3E6705E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农田灌溉区及下游</w:t>
            </w:r>
          </w:p>
        </w:tc>
        <w:tc>
          <w:tcPr>
            <w:tcW w:w="3806" w:type="dxa"/>
            <w:vAlign w:val="center"/>
          </w:tcPr>
          <w:p w14:paraId="5900366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镉、汞、砷、铅、铬、铜、镍、锌、pH等 项目</w:t>
            </w:r>
          </w:p>
        </w:tc>
        <w:tc>
          <w:tcPr>
            <w:tcW w:w="1284" w:type="dxa"/>
            <w:vAlign w:val="center"/>
          </w:tcPr>
          <w:p w14:paraId="05712C5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年/次</w:t>
            </w:r>
          </w:p>
        </w:tc>
      </w:tr>
    </w:tbl>
    <w:p w14:paraId="272ECCD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上述各监测项目的监测计划应严格按照国家有关监测技术规范执行。本项目建成投产验收时污染监测和正常运营期间定期污染监测工作可委托相应环境监测部门定期进行，并将监测结果上报</w:t>
      </w:r>
      <w:r>
        <w:rPr>
          <w:rFonts w:hint="eastAsia"/>
          <w:color w:val="000000" w:themeColor="text1"/>
          <w:highlight w:val="none"/>
          <w14:textFill>
            <w14:solidFill>
              <w14:schemeClr w14:val="tx1"/>
            </w14:solidFill>
          </w14:textFill>
        </w:rPr>
        <w:t>生态环境局</w:t>
      </w:r>
      <w:r>
        <w:rPr>
          <w:color w:val="000000" w:themeColor="text1"/>
          <w:highlight w:val="none"/>
          <w14:textFill>
            <w14:solidFill>
              <w14:schemeClr w14:val="tx1"/>
            </w14:solidFill>
          </w14:textFill>
        </w:rPr>
        <w:t>。</w:t>
      </w:r>
    </w:p>
    <w:p w14:paraId="261535E4">
      <w:pPr>
        <w:pStyle w:val="4"/>
        <w:rPr>
          <w:color w:val="000000" w:themeColor="text1"/>
          <w:highlight w:val="none"/>
          <w14:textFill>
            <w14:solidFill>
              <w14:schemeClr w14:val="tx1"/>
            </w14:solidFill>
          </w14:textFill>
        </w:rPr>
      </w:pPr>
      <w:bookmarkStart w:id="277" w:name="_Toc32376"/>
      <w:r>
        <w:rPr>
          <w:color w:val="000000" w:themeColor="text1"/>
          <w:highlight w:val="none"/>
          <w14:textFill>
            <w14:solidFill>
              <w14:schemeClr w14:val="tx1"/>
            </w14:solidFill>
          </w14:textFill>
        </w:rPr>
        <w:t>8.</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.3排污口规范化</w:t>
      </w:r>
      <w:bookmarkEnd w:id="277"/>
    </w:p>
    <w:p w14:paraId="2FE250B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企业应当按照国家环保总局《排污口规范化整治技术要求》设置排污口及环保图形标志牌。排污口规范化管理要求见表8.</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2</w:t>
      </w:r>
      <w:r>
        <w:rPr>
          <w:color w:val="000000" w:themeColor="text1"/>
          <w:highlight w:val="none"/>
          <w14:textFill>
            <w14:solidFill>
              <w14:schemeClr w14:val="tx1"/>
            </w14:solidFill>
          </w14:textFill>
        </w:rPr>
        <w:t>。</w:t>
      </w:r>
    </w:p>
    <w:p w14:paraId="7EA146F1">
      <w:pPr>
        <w:spacing w:line="240" w:lineRule="auto"/>
        <w:jc w:val="center"/>
        <w:rPr>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表8.</w:t>
      </w:r>
      <w:r>
        <w:rPr>
          <w:rFonts w:hint="eastAsia"/>
          <w:b/>
          <w:bCs/>
          <w:color w:val="000000" w:themeColor="text1"/>
          <w:sz w:val="21"/>
          <w:szCs w:val="21"/>
          <w:highlight w:val="none"/>
          <w14:textFill>
            <w14:solidFill>
              <w14:schemeClr w14:val="tx1"/>
            </w14:solidFill>
          </w14:textFill>
        </w:rPr>
        <w:t>2</w:t>
      </w:r>
      <w:r>
        <w:rPr>
          <w:b/>
          <w:bCs/>
          <w:color w:val="000000" w:themeColor="text1"/>
          <w:sz w:val="21"/>
          <w:szCs w:val="21"/>
          <w:highlight w:val="none"/>
          <w14:textFill>
            <w14:solidFill>
              <w14:schemeClr w14:val="tx1"/>
            </w14:solidFill>
          </w14:textFill>
        </w:rPr>
        <w:t>-</w:t>
      </w:r>
      <w:r>
        <w:rPr>
          <w:rFonts w:hint="eastAsia"/>
          <w:b/>
          <w:bCs/>
          <w:color w:val="000000" w:themeColor="text1"/>
          <w:sz w:val="21"/>
          <w:szCs w:val="21"/>
          <w:highlight w:val="none"/>
          <w14:textFill>
            <w14:solidFill>
              <w14:schemeClr w14:val="tx1"/>
            </w14:solidFill>
          </w14:textFill>
        </w:rPr>
        <w:t>2</w:t>
      </w:r>
      <w:r>
        <w:rPr>
          <w:b/>
          <w:bCs/>
          <w:color w:val="000000" w:themeColor="text1"/>
          <w:sz w:val="21"/>
          <w:szCs w:val="21"/>
          <w:highlight w:val="none"/>
          <w14:textFill>
            <w14:solidFill>
              <w14:schemeClr w14:val="tx1"/>
            </w14:solidFill>
          </w14:textFill>
        </w:rPr>
        <w:t xml:space="preserve">  排污口规范化管理要求表</w:t>
      </w:r>
    </w:p>
    <w:tbl>
      <w:tblPr>
        <w:tblStyle w:val="58"/>
        <w:tblW w:w="853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8101"/>
      </w:tblGrid>
      <w:tr w14:paraId="3C6593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431" w:type="dxa"/>
          </w:tcPr>
          <w:p w14:paraId="33DBC873">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项目</w:t>
            </w:r>
          </w:p>
        </w:tc>
        <w:tc>
          <w:tcPr>
            <w:tcW w:w="8101" w:type="dxa"/>
          </w:tcPr>
          <w:p w14:paraId="5F496F1F">
            <w:pPr>
              <w:spacing w:line="240" w:lineRule="auto"/>
              <w:jc w:val="center"/>
              <w:rPr>
                <w:b/>
                <w:bCs/>
                <w:color w:val="000000" w:themeColor="text1"/>
                <w:sz w:val="21"/>
                <w:szCs w:val="21"/>
                <w:highlight w:val="none"/>
                <w14:textFill>
                  <w14:solidFill>
                    <w14:schemeClr w14:val="tx1"/>
                  </w14:solidFill>
                </w14:textFill>
              </w:rPr>
            </w:pPr>
            <w:r>
              <w:rPr>
                <w:b/>
                <w:bCs/>
                <w:color w:val="000000" w:themeColor="text1"/>
                <w:sz w:val="21"/>
                <w:szCs w:val="21"/>
                <w:highlight w:val="none"/>
                <w14:textFill>
                  <w14:solidFill>
                    <w14:schemeClr w14:val="tx1"/>
                  </w14:solidFill>
                </w14:textFill>
              </w:rPr>
              <w:t>主要要求内容</w:t>
            </w:r>
          </w:p>
        </w:tc>
      </w:tr>
      <w:tr w14:paraId="78021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trPr>
        <w:tc>
          <w:tcPr>
            <w:tcW w:w="431" w:type="dxa"/>
          </w:tcPr>
          <w:p w14:paraId="44190E08">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基本原则</w:t>
            </w:r>
          </w:p>
        </w:tc>
        <w:tc>
          <w:tcPr>
            <w:tcW w:w="8101" w:type="dxa"/>
          </w:tcPr>
          <w:p w14:paraId="17FFF1CF">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1、凡向环境排放污染物的排污口必须进行规范化管理；</w:t>
            </w:r>
          </w:p>
          <w:p w14:paraId="33278809">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2、将总量控制污染物排污口及行业特征污染物排放口列为环境管理的重点；</w:t>
            </w:r>
          </w:p>
          <w:p w14:paraId="3AF41383">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3、排污口设置应便于采样和计量监测，便于日常现场监督与检查；</w:t>
            </w:r>
          </w:p>
          <w:p w14:paraId="76507CC6">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4、如实向环保管理部门申报排污口数量、位置，排放主要污染物种类、数量和浓度与排放去向等方面情况。</w:t>
            </w:r>
          </w:p>
        </w:tc>
      </w:tr>
      <w:tr w14:paraId="3CC7C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431" w:type="dxa"/>
          </w:tcPr>
          <w:p w14:paraId="182327D6">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技术要求</w:t>
            </w:r>
          </w:p>
        </w:tc>
        <w:tc>
          <w:tcPr>
            <w:tcW w:w="8101" w:type="dxa"/>
          </w:tcPr>
          <w:p w14:paraId="34D3A6A0">
            <w:pPr>
              <w:numPr>
                <w:ilvl w:val="0"/>
                <w:numId w:val="9"/>
              </w:num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排污口设置</w:t>
            </w:r>
            <w:r>
              <w:rPr>
                <w:rFonts w:hint="eastAsia"/>
                <w:color w:val="000000" w:themeColor="text1"/>
                <w:sz w:val="21"/>
                <w:szCs w:val="21"/>
                <w:highlight w:val="none"/>
                <w14:textFill>
                  <w14:solidFill>
                    <w14:schemeClr w14:val="tx1"/>
                  </w14:solidFill>
                </w14:textFill>
              </w:rPr>
              <w:t>必须</w:t>
            </w:r>
            <w:r>
              <w:rPr>
                <w:color w:val="000000" w:themeColor="text1"/>
                <w:sz w:val="21"/>
                <w:szCs w:val="21"/>
                <w:highlight w:val="none"/>
                <w14:textFill>
                  <w14:solidFill>
                    <w14:schemeClr w14:val="tx1"/>
                  </w14:solidFill>
                </w14:textFill>
              </w:rPr>
              <w:t>按照环监（1996）470号文要求，实行规范化管理；</w:t>
            </w:r>
          </w:p>
          <w:p w14:paraId="7D6FC87B">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2、废水采样点应按照《污染源监测技术规范》要求设在总排口。</w:t>
            </w:r>
          </w:p>
        </w:tc>
      </w:tr>
      <w:tr w14:paraId="6E45A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 w:hRule="atLeast"/>
        </w:trPr>
        <w:tc>
          <w:tcPr>
            <w:tcW w:w="431" w:type="dxa"/>
          </w:tcPr>
          <w:p w14:paraId="604BEBB9">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立标管理</w:t>
            </w:r>
          </w:p>
        </w:tc>
        <w:tc>
          <w:tcPr>
            <w:tcW w:w="8101" w:type="dxa"/>
          </w:tcPr>
          <w:p w14:paraId="6DB04820">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1、污染物排放口必须实行规范化整治，应按照国家《</w:t>
            </w:r>
            <w:r>
              <w:rPr>
                <w:rFonts w:hint="eastAsia"/>
                <w:color w:val="000000" w:themeColor="text1"/>
                <w:sz w:val="21"/>
                <w:szCs w:val="21"/>
                <w:highlight w:val="none"/>
                <w:lang w:eastAsia="zh-CN"/>
                <w14:textFill>
                  <w14:solidFill>
                    <w14:schemeClr w14:val="tx1"/>
                  </w14:solidFill>
                </w14:textFill>
              </w:rPr>
              <w:t>环境保护图形标志-排放口（源）</w:t>
            </w:r>
            <w:r>
              <w:rPr>
                <w:color w:val="000000" w:themeColor="text1"/>
                <w:sz w:val="21"/>
                <w:szCs w:val="21"/>
                <w:highlight w:val="none"/>
                <w14:textFill>
                  <w14:solidFill>
                    <w14:schemeClr w14:val="tx1"/>
                  </w14:solidFill>
                </w14:textFill>
              </w:rPr>
              <w:t>》（GB15562.1-1995）与（GB15562.2－95）相关规定，设置由国家环保总局统一定点制作和监制的环保图形标志牌；</w:t>
            </w:r>
          </w:p>
          <w:p w14:paraId="2F04A69E">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2、环保图形标志牌位置应距污染物排放口（源）或采样点较近且醒目处，设置高度一般为标志牌上缘距离地面2m处；</w:t>
            </w:r>
          </w:p>
          <w:p w14:paraId="20452A05">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3、重点排污单位污染物排放口，以设置立式标志牌为主，一般排污单位污染物排放口可根据情况设立式或平面固定式标志牌；</w:t>
            </w:r>
          </w:p>
          <w:p w14:paraId="6D7EA4D4">
            <w:pPr>
              <w:spacing w:line="240" w:lineRule="auto"/>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4、对一般性污染物排放口应设置提示性环保图形标志牌。</w:t>
            </w:r>
          </w:p>
        </w:tc>
      </w:tr>
    </w:tbl>
    <w:p w14:paraId="769858FB">
      <w:pPr>
        <w:spacing w:line="360" w:lineRule="auto"/>
        <w:ind w:firstLine="480" w:firstLineChars="200"/>
        <w:rPr>
          <w:rFonts w:hint="default" w:ascii="Times New Roman" w:hAnsi="Times New Roman" w:eastAsia="宋体" w:cs="宋体"/>
          <w:color w:val="000000" w:themeColor="text1"/>
          <w:highlight w:val="none"/>
          <w14:textFill>
            <w14:solidFill>
              <w14:schemeClr w14:val="tx1"/>
            </w14:solidFill>
          </w14:textFill>
        </w:rPr>
      </w:pPr>
      <w:bookmarkStart w:id="278" w:name="_Toc14318"/>
      <w:r>
        <w:rPr>
          <w:rFonts w:hint="default" w:ascii="Times New Roman" w:hAnsi="Times New Roman" w:eastAsia="宋体" w:cs="宋体"/>
          <w:color w:val="000000" w:themeColor="text1"/>
          <w:highlight w:val="none"/>
          <w14:textFill>
            <w14:solidFill>
              <w14:schemeClr w14:val="tx1"/>
            </w14:solidFill>
          </w14:textFill>
        </w:rPr>
        <w:t>（1）污水排放口</w:t>
      </w:r>
    </w:p>
    <w:p w14:paraId="2E67F360">
      <w:pPr>
        <w:spacing w:line="360" w:lineRule="auto"/>
        <w:ind w:firstLine="480" w:firstLineChars="200"/>
        <w:rPr>
          <w:rFonts w:hint="default"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宋体"/>
          <w:color w:val="000000" w:themeColor="text1"/>
          <w:highlight w:val="none"/>
          <w14:textFill>
            <w14:solidFill>
              <w14:schemeClr w14:val="tx1"/>
            </w14:solidFill>
          </w14:textFill>
        </w:rPr>
        <w:t>本项目不设置污水排放口，产生的废水经</w:t>
      </w:r>
      <w:r>
        <w:rPr>
          <w:rFonts w:hint="eastAsia" w:ascii="Times New Roman" w:hAnsi="Times New Roman" w:eastAsia="宋体" w:cs="宋体"/>
          <w:color w:val="000000" w:themeColor="text1"/>
          <w:highlight w:val="none"/>
          <w:lang w:eastAsia="zh-CN"/>
          <w14:textFill>
            <w14:solidFill>
              <w14:schemeClr w14:val="tx1"/>
            </w14:solidFill>
          </w14:textFill>
        </w:rPr>
        <w:t>“</w:t>
      </w:r>
      <w:r>
        <w:rPr>
          <w:rFonts w:hint="eastAsia" w:ascii="Times New Roman" w:hAnsi="Times New Roman" w:eastAsia="宋体" w:cs="宋体"/>
          <w:color w:val="000000" w:themeColor="text1"/>
          <w:highlight w:val="none"/>
          <w:lang w:val="en-US" w:eastAsia="zh-CN"/>
          <w14:textFill>
            <w14:solidFill>
              <w14:schemeClr w14:val="tx1"/>
            </w14:solidFill>
          </w14:textFill>
        </w:rPr>
        <w:t>黑膜池”</w:t>
      </w:r>
      <w:r>
        <w:rPr>
          <w:rFonts w:hint="default" w:ascii="Times New Roman" w:hAnsi="Times New Roman" w:eastAsia="宋体" w:cs="宋体"/>
          <w:color w:val="000000" w:themeColor="text1"/>
          <w:highlight w:val="none"/>
          <w14:textFill>
            <w14:solidFill>
              <w14:schemeClr w14:val="tx1"/>
            </w14:solidFill>
          </w14:textFill>
        </w:rPr>
        <w:t>处理后，暂存于沼液暂存池，用于周边农田施肥，不外排，无污水排放口。</w:t>
      </w:r>
    </w:p>
    <w:p w14:paraId="4625EE4E">
      <w:pPr>
        <w:spacing w:line="360" w:lineRule="auto"/>
        <w:ind w:firstLine="480" w:firstLineChars="200"/>
        <w:rPr>
          <w:rFonts w:hint="default"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宋体"/>
          <w:color w:val="000000" w:themeColor="text1"/>
          <w:highlight w:val="none"/>
          <w14:textFill>
            <w14:solidFill>
              <w14:schemeClr w14:val="tx1"/>
            </w14:solidFill>
          </w14:textFill>
        </w:rPr>
        <w:t>（2）废气排放口</w:t>
      </w:r>
    </w:p>
    <w:p w14:paraId="558778D2">
      <w:pPr>
        <w:spacing w:line="360" w:lineRule="auto"/>
        <w:ind w:firstLine="480" w:firstLineChars="200"/>
        <w:rPr>
          <w:rFonts w:hint="default" w:ascii="Times New Roman" w:hAnsi="Times New Roman" w:eastAsia="宋体" w:cs="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highlight w:val="none"/>
          <w:lang w:val="en-US" w:eastAsia="zh-CN"/>
          <w14:textFill>
            <w14:solidFill>
              <w14:schemeClr w14:val="tx1"/>
            </w14:solidFill>
          </w14:textFill>
        </w:rPr>
        <w:t>项目</w:t>
      </w:r>
      <w:r>
        <w:rPr>
          <w:rFonts w:hint="eastAsia" w:cs="宋体"/>
          <w:color w:val="000000" w:themeColor="text1"/>
          <w:highlight w:val="none"/>
          <w:lang w:val="en-US" w:eastAsia="zh-CN"/>
          <w14:textFill>
            <w14:solidFill>
              <w14:schemeClr w14:val="tx1"/>
            </w14:solidFill>
          </w14:textFill>
        </w:rPr>
        <w:t>无</w:t>
      </w:r>
      <w:r>
        <w:rPr>
          <w:rFonts w:hint="eastAsia" w:ascii="Times New Roman" w:hAnsi="Times New Roman" w:eastAsia="宋体" w:cs="宋体"/>
          <w:color w:val="000000" w:themeColor="text1"/>
          <w:highlight w:val="none"/>
          <w:lang w:val="en-US" w:eastAsia="zh-CN"/>
          <w14:textFill>
            <w14:solidFill>
              <w14:schemeClr w14:val="tx1"/>
            </w14:solidFill>
          </w14:textFill>
        </w:rPr>
        <w:t>废气排放口</w:t>
      </w:r>
      <w:r>
        <w:rPr>
          <w:rFonts w:ascii="Times New Roman" w:hAnsi="Times New Roman" w:eastAsia="宋体" w:cs="宋体"/>
          <w:color w:val="000000" w:themeColor="text1"/>
          <w:highlight w:val="none"/>
          <w14:textFill>
            <w14:solidFill>
              <w14:schemeClr w14:val="tx1"/>
            </w14:solidFill>
          </w14:textFill>
        </w:rPr>
        <w:t>。</w:t>
      </w:r>
    </w:p>
    <w:p w14:paraId="31A78DDC">
      <w:pPr>
        <w:spacing w:line="360" w:lineRule="auto"/>
        <w:ind w:firstLine="480" w:firstLineChars="200"/>
        <w:rPr>
          <w:rFonts w:hint="default"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宋体"/>
          <w:color w:val="000000" w:themeColor="text1"/>
          <w:highlight w:val="none"/>
          <w14:textFill>
            <w14:solidFill>
              <w14:schemeClr w14:val="tx1"/>
            </w14:solidFill>
          </w14:textFill>
        </w:rPr>
        <w:t>（3）固定噪声排放源</w:t>
      </w:r>
    </w:p>
    <w:p w14:paraId="3D2BEF43">
      <w:pPr>
        <w:spacing w:line="360" w:lineRule="auto"/>
        <w:ind w:firstLine="480" w:firstLineChars="200"/>
        <w:rPr>
          <w:rFonts w:hint="default"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宋体"/>
          <w:color w:val="000000" w:themeColor="text1"/>
          <w:highlight w:val="none"/>
          <w14:textFill>
            <w14:solidFill>
              <w14:schemeClr w14:val="tx1"/>
            </w14:solidFill>
          </w14:textFill>
        </w:rPr>
        <w:t>按规定对固定噪声源进行治理，并在企业边界噪声敏感点且对外影响最大处设置标志牌。</w:t>
      </w:r>
    </w:p>
    <w:p w14:paraId="202C272C">
      <w:pPr>
        <w:spacing w:line="360" w:lineRule="auto"/>
        <w:ind w:firstLine="480" w:firstLineChars="200"/>
        <w:rPr>
          <w:rFonts w:hint="default"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宋体"/>
          <w:color w:val="000000" w:themeColor="text1"/>
          <w:highlight w:val="none"/>
          <w14:textFill>
            <w14:solidFill>
              <w14:schemeClr w14:val="tx1"/>
            </w14:solidFill>
          </w14:textFill>
        </w:rPr>
        <w:t>（4）固体废物贮存（处置）场</w:t>
      </w:r>
    </w:p>
    <w:p w14:paraId="0F0A1FF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固体废物</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应设置环境保护图形标志牌，将一般固废、危险废物等分开存放，做到防火、防扬散、防渗漏，确保不对周围环境形成二次污染。</w:t>
      </w:r>
    </w:p>
    <w:p w14:paraId="06A37E2B">
      <w:pPr>
        <w:pStyle w:val="63"/>
        <w:adjustRightInd/>
        <w:snapToGrid/>
        <w:rPr>
          <w:color w:val="000000" w:themeColor="text1"/>
          <w:highlight w:val="none"/>
          <w14:textFill>
            <w14:solidFill>
              <w14:schemeClr w14:val="tx1"/>
            </w14:solidFill>
          </w14:textFill>
        </w:rPr>
      </w:pPr>
      <w:bookmarkStart w:id="279" w:name="bookmark38"/>
      <w:bookmarkEnd w:id="279"/>
      <w:r>
        <w:rPr>
          <w:color w:val="000000" w:themeColor="text1"/>
          <w:highlight w:val="none"/>
          <w14:textFill>
            <w14:solidFill>
              <w14:schemeClr w14:val="tx1"/>
            </w14:solidFill>
          </w14:textFill>
        </w:rPr>
        <w:t>危险废物暂存间应按照《危险废物贮存污染控制标准》（GB18597-2</w:t>
      </w:r>
      <w:r>
        <w:rPr>
          <w:rFonts w:hint="eastAsia"/>
          <w:color w:val="000000" w:themeColor="text1"/>
          <w:highlight w:val="none"/>
          <w14:textFill>
            <w14:solidFill>
              <w14:schemeClr w14:val="tx1"/>
            </w14:solidFill>
          </w14:textFill>
        </w:rPr>
        <w:t>023</w:t>
      </w:r>
      <w:r>
        <w:rPr>
          <w:color w:val="000000" w:themeColor="text1"/>
          <w:highlight w:val="none"/>
          <w14:textFill>
            <w14:solidFill>
              <w14:schemeClr w14:val="tx1"/>
            </w14:solidFill>
          </w14:textFill>
        </w:rPr>
        <w:t>）中的规定建设：</w:t>
      </w:r>
    </w:p>
    <w:p w14:paraId="0B41114E">
      <w:pPr>
        <w:wordWrap w:val="0"/>
        <w:ind w:firstLine="480" w:firstLineChars="20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危险废物收集储存过程需按下列要求进行管理：</w:t>
      </w:r>
    </w:p>
    <w:p w14:paraId="36B5ADFC">
      <w:pPr>
        <w:wordWrap w:val="0"/>
        <w:ind w:firstLine="480" w:firstLineChars="20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sym w:font="Wingdings" w:char="F081"/>
      </w:r>
      <w:r>
        <w:rPr>
          <w:rFonts w:hint="eastAsia" w:cs="Times New Roman"/>
          <w:color w:val="000000" w:themeColor="text1"/>
          <w:highlight w:val="none"/>
          <w14:textFill>
            <w14:solidFill>
              <w14:schemeClr w14:val="tx1"/>
            </w14:solidFill>
          </w14:textFill>
        </w:rPr>
        <w:t>危险废物的收集包装</w:t>
      </w:r>
    </w:p>
    <w:p w14:paraId="5FC375B9">
      <w:pPr>
        <w:pStyle w:val="63"/>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a.容器和包装物材质、内衬应与盛装的危险废物相容。</w:t>
      </w:r>
    </w:p>
    <w:p w14:paraId="77CF05B7">
      <w:pPr>
        <w:pStyle w:val="63"/>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b.针对不同类别、形态、物理化学性质的危险废物，其容器和包装物应满足相应的防渗、防漏、防腐和强度等要求。</w:t>
      </w:r>
    </w:p>
    <w:p w14:paraId="1DC0832F">
      <w:pPr>
        <w:pStyle w:val="63"/>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c.危险废物存入贮存设施前应对危险废物类别和特性与危险废物标签等危险废物识别标志的一致性进行核验，不一致的或类别、特性不明的不应存入</w:t>
      </w:r>
    </w:p>
    <w:p w14:paraId="3081F9BC">
      <w:pPr>
        <w:pStyle w:val="63"/>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d.使用容器盛装液态、半固态危险废物时，容器内部应留有适当的空间，以适应因温度变化等可能引发的收缩和膨胀，防止其导致容器渗漏或永久变形。</w:t>
      </w:r>
    </w:p>
    <w:p w14:paraId="217AD734">
      <w:pPr>
        <w:wordWrap w:val="0"/>
        <w:ind w:firstLine="480" w:firstLineChars="20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sym w:font="Wingdings" w:char="F082"/>
      </w:r>
      <w:r>
        <w:rPr>
          <w:rFonts w:hint="eastAsia" w:cs="Times New Roman"/>
          <w:color w:val="000000" w:themeColor="text1"/>
          <w:highlight w:val="none"/>
          <w14:textFill>
            <w14:solidFill>
              <w14:schemeClr w14:val="tx1"/>
            </w14:solidFill>
          </w14:textFill>
        </w:rPr>
        <w:t>危险废物的暂存要求</w:t>
      </w:r>
    </w:p>
    <w:p w14:paraId="43ACD1A5">
      <w:pPr>
        <w:wordWrap w:val="0"/>
        <w:ind w:firstLine="480" w:firstLineChars="20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危险废物堆放场应满足</w:t>
      </w:r>
      <w:r>
        <w:rPr>
          <w:rFonts w:cs="Times New Roman"/>
          <w:color w:val="000000" w:themeColor="text1"/>
          <w:highlight w:val="none"/>
          <w14:textFill>
            <w14:solidFill>
              <w14:schemeClr w14:val="tx1"/>
            </w14:solidFill>
          </w14:textFill>
        </w:rPr>
        <w:t>《危险废物贮存污染控制标准》（GB18597-20</w:t>
      </w:r>
      <w:r>
        <w:rPr>
          <w:rFonts w:hint="eastAsia" w:cs="Times New Roman"/>
          <w:color w:val="000000" w:themeColor="text1"/>
          <w:highlight w:val="none"/>
          <w14:textFill>
            <w14:solidFill>
              <w14:schemeClr w14:val="tx1"/>
            </w14:solidFill>
          </w14:textFill>
        </w:rPr>
        <w:t>23）有关规定：</w:t>
      </w:r>
    </w:p>
    <w:p w14:paraId="70791632">
      <w:pPr>
        <w:pStyle w:val="63"/>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a.贮存设施或场所、容器和包装物应按HJ 1276-2022要求设置危险废物贮存设施或场所标志、危险废物贮存分区标志和危险废物标签等危险废物识别标志。</w:t>
      </w:r>
    </w:p>
    <w:p w14:paraId="7311DA2B">
      <w:pPr>
        <w:widowControl/>
        <w:ind w:firstLine="480" w:firstLineChars="20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b.应定期检查危险废物的贮存状况，及时清理贮存设施地面，更换破损泄漏的危险废物贮存容器 和包装物，保证堆存危险废物的防雨、防风、防扬尘等设施功能完好。</w:t>
      </w:r>
    </w:p>
    <w:p w14:paraId="42F87043">
      <w:pPr>
        <w:pStyle w:val="63"/>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贮存设施退役时，所有者或运营者应依法履行环境保护责任，退役前应妥善处理处置贮存设施内剩余的危险废物，并对贮存设施进行清理，消除污染；还应依据土壤污染防治相关法律法规履行场地环境风险防控责任。</w:t>
      </w:r>
    </w:p>
    <w:p w14:paraId="1C8BB042">
      <w:pPr>
        <w:pStyle w:val="63"/>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d.贮存危险废物应根据危险废物的类别、形态、物理化学性质和污染防治要求进行分类贮存，且应避免危险废物与不相容的物质或材料接触。</w:t>
      </w:r>
    </w:p>
    <w:p w14:paraId="330669FE">
      <w:pPr>
        <w:pStyle w:val="63"/>
        <w:adjustRightInd/>
        <w:snapToGrid/>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e.危险废物贮存除应满足环境保护相关要求外，还应执行国家安全生产、职业健康、交通运输、消防等法律法规和标准的相关要求。</w:t>
      </w:r>
    </w:p>
    <w:p w14:paraId="48C96605">
      <w:pPr>
        <w:wordWrap w:val="0"/>
        <w:ind w:firstLine="480" w:firstLineChars="20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sym w:font="Wingdings" w:char="F083"/>
      </w:r>
      <w:r>
        <w:rPr>
          <w:rFonts w:hint="eastAsia" w:cs="Times New Roman"/>
          <w:color w:val="000000" w:themeColor="text1"/>
          <w:highlight w:val="none"/>
          <w14:textFill>
            <w14:solidFill>
              <w14:schemeClr w14:val="tx1"/>
            </w14:solidFill>
          </w14:textFill>
        </w:rPr>
        <w:t>危险废物的运输要求</w:t>
      </w:r>
    </w:p>
    <w:p w14:paraId="25F14C5C">
      <w:pPr>
        <w:wordWrap w:val="0"/>
        <w:ind w:firstLine="480" w:firstLineChars="20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危险废物的转运应采取危险废物转移“五联单”制度，保证运输安全，防止非法转移和非法处置，保证危险废物的安全监控，防止危险废物污染事故发生。“五联单”中第一联由废物产生者送交生态环境部门，第二联由废物产生者保管，第三联由处置场工作人员送交生态环境部门，第四联由处置场工作人员保存，第五联由废物运输者保存。</w:t>
      </w:r>
    </w:p>
    <w:p w14:paraId="4E761E3D">
      <w:pPr>
        <w:ind w:firstLine="480" w:firstLineChars="200"/>
        <w:rPr>
          <w:rFonts w:cs="Times New Roman"/>
          <w:color w:val="000000" w:themeColor="text1"/>
          <w:highlight w:val="none"/>
          <w14:textFill>
            <w14:solidFill>
              <w14:schemeClr w14:val="tx1"/>
            </w14:solidFill>
          </w14:textFill>
        </w:rPr>
      </w:pPr>
      <w:r>
        <w:rPr>
          <w:rFonts w:hint="eastAsia" w:ascii="微软雅黑" w:hAnsi="微软雅黑" w:eastAsia="微软雅黑" w:cs="微软雅黑"/>
          <w:color w:val="000000" w:themeColor="text1"/>
          <w:highlight w:val="none"/>
          <w14:textFill>
            <w14:solidFill>
              <w14:schemeClr w14:val="tx1"/>
            </w14:solidFill>
          </w14:textFill>
        </w:rPr>
        <w:t>④</w:t>
      </w:r>
      <w:r>
        <w:rPr>
          <w:rFonts w:hint="eastAsia" w:cs="Times New Roman"/>
          <w:color w:val="000000" w:themeColor="text1"/>
          <w:highlight w:val="none"/>
          <w14:textFill>
            <w14:solidFill>
              <w14:schemeClr w14:val="tx1"/>
            </w14:solidFill>
          </w14:textFill>
        </w:rPr>
        <w:t>标志</w:t>
      </w:r>
    </w:p>
    <w:p w14:paraId="0BBB9FBE">
      <w:pPr>
        <w:wordWrap w:val="0"/>
        <w:ind w:firstLine="480" w:firstLineChars="200"/>
        <w:rPr>
          <w:rFonts w:cs="Times New Roman"/>
          <w:color w:val="000000" w:themeColor="text1"/>
          <w:highlight w:val="none"/>
          <w14:textFill>
            <w14:solidFill>
              <w14:schemeClr w14:val="tx1"/>
            </w14:solidFill>
          </w14:textFill>
        </w:rPr>
      </w:pPr>
      <w:r>
        <w:rPr>
          <w:rFonts w:hint="eastAsia" w:cs="Times New Roman"/>
          <w:color w:val="000000" w:themeColor="text1"/>
          <w:highlight w:val="none"/>
          <w14:textFill>
            <w14:solidFill>
              <w14:schemeClr w14:val="tx1"/>
            </w14:solidFill>
          </w14:textFill>
        </w:rPr>
        <w:t>根据《危险废物识别标志设置技术规范》（HJ 1276-2022），相关标志内容</w:t>
      </w:r>
      <w:r>
        <w:rPr>
          <w:rFonts w:cs="Times New Roman"/>
          <w:color w:val="000000" w:themeColor="text1"/>
          <w:highlight w:val="none"/>
          <w14:textFill>
            <w14:solidFill>
              <w14:schemeClr w14:val="tx1"/>
            </w14:solidFill>
          </w14:textFill>
        </w:rPr>
        <w:t>详见表</w:t>
      </w:r>
      <w:r>
        <w:rPr>
          <w:rFonts w:hint="eastAsia" w:cs="Times New Roman"/>
          <w:color w:val="000000" w:themeColor="text1"/>
          <w:highlight w:val="none"/>
          <w14:textFill>
            <w14:solidFill>
              <w14:schemeClr w14:val="tx1"/>
            </w14:solidFill>
          </w14:textFill>
        </w:rPr>
        <w:t>8.2</w:t>
      </w:r>
      <w:r>
        <w:rPr>
          <w:rFonts w:cs="Times New Roman"/>
          <w:color w:val="000000" w:themeColor="text1"/>
          <w:highlight w:val="none"/>
          <w14:textFill>
            <w14:solidFill>
              <w14:schemeClr w14:val="tx1"/>
            </w14:solidFill>
          </w14:textFill>
        </w:rPr>
        <w:t>-</w:t>
      </w:r>
      <w:r>
        <w:rPr>
          <w:rFonts w:hint="eastAsia" w:cs="Times New Roman"/>
          <w:color w:val="000000" w:themeColor="text1"/>
          <w:highlight w:val="none"/>
          <w14:textFill>
            <w14:solidFill>
              <w14:schemeClr w14:val="tx1"/>
            </w14:solidFill>
          </w14:textFill>
        </w:rPr>
        <w:t>3</w:t>
      </w:r>
      <w:r>
        <w:rPr>
          <w:rFonts w:cs="Times New Roman"/>
          <w:color w:val="000000" w:themeColor="text1"/>
          <w:highlight w:val="none"/>
          <w14:textFill>
            <w14:solidFill>
              <w14:schemeClr w14:val="tx1"/>
            </w14:solidFill>
          </w14:textFill>
        </w:rPr>
        <w:t>。</w:t>
      </w:r>
    </w:p>
    <w:p w14:paraId="08B2D1DD">
      <w:pPr>
        <w:spacing w:line="240" w:lineRule="auto"/>
        <w:jc w:val="center"/>
        <w:rPr>
          <w:rFonts w:cs="Times New Roman"/>
          <w:b/>
          <w:bCs/>
          <w:color w:val="000000" w:themeColor="text1"/>
          <w:sz w:val="21"/>
          <w:szCs w:val="21"/>
          <w:highlight w:val="none"/>
          <w14:textFill>
            <w14:solidFill>
              <w14:schemeClr w14:val="tx1"/>
            </w14:solidFill>
          </w14:textFill>
        </w:rPr>
      </w:pPr>
      <w:r>
        <w:rPr>
          <w:rFonts w:cs="Times New Roman"/>
          <w:b/>
          <w:bCs/>
          <w:color w:val="000000" w:themeColor="text1"/>
          <w:sz w:val="21"/>
          <w:szCs w:val="21"/>
          <w:highlight w:val="none"/>
          <w14:textFill>
            <w14:solidFill>
              <w14:schemeClr w14:val="tx1"/>
            </w14:solidFill>
          </w14:textFill>
        </w:rPr>
        <w:t>表</w:t>
      </w:r>
      <w:r>
        <w:rPr>
          <w:rFonts w:hint="eastAsia" w:cs="Times New Roman"/>
          <w:b/>
          <w:bCs/>
          <w:color w:val="000000" w:themeColor="text1"/>
          <w:sz w:val="21"/>
          <w:szCs w:val="21"/>
          <w:highlight w:val="none"/>
          <w14:textFill>
            <w14:solidFill>
              <w14:schemeClr w14:val="tx1"/>
            </w14:solidFill>
          </w14:textFill>
        </w:rPr>
        <w:t>8.</w:t>
      </w:r>
      <w:r>
        <w:rPr>
          <w:rFonts w:hint="eastAsia" w:cs="Times New Roman"/>
          <w:b/>
          <w:bCs/>
          <w:color w:val="000000" w:themeColor="text1"/>
          <w:sz w:val="21"/>
          <w:szCs w:val="21"/>
          <w:highlight w:val="none"/>
          <w:lang w:val="en-US" w:eastAsia="zh-CN"/>
          <w14:textFill>
            <w14:solidFill>
              <w14:schemeClr w14:val="tx1"/>
            </w14:solidFill>
          </w14:textFill>
        </w:rPr>
        <w:t>2</w:t>
      </w:r>
      <w:r>
        <w:rPr>
          <w:rFonts w:cs="Times New Roman"/>
          <w:b/>
          <w:bCs/>
          <w:color w:val="000000" w:themeColor="text1"/>
          <w:sz w:val="21"/>
          <w:szCs w:val="21"/>
          <w:highlight w:val="none"/>
          <w14:textFill>
            <w14:solidFill>
              <w14:schemeClr w14:val="tx1"/>
            </w14:solidFill>
          </w14:textFill>
        </w:rPr>
        <w:t>-</w:t>
      </w:r>
      <w:r>
        <w:rPr>
          <w:rFonts w:hint="eastAsia" w:cs="Times New Roman"/>
          <w:b/>
          <w:bCs/>
          <w:color w:val="000000" w:themeColor="text1"/>
          <w:sz w:val="21"/>
          <w:szCs w:val="21"/>
          <w:highlight w:val="none"/>
          <w14:textFill>
            <w14:solidFill>
              <w14:schemeClr w14:val="tx1"/>
            </w14:solidFill>
          </w14:textFill>
        </w:rPr>
        <w:t>3</w:t>
      </w:r>
      <w:r>
        <w:rPr>
          <w:rFonts w:cs="Times New Roman"/>
          <w:b/>
          <w:bCs/>
          <w:color w:val="000000" w:themeColor="text1"/>
          <w:sz w:val="21"/>
          <w:szCs w:val="21"/>
          <w:highlight w:val="none"/>
          <w14:textFill>
            <w14:solidFill>
              <w14:schemeClr w14:val="tx1"/>
            </w14:solidFill>
          </w14:textFill>
        </w:rPr>
        <w:t xml:space="preserve">  </w:t>
      </w:r>
      <w:r>
        <w:rPr>
          <w:rFonts w:hint="eastAsia" w:cs="Times New Roman"/>
          <w:b/>
          <w:bCs/>
          <w:color w:val="000000" w:themeColor="text1"/>
          <w:sz w:val="21"/>
          <w:szCs w:val="21"/>
          <w:highlight w:val="none"/>
          <w14:textFill>
            <w14:solidFill>
              <w14:schemeClr w14:val="tx1"/>
            </w14:solidFill>
          </w14:textFill>
        </w:rPr>
        <w:t>危废暂存间</w:t>
      </w:r>
      <w:r>
        <w:rPr>
          <w:rFonts w:cs="Times New Roman"/>
          <w:b/>
          <w:bCs/>
          <w:color w:val="000000" w:themeColor="text1"/>
          <w:sz w:val="21"/>
          <w:szCs w:val="21"/>
          <w:highlight w:val="none"/>
          <w14:textFill>
            <w14:solidFill>
              <w14:schemeClr w14:val="tx1"/>
            </w14:solidFill>
          </w14:textFill>
        </w:rPr>
        <w:t>标志牌设置示意图表</w:t>
      </w:r>
    </w:p>
    <w:tbl>
      <w:tblPr>
        <w:tblStyle w:val="33"/>
        <w:tblW w:w="46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1"/>
        <w:gridCol w:w="5306"/>
      </w:tblGrid>
      <w:tr w14:paraId="53A1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1657" w:type="pct"/>
            <w:tcBorders>
              <w:tl2br w:val="nil"/>
              <w:tr2bl w:val="nil"/>
            </w:tcBorders>
            <w:vAlign w:val="center"/>
          </w:tcPr>
          <w:p w14:paraId="6156AC68">
            <w:pPr>
              <w:spacing w:line="240" w:lineRule="auto"/>
              <w:jc w:val="center"/>
              <w:rPr>
                <w:rFonts w:ascii="宋体" w:hAnsi="宋体"/>
                <w:b/>
                <w:bCs/>
                <w:color w:val="000000" w:themeColor="text1"/>
                <w:sz w:val="21"/>
                <w:szCs w:val="21"/>
                <w:highlight w:val="none"/>
                <w14:textFill>
                  <w14:solidFill>
                    <w14:schemeClr w14:val="tx1"/>
                  </w14:solidFill>
                </w14:textFill>
              </w:rPr>
            </w:pPr>
            <w:r>
              <w:rPr>
                <w:rFonts w:hint="eastAsia" w:ascii="宋体" w:hAnsi="宋体"/>
                <w:b/>
                <w:bCs/>
                <w:color w:val="000000" w:themeColor="text1"/>
                <w:sz w:val="21"/>
                <w:szCs w:val="21"/>
                <w:highlight w:val="none"/>
                <w14:textFill>
                  <w14:solidFill>
                    <w14:schemeClr w14:val="tx1"/>
                  </w14:solidFill>
                </w14:textFill>
              </w:rPr>
              <w:t>名称</w:t>
            </w:r>
          </w:p>
        </w:tc>
        <w:tc>
          <w:tcPr>
            <w:tcW w:w="3342" w:type="pct"/>
            <w:tcBorders>
              <w:tl2br w:val="nil"/>
              <w:tr2bl w:val="nil"/>
            </w:tcBorders>
            <w:vAlign w:val="center"/>
          </w:tcPr>
          <w:p w14:paraId="15EB4370">
            <w:pPr>
              <w:spacing w:line="240" w:lineRule="auto"/>
              <w:jc w:val="center"/>
              <w:rPr>
                <w:rFonts w:ascii="宋体" w:hAnsi="宋体"/>
                <w:b/>
                <w:bCs/>
                <w:color w:val="000000" w:themeColor="text1"/>
                <w:sz w:val="21"/>
                <w:szCs w:val="21"/>
                <w:highlight w:val="none"/>
                <w14:textFill>
                  <w14:solidFill>
                    <w14:schemeClr w14:val="tx1"/>
                  </w14:solidFill>
                </w14:textFill>
              </w:rPr>
            </w:pPr>
            <w:r>
              <w:rPr>
                <w:rFonts w:hint="eastAsia" w:ascii="宋体" w:hAnsi="宋体"/>
                <w:b/>
                <w:bCs/>
                <w:color w:val="000000" w:themeColor="text1"/>
                <w:sz w:val="21"/>
                <w:szCs w:val="21"/>
                <w:highlight w:val="none"/>
                <w14:textFill>
                  <w14:solidFill>
                    <w14:schemeClr w14:val="tx1"/>
                  </w14:solidFill>
                </w14:textFill>
              </w:rPr>
              <w:t>危险废物</w:t>
            </w:r>
          </w:p>
        </w:tc>
      </w:tr>
      <w:tr w14:paraId="1B39F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4" w:hRule="atLeast"/>
          <w:jc w:val="center"/>
        </w:trPr>
        <w:tc>
          <w:tcPr>
            <w:tcW w:w="1657" w:type="pct"/>
            <w:tcBorders>
              <w:tl2br w:val="nil"/>
              <w:tr2bl w:val="nil"/>
            </w:tcBorders>
            <w:vAlign w:val="center"/>
          </w:tcPr>
          <w:p w14:paraId="74BA9674">
            <w:pPr>
              <w:spacing w:line="240" w:lineRule="auto"/>
              <w:jc w:val="center"/>
              <w:rPr>
                <w:rFonts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危险废物标签</w:t>
            </w:r>
          </w:p>
        </w:tc>
        <w:tc>
          <w:tcPr>
            <w:tcW w:w="3342" w:type="pct"/>
            <w:tcBorders>
              <w:tl2br w:val="nil"/>
              <w:tr2bl w:val="nil"/>
            </w:tcBorders>
            <w:vAlign w:val="center"/>
          </w:tcPr>
          <w:p w14:paraId="1570F149">
            <w:pPr>
              <w:spacing w:line="240" w:lineRule="auto"/>
              <w:jc w:val="center"/>
              <w:rPr>
                <w:rFonts w:ascii="宋体" w:hAnsi="宋体"/>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drawing>
                <wp:inline distT="0" distB="0" distL="114300" distR="114300">
                  <wp:extent cx="2426335" cy="2423160"/>
                  <wp:effectExtent l="0" t="0" r="12065" b="15240"/>
                  <wp:docPr id="3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4"/>
                          <pic:cNvPicPr>
                            <a:picLocks noChangeAspect="1"/>
                          </pic:cNvPicPr>
                        </pic:nvPicPr>
                        <pic:blipFill>
                          <a:blip r:embed="rId54"/>
                          <a:stretch>
                            <a:fillRect/>
                          </a:stretch>
                        </pic:blipFill>
                        <pic:spPr>
                          <a:xfrm>
                            <a:off x="0" y="0"/>
                            <a:ext cx="2426335" cy="2423160"/>
                          </a:xfrm>
                          <a:prstGeom prst="rect">
                            <a:avLst/>
                          </a:prstGeom>
                          <a:noFill/>
                          <a:ln>
                            <a:noFill/>
                          </a:ln>
                        </pic:spPr>
                      </pic:pic>
                    </a:graphicData>
                  </a:graphic>
                </wp:inline>
              </w:drawing>
            </w:r>
          </w:p>
        </w:tc>
      </w:tr>
      <w:tr w14:paraId="6F91C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jc w:val="center"/>
        </w:trPr>
        <w:tc>
          <w:tcPr>
            <w:tcW w:w="1657" w:type="pct"/>
            <w:tcBorders>
              <w:tl2br w:val="nil"/>
              <w:tr2bl w:val="nil"/>
            </w:tcBorders>
            <w:vAlign w:val="center"/>
          </w:tcPr>
          <w:p w14:paraId="381F2A9F">
            <w:pPr>
              <w:spacing w:line="240" w:lineRule="auto"/>
              <w:jc w:val="center"/>
              <w:rPr>
                <w:rFonts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贮存分区标志（示例）</w:t>
            </w:r>
          </w:p>
        </w:tc>
        <w:tc>
          <w:tcPr>
            <w:tcW w:w="3342" w:type="pct"/>
            <w:tcBorders>
              <w:tl2br w:val="nil"/>
              <w:tr2bl w:val="nil"/>
            </w:tcBorders>
            <w:vAlign w:val="center"/>
          </w:tcPr>
          <w:p w14:paraId="5626064E">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drawing>
                <wp:inline distT="0" distB="0" distL="114300" distR="114300">
                  <wp:extent cx="2405380" cy="2424430"/>
                  <wp:effectExtent l="0" t="0" r="13970" b="13970"/>
                  <wp:docPr id="3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5"/>
                          <pic:cNvPicPr>
                            <a:picLocks noChangeAspect="1"/>
                          </pic:cNvPicPr>
                        </pic:nvPicPr>
                        <pic:blipFill>
                          <a:blip r:embed="rId55"/>
                          <a:stretch>
                            <a:fillRect/>
                          </a:stretch>
                        </pic:blipFill>
                        <pic:spPr>
                          <a:xfrm>
                            <a:off x="0" y="0"/>
                            <a:ext cx="2405380" cy="2424430"/>
                          </a:xfrm>
                          <a:prstGeom prst="rect">
                            <a:avLst/>
                          </a:prstGeom>
                          <a:noFill/>
                          <a:ln>
                            <a:noFill/>
                          </a:ln>
                        </pic:spPr>
                      </pic:pic>
                    </a:graphicData>
                  </a:graphic>
                </wp:inline>
              </w:drawing>
            </w:r>
          </w:p>
        </w:tc>
      </w:tr>
      <w:tr w14:paraId="4A74B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1657" w:type="pct"/>
            <w:tcBorders>
              <w:tl2br w:val="nil"/>
              <w:tr2bl w:val="nil"/>
            </w:tcBorders>
            <w:vAlign w:val="center"/>
          </w:tcPr>
          <w:p w14:paraId="27FE2C29">
            <w:pPr>
              <w:spacing w:line="240" w:lineRule="auto"/>
              <w:jc w:val="center"/>
              <w:rPr>
                <w:rFonts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贮</w:t>
            </w:r>
            <w:r>
              <w:rPr>
                <w:rFonts w:ascii="宋体" w:hAnsi="宋体"/>
                <w:color w:val="000000" w:themeColor="text1"/>
                <w:sz w:val="21"/>
                <w:szCs w:val="21"/>
                <w:highlight w:val="none"/>
                <w14:textFill>
                  <w14:solidFill>
                    <w14:schemeClr w14:val="tx1"/>
                  </w14:solidFill>
                </w14:textFill>
              </w:rPr>
              <w:t>存设施标志</w:t>
            </w:r>
          </w:p>
        </w:tc>
        <w:tc>
          <w:tcPr>
            <w:tcW w:w="3342" w:type="pct"/>
            <w:tcBorders>
              <w:tl2br w:val="nil"/>
              <w:tr2bl w:val="nil"/>
            </w:tcBorders>
            <w:vAlign w:val="center"/>
          </w:tcPr>
          <w:p w14:paraId="1DB84514">
            <w:pPr>
              <w:spacing w:line="240" w:lineRule="auto"/>
              <w:jc w:val="center"/>
              <w:rPr>
                <w:rFonts w:ascii="宋体" w:hAnsi="宋体"/>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drawing>
                <wp:inline distT="0" distB="0" distL="114300" distR="114300">
                  <wp:extent cx="2428875" cy="1537335"/>
                  <wp:effectExtent l="0" t="0" r="9525" b="5715"/>
                  <wp:docPr id="3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6"/>
                          <pic:cNvPicPr>
                            <a:picLocks noChangeAspect="1"/>
                          </pic:cNvPicPr>
                        </pic:nvPicPr>
                        <pic:blipFill>
                          <a:blip r:embed="rId56"/>
                          <a:stretch>
                            <a:fillRect/>
                          </a:stretch>
                        </pic:blipFill>
                        <pic:spPr>
                          <a:xfrm>
                            <a:off x="0" y="0"/>
                            <a:ext cx="2428875" cy="1537335"/>
                          </a:xfrm>
                          <a:prstGeom prst="rect">
                            <a:avLst/>
                          </a:prstGeom>
                          <a:noFill/>
                          <a:ln>
                            <a:noFill/>
                          </a:ln>
                        </pic:spPr>
                      </pic:pic>
                    </a:graphicData>
                  </a:graphic>
                </wp:inline>
              </w:drawing>
            </w:r>
          </w:p>
        </w:tc>
      </w:tr>
      <w:tr w14:paraId="1D24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6" w:hRule="atLeast"/>
          <w:jc w:val="center"/>
        </w:trPr>
        <w:tc>
          <w:tcPr>
            <w:tcW w:w="1657" w:type="pct"/>
            <w:tcBorders>
              <w:tl2br w:val="nil"/>
              <w:tr2bl w:val="nil"/>
            </w:tcBorders>
            <w:vAlign w:val="center"/>
          </w:tcPr>
          <w:p w14:paraId="677964D3">
            <w:pPr>
              <w:spacing w:line="240" w:lineRule="auto"/>
              <w:jc w:val="center"/>
              <w:rPr>
                <w:rFonts w:ascii="宋体" w:hAnsi="宋体"/>
                <w:color w:val="000000" w:themeColor="text1"/>
                <w:sz w:val="21"/>
                <w:szCs w:val="21"/>
                <w:highlight w:val="none"/>
                <w14:textFill>
                  <w14:solidFill>
                    <w14:schemeClr w14:val="tx1"/>
                  </w14:solidFill>
                </w14:textFill>
              </w:rPr>
            </w:pPr>
            <w:r>
              <w:rPr>
                <w:rFonts w:hint="eastAsia" w:ascii="宋体" w:hAnsi="宋体"/>
                <w:color w:val="000000" w:themeColor="text1"/>
                <w:sz w:val="21"/>
                <w:szCs w:val="21"/>
                <w:highlight w:val="none"/>
                <w14:textFill>
                  <w14:solidFill>
                    <w14:schemeClr w14:val="tx1"/>
                  </w14:solidFill>
                </w14:textFill>
              </w:rPr>
              <w:t>利</w:t>
            </w:r>
            <w:r>
              <w:rPr>
                <w:rFonts w:ascii="宋体" w:hAnsi="宋体"/>
                <w:color w:val="000000" w:themeColor="text1"/>
                <w:sz w:val="21"/>
                <w:szCs w:val="21"/>
                <w:highlight w:val="none"/>
                <w14:textFill>
                  <w14:solidFill>
                    <w14:schemeClr w14:val="tx1"/>
                  </w14:solidFill>
                </w14:textFill>
              </w:rPr>
              <w:t>用设施标志</w:t>
            </w:r>
          </w:p>
        </w:tc>
        <w:tc>
          <w:tcPr>
            <w:tcW w:w="3342" w:type="pct"/>
            <w:tcBorders>
              <w:tl2br w:val="nil"/>
              <w:tr2bl w:val="nil"/>
            </w:tcBorders>
            <w:vAlign w:val="center"/>
          </w:tcPr>
          <w:p w14:paraId="4520F513">
            <w:pPr>
              <w:spacing w:line="240" w:lineRule="auto"/>
              <w:jc w:val="center"/>
              <w:rPr>
                <w:rFonts w:ascii="宋体" w:hAnsi="宋体"/>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drawing>
                <wp:inline distT="0" distB="0" distL="114300" distR="114300">
                  <wp:extent cx="2416175" cy="1517650"/>
                  <wp:effectExtent l="0" t="0" r="3175" b="6350"/>
                  <wp:docPr id="3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7"/>
                          <pic:cNvPicPr>
                            <a:picLocks noChangeAspect="1"/>
                          </pic:cNvPicPr>
                        </pic:nvPicPr>
                        <pic:blipFill>
                          <a:blip r:embed="rId57"/>
                          <a:stretch>
                            <a:fillRect/>
                          </a:stretch>
                        </pic:blipFill>
                        <pic:spPr>
                          <a:xfrm>
                            <a:off x="0" y="0"/>
                            <a:ext cx="2416175" cy="1517650"/>
                          </a:xfrm>
                          <a:prstGeom prst="rect">
                            <a:avLst/>
                          </a:prstGeom>
                          <a:noFill/>
                          <a:ln>
                            <a:noFill/>
                          </a:ln>
                        </pic:spPr>
                      </pic:pic>
                    </a:graphicData>
                  </a:graphic>
                </wp:inline>
              </w:drawing>
            </w:r>
          </w:p>
        </w:tc>
      </w:tr>
      <w:tr w14:paraId="6074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1657" w:type="pct"/>
            <w:tcBorders>
              <w:tl2br w:val="nil"/>
              <w:tr2bl w:val="nil"/>
            </w:tcBorders>
            <w:vAlign w:val="center"/>
          </w:tcPr>
          <w:p w14:paraId="67D179AB">
            <w:pPr>
              <w:spacing w:line="240" w:lineRule="auto"/>
              <w:jc w:val="center"/>
              <w:rPr>
                <w:rFonts w:ascii="宋体" w:hAnsi="宋体"/>
                <w:color w:val="000000" w:themeColor="text1"/>
                <w:sz w:val="21"/>
                <w:szCs w:val="21"/>
                <w:highlight w:val="none"/>
                <w14:textFill>
                  <w14:solidFill>
                    <w14:schemeClr w14:val="tx1"/>
                  </w14:solidFill>
                </w14:textFill>
              </w:rPr>
            </w:pPr>
            <w:r>
              <w:rPr>
                <w:rFonts w:ascii="宋体" w:hAnsi="宋体"/>
                <w:color w:val="000000" w:themeColor="text1"/>
                <w:sz w:val="21"/>
                <w:szCs w:val="21"/>
                <w:highlight w:val="none"/>
                <w14:textFill>
                  <w14:solidFill>
                    <w14:schemeClr w14:val="tx1"/>
                  </w14:solidFill>
                </w14:textFill>
              </w:rPr>
              <w:t>处置设施标志</w:t>
            </w:r>
          </w:p>
        </w:tc>
        <w:tc>
          <w:tcPr>
            <w:tcW w:w="3342" w:type="pct"/>
            <w:tcBorders>
              <w:tl2br w:val="nil"/>
              <w:tr2bl w:val="nil"/>
            </w:tcBorders>
            <w:vAlign w:val="center"/>
          </w:tcPr>
          <w:p w14:paraId="54106555">
            <w:pPr>
              <w:spacing w:line="240" w:lineRule="auto"/>
              <w:jc w:val="center"/>
              <w:rPr>
                <w:rFonts w:ascii="宋体" w:hAnsi="宋体"/>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drawing>
                <wp:inline distT="0" distB="0" distL="114300" distR="114300">
                  <wp:extent cx="2473960" cy="1560830"/>
                  <wp:effectExtent l="0" t="0" r="2540" b="1270"/>
                  <wp:docPr id="3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8"/>
                          <pic:cNvPicPr>
                            <a:picLocks noChangeAspect="1"/>
                          </pic:cNvPicPr>
                        </pic:nvPicPr>
                        <pic:blipFill>
                          <a:blip r:embed="rId58"/>
                          <a:stretch>
                            <a:fillRect/>
                          </a:stretch>
                        </pic:blipFill>
                        <pic:spPr>
                          <a:xfrm>
                            <a:off x="0" y="0"/>
                            <a:ext cx="2473960" cy="1560830"/>
                          </a:xfrm>
                          <a:prstGeom prst="rect">
                            <a:avLst/>
                          </a:prstGeom>
                          <a:noFill/>
                          <a:ln>
                            <a:noFill/>
                          </a:ln>
                        </pic:spPr>
                      </pic:pic>
                    </a:graphicData>
                  </a:graphic>
                </wp:inline>
              </w:drawing>
            </w:r>
          </w:p>
        </w:tc>
      </w:tr>
    </w:tbl>
    <w:p w14:paraId="6A6F69C4">
      <w:pPr>
        <w:pStyle w:val="3"/>
        <w:rPr>
          <w:color w:val="000000" w:themeColor="text1"/>
          <w:highlight w:val="none"/>
          <w14:textFill>
            <w14:solidFill>
              <w14:schemeClr w14:val="tx1"/>
            </w14:solidFill>
          </w14:textFill>
        </w:rPr>
      </w:pPr>
      <w:bookmarkStart w:id="280" w:name="_Toc23086"/>
      <w:r>
        <w:rPr>
          <w:color w:val="000000" w:themeColor="text1"/>
          <w:highlight w:val="none"/>
          <w14:textFill>
            <w14:solidFill>
              <w14:schemeClr w14:val="tx1"/>
            </w14:solidFill>
          </w14:textFill>
        </w:rPr>
        <w:t>8.</w:t>
      </w:r>
      <w:r>
        <w:rPr>
          <w:rFonts w:hint="eastAsia"/>
          <w:color w:val="000000" w:themeColor="text1"/>
          <w:highlight w:val="none"/>
          <w:lang w:eastAsia="zh-CN"/>
          <w14:textFill>
            <w14:solidFill>
              <w14:schemeClr w14:val="tx1"/>
            </w14:solidFill>
          </w14:textFill>
        </w:rPr>
        <w:t>3</w:t>
      </w:r>
      <w:r>
        <w:rPr>
          <w:color w:val="000000" w:themeColor="text1"/>
          <w:highlight w:val="none"/>
          <w14:textFill>
            <w14:solidFill>
              <w14:schemeClr w14:val="tx1"/>
            </w14:solidFill>
          </w14:textFill>
        </w:rPr>
        <w:t>环保</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三同时</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验收</w:t>
      </w:r>
      <w:bookmarkEnd w:id="278"/>
      <w:bookmarkEnd w:id="280"/>
    </w:p>
    <w:p w14:paraId="1E4B3FE8">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根据建设项目环境管理办法，环境污染物防治设施必须与主体工程同时设计、同时施工、同时投入使用。在工程完成后，应对环境保护设施进行验收。</w:t>
      </w:r>
    </w:p>
    <w:p w14:paraId="6A9AA65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项目环境保护</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三同时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一览表见表8.</w:t>
      </w:r>
      <w:r>
        <w:rPr>
          <w:rFonts w:hint="eastAsia"/>
          <w:color w:val="000000" w:themeColor="text1"/>
          <w:highlight w:val="none"/>
          <w14:textFill>
            <w14:solidFill>
              <w14:schemeClr w14:val="tx1"/>
            </w14:solidFill>
          </w14:textFill>
        </w:rPr>
        <w:t>3</w:t>
      </w:r>
      <w:r>
        <w:rPr>
          <w:color w:val="000000" w:themeColor="text1"/>
          <w:highlight w:val="none"/>
          <w14:textFill>
            <w14:solidFill>
              <w14:schemeClr w14:val="tx1"/>
            </w14:solidFill>
          </w14:textFill>
        </w:rPr>
        <w:t>-1。</w:t>
      </w:r>
    </w:p>
    <w:p w14:paraId="1A48E403">
      <w:pPr>
        <w:spacing w:line="240" w:lineRule="auto"/>
        <w:jc w:val="center"/>
        <w:rPr>
          <w:b/>
          <w:bCs/>
          <w:color w:val="000000" w:themeColor="text1"/>
          <w:sz w:val="21"/>
          <w:szCs w:val="21"/>
          <w:highlight w:val="none"/>
          <w14:textFill>
            <w14:solidFill>
              <w14:schemeClr w14:val="tx1"/>
            </w14:solidFill>
          </w14:textFill>
        </w:rPr>
      </w:pPr>
      <w:bookmarkStart w:id="281" w:name="bookmark39"/>
      <w:bookmarkEnd w:id="281"/>
      <w:r>
        <w:rPr>
          <w:rFonts w:hint="eastAsia"/>
          <w:b/>
          <w:bCs/>
          <w:color w:val="000000" w:themeColor="text1"/>
          <w:sz w:val="21"/>
          <w:szCs w:val="21"/>
          <w:highlight w:val="none"/>
          <w14:textFill>
            <w14:solidFill>
              <w14:schemeClr w14:val="tx1"/>
            </w14:solidFill>
          </w14:textFill>
        </w:rPr>
        <w:t>表8.3-1  项目环境保护“三同时”一览表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8"/>
        <w:gridCol w:w="1026"/>
        <w:gridCol w:w="1109"/>
        <w:gridCol w:w="2849"/>
        <w:gridCol w:w="2899"/>
      </w:tblGrid>
      <w:tr w14:paraId="1CDC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Align w:val="center"/>
          </w:tcPr>
          <w:p w14:paraId="75D254E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w:t>
            </w:r>
          </w:p>
        </w:tc>
        <w:tc>
          <w:tcPr>
            <w:tcW w:w="1026" w:type="dxa"/>
            <w:vAlign w:val="center"/>
          </w:tcPr>
          <w:p w14:paraId="371A350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污染源</w:t>
            </w:r>
          </w:p>
        </w:tc>
        <w:tc>
          <w:tcPr>
            <w:tcW w:w="1109" w:type="dxa"/>
            <w:vAlign w:val="center"/>
          </w:tcPr>
          <w:p w14:paraId="30E7E5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污染物</w:t>
            </w:r>
          </w:p>
        </w:tc>
        <w:tc>
          <w:tcPr>
            <w:tcW w:w="2849" w:type="dxa"/>
            <w:vAlign w:val="center"/>
          </w:tcPr>
          <w:p w14:paraId="24F7FE8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治理措施</w:t>
            </w:r>
          </w:p>
        </w:tc>
        <w:tc>
          <w:tcPr>
            <w:tcW w:w="2899" w:type="dxa"/>
            <w:vAlign w:val="center"/>
          </w:tcPr>
          <w:p w14:paraId="3D3DEEF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验收标准</w:t>
            </w:r>
          </w:p>
        </w:tc>
      </w:tr>
      <w:tr w14:paraId="1D69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Merge w:val="restart"/>
            <w:vAlign w:val="center"/>
          </w:tcPr>
          <w:p w14:paraId="6D243DE4">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废气</w:t>
            </w:r>
          </w:p>
        </w:tc>
        <w:tc>
          <w:tcPr>
            <w:tcW w:w="1026" w:type="dxa"/>
            <w:vAlign w:val="center"/>
          </w:tcPr>
          <w:p w14:paraId="116973FF">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圈舍恶臭</w:t>
            </w:r>
          </w:p>
        </w:tc>
        <w:tc>
          <w:tcPr>
            <w:tcW w:w="1109" w:type="dxa"/>
            <w:vMerge w:val="restart"/>
            <w:vAlign w:val="center"/>
          </w:tcPr>
          <w:p w14:paraId="2DC7BA66">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、H</w:t>
            </w:r>
            <w:r>
              <w:rPr>
                <w:color w:val="000000" w:themeColor="text1"/>
                <w:sz w:val="21"/>
                <w:szCs w:val="21"/>
                <w:highlight w:val="none"/>
                <w:vertAlign w:val="subscript"/>
                <w14:textFill>
                  <w14:solidFill>
                    <w14:schemeClr w14:val="tx1"/>
                  </w14:solidFill>
                </w14:textFill>
              </w:rPr>
              <w:t>2</w:t>
            </w:r>
            <w:r>
              <w:rPr>
                <w:color w:val="000000" w:themeColor="text1"/>
                <w:sz w:val="21"/>
                <w:szCs w:val="21"/>
                <w:highlight w:val="none"/>
                <w14:textFill>
                  <w14:solidFill>
                    <w14:schemeClr w14:val="tx1"/>
                  </w14:solidFill>
                </w14:textFill>
              </w:rPr>
              <w:t>S、臭气浓度</w:t>
            </w:r>
          </w:p>
        </w:tc>
        <w:tc>
          <w:tcPr>
            <w:tcW w:w="2849" w:type="dxa"/>
            <w:vAlign w:val="center"/>
          </w:tcPr>
          <w:p w14:paraId="0886BDA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制饲养密度、加强舍内通风，定期冲洗、杀菌消毒、</w:t>
            </w:r>
            <w:r>
              <w:rPr>
                <w:rFonts w:hint="eastAsia"/>
                <w:color w:val="000000" w:themeColor="text1"/>
                <w:sz w:val="21"/>
                <w:szCs w:val="21"/>
                <w:highlight w:val="none"/>
                <w:lang w:eastAsia="zh-CN"/>
                <w14:textFill>
                  <w14:solidFill>
                    <w14:schemeClr w14:val="tx1"/>
                  </w14:solidFill>
                </w14:textFill>
              </w:rPr>
              <w:t>半漏板</w:t>
            </w:r>
            <w:r>
              <w:rPr>
                <w:color w:val="000000" w:themeColor="text1"/>
                <w:sz w:val="21"/>
                <w:szCs w:val="21"/>
                <w:highlight w:val="none"/>
                <w14:textFill>
                  <w14:solidFill>
                    <w14:schemeClr w14:val="tx1"/>
                  </w14:solidFill>
                </w14:textFill>
              </w:rPr>
              <w:t>、及时清粪、喷洒植物除臭液等措施</w:t>
            </w:r>
          </w:p>
        </w:tc>
        <w:tc>
          <w:tcPr>
            <w:tcW w:w="2899" w:type="dxa"/>
            <w:vMerge w:val="restart"/>
            <w:vAlign w:val="center"/>
          </w:tcPr>
          <w:p w14:paraId="0E8E2C97">
            <w:pPr>
              <w:spacing w:line="240" w:lineRule="auto"/>
              <w:jc w:val="both"/>
              <w:rPr>
                <w:color w:val="000000" w:themeColor="text1"/>
                <w:sz w:val="21"/>
                <w:szCs w:val="21"/>
                <w:highlight w:val="none"/>
                <w14:textFill>
                  <w14:solidFill>
                    <w14:schemeClr w14:val="tx1"/>
                  </w14:solidFill>
                </w14:textFill>
              </w:rPr>
            </w:pPr>
            <w:r>
              <w:rPr>
                <w:rFonts w:hint="eastAsia" w:ascii="Times New Roman" w:hAnsi="Times New Roman"/>
                <w:color w:val="000000" w:themeColor="text1"/>
                <w:sz w:val="21"/>
                <w:szCs w:val="21"/>
                <w:highlight w:val="none"/>
                <w14:textFill>
                  <w14:solidFill>
                    <w14:schemeClr w14:val="tx1"/>
                  </w14:solidFill>
                </w14:textFill>
              </w:rPr>
              <w:t>《恶臭污染物排放标准》（GB14554-93）中新污染源二级标准（氨</w:t>
            </w:r>
            <w:r>
              <w:rPr>
                <w:rFonts w:hint="eastAsia" w:ascii="Times New Roman" w:hAnsi="Times New Roman"/>
                <w:color w:val="000000" w:themeColor="text1"/>
                <w:sz w:val="21"/>
                <w:szCs w:val="21"/>
                <w:highlight w:val="none"/>
                <w:lang w:val="en-US" w:eastAsia="zh-CN"/>
                <w14:textFill>
                  <w14:solidFill>
                    <w14:schemeClr w14:val="tx1"/>
                  </w14:solidFill>
                </w14:textFill>
              </w:rPr>
              <w:t>1.5</w:t>
            </w:r>
            <w:r>
              <w:rPr>
                <w:rFonts w:hint="eastAsia" w:ascii="Times New Roman" w:hAnsi="Times New Roman"/>
                <w:color w:val="000000" w:themeColor="text1"/>
                <w:sz w:val="21"/>
                <w:szCs w:val="21"/>
                <w:highlight w:val="none"/>
                <w14:textFill>
                  <w14:solidFill>
                    <w14:schemeClr w14:val="tx1"/>
                  </w14:solidFill>
                </w14:textFill>
              </w:rPr>
              <w:t>mg/m</w:t>
            </w:r>
            <w:r>
              <w:rPr>
                <w:rFonts w:hint="eastAsia" w:ascii="Times New Roman" w:hAnsi="Times New Roman"/>
                <w:color w:val="000000" w:themeColor="text1"/>
                <w:sz w:val="21"/>
                <w:szCs w:val="21"/>
                <w:highlight w:val="none"/>
                <w:vertAlign w:val="superscript"/>
                <w14:textFill>
                  <w14:solidFill>
                    <w14:schemeClr w14:val="tx1"/>
                  </w14:solidFill>
                </w14:textFill>
              </w:rPr>
              <w:t>3</w:t>
            </w:r>
            <w:r>
              <w:rPr>
                <w:rFonts w:hint="eastAsia" w:ascii="Times New Roman" w:hAnsi="Times New Roman"/>
                <w:color w:val="000000" w:themeColor="text1"/>
                <w:sz w:val="21"/>
                <w:szCs w:val="21"/>
                <w:highlight w:val="none"/>
                <w14:textFill>
                  <w14:solidFill>
                    <w14:schemeClr w14:val="tx1"/>
                  </w14:solidFill>
                </w14:textFill>
              </w:rPr>
              <w:t>，硫化氢0.0</w:t>
            </w:r>
            <w:r>
              <w:rPr>
                <w:rFonts w:hint="eastAsia" w:ascii="Times New Roman" w:hAnsi="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color w:val="000000" w:themeColor="text1"/>
                <w:sz w:val="21"/>
                <w:szCs w:val="21"/>
                <w:highlight w:val="none"/>
                <w14:textFill>
                  <w14:solidFill>
                    <w14:schemeClr w14:val="tx1"/>
                  </w14:solidFill>
                </w14:textFill>
              </w:rPr>
              <w:t>mg/m3）；</w:t>
            </w:r>
            <w:r>
              <w:rPr>
                <w:rFonts w:hint="eastAsia" w:ascii="Times New Roman" w:hAnsi="Times New Roman"/>
                <w:color w:val="000000" w:themeColor="text1"/>
                <w:sz w:val="21"/>
                <w:szCs w:val="21"/>
                <w:highlight w:val="none"/>
                <w:lang w:val="en-US" w:eastAsia="zh-CN"/>
                <w14:textFill>
                  <w14:solidFill>
                    <w14:schemeClr w14:val="tx1"/>
                  </w14:solidFill>
                </w14:textFill>
              </w:rPr>
              <w:t>《畜禽养殖业污染物排放标准》（GB18596-2001）中表7集约化畜禽养殖业恶臭污染物排放标准（</w:t>
            </w:r>
            <w:r>
              <w:rPr>
                <w:color w:val="000000" w:themeColor="text1"/>
                <w:sz w:val="21"/>
                <w:szCs w:val="21"/>
                <w:highlight w:val="none"/>
                <w14:textFill>
                  <w14:solidFill>
                    <w14:schemeClr w14:val="tx1"/>
                  </w14:solidFill>
                </w14:textFill>
              </w:rPr>
              <w:t>臭气浓度</w:t>
            </w:r>
            <w:r>
              <w:rPr>
                <w:rFonts w:hint="eastAsia" w:ascii="Times New Roman" w:hAnsi="Times New Roman"/>
                <w:color w:val="000000" w:themeColor="text1"/>
                <w:sz w:val="21"/>
                <w:szCs w:val="21"/>
                <w:highlight w:val="none"/>
                <w:lang w:val="en-US" w:eastAsia="zh-CN"/>
                <w14:textFill>
                  <w14:solidFill>
                    <w14:schemeClr w14:val="tx1"/>
                  </w14:solidFill>
                </w14:textFill>
              </w:rPr>
              <w:t>70无量纲）</w:t>
            </w:r>
            <w:r>
              <w:rPr>
                <w:rFonts w:hint="eastAsia" w:ascii="Times New Roman" w:hAnsi="Times New Roman"/>
                <w:color w:val="000000" w:themeColor="text1"/>
                <w:sz w:val="21"/>
                <w:szCs w:val="21"/>
                <w:highlight w:val="none"/>
                <w14:textFill>
                  <w14:solidFill>
                    <w14:schemeClr w14:val="tx1"/>
                  </w14:solidFill>
                </w14:textFill>
              </w:rPr>
              <w:t>。</w:t>
            </w:r>
          </w:p>
        </w:tc>
      </w:tr>
      <w:tr w14:paraId="6F30C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Merge w:val="continue"/>
            <w:vAlign w:val="center"/>
          </w:tcPr>
          <w:p w14:paraId="1CF7DAB3">
            <w:pPr>
              <w:spacing w:line="240" w:lineRule="auto"/>
              <w:jc w:val="center"/>
              <w:rPr>
                <w:color w:val="000000" w:themeColor="text1"/>
                <w:sz w:val="21"/>
                <w:szCs w:val="21"/>
                <w:highlight w:val="none"/>
                <w14:textFill>
                  <w14:solidFill>
                    <w14:schemeClr w14:val="tx1"/>
                  </w14:solidFill>
                </w14:textFill>
              </w:rPr>
            </w:pPr>
          </w:p>
        </w:tc>
        <w:tc>
          <w:tcPr>
            <w:tcW w:w="1026" w:type="dxa"/>
            <w:vAlign w:val="center"/>
          </w:tcPr>
          <w:p w14:paraId="28DB3CF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黑膜池</w:t>
            </w:r>
          </w:p>
        </w:tc>
        <w:tc>
          <w:tcPr>
            <w:tcW w:w="1109" w:type="dxa"/>
            <w:vMerge w:val="continue"/>
            <w:vAlign w:val="center"/>
          </w:tcPr>
          <w:p w14:paraId="32D8B9C0">
            <w:pPr>
              <w:spacing w:line="240" w:lineRule="auto"/>
              <w:jc w:val="center"/>
              <w:rPr>
                <w:color w:val="000000" w:themeColor="text1"/>
                <w:sz w:val="21"/>
                <w:szCs w:val="21"/>
                <w:highlight w:val="none"/>
                <w14:textFill>
                  <w14:solidFill>
                    <w14:schemeClr w14:val="tx1"/>
                  </w14:solidFill>
                </w14:textFill>
              </w:rPr>
            </w:pPr>
          </w:p>
        </w:tc>
        <w:tc>
          <w:tcPr>
            <w:tcW w:w="2849" w:type="dxa"/>
            <w:vAlign w:val="center"/>
          </w:tcPr>
          <w:p w14:paraId="305054B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采用覆膜</w:t>
            </w: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，定期喷洒除臭剂</w:t>
            </w:r>
          </w:p>
        </w:tc>
        <w:tc>
          <w:tcPr>
            <w:tcW w:w="2899" w:type="dxa"/>
            <w:vMerge w:val="continue"/>
            <w:vAlign w:val="center"/>
          </w:tcPr>
          <w:p w14:paraId="29F49CBE">
            <w:pPr>
              <w:spacing w:line="240" w:lineRule="auto"/>
              <w:jc w:val="center"/>
              <w:rPr>
                <w:color w:val="000000" w:themeColor="text1"/>
                <w:sz w:val="21"/>
                <w:szCs w:val="21"/>
                <w:highlight w:val="none"/>
                <w14:textFill>
                  <w14:solidFill>
                    <w14:schemeClr w14:val="tx1"/>
                  </w14:solidFill>
                </w14:textFill>
              </w:rPr>
            </w:pPr>
          </w:p>
        </w:tc>
      </w:tr>
      <w:tr w14:paraId="621D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Merge w:val="continue"/>
            <w:vAlign w:val="center"/>
          </w:tcPr>
          <w:p w14:paraId="3EFF8D61">
            <w:pPr>
              <w:spacing w:line="240" w:lineRule="auto"/>
              <w:jc w:val="center"/>
              <w:rPr>
                <w:color w:val="000000" w:themeColor="text1"/>
                <w:sz w:val="21"/>
                <w:szCs w:val="21"/>
                <w:highlight w:val="none"/>
                <w14:textFill>
                  <w14:solidFill>
                    <w14:schemeClr w14:val="tx1"/>
                  </w14:solidFill>
                </w14:textFill>
              </w:rPr>
            </w:pPr>
          </w:p>
        </w:tc>
        <w:tc>
          <w:tcPr>
            <w:tcW w:w="1026" w:type="dxa"/>
            <w:vAlign w:val="center"/>
          </w:tcPr>
          <w:p w14:paraId="6F49D1E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堆粪场</w:t>
            </w:r>
            <w:r>
              <w:rPr>
                <w:color w:val="000000" w:themeColor="text1"/>
                <w:sz w:val="21"/>
                <w:szCs w:val="21"/>
                <w:highlight w:val="none"/>
                <w14:textFill>
                  <w14:solidFill>
                    <w14:schemeClr w14:val="tx1"/>
                  </w14:solidFill>
                </w14:textFill>
              </w:rPr>
              <w:t>恶臭</w:t>
            </w:r>
          </w:p>
        </w:tc>
        <w:tc>
          <w:tcPr>
            <w:tcW w:w="1109" w:type="dxa"/>
            <w:vMerge w:val="continue"/>
            <w:vAlign w:val="center"/>
          </w:tcPr>
          <w:p w14:paraId="7187FFD4">
            <w:pPr>
              <w:spacing w:line="240" w:lineRule="auto"/>
              <w:jc w:val="center"/>
              <w:rPr>
                <w:color w:val="000000" w:themeColor="text1"/>
                <w:sz w:val="21"/>
                <w:szCs w:val="21"/>
                <w:highlight w:val="none"/>
                <w14:textFill>
                  <w14:solidFill>
                    <w14:schemeClr w14:val="tx1"/>
                  </w14:solidFill>
                </w14:textFill>
              </w:rPr>
            </w:pPr>
          </w:p>
        </w:tc>
        <w:tc>
          <w:tcPr>
            <w:tcW w:w="2849" w:type="dxa"/>
            <w:vAlign w:val="center"/>
          </w:tcPr>
          <w:p w14:paraId="4A696FB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定期给堆粪场添加物理吸附剂，喷洒生化除臭剂，粪肥及时清运</w:t>
            </w:r>
          </w:p>
        </w:tc>
        <w:tc>
          <w:tcPr>
            <w:tcW w:w="2899" w:type="dxa"/>
            <w:vMerge w:val="continue"/>
            <w:vAlign w:val="center"/>
          </w:tcPr>
          <w:p w14:paraId="199C075D">
            <w:pPr>
              <w:spacing w:line="240" w:lineRule="auto"/>
              <w:jc w:val="center"/>
              <w:rPr>
                <w:color w:val="000000" w:themeColor="text1"/>
                <w:sz w:val="21"/>
                <w:szCs w:val="21"/>
                <w:highlight w:val="none"/>
                <w14:textFill>
                  <w14:solidFill>
                    <w14:schemeClr w14:val="tx1"/>
                  </w14:solidFill>
                </w14:textFill>
              </w:rPr>
            </w:pPr>
          </w:p>
        </w:tc>
      </w:tr>
      <w:tr w14:paraId="1D0E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Merge w:val="continue"/>
            <w:vAlign w:val="center"/>
          </w:tcPr>
          <w:p w14:paraId="18905ED2">
            <w:pPr>
              <w:spacing w:line="240" w:lineRule="auto"/>
              <w:jc w:val="center"/>
              <w:rPr>
                <w:color w:val="000000" w:themeColor="text1"/>
                <w:sz w:val="21"/>
                <w:szCs w:val="21"/>
                <w:highlight w:val="none"/>
                <w14:textFill>
                  <w14:solidFill>
                    <w14:schemeClr w14:val="tx1"/>
                  </w14:solidFill>
                </w14:textFill>
              </w:rPr>
            </w:pPr>
          </w:p>
        </w:tc>
        <w:tc>
          <w:tcPr>
            <w:tcW w:w="1026" w:type="dxa"/>
            <w:vAlign w:val="center"/>
          </w:tcPr>
          <w:p w14:paraId="2E85353B">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干湿分离车间</w:t>
            </w:r>
          </w:p>
        </w:tc>
        <w:tc>
          <w:tcPr>
            <w:tcW w:w="1109" w:type="dxa"/>
            <w:vMerge w:val="continue"/>
            <w:vAlign w:val="center"/>
          </w:tcPr>
          <w:p w14:paraId="5053D81D">
            <w:pPr>
              <w:spacing w:line="240" w:lineRule="auto"/>
              <w:jc w:val="center"/>
              <w:rPr>
                <w:color w:val="000000" w:themeColor="text1"/>
                <w:sz w:val="21"/>
                <w:szCs w:val="21"/>
                <w:highlight w:val="none"/>
                <w14:textFill>
                  <w14:solidFill>
                    <w14:schemeClr w14:val="tx1"/>
                  </w14:solidFill>
                </w14:textFill>
              </w:rPr>
            </w:pPr>
          </w:p>
        </w:tc>
        <w:tc>
          <w:tcPr>
            <w:tcW w:w="2849" w:type="dxa"/>
            <w:vAlign w:val="center"/>
          </w:tcPr>
          <w:p w14:paraId="0C645A85">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添加物理吸附剂，喷洒生化除臭剂，粪肥及时清运</w:t>
            </w:r>
          </w:p>
        </w:tc>
        <w:tc>
          <w:tcPr>
            <w:tcW w:w="2899" w:type="dxa"/>
            <w:vMerge w:val="continue"/>
            <w:vAlign w:val="center"/>
          </w:tcPr>
          <w:p w14:paraId="5B529A90">
            <w:pPr>
              <w:spacing w:line="240" w:lineRule="auto"/>
              <w:jc w:val="center"/>
              <w:rPr>
                <w:color w:val="000000" w:themeColor="text1"/>
                <w:sz w:val="21"/>
                <w:szCs w:val="21"/>
                <w:highlight w:val="none"/>
                <w14:textFill>
                  <w14:solidFill>
                    <w14:schemeClr w14:val="tx1"/>
                  </w14:solidFill>
                </w14:textFill>
              </w:rPr>
            </w:pPr>
          </w:p>
        </w:tc>
      </w:tr>
      <w:tr w14:paraId="3198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Merge w:val="continue"/>
            <w:vAlign w:val="center"/>
          </w:tcPr>
          <w:p w14:paraId="481E76A7">
            <w:pPr>
              <w:spacing w:line="240" w:lineRule="auto"/>
              <w:jc w:val="center"/>
              <w:rPr>
                <w:color w:val="000000" w:themeColor="text1"/>
                <w:sz w:val="21"/>
                <w:szCs w:val="21"/>
                <w:highlight w:val="none"/>
                <w14:textFill>
                  <w14:solidFill>
                    <w14:schemeClr w14:val="tx1"/>
                  </w14:solidFill>
                </w14:textFill>
              </w:rPr>
            </w:pPr>
          </w:p>
        </w:tc>
        <w:tc>
          <w:tcPr>
            <w:tcW w:w="1026" w:type="dxa"/>
            <w:vAlign w:val="center"/>
          </w:tcPr>
          <w:p w14:paraId="03541EAA">
            <w:pPr>
              <w:spacing w:line="240" w:lineRule="auto"/>
              <w:jc w:val="center"/>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饲料加工车间</w:t>
            </w:r>
          </w:p>
        </w:tc>
        <w:tc>
          <w:tcPr>
            <w:tcW w:w="1109" w:type="dxa"/>
            <w:vAlign w:val="center"/>
          </w:tcPr>
          <w:p w14:paraId="791E3D8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TSP</w:t>
            </w:r>
          </w:p>
        </w:tc>
        <w:tc>
          <w:tcPr>
            <w:tcW w:w="2849" w:type="dxa"/>
            <w:vAlign w:val="center"/>
          </w:tcPr>
          <w:p w14:paraId="70EB1C05">
            <w:pPr>
              <w:spacing w:line="240" w:lineRule="auto"/>
              <w:jc w:val="center"/>
              <w:rPr>
                <w:rFonts w:hint="default" w:ascii="Times New Roman" w:hAnsi="Times New Roman" w:eastAsia="宋体" w:cs="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全封闭，洒水降尘</w:t>
            </w:r>
          </w:p>
        </w:tc>
        <w:tc>
          <w:tcPr>
            <w:tcW w:w="2899" w:type="dxa"/>
            <w:vAlign w:val="center"/>
          </w:tcPr>
          <w:p w14:paraId="36EF1B29">
            <w:pPr>
              <w:spacing w:line="240" w:lineRule="auto"/>
              <w:jc w:val="center"/>
              <w:rPr>
                <w:rFonts w:hint="eastAsia" w:ascii="Times New Roman" w:hAnsi="Times New Roman" w:eastAsia="宋体" w:cs="宋体"/>
                <w:color w:val="000000" w:themeColor="text1"/>
                <w:sz w:val="21"/>
                <w:szCs w:val="21"/>
                <w:highlight w:val="none"/>
                <w14:textFill>
                  <w14:solidFill>
                    <w14:schemeClr w14:val="tx1"/>
                  </w14:solidFill>
                </w14:textFill>
              </w:rPr>
            </w:pPr>
            <w:r>
              <w:rPr>
                <w:rFonts w:hint="eastAsia" w:ascii="Times New Roman" w:hAnsi="Times New Roman" w:eastAsia="宋体" w:cs="宋体"/>
                <w:color w:val="000000" w:themeColor="text1"/>
                <w:sz w:val="21"/>
                <w:szCs w:val="21"/>
                <w:highlight w:val="none"/>
                <w:lang w:val="en-US" w:eastAsia="zh-CN"/>
                <w14:textFill>
                  <w14:solidFill>
                    <w14:schemeClr w14:val="tx1"/>
                  </w14:solidFill>
                </w14:textFill>
              </w:rPr>
              <w:t>《大气污染物综合排放标准》表2无组织监控浓度限值</w:t>
            </w:r>
          </w:p>
        </w:tc>
      </w:tr>
      <w:tr w14:paraId="6E931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Align w:val="center"/>
          </w:tcPr>
          <w:p w14:paraId="2CE54211">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p>
        </w:tc>
        <w:tc>
          <w:tcPr>
            <w:tcW w:w="1026" w:type="dxa"/>
            <w:vAlign w:val="center"/>
          </w:tcPr>
          <w:p w14:paraId="0A5460F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综合废水</w:t>
            </w:r>
          </w:p>
        </w:tc>
        <w:tc>
          <w:tcPr>
            <w:tcW w:w="1109" w:type="dxa"/>
            <w:vAlign w:val="center"/>
          </w:tcPr>
          <w:p w14:paraId="036B8E8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COD、BOD</w:t>
            </w:r>
            <w:r>
              <w:rPr>
                <w:rFonts w:hint="eastAsia"/>
                <w:color w:val="000000" w:themeColor="text1"/>
                <w:sz w:val="21"/>
                <w:szCs w:val="21"/>
                <w:highlight w:val="none"/>
                <w:vertAlign w:val="subscript"/>
                <w14:textFill>
                  <w14:solidFill>
                    <w14:schemeClr w14:val="tx1"/>
                  </w14:solidFill>
                </w14:textFill>
              </w:rPr>
              <w:t>5</w:t>
            </w:r>
            <w:r>
              <w:rPr>
                <w:rFonts w:hint="eastAsia"/>
                <w:color w:val="000000" w:themeColor="text1"/>
                <w:sz w:val="21"/>
                <w:szCs w:val="21"/>
                <w:highlight w:val="none"/>
                <w14:textFill>
                  <w14:solidFill>
                    <w14:schemeClr w14:val="tx1"/>
                  </w14:solidFill>
                </w14:textFill>
              </w:rPr>
              <w:t>、SS、NH</w:t>
            </w:r>
            <w:r>
              <w:rPr>
                <w:rFonts w:hint="eastAsia"/>
                <w:color w:val="000000" w:themeColor="text1"/>
                <w:sz w:val="21"/>
                <w:szCs w:val="21"/>
                <w:highlight w:val="none"/>
                <w:vertAlign w:val="subscript"/>
                <w14:textFill>
                  <w14:solidFill>
                    <w14:schemeClr w14:val="tx1"/>
                  </w14:solidFill>
                </w14:textFill>
              </w:rPr>
              <w:t>3</w:t>
            </w:r>
            <w:r>
              <w:rPr>
                <w:rFonts w:hint="eastAsia"/>
                <w:color w:val="000000" w:themeColor="text1"/>
                <w:sz w:val="21"/>
                <w:szCs w:val="21"/>
                <w:highlight w:val="none"/>
                <w14:textFill>
                  <w14:solidFill>
                    <w14:schemeClr w14:val="tx1"/>
                  </w14:solidFill>
                </w14:textFill>
              </w:rPr>
              <w:t>-N、TP、粪大肠菌群、蛔虫卵</w:t>
            </w:r>
          </w:p>
        </w:tc>
        <w:tc>
          <w:tcPr>
            <w:tcW w:w="2849" w:type="dxa"/>
            <w:vAlign w:val="center"/>
          </w:tcPr>
          <w:p w14:paraId="2A15583D">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“黑膜池”</w:t>
            </w:r>
            <w:r>
              <w:rPr>
                <w:color w:val="000000" w:themeColor="text1"/>
                <w:sz w:val="21"/>
                <w:szCs w:val="21"/>
                <w:highlight w:val="none"/>
                <w14:textFill>
                  <w14:solidFill>
                    <w14:schemeClr w14:val="tx1"/>
                  </w14:solidFill>
                </w14:textFill>
              </w:rPr>
              <w:t>污水处理工程</w:t>
            </w:r>
          </w:p>
        </w:tc>
        <w:tc>
          <w:tcPr>
            <w:tcW w:w="2899" w:type="dxa"/>
            <w:vAlign w:val="center"/>
          </w:tcPr>
          <w:p w14:paraId="75FA4F4E">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《粪便无害化卫生要求》（GB7959-2012）中污染物排放标准、《畜禽养殖业污染物排放标准》（GB18596-2001）表6中畜禽养殖业废渣无害化环境标准要求</w:t>
            </w:r>
          </w:p>
        </w:tc>
      </w:tr>
      <w:tr w14:paraId="7752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Align w:val="center"/>
          </w:tcPr>
          <w:p w14:paraId="69E74743">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w:t>
            </w:r>
          </w:p>
        </w:tc>
        <w:tc>
          <w:tcPr>
            <w:tcW w:w="1026" w:type="dxa"/>
            <w:vAlign w:val="center"/>
          </w:tcPr>
          <w:p w14:paraId="6AE01C0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生产设备</w:t>
            </w:r>
          </w:p>
        </w:tc>
        <w:tc>
          <w:tcPr>
            <w:tcW w:w="1109" w:type="dxa"/>
            <w:vAlign w:val="center"/>
          </w:tcPr>
          <w:p w14:paraId="48B07FC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噪声</w:t>
            </w:r>
          </w:p>
        </w:tc>
        <w:tc>
          <w:tcPr>
            <w:tcW w:w="2849" w:type="dxa"/>
            <w:vAlign w:val="center"/>
          </w:tcPr>
          <w:p w14:paraId="180F6D15">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设备基础安装</w:t>
            </w:r>
            <w:r>
              <w:rPr>
                <w:rFonts w:hint="eastAsia"/>
                <w:color w:val="000000" w:themeColor="text1"/>
                <w:sz w:val="21"/>
                <w:szCs w:val="21"/>
                <w:highlight w:val="none"/>
                <w14:textFill>
                  <w14:solidFill>
                    <w14:schemeClr w14:val="tx1"/>
                  </w14:solidFill>
                </w14:textFill>
              </w:rPr>
              <w:t>减振</w:t>
            </w:r>
            <w:r>
              <w:rPr>
                <w:color w:val="000000" w:themeColor="text1"/>
                <w:sz w:val="21"/>
                <w:szCs w:val="21"/>
                <w:highlight w:val="none"/>
                <w14:textFill>
                  <w14:solidFill>
                    <w14:schemeClr w14:val="tx1"/>
                  </w14:solidFill>
                </w14:textFill>
              </w:rPr>
              <w:t>垫、厂房隔声等</w:t>
            </w:r>
          </w:p>
        </w:tc>
        <w:tc>
          <w:tcPr>
            <w:tcW w:w="2899" w:type="dxa"/>
            <w:vAlign w:val="center"/>
          </w:tcPr>
          <w:p w14:paraId="66CDFFF2">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厂界噪声符合《工业企业厂界环境噪声排放标准》（GB12348-2008）2类标准</w:t>
            </w:r>
          </w:p>
        </w:tc>
      </w:tr>
      <w:tr w14:paraId="6747C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488" w:type="dxa"/>
            <w:vMerge w:val="restart"/>
            <w:vAlign w:val="center"/>
          </w:tcPr>
          <w:p w14:paraId="1BB50C3C">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固废</w:t>
            </w:r>
          </w:p>
        </w:tc>
        <w:tc>
          <w:tcPr>
            <w:tcW w:w="1026" w:type="dxa"/>
            <w:vMerge w:val="restart"/>
            <w:vAlign w:val="center"/>
          </w:tcPr>
          <w:p w14:paraId="1C8FAEB9">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医疗废物</w:t>
            </w:r>
          </w:p>
        </w:tc>
        <w:tc>
          <w:tcPr>
            <w:tcW w:w="1109" w:type="dxa"/>
            <w:vAlign w:val="center"/>
          </w:tcPr>
          <w:p w14:paraId="2046C90C">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兽用医疗废物</w:t>
            </w:r>
          </w:p>
        </w:tc>
        <w:tc>
          <w:tcPr>
            <w:tcW w:w="2849" w:type="dxa"/>
            <w:vAlign w:val="center"/>
          </w:tcPr>
          <w:p w14:paraId="4B49DD3D">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场区设置</w:t>
            </w:r>
            <w:r>
              <w:rPr>
                <w:rFonts w:hint="eastAsia"/>
                <w:color w:val="000000" w:themeColor="text1"/>
                <w:sz w:val="21"/>
                <w:szCs w:val="21"/>
                <w:highlight w:val="none"/>
                <w:lang w:val="en-US" w:eastAsia="zh-CN"/>
                <w14:textFill>
                  <w14:solidFill>
                    <w14:schemeClr w14:val="tx1"/>
                  </w14:solidFill>
                </w14:textFill>
              </w:rPr>
              <w:t>1间危废暂存间</w:t>
            </w:r>
            <w:r>
              <w:rPr>
                <w:rFonts w:ascii="Times New Roman" w:hAnsi="Times New Roman"/>
                <w:color w:val="000000" w:themeColor="text1"/>
                <w:sz w:val="21"/>
                <w:szCs w:val="21"/>
                <w:highlight w:val="none"/>
                <w14:textFill>
                  <w14:solidFill>
                    <w14:schemeClr w14:val="tx1"/>
                  </w14:solidFill>
                </w14:textFill>
              </w:rPr>
              <w:t>，做好防渗处理，在明显处设置警示标志，定期交有资质单位处理</w:t>
            </w:r>
          </w:p>
        </w:tc>
        <w:tc>
          <w:tcPr>
            <w:tcW w:w="2899" w:type="dxa"/>
            <w:vMerge w:val="restart"/>
            <w:vAlign w:val="center"/>
          </w:tcPr>
          <w:p w14:paraId="286B23E4">
            <w:pPr>
              <w:spacing w:line="240" w:lineRule="auto"/>
              <w:jc w:val="center"/>
              <w:rPr>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合理处置，不产生二次污染</w:t>
            </w:r>
          </w:p>
        </w:tc>
      </w:tr>
      <w:tr w14:paraId="7A98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Merge w:val="continue"/>
            <w:vAlign w:val="center"/>
          </w:tcPr>
          <w:p w14:paraId="127A0164">
            <w:pPr>
              <w:spacing w:line="240" w:lineRule="auto"/>
              <w:jc w:val="center"/>
              <w:rPr>
                <w:color w:val="000000" w:themeColor="text1"/>
                <w:sz w:val="21"/>
                <w:szCs w:val="21"/>
                <w:highlight w:val="none"/>
                <w14:textFill>
                  <w14:solidFill>
                    <w14:schemeClr w14:val="tx1"/>
                  </w14:solidFill>
                </w14:textFill>
              </w:rPr>
            </w:pPr>
          </w:p>
        </w:tc>
        <w:tc>
          <w:tcPr>
            <w:tcW w:w="1026" w:type="dxa"/>
            <w:vMerge w:val="continue"/>
            <w:vAlign w:val="center"/>
          </w:tcPr>
          <w:p w14:paraId="5F628744">
            <w:pPr>
              <w:spacing w:line="240" w:lineRule="auto"/>
              <w:jc w:val="center"/>
              <w:rPr>
                <w:color w:val="000000" w:themeColor="text1"/>
                <w:sz w:val="21"/>
                <w:szCs w:val="21"/>
                <w:highlight w:val="none"/>
                <w14:textFill>
                  <w14:solidFill>
                    <w14:schemeClr w14:val="tx1"/>
                  </w14:solidFill>
                </w14:textFill>
              </w:rPr>
            </w:pPr>
          </w:p>
        </w:tc>
        <w:tc>
          <w:tcPr>
            <w:tcW w:w="1109" w:type="dxa"/>
            <w:vAlign w:val="center"/>
          </w:tcPr>
          <w:p w14:paraId="135413C2">
            <w:pPr>
              <w:spacing w:line="240" w:lineRule="auto"/>
              <w:jc w:val="center"/>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lang w:eastAsia="zh-CN"/>
                <w14:textFill>
                  <w14:solidFill>
                    <w14:schemeClr w14:val="tx1"/>
                  </w14:solidFill>
                </w14:textFill>
              </w:rPr>
              <w:t>病死猪、胎衣</w:t>
            </w:r>
          </w:p>
        </w:tc>
        <w:tc>
          <w:tcPr>
            <w:tcW w:w="2849" w:type="dxa"/>
            <w:vAlign w:val="center"/>
          </w:tcPr>
          <w:p w14:paraId="35DC8F07">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交由有资质单位处置</w:t>
            </w:r>
          </w:p>
        </w:tc>
        <w:tc>
          <w:tcPr>
            <w:tcW w:w="2899" w:type="dxa"/>
            <w:vMerge w:val="continue"/>
            <w:vAlign w:val="center"/>
          </w:tcPr>
          <w:p w14:paraId="18CB3FB7">
            <w:pPr>
              <w:spacing w:line="240" w:lineRule="auto"/>
              <w:jc w:val="center"/>
              <w:rPr>
                <w:color w:val="000000" w:themeColor="text1"/>
                <w:sz w:val="21"/>
                <w:szCs w:val="21"/>
                <w:highlight w:val="none"/>
                <w14:textFill>
                  <w14:solidFill>
                    <w14:schemeClr w14:val="tx1"/>
                  </w14:solidFill>
                </w14:textFill>
              </w:rPr>
            </w:pPr>
          </w:p>
        </w:tc>
      </w:tr>
      <w:tr w14:paraId="3FAE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Merge w:val="continue"/>
            <w:vAlign w:val="center"/>
          </w:tcPr>
          <w:p w14:paraId="546DB229">
            <w:pPr>
              <w:spacing w:line="240" w:lineRule="auto"/>
              <w:jc w:val="center"/>
              <w:rPr>
                <w:color w:val="000000" w:themeColor="text1"/>
                <w:sz w:val="21"/>
                <w:szCs w:val="21"/>
                <w:highlight w:val="none"/>
                <w14:textFill>
                  <w14:solidFill>
                    <w14:schemeClr w14:val="tx1"/>
                  </w14:solidFill>
                </w14:textFill>
              </w:rPr>
            </w:pPr>
          </w:p>
        </w:tc>
        <w:tc>
          <w:tcPr>
            <w:tcW w:w="2135" w:type="dxa"/>
            <w:gridSpan w:val="2"/>
            <w:vAlign w:val="center"/>
          </w:tcPr>
          <w:p w14:paraId="6D4FFF5A">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生活垃圾</w:t>
            </w:r>
          </w:p>
        </w:tc>
        <w:tc>
          <w:tcPr>
            <w:tcW w:w="2849" w:type="dxa"/>
            <w:vAlign w:val="center"/>
          </w:tcPr>
          <w:p w14:paraId="3D9EC78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集中收集定期转运</w:t>
            </w:r>
          </w:p>
        </w:tc>
        <w:tc>
          <w:tcPr>
            <w:tcW w:w="2899" w:type="dxa"/>
            <w:vAlign w:val="center"/>
          </w:tcPr>
          <w:p w14:paraId="44EDC840">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厂内设有垃圾收集桶，收集后委托环卫部门清运处理</w:t>
            </w:r>
          </w:p>
        </w:tc>
      </w:tr>
      <w:tr w14:paraId="1C21F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8" w:type="dxa"/>
            <w:vMerge w:val="continue"/>
            <w:vAlign w:val="center"/>
          </w:tcPr>
          <w:p w14:paraId="7E1B52EE">
            <w:pPr>
              <w:spacing w:line="240" w:lineRule="auto"/>
              <w:jc w:val="center"/>
              <w:rPr>
                <w:color w:val="000000" w:themeColor="text1"/>
                <w:sz w:val="21"/>
                <w:szCs w:val="21"/>
                <w:highlight w:val="none"/>
                <w14:textFill>
                  <w14:solidFill>
                    <w14:schemeClr w14:val="tx1"/>
                  </w14:solidFill>
                </w14:textFill>
              </w:rPr>
            </w:pPr>
          </w:p>
        </w:tc>
        <w:tc>
          <w:tcPr>
            <w:tcW w:w="2135" w:type="dxa"/>
            <w:gridSpan w:val="2"/>
            <w:vAlign w:val="center"/>
          </w:tcPr>
          <w:p w14:paraId="1A833374">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堆粪场</w:t>
            </w:r>
          </w:p>
        </w:tc>
        <w:tc>
          <w:tcPr>
            <w:tcW w:w="2849" w:type="dxa"/>
            <w:vAlign w:val="center"/>
          </w:tcPr>
          <w:p w14:paraId="33EDF349">
            <w:pPr>
              <w:spacing w:line="240" w:lineRule="auto"/>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w:t>
            </w:r>
          </w:p>
        </w:tc>
        <w:tc>
          <w:tcPr>
            <w:tcW w:w="2899" w:type="dxa"/>
            <w:vAlign w:val="center"/>
          </w:tcPr>
          <w:p w14:paraId="3A0823B7">
            <w:pPr>
              <w:spacing w:line="240" w:lineRule="auto"/>
              <w:jc w:val="center"/>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规范化封闭</w:t>
            </w:r>
            <w:r>
              <w:rPr>
                <w:rFonts w:hint="eastAsia"/>
                <w:color w:val="000000" w:themeColor="text1"/>
                <w:sz w:val="21"/>
                <w:szCs w:val="21"/>
                <w:highlight w:val="none"/>
                <w14:textFill>
                  <w14:solidFill>
                    <w14:schemeClr w14:val="tx1"/>
                  </w14:solidFill>
                </w14:textFill>
              </w:rPr>
              <w:t>堆粪场</w:t>
            </w:r>
          </w:p>
        </w:tc>
      </w:tr>
    </w:tbl>
    <w:p w14:paraId="3A674291">
      <w:pPr>
        <w:pStyle w:val="3"/>
        <w:rPr>
          <w:color w:val="000000" w:themeColor="text1"/>
          <w:highlight w:val="none"/>
          <w14:textFill>
            <w14:solidFill>
              <w14:schemeClr w14:val="tx1"/>
            </w14:solidFill>
          </w14:textFill>
        </w:rPr>
      </w:pPr>
      <w:bookmarkStart w:id="282" w:name="_Toc18205"/>
      <w:bookmarkStart w:id="283" w:name="_Toc8288"/>
      <w:r>
        <w:rPr>
          <w:color w:val="000000" w:themeColor="text1"/>
          <w:highlight w:val="none"/>
          <w14:textFill>
            <w14:solidFill>
              <w14:schemeClr w14:val="tx1"/>
            </w14:solidFill>
          </w14:textFill>
        </w:rPr>
        <w:t>8.</w:t>
      </w:r>
      <w:r>
        <w:rPr>
          <w:rFonts w:hint="eastAsia"/>
          <w:color w:val="000000" w:themeColor="text1"/>
          <w:highlight w:val="none"/>
          <w:lang w:eastAsia="zh-CN"/>
          <w14:textFill>
            <w14:solidFill>
              <w14:schemeClr w14:val="tx1"/>
            </w14:solidFill>
          </w14:textFill>
        </w:rPr>
        <w:t>4</w:t>
      </w:r>
      <w:r>
        <w:rPr>
          <w:color w:val="000000" w:themeColor="text1"/>
          <w:highlight w:val="none"/>
          <w14:textFill>
            <w14:solidFill>
              <w14:schemeClr w14:val="tx1"/>
            </w14:solidFill>
          </w14:textFill>
        </w:rPr>
        <w:t>环境影响评价制度与排污许可制度的衔接</w:t>
      </w:r>
      <w:bookmarkEnd w:id="282"/>
      <w:bookmarkEnd w:id="283"/>
    </w:p>
    <w:p w14:paraId="4466181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环境影响评价制度是建设项目的环境准入门槛，排污许可制是企事业单位生产运营期排污的法律依据，必须做好充分衔接，实现从污染预防到污染治理和排放控制的全过程监管。</w:t>
      </w:r>
    </w:p>
    <w:p w14:paraId="6B93470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根据《环境保护部关于印发〈</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 xml:space="preserve">十三五 </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环境影响评价改革实施方案〉的通知》（环环评〔2016〕95号）、《国务院办公厅关于印发控制污染物排放许可制实施方案的通知》（国办发〔2016〕81号）及环保部《关于做好环境影响评价制度与排污许可制衔接相关工作的通知》（环办环评[2017]84号）中的相关要求，按行业分步实现对固定污染源的排污许可全覆盖，率先对火电、造纸行业企业核发排污许可证，2017年完成《大气污染防治行动计划》和《水污染 防治行动计划》重点行业及产能过剩行业企业排污许可证核发，2020年全国基本完成排污许可证核发。</w:t>
      </w:r>
    </w:p>
    <w:p w14:paraId="69ED796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按照《排污许可证申请与核发技术规范 畜禽养殖行业》(HJ1029-2019)及《固定污染源排污许可分类管理名录（2019年版）》等文件要求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本项目</w:t>
      </w:r>
      <w:r>
        <w:rPr>
          <w:color w:val="000000" w:themeColor="text1"/>
          <w:highlight w:val="none"/>
          <w14:textFill>
            <w14:solidFill>
              <w14:schemeClr w14:val="tx1"/>
            </w14:solidFill>
          </w14:textFill>
        </w:rPr>
        <w:t>仅需在全国排污许可证管理信息平台填报排污登记表，登记基本信息，不需申领排污许可证。</w:t>
      </w:r>
    </w:p>
    <w:p w14:paraId="32915E37">
      <w:pPr>
        <w:rPr>
          <w:color w:val="000000" w:themeColor="text1"/>
          <w:highlight w:val="none"/>
          <w14:textFill>
            <w14:solidFill>
              <w14:schemeClr w14:val="tx1"/>
            </w14:solidFill>
          </w14:textFill>
        </w:rPr>
        <w:sectPr>
          <w:headerReference r:id="rId21" w:type="default"/>
          <w:footerReference r:id="rId22" w:type="default"/>
          <w:pgSz w:w="11906" w:h="16839"/>
          <w:pgMar w:top="1440" w:right="1803" w:bottom="1440" w:left="1803" w:header="882" w:footer="886" w:gutter="0"/>
          <w:pgBorders>
            <w:top w:val="none" w:sz="0" w:space="0"/>
            <w:left w:val="none" w:sz="0" w:space="0"/>
            <w:bottom w:val="none" w:sz="0" w:space="0"/>
            <w:right w:val="none" w:sz="0" w:space="0"/>
          </w:pgBorders>
          <w:pgNumType w:fmt="decimal"/>
          <w:cols w:space="720" w:num="1"/>
        </w:sectPr>
      </w:pPr>
    </w:p>
    <w:p w14:paraId="2443E0E2">
      <w:pPr>
        <w:pStyle w:val="2"/>
        <w:rPr>
          <w:color w:val="000000" w:themeColor="text1"/>
          <w:highlight w:val="none"/>
          <w14:textFill>
            <w14:solidFill>
              <w14:schemeClr w14:val="tx1"/>
            </w14:solidFill>
          </w14:textFill>
        </w:rPr>
      </w:pPr>
      <w:bookmarkStart w:id="284" w:name="bookmark41"/>
      <w:bookmarkEnd w:id="284"/>
      <w:bookmarkStart w:id="285" w:name="bookmark40"/>
      <w:bookmarkEnd w:id="285"/>
      <w:bookmarkStart w:id="286" w:name="_Toc10637"/>
      <w:bookmarkStart w:id="287" w:name="_Toc23388"/>
      <w:r>
        <w:rPr>
          <w:color w:val="000000" w:themeColor="text1"/>
          <w:highlight w:val="none"/>
          <w14:textFill>
            <w14:solidFill>
              <w14:schemeClr w14:val="tx1"/>
            </w14:solidFill>
          </w14:textFill>
        </w:rPr>
        <w:t>9.结论</w:t>
      </w:r>
      <w:bookmarkEnd w:id="286"/>
      <w:bookmarkEnd w:id="287"/>
    </w:p>
    <w:p w14:paraId="5F196E4D">
      <w:pPr>
        <w:pStyle w:val="3"/>
        <w:rPr>
          <w:color w:val="000000" w:themeColor="text1"/>
          <w:highlight w:val="none"/>
          <w14:textFill>
            <w14:solidFill>
              <w14:schemeClr w14:val="tx1"/>
            </w14:solidFill>
          </w14:textFill>
        </w:rPr>
      </w:pPr>
      <w:bookmarkStart w:id="288" w:name="_Toc801"/>
      <w:bookmarkStart w:id="289" w:name="_Toc18997"/>
      <w:r>
        <w:rPr>
          <w:color w:val="000000" w:themeColor="text1"/>
          <w:highlight w:val="none"/>
          <w14:textFill>
            <w14:solidFill>
              <w14:schemeClr w14:val="tx1"/>
            </w14:solidFill>
          </w14:textFill>
        </w:rPr>
        <w:t>9.1建设项目基本情况</w:t>
      </w:r>
      <w:bookmarkEnd w:id="288"/>
      <w:bookmarkEnd w:id="289"/>
    </w:p>
    <w:p w14:paraId="55C8FFDC">
      <w:pPr>
        <w:ind w:firstLine="480" w:firstLineChars="200"/>
        <w:rPr>
          <w:rFonts w:hint="eastAsia" w:eastAsia="宋体"/>
          <w:color w:val="000000" w:themeColor="text1"/>
          <w:highlight w:val="none"/>
          <w:lang w:eastAsia="zh-CN"/>
          <w14:textFill>
            <w14:solidFill>
              <w14:schemeClr w14:val="tx1"/>
            </w14:solidFill>
          </w14:textFill>
        </w:rPr>
      </w:pPr>
      <w:bookmarkStart w:id="290" w:name="bookmark42"/>
      <w:bookmarkEnd w:id="290"/>
      <w:bookmarkStart w:id="291" w:name="_Toc17456"/>
      <w:r>
        <w:rPr>
          <w:color w:val="000000" w:themeColor="text1"/>
          <w:highlight w:val="none"/>
          <w14:textFill>
            <w14:solidFill>
              <w14:schemeClr w14:val="tx1"/>
            </w14:solidFill>
          </w14:textFill>
        </w:rPr>
        <w:t>项目名称</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胡杨河市宏信种猪养殖基地项目</w:t>
      </w:r>
    </w:p>
    <w:p w14:paraId="74CED1B3">
      <w:pPr>
        <w:ind w:firstLine="480" w:firstLineChars="200"/>
        <w:rPr>
          <w:rFonts w:hint="eastAsia" w:eastAsia="宋体"/>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建设单位：</w:t>
      </w:r>
      <w:r>
        <w:rPr>
          <w:rFonts w:hint="eastAsia"/>
          <w:color w:val="000000" w:themeColor="text1"/>
          <w:highlight w:val="none"/>
          <w:lang w:eastAsia="zh-CN"/>
          <w14:textFill>
            <w14:solidFill>
              <w14:schemeClr w14:val="tx1"/>
            </w14:solidFill>
          </w14:textFill>
        </w:rPr>
        <w:t>胡杨河市宏信畜牧养殖有限公司</w:t>
      </w:r>
    </w:p>
    <w:p w14:paraId="359C451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建设地点：</w:t>
      </w: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项目位于新疆生产建设兵团</w:t>
      </w:r>
      <w:r>
        <w:rPr>
          <w:rFonts w:hint="eastAsia"/>
          <w:color w:val="000000" w:themeColor="text1"/>
          <w:highlight w:val="none"/>
          <w:lang w:eastAsia="zh-CN"/>
          <w14:textFill>
            <w14:solidFill>
              <w14:schemeClr w14:val="tx1"/>
            </w14:solidFill>
          </w14:textFill>
        </w:rPr>
        <w:t>胡杨河市125团16连</w:t>
      </w:r>
      <w:r>
        <w:rPr>
          <w:color w:val="000000" w:themeColor="text1"/>
          <w:highlight w:val="none"/>
          <w14:textFill>
            <w14:solidFill>
              <w14:schemeClr w14:val="tx1"/>
            </w14:solidFill>
          </w14:textFill>
        </w:rPr>
        <w:t>，项目区中心坐标：</w:t>
      </w:r>
      <w:r>
        <w:rPr>
          <w:rFonts w:hint="eastAsia"/>
          <w:color w:val="000000" w:themeColor="text1"/>
          <w:highlight w:val="none"/>
          <w:lang w:eastAsia="zh-CN"/>
          <w14:textFill>
            <w14:solidFill>
              <w14:schemeClr w14:val="tx1"/>
            </w14:solidFill>
          </w14:textFill>
        </w:rPr>
        <w:t>E：84°32′1.246″,N：44°50′21.945″</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项目区西南侧60m为废弃厂房，西南侧0.8km为125团16连，西南侧2.3km为125团18连，东侧2.6km处为车排子水库，东侧、西侧、南侧和北侧均为农田，交通十分便利。</w:t>
      </w:r>
    </w:p>
    <w:p w14:paraId="0359D8F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占地面积：本项目占地面积</w:t>
      </w:r>
      <w:r>
        <w:rPr>
          <w:rFonts w:hint="eastAsia"/>
          <w:color w:val="000000" w:themeColor="text1"/>
          <w:highlight w:val="none"/>
          <w:lang w:eastAsia="zh-CN"/>
          <w14:textFill>
            <w14:solidFill>
              <w14:schemeClr w14:val="tx1"/>
            </w14:solidFill>
          </w14:textFill>
        </w:rPr>
        <w:t>16.0391</w:t>
      </w:r>
      <w:r>
        <w:rPr>
          <w:rFonts w:hint="eastAsia"/>
          <w:color w:val="000000" w:themeColor="text1"/>
          <w:highlight w:val="none"/>
          <w14:textFill>
            <w14:solidFill>
              <w14:schemeClr w14:val="tx1"/>
            </w14:solidFill>
          </w14:textFill>
        </w:rPr>
        <w:t>h</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（根据备案证明，其中农用地</w:t>
      </w:r>
      <w:r>
        <w:rPr>
          <w:rFonts w:hint="eastAsia"/>
          <w:color w:val="000000" w:themeColor="text1"/>
          <w:highlight w:val="none"/>
          <w:lang w:eastAsia="zh-CN"/>
          <w14:textFill>
            <w14:solidFill>
              <w14:schemeClr w14:val="tx1"/>
            </w14:solidFill>
          </w14:textFill>
        </w:rPr>
        <w:t>0.2239</w:t>
      </w:r>
      <w:r>
        <w:rPr>
          <w:rFonts w:hint="eastAsia"/>
          <w:color w:val="000000" w:themeColor="text1"/>
          <w:highlight w:val="none"/>
          <w14:textFill>
            <w14:solidFill>
              <w14:schemeClr w14:val="tx1"/>
            </w14:solidFill>
          </w14:textFill>
        </w:rPr>
        <w:t>h</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，未利用地</w:t>
      </w:r>
      <w:r>
        <w:rPr>
          <w:rFonts w:hint="eastAsia"/>
          <w:color w:val="000000" w:themeColor="text1"/>
          <w:highlight w:val="none"/>
          <w:lang w:eastAsia="zh-CN"/>
          <w14:textFill>
            <w14:solidFill>
              <w14:schemeClr w14:val="tx1"/>
            </w14:solidFill>
          </w14:textFill>
        </w:rPr>
        <w:t>15.8152</w:t>
      </w:r>
      <w:r>
        <w:rPr>
          <w:rFonts w:hint="eastAsia"/>
          <w:color w:val="000000" w:themeColor="text1"/>
          <w:highlight w:val="none"/>
          <w14:textFill>
            <w14:solidFill>
              <w14:schemeClr w14:val="tx1"/>
            </w14:solidFill>
          </w14:textFill>
        </w:rPr>
        <w:t>hm</w:t>
      </w:r>
      <w:r>
        <w:rPr>
          <w:rFonts w:hint="eastAsia"/>
          <w:color w:val="000000" w:themeColor="text1"/>
          <w:highlight w:val="non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w:t>
      </w:r>
    </w:p>
    <w:p w14:paraId="3C0CE58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建设性质：补做环评</w:t>
      </w:r>
      <w:r>
        <w:rPr>
          <w:rFonts w:hint="eastAsia"/>
          <w:color w:val="000000" w:themeColor="text1"/>
          <w:highlight w:val="none"/>
          <w:lang w:val="en-US" w:eastAsia="zh-CN"/>
          <w14:textFill>
            <w14:solidFill>
              <w14:schemeClr w14:val="tx1"/>
            </w14:solidFill>
          </w14:textFill>
        </w:rPr>
        <w:t>（新建）</w:t>
      </w:r>
      <w:r>
        <w:rPr>
          <w:color w:val="000000" w:themeColor="text1"/>
          <w:highlight w:val="none"/>
          <w14:textFill>
            <w14:solidFill>
              <w14:schemeClr w14:val="tx1"/>
            </w14:solidFill>
          </w14:textFill>
        </w:rPr>
        <w:t>。</w:t>
      </w:r>
    </w:p>
    <w:p w14:paraId="3319899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总投资：</w:t>
      </w:r>
      <w:r>
        <w:rPr>
          <w:rFonts w:hint="eastAsia"/>
          <w:color w:val="000000" w:themeColor="text1"/>
          <w:highlight w:val="none"/>
          <w:lang w:val="en-US" w:eastAsia="zh-CN"/>
          <w14:textFill>
            <w14:solidFill>
              <w14:schemeClr w14:val="tx1"/>
            </w14:solidFill>
          </w14:textFill>
        </w:rPr>
        <w:t>30000</w:t>
      </w:r>
      <w:r>
        <w:rPr>
          <w:color w:val="000000" w:themeColor="text1"/>
          <w:highlight w:val="none"/>
          <w14:textFill>
            <w14:solidFill>
              <w14:schemeClr w14:val="tx1"/>
            </w14:solidFill>
          </w14:textFill>
        </w:rPr>
        <w:t>万元，其中环保投资</w:t>
      </w:r>
      <w:r>
        <w:rPr>
          <w:rFonts w:hint="eastAsia"/>
          <w:color w:val="000000" w:themeColor="text1"/>
          <w:highlight w:val="none"/>
          <w:lang w:val="en-US" w:eastAsia="zh-CN"/>
          <w14:textFill>
            <w14:solidFill>
              <w14:schemeClr w14:val="tx1"/>
            </w14:solidFill>
          </w14:textFill>
        </w:rPr>
        <w:t>217.5</w:t>
      </w:r>
      <w:r>
        <w:rPr>
          <w:color w:val="000000" w:themeColor="text1"/>
          <w:highlight w:val="none"/>
          <w14:textFill>
            <w14:solidFill>
              <w14:schemeClr w14:val="tx1"/>
            </w14:solidFill>
          </w14:textFill>
        </w:rPr>
        <w:t>万元，环保投资约占总投资的</w:t>
      </w:r>
      <w:r>
        <w:rPr>
          <w:rFonts w:hint="eastAsia"/>
          <w:color w:val="000000" w:themeColor="text1"/>
          <w:highlight w:val="none"/>
          <w:lang w:val="en-US" w:eastAsia="zh-CN"/>
          <w14:textFill>
            <w14:solidFill>
              <w14:schemeClr w14:val="tx1"/>
            </w14:solidFill>
          </w14:textFill>
        </w:rPr>
        <w:t>7.25</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w:t>
      </w:r>
    </w:p>
    <w:p w14:paraId="790E3AE0">
      <w:pPr>
        <w:ind w:firstLine="480" w:firstLineChars="20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建设周期：202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月-202</w:t>
      </w:r>
      <w:r>
        <w:rPr>
          <w:rFonts w:hint="eastAsia"/>
          <w:color w:val="000000" w:themeColor="text1"/>
          <w:highlight w:val="none"/>
          <w:lang w:val="en-US" w:eastAsia="zh-CN"/>
          <w14:textFill>
            <w14:solidFill>
              <w14:schemeClr w14:val="tx1"/>
            </w14:solidFill>
          </w14:textFill>
        </w:rPr>
        <w:t>1</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9</w:t>
      </w:r>
      <w:r>
        <w:rPr>
          <w:color w:val="000000" w:themeColor="text1"/>
          <w:highlight w:val="none"/>
          <w14:textFill>
            <w14:solidFill>
              <w14:schemeClr w14:val="tx1"/>
            </w14:solidFill>
          </w14:textFill>
        </w:rPr>
        <w:t>月，共计</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个月。</w:t>
      </w:r>
      <w:r>
        <w:rPr>
          <w:rFonts w:hint="eastAsia"/>
          <w:color w:val="000000" w:themeColor="text1"/>
          <w:highlight w:val="none"/>
          <w:lang w:val="en-US" w:eastAsia="zh-CN"/>
          <w14:textFill>
            <w14:solidFill>
              <w14:schemeClr w14:val="tx1"/>
            </w14:solidFill>
          </w14:textFill>
        </w:rPr>
        <w:t>2024年8月-2024年10月，共计3个月</w:t>
      </w:r>
    </w:p>
    <w:p w14:paraId="01507494">
      <w:pPr>
        <w:ind w:firstLine="480" w:firstLineChars="200"/>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工作制度：</w:t>
      </w:r>
      <w:r>
        <w:rPr>
          <w:rFonts w:hint="eastAsia"/>
          <w:color w:val="000000" w:themeColor="text1"/>
          <w:highlight w:val="none"/>
          <w14:textFill>
            <w14:solidFill>
              <w14:schemeClr w14:val="tx1"/>
            </w14:solidFill>
          </w14:textFill>
        </w:rPr>
        <w:t>本项目建成投产后，劳动定员为</w:t>
      </w:r>
      <w:r>
        <w:rPr>
          <w:rFonts w:hint="eastAsia"/>
          <w:color w:val="000000" w:themeColor="text1"/>
          <w:highlight w:val="none"/>
          <w:lang w:val="en-US" w:eastAsia="zh-CN"/>
          <w14:textFill>
            <w14:solidFill>
              <w14:schemeClr w14:val="tx1"/>
            </w14:solidFill>
          </w14:textFill>
        </w:rPr>
        <w:t>30</w:t>
      </w:r>
      <w:r>
        <w:rPr>
          <w:rFonts w:hint="eastAsia"/>
          <w:color w:val="000000" w:themeColor="text1"/>
          <w:highlight w:val="none"/>
          <w14:textFill>
            <w14:solidFill>
              <w14:schemeClr w14:val="tx1"/>
            </w14:solidFill>
          </w14:textFill>
        </w:rPr>
        <w:t>人，年生产3</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天。</w:t>
      </w:r>
    </w:p>
    <w:p w14:paraId="1770D2E7">
      <w:pPr>
        <w:ind w:firstLine="468" w:firstLineChars="200"/>
        <w:rPr>
          <w:rFonts w:hint="eastAsia" w:eastAsia="宋体"/>
          <w:color w:val="000000" w:themeColor="text1"/>
          <w:highlight w:val="none"/>
          <w:lang w:eastAsia="zh-CN"/>
          <w14:textFill>
            <w14:solidFill>
              <w14:schemeClr w14:val="tx1"/>
            </w14:solidFill>
          </w14:textFill>
        </w:rPr>
      </w:pPr>
      <w:r>
        <w:rPr>
          <w:rFonts w:ascii="宋体" w:hAnsi="宋体" w:eastAsia="宋体" w:cs="宋体"/>
          <w:color w:val="000000" w:themeColor="text1"/>
          <w:spacing w:val="-3"/>
          <w:sz w:val="24"/>
          <w:szCs w:val="24"/>
          <w:highlight w:val="none"/>
          <w14:textFill>
            <w14:solidFill>
              <w14:schemeClr w14:val="tx1"/>
            </w14:solidFill>
          </w14:textFill>
        </w:rPr>
        <w:t>建设规模：</w:t>
      </w:r>
      <w:r>
        <w:rPr>
          <w:rFonts w:hint="eastAsia"/>
          <w:color w:val="000000" w:themeColor="text1"/>
          <w:highlight w:val="none"/>
          <w14:textFill>
            <w14:solidFill>
              <w14:schemeClr w14:val="tx1"/>
            </w14:solidFill>
          </w14:textFill>
        </w:rPr>
        <w:t>年出栏种猪2万头、仔猪10万头。</w:t>
      </w:r>
    </w:p>
    <w:p w14:paraId="4F86F688">
      <w:pPr>
        <w:pStyle w:val="3"/>
        <w:rPr>
          <w:color w:val="000000" w:themeColor="text1"/>
          <w:highlight w:val="none"/>
          <w14:textFill>
            <w14:solidFill>
              <w14:schemeClr w14:val="tx1"/>
            </w14:solidFill>
          </w14:textFill>
        </w:rPr>
      </w:pPr>
      <w:bookmarkStart w:id="292" w:name="_Toc15697"/>
      <w:r>
        <w:rPr>
          <w:color w:val="000000" w:themeColor="text1"/>
          <w:highlight w:val="none"/>
          <w14:textFill>
            <w14:solidFill>
              <w14:schemeClr w14:val="tx1"/>
            </w14:solidFill>
          </w14:textFill>
        </w:rPr>
        <w:t>9.2环境质量现状</w:t>
      </w:r>
      <w:bookmarkEnd w:id="291"/>
      <w:bookmarkEnd w:id="292"/>
    </w:p>
    <w:p w14:paraId="594146DA">
      <w:pPr>
        <w:outlineLvl w:val="2"/>
        <w:rPr>
          <w:color w:val="000000" w:themeColor="text1"/>
          <w:highlight w:val="none"/>
          <w14:textFill>
            <w14:solidFill>
              <w14:schemeClr w14:val="tx1"/>
            </w14:solidFill>
          </w14:textFill>
        </w:rPr>
      </w:pPr>
      <w:bookmarkStart w:id="293" w:name="_Toc9997"/>
      <w:r>
        <w:rPr>
          <w:color w:val="000000" w:themeColor="text1"/>
          <w:highlight w:val="none"/>
          <w14:textFill>
            <w14:solidFill>
              <w14:schemeClr w14:val="tx1"/>
            </w14:solidFill>
          </w14:textFill>
        </w:rPr>
        <w:t>（1）环境空气质量</w:t>
      </w:r>
      <w:bookmarkEnd w:id="293"/>
    </w:p>
    <w:p w14:paraId="4FEEC47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根据202</w:t>
      </w:r>
      <w:r>
        <w:rPr>
          <w:rFonts w:hint="eastAsia"/>
          <w:color w:val="000000" w:themeColor="text1"/>
          <w:highlight w:val="none"/>
          <w:lang w:val="en-US" w:eastAsia="zh-CN"/>
          <w14:textFill>
            <w14:solidFill>
              <w14:schemeClr w14:val="tx1"/>
            </w14:solidFill>
          </w14:textFill>
        </w:rPr>
        <w:t>3</w:t>
      </w:r>
      <w:r>
        <w:rPr>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克拉玛依</w:t>
      </w:r>
      <w:r>
        <w:rPr>
          <w:rFonts w:hint="eastAsia"/>
          <w:color w:val="000000" w:themeColor="text1"/>
          <w:highlight w:val="none"/>
          <w:lang w:eastAsia="zh-CN"/>
          <w14:textFill>
            <w14:solidFill>
              <w14:schemeClr w14:val="tx1"/>
            </w14:solidFill>
          </w14:textFill>
        </w:rPr>
        <w:t>市</w:t>
      </w:r>
      <w:r>
        <w:rPr>
          <w:color w:val="000000" w:themeColor="text1"/>
          <w:highlight w:val="none"/>
          <w14:textFill>
            <w14:solidFill>
              <w14:schemeClr w14:val="tx1"/>
            </w14:solidFill>
          </w14:textFill>
        </w:rPr>
        <w:t>监测站环境空气质量自动监测子站逐日监测数据，项目所在区域为达标区，环境空气满足《环境空气质量标准》（GB3095-2012）二级标准。</w:t>
      </w:r>
    </w:p>
    <w:p w14:paraId="0EF2032D">
      <w:pPr>
        <w:outlineLvl w:val="2"/>
        <w:rPr>
          <w:color w:val="000000" w:themeColor="text1"/>
          <w:highlight w:val="none"/>
          <w14:textFill>
            <w14:solidFill>
              <w14:schemeClr w14:val="tx1"/>
            </w14:solidFill>
          </w14:textFill>
        </w:rPr>
      </w:pPr>
      <w:bookmarkStart w:id="294" w:name="_Toc4038"/>
      <w:r>
        <w:rPr>
          <w:color w:val="000000" w:themeColor="text1"/>
          <w:highlight w:val="none"/>
          <w14:textFill>
            <w14:solidFill>
              <w14:schemeClr w14:val="tx1"/>
            </w14:solidFill>
          </w14:textFill>
        </w:rPr>
        <w:t>（2）地下水质量现状</w:t>
      </w:r>
      <w:bookmarkEnd w:id="294"/>
    </w:p>
    <w:p w14:paraId="1BCC1D8A">
      <w:pPr>
        <w:ind w:firstLine="480" w:firstLineChars="200"/>
        <w:rPr>
          <w:color w:val="000000" w:themeColor="text1"/>
          <w:highlight w:val="none"/>
          <w14:textFill>
            <w14:solidFill>
              <w14:schemeClr w14:val="tx1"/>
            </w14:solidFill>
          </w14:textFill>
        </w:rPr>
      </w:pPr>
      <w:bookmarkStart w:id="295" w:name="_Toc2268"/>
      <w:r>
        <w:rPr>
          <w:color w:val="000000" w:themeColor="text1"/>
          <w:highlight w:val="none"/>
          <w14:textFill>
            <w14:solidFill>
              <w14:schemeClr w14:val="tx1"/>
            </w14:solidFill>
          </w14:textFill>
        </w:rPr>
        <w:t>根据监测结果，该评价区地下水水质</w:t>
      </w:r>
      <w:r>
        <w:rPr>
          <w:rFonts w:hint="eastAsia"/>
          <w:color w:val="000000" w:themeColor="text1"/>
          <w:highlight w:val="none"/>
          <w:lang w:val="en-US" w:eastAsia="zh-CN"/>
          <w14:textFill>
            <w14:solidFill>
              <w14:schemeClr w14:val="tx1"/>
            </w14:solidFill>
          </w14:textFill>
        </w:rPr>
        <w:t>除砷离子都</w:t>
      </w:r>
      <w:r>
        <w:rPr>
          <w:color w:val="000000" w:themeColor="text1"/>
          <w:highlight w:val="none"/>
          <w14:textFill>
            <w14:solidFill>
              <w14:schemeClr w14:val="tx1"/>
            </w14:solidFill>
          </w14:textFill>
        </w:rPr>
        <w:t>达到</w:t>
      </w:r>
      <w:r>
        <w:rPr>
          <w:rFonts w:hint="eastAsia"/>
          <w:color w:val="000000" w:themeColor="text1"/>
          <w:highlight w:val="none"/>
          <w:lang w:eastAsia="zh-CN"/>
          <w14:textFill>
            <w14:solidFill>
              <w14:schemeClr w14:val="tx1"/>
            </w14:solidFill>
          </w14:textFill>
        </w:rPr>
        <w:t>了</w:t>
      </w:r>
      <w:r>
        <w:rPr>
          <w:color w:val="000000" w:themeColor="text1"/>
          <w:highlight w:val="none"/>
          <w14:textFill>
            <w14:solidFill>
              <w14:schemeClr w14:val="tx1"/>
            </w14:solidFill>
          </w14:textFill>
        </w:rPr>
        <w:t>《地下水质量标准》（GB/T14848-2017）中Ⅲ类标准的要求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砷离子超过</w:t>
      </w:r>
      <w:r>
        <w:rPr>
          <w:color w:val="000000" w:themeColor="text1"/>
          <w:highlight w:val="none"/>
          <w14:textFill>
            <w14:solidFill>
              <w14:schemeClr w14:val="tx1"/>
            </w14:solidFill>
          </w14:textFill>
        </w:rPr>
        <w:t>《地下水质量标准》（GB/T14848-2017）中Ⅲ类标准的要求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10</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μg/L</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但未超过</w:t>
      </w:r>
      <w:bookmarkStart w:id="296" w:name="OLE_LINK2"/>
      <w:r>
        <w:rPr>
          <w:color w:val="000000" w:themeColor="text1"/>
          <w:highlight w:val="none"/>
          <w14:textFill>
            <w14:solidFill>
              <w14:schemeClr w14:val="tx1"/>
            </w14:solidFill>
          </w14:textFill>
        </w:rPr>
        <w:t>《地下水质量标准》（GB/T14848-2017）</w:t>
      </w:r>
      <w:bookmarkEnd w:id="296"/>
      <w:r>
        <w:rPr>
          <w:color w:val="000000" w:themeColor="text1"/>
          <w:highlight w:val="none"/>
          <w14:textFill>
            <w14:solidFill>
              <w14:schemeClr w14:val="tx1"/>
            </w14:solidFill>
          </w14:textFill>
        </w:rPr>
        <w:t>中</w:t>
      </w:r>
      <w:r>
        <w:rPr>
          <w:rFonts w:hint="eastAsia"/>
          <w:color w:val="000000" w:themeColor="text1"/>
          <w:highlight w:val="none"/>
          <w:lang w:eastAsia="zh-CN"/>
          <w14:textFill>
            <w14:solidFill>
              <w14:schemeClr w14:val="tx1"/>
            </w14:solidFill>
          </w14:textFill>
        </w:rPr>
        <w:t>Ⅳ类</w:t>
      </w:r>
      <w:r>
        <w:rPr>
          <w:color w:val="000000" w:themeColor="text1"/>
          <w:highlight w:val="none"/>
          <w14:textFill>
            <w14:solidFill>
              <w14:schemeClr w14:val="tx1"/>
            </w14:solidFill>
          </w14:textFill>
        </w:rPr>
        <w:t>标准的要求</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50</w:t>
      </w:r>
      <w:r>
        <w:rPr>
          <w:rFonts w:hint="default" w:ascii="Times New Roman" w:hAnsi="Times New Roman" w:eastAsia="宋体" w:cs="Times New Roman"/>
          <w:b w:val="0"/>
          <w:bCs w:val="0"/>
          <w:color w:val="000000" w:themeColor="text1"/>
          <w:kern w:val="0"/>
          <w:sz w:val="21"/>
          <w:szCs w:val="21"/>
          <w:highlight w:val="none"/>
          <w:lang w:val="en-US" w:eastAsia="zh-CN"/>
          <w14:textFill>
            <w14:solidFill>
              <w14:schemeClr w14:val="tx1"/>
            </w14:solidFill>
          </w14:textFill>
        </w:rPr>
        <w:t>μg/L</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奎屯河流域</w:t>
      </w:r>
      <w:r>
        <w:rPr>
          <w:rFonts w:hint="eastAsia"/>
          <w:color w:val="000000" w:themeColor="text1"/>
          <w:highlight w:val="none"/>
          <w14:textFill>
            <w14:solidFill>
              <w14:schemeClr w14:val="tx1"/>
            </w14:solidFill>
          </w14:textFill>
        </w:rPr>
        <w:t>周边山区分布的菱铁矿、砷酸钙、砷酸锰等矿物</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为地下水砷含量超标提供了物质来源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强烈的蒸发浓缩作用与岩石风化作用使得地下水中的砷浓度进一步升高</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高pH值、低Eh的地下水化学环境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造成砷酸盐从矿物表面解吸附聚集在地下水中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沉积物中Fe、Mn氧化物矿物和黏土矿物的还原过程使与之共存的砷被释放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也是</w:t>
      </w:r>
      <w:r>
        <w:rPr>
          <w:rFonts w:hint="eastAsia"/>
          <w:color w:val="000000" w:themeColor="text1"/>
          <w:highlight w:val="none"/>
          <w:lang w:val="en-US" w:eastAsia="zh-CN"/>
          <w14:textFill>
            <w14:solidFill>
              <w14:schemeClr w14:val="tx1"/>
            </w14:solidFill>
          </w14:textFill>
        </w:rPr>
        <w:t>本</w:t>
      </w:r>
      <w:r>
        <w:rPr>
          <w:rFonts w:hint="eastAsia"/>
          <w:color w:val="000000" w:themeColor="text1"/>
          <w:highlight w:val="none"/>
          <w14:textFill>
            <w14:solidFill>
              <w14:schemeClr w14:val="tx1"/>
            </w14:solidFill>
          </w14:textFill>
        </w:rPr>
        <w:t>区地下水中</w:t>
      </w:r>
      <w:r>
        <w:rPr>
          <w:rFonts w:hint="eastAsia"/>
          <w:color w:val="000000" w:themeColor="text1"/>
          <w:highlight w:val="none"/>
          <w:lang w:val="en-US" w:eastAsia="zh-CN"/>
          <w14:textFill>
            <w14:solidFill>
              <w14:schemeClr w14:val="tx1"/>
            </w14:solidFill>
          </w14:textFill>
        </w:rPr>
        <w:t>砷离子</w:t>
      </w:r>
      <w:r>
        <w:rPr>
          <w:rFonts w:hint="eastAsia"/>
          <w:color w:val="000000" w:themeColor="text1"/>
          <w:highlight w:val="none"/>
          <w14:textFill>
            <w14:solidFill>
              <w14:schemeClr w14:val="tx1"/>
            </w14:solidFill>
          </w14:textFill>
        </w:rPr>
        <w:t>超标的原因</w:t>
      </w:r>
      <w:r>
        <w:rPr>
          <w:color w:val="000000" w:themeColor="text1"/>
          <w:highlight w:val="none"/>
          <w14:textFill>
            <w14:solidFill>
              <w14:schemeClr w14:val="tx1"/>
            </w14:solidFill>
          </w14:textFill>
        </w:rPr>
        <w:t>。</w:t>
      </w:r>
    </w:p>
    <w:p w14:paraId="600A6EFE">
      <w:pPr>
        <w:outlineLvl w:val="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（3）声环境质量现状</w:t>
      </w:r>
      <w:bookmarkEnd w:id="295"/>
    </w:p>
    <w:p w14:paraId="779224C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现状监测表明，厂界昼间噪声值</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夜间噪声值均符合《声环境质量标准》（GB3096-2008）2类标准，声环境质量较好。</w:t>
      </w:r>
    </w:p>
    <w:p w14:paraId="359ED88D">
      <w:pPr>
        <w:outlineLvl w:val="2"/>
        <w:rPr>
          <w:color w:val="000000" w:themeColor="text1"/>
          <w:highlight w:val="none"/>
          <w14:textFill>
            <w14:solidFill>
              <w14:schemeClr w14:val="tx1"/>
            </w14:solidFill>
          </w14:textFill>
        </w:rPr>
      </w:pPr>
      <w:bookmarkStart w:id="297" w:name="_Toc3659"/>
      <w:r>
        <w:rPr>
          <w:rFonts w:hint="eastAsia"/>
          <w:color w:val="000000" w:themeColor="text1"/>
          <w:highlight w:val="none"/>
          <w14:textFill>
            <w14:solidFill>
              <w14:schemeClr w14:val="tx1"/>
            </w14:solidFill>
          </w14:textFill>
        </w:rPr>
        <w:t>（4）</w:t>
      </w:r>
      <w:r>
        <w:rPr>
          <w:color w:val="000000" w:themeColor="text1"/>
          <w:highlight w:val="none"/>
          <w14:textFill>
            <w14:solidFill>
              <w14:schemeClr w14:val="tx1"/>
            </w14:solidFill>
          </w14:textFill>
        </w:rPr>
        <w:t>土壤环境质量现状</w:t>
      </w:r>
      <w:bookmarkEnd w:id="297"/>
    </w:p>
    <w:p w14:paraId="4974765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根据监测点检测值，</w:t>
      </w:r>
      <w:r>
        <w:rPr>
          <w:rFonts w:hint="eastAsia"/>
          <w:color w:val="000000" w:themeColor="text1"/>
          <w:highlight w:val="none"/>
          <w14:textFill>
            <w14:solidFill>
              <w14:schemeClr w14:val="tx1"/>
            </w14:solidFill>
          </w14:textFill>
        </w:rPr>
        <w:t>本</w:t>
      </w:r>
      <w:r>
        <w:rPr>
          <w:color w:val="000000" w:themeColor="text1"/>
          <w:highlight w:val="none"/>
          <w14:textFill>
            <w14:solidFill>
              <w14:schemeClr w14:val="tx1"/>
            </w14:solidFill>
          </w14:textFill>
        </w:rPr>
        <w:t>项目的土壤质量</w:t>
      </w:r>
      <w:r>
        <w:rPr>
          <w:rFonts w:hint="eastAsia"/>
          <w:color w:val="000000" w:themeColor="text1"/>
          <w:highlight w:val="none"/>
          <w14:textFill>
            <w14:solidFill>
              <w14:schemeClr w14:val="tx1"/>
            </w14:solidFill>
          </w14:textFill>
        </w:rPr>
        <w:t>满足</w:t>
      </w:r>
      <w:r>
        <w:rPr>
          <w:color w:val="000000" w:themeColor="text1"/>
          <w:highlight w:val="none"/>
          <w14:textFill>
            <w14:solidFill>
              <w14:schemeClr w14:val="tx1"/>
            </w14:solidFill>
          </w14:textFill>
        </w:rPr>
        <w:t>《畜禽养殖产地环境评价规范》（HJ568-2010）中的表4放牧区和畜禽养殖场、养殖小区土壤环境质量评价指标限值。</w:t>
      </w:r>
    </w:p>
    <w:p w14:paraId="613A23A8">
      <w:pPr>
        <w:pStyle w:val="3"/>
        <w:rPr>
          <w:color w:val="000000" w:themeColor="text1"/>
          <w:highlight w:val="none"/>
          <w14:textFill>
            <w14:solidFill>
              <w14:schemeClr w14:val="tx1"/>
            </w14:solidFill>
          </w14:textFill>
        </w:rPr>
      </w:pPr>
      <w:bookmarkStart w:id="298" w:name="bookmark43"/>
      <w:bookmarkEnd w:id="298"/>
      <w:bookmarkStart w:id="299" w:name="_Toc1847"/>
      <w:bookmarkStart w:id="300" w:name="_Toc19612"/>
      <w:r>
        <w:rPr>
          <w:color w:val="000000" w:themeColor="text1"/>
          <w:highlight w:val="none"/>
          <w14:textFill>
            <w14:solidFill>
              <w14:schemeClr w14:val="tx1"/>
            </w14:solidFill>
          </w14:textFill>
        </w:rPr>
        <w:t>9.3主要环境影响</w:t>
      </w:r>
      <w:bookmarkEnd w:id="299"/>
      <w:bookmarkEnd w:id="300"/>
    </w:p>
    <w:p w14:paraId="51F9CCEA">
      <w:pPr>
        <w:outlineLvl w:val="2"/>
        <w:rPr>
          <w:color w:val="000000" w:themeColor="text1"/>
          <w:highlight w:val="none"/>
          <w14:textFill>
            <w14:solidFill>
              <w14:schemeClr w14:val="tx1"/>
            </w14:solidFill>
          </w14:textFill>
        </w:rPr>
      </w:pPr>
      <w:bookmarkStart w:id="301" w:name="_Toc957"/>
      <w:r>
        <w:rPr>
          <w:color w:val="000000" w:themeColor="text1"/>
          <w:highlight w:val="none"/>
          <w14:textFill>
            <w14:solidFill>
              <w14:schemeClr w14:val="tx1"/>
            </w14:solidFill>
          </w14:textFill>
        </w:rPr>
        <w:t>（1）大气环境影响</w:t>
      </w:r>
      <w:bookmarkEnd w:id="301"/>
    </w:p>
    <w:p w14:paraId="13652B7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养殖场大气污染物主要是粪便产生的臭气，臭气主要成分为H</w:t>
      </w:r>
      <w:r>
        <w:rPr>
          <w:color w:val="000000" w:themeColor="text1"/>
          <w:highlight w:val="none"/>
          <w:vertAlign w:val="subscript"/>
          <w14:textFill>
            <w14:solidFill>
              <w14:schemeClr w14:val="tx1"/>
            </w14:solidFill>
          </w14:textFill>
        </w:rPr>
        <w:t>2</w:t>
      </w:r>
      <w:r>
        <w:rPr>
          <w:color w:val="000000" w:themeColor="text1"/>
          <w:highlight w:val="none"/>
          <w14:textFill>
            <w14:solidFill>
              <w14:schemeClr w14:val="tx1"/>
            </w14:solidFill>
          </w14:textFill>
        </w:rPr>
        <w:t>S、NH</w:t>
      </w:r>
      <w:r>
        <w:rPr>
          <w:color w:val="000000" w:themeColor="text1"/>
          <w:highlight w:val="none"/>
          <w:vertAlign w:val="subscript"/>
          <w14:textFill>
            <w14:solidFill>
              <w14:schemeClr w14:val="tx1"/>
            </w14:solidFill>
          </w14:textFill>
        </w:rPr>
        <w:t>3</w:t>
      </w:r>
      <w:r>
        <w:rPr>
          <w:color w:val="000000" w:themeColor="text1"/>
          <w:highlight w:val="none"/>
          <w14:textFill>
            <w14:solidFill>
              <w14:schemeClr w14:val="tx1"/>
            </w14:solidFill>
          </w14:textFill>
        </w:rPr>
        <w:t>。对于恶臭污染物的排放，在采取将粪便及时清运、科学设计日粮、提高饲料利用率、合理使用饲料添加剂、配置除臭设施、加强恶臭污染源管理、设置卫生防护距离、合理布局等措施后，对周围环境的影响不大。</w:t>
      </w:r>
    </w:p>
    <w:p w14:paraId="651ABFEB">
      <w:pPr>
        <w:outlineLvl w:val="2"/>
        <w:rPr>
          <w:color w:val="000000" w:themeColor="text1"/>
          <w:highlight w:val="none"/>
          <w14:textFill>
            <w14:solidFill>
              <w14:schemeClr w14:val="tx1"/>
            </w14:solidFill>
          </w14:textFill>
        </w:rPr>
      </w:pPr>
      <w:bookmarkStart w:id="302" w:name="_Toc11855"/>
      <w:r>
        <w:rPr>
          <w:color w:val="000000" w:themeColor="text1"/>
          <w:highlight w:val="none"/>
          <w14:textFill>
            <w14:solidFill>
              <w14:schemeClr w14:val="tx1"/>
            </w14:solidFill>
          </w14:textFill>
        </w:rPr>
        <w:t>（2）水环境影响</w:t>
      </w:r>
      <w:bookmarkEnd w:id="302"/>
    </w:p>
    <w:p w14:paraId="66C986E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本工程排水主要为养殖废水（猪尿、猪舍冲洗水、粪污滤液）及员工生活污水。养殖场产生的粪污经过《畜禽粪污资源化利用行动方案》（2017-2020）推荐的</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污水肥料化利用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模式，采用</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固液分离+</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发酵工艺无害化处理后，产生的液肥用于项目周边现有农田，可以实现废物综合利用。</w:t>
      </w:r>
    </w:p>
    <w:p w14:paraId="58B5CD87">
      <w:pPr>
        <w:outlineLvl w:val="2"/>
        <w:rPr>
          <w:color w:val="000000" w:themeColor="text1"/>
          <w:highlight w:val="none"/>
          <w14:textFill>
            <w14:solidFill>
              <w14:schemeClr w14:val="tx1"/>
            </w14:solidFill>
          </w14:textFill>
        </w:rPr>
      </w:pPr>
      <w:bookmarkStart w:id="303" w:name="_Toc3115"/>
      <w:r>
        <w:rPr>
          <w:color w:val="000000" w:themeColor="text1"/>
          <w:highlight w:val="none"/>
          <w14:textFill>
            <w14:solidFill>
              <w14:schemeClr w14:val="tx1"/>
            </w14:solidFill>
          </w14:textFill>
        </w:rPr>
        <w:t>（3）声环境影响</w:t>
      </w:r>
      <w:bookmarkEnd w:id="303"/>
    </w:p>
    <w:p w14:paraId="3A572C2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项目建成后，噪声源对厂界的贡献值满足《工业企业厂界环境噪声排放标准》（GB12348-2008）2类标准要求。</w:t>
      </w:r>
    </w:p>
    <w:p w14:paraId="28851A68">
      <w:pPr>
        <w:outlineLvl w:val="2"/>
        <w:rPr>
          <w:color w:val="000000" w:themeColor="text1"/>
          <w:highlight w:val="none"/>
          <w14:textFill>
            <w14:solidFill>
              <w14:schemeClr w14:val="tx1"/>
            </w14:solidFill>
          </w14:textFill>
        </w:rPr>
      </w:pPr>
      <w:bookmarkStart w:id="304" w:name="_Toc12688"/>
      <w:r>
        <w:rPr>
          <w:color w:val="000000" w:themeColor="text1"/>
          <w:highlight w:val="none"/>
          <w14:textFill>
            <w14:solidFill>
              <w14:schemeClr w14:val="tx1"/>
            </w14:solidFill>
          </w14:textFill>
        </w:rPr>
        <w:t>（4）固体废物</w:t>
      </w:r>
      <w:r>
        <w:rPr>
          <w:rFonts w:hint="eastAsia"/>
          <w:color w:val="000000" w:themeColor="text1"/>
          <w:highlight w:val="none"/>
          <w14:textFill>
            <w14:solidFill>
              <w14:schemeClr w14:val="tx1"/>
            </w14:solidFill>
          </w14:textFill>
        </w:rPr>
        <w:t>环境</w:t>
      </w:r>
      <w:r>
        <w:rPr>
          <w:color w:val="000000" w:themeColor="text1"/>
          <w:highlight w:val="none"/>
          <w14:textFill>
            <w14:solidFill>
              <w14:schemeClr w14:val="tx1"/>
            </w14:solidFill>
          </w14:textFill>
        </w:rPr>
        <w:t>影响</w:t>
      </w:r>
      <w:bookmarkEnd w:id="304"/>
    </w:p>
    <w:p w14:paraId="4F68845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项目所有固体废物均得到妥善处置和综合利用，不直接排入外环境，不会对</w:t>
      </w:r>
      <w:r>
        <w:rPr>
          <w:rFonts w:hint="eastAsia"/>
          <w:color w:val="000000" w:themeColor="text1"/>
          <w:highlight w:val="none"/>
          <w14:textFill>
            <w14:solidFill>
              <w14:schemeClr w14:val="tx1"/>
            </w14:solidFill>
          </w14:textFill>
        </w:rPr>
        <w:t>周边环境</w:t>
      </w:r>
      <w:r>
        <w:rPr>
          <w:color w:val="000000" w:themeColor="text1"/>
          <w:highlight w:val="none"/>
          <w14:textFill>
            <w14:solidFill>
              <w14:schemeClr w14:val="tx1"/>
            </w14:solidFill>
          </w14:textFill>
        </w:rPr>
        <w:t>产生不良影响。</w:t>
      </w:r>
    </w:p>
    <w:p w14:paraId="0BA41132">
      <w:pPr>
        <w:pStyle w:val="3"/>
        <w:rPr>
          <w:color w:val="000000" w:themeColor="text1"/>
          <w:highlight w:val="none"/>
          <w14:textFill>
            <w14:solidFill>
              <w14:schemeClr w14:val="tx1"/>
            </w14:solidFill>
          </w14:textFill>
        </w:rPr>
      </w:pPr>
      <w:bookmarkStart w:id="305" w:name="bookmark44"/>
      <w:bookmarkEnd w:id="305"/>
      <w:bookmarkStart w:id="306" w:name="_Toc15716"/>
      <w:bookmarkStart w:id="307" w:name="_Toc22872"/>
      <w:r>
        <w:rPr>
          <w:color w:val="000000" w:themeColor="text1"/>
          <w:highlight w:val="none"/>
          <w14:textFill>
            <w14:solidFill>
              <w14:schemeClr w14:val="tx1"/>
            </w14:solidFill>
          </w14:textFill>
        </w:rPr>
        <w:t>9.4环境保护措施</w:t>
      </w:r>
      <w:bookmarkEnd w:id="306"/>
      <w:bookmarkEnd w:id="307"/>
    </w:p>
    <w:p w14:paraId="512FB41D">
      <w:pPr>
        <w:outlineLvl w:val="2"/>
        <w:rPr>
          <w:color w:val="000000" w:themeColor="text1"/>
          <w:highlight w:val="none"/>
          <w14:textFill>
            <w14:solidFill>
              <w14:schemeClr w14:val="tx1"/>
            </w14:solidFill>
          </w14:textFill>
        </w:rPr>
      </w:pPr>
      <w:bookmarkStart w:id="308" w:name="_Toc15118"/>
      <w:r>
        <w:rPr>
          <w:color w:val="000000" w:themeColor="text1"/>
          <w:highlight w:val="none"/>
          <w14:textFill>
            <w14:solidFill>
              <w14:schemeClr w14:val="tx1"/>
            </w14:solidFill>
          </w14:textFill>
        </w:rPr>
        <w:t>（1）废气</w:t>
      </w:r>
      <w:bookmarkEnd w:id="308"/>
    </w:p>
    <w:p w14:paraId="6150CCDD">
      <w:pPr>
        <w:ind w:firstLine="480" w:firstLineChars="20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猪舍</w:t>
      </w:r>
      <w:r>
        <w:rPr>
          <w:rFonts w:hint="eastAsia"/>
          <w:color w:val="000000" w:themeColor="text1"/>
          <w:highlight w:val="none"/>
          <w:lang w:eastAsia="zh-CN"/>
          <w14:textFill>
            <w14:solidFill>
              <w14:schemeClr w14:val="tx1"/>
            </w14:solidFill>
          </w14:textFill>
        </w:rPr>
        <w:t>采用半漏缝地板</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日粮中投放EM菌剂等有益微生物复合剂、</w:t>
      </w:r>
      <w:r>
        <w:rPr>
          <w:color w:val="000000" w:themeColor="text1"/>
          <w:highlight w:val="none"/>
          <w14:textFill>
            <w14:solidFill>
              <w14:schemeClr w14:val="tx1"/>
            </w14:solidFill>
          </w14:textFill>
        </w:rPr>
        <w:t>猪舍等区域</w:t>
      </w:r>
      <w:r>
        <w:rPr>
          <w:rFonts w:hint="eastAsia"/>
          <w:color w:val="000000" w:themeColor="text1"/>
          <w:highlight w:val="none"/>
          <w14:textFill>
            <w14:solidFill>
              <w14:schemeClr w14:val="tx1"/>
            </w14:solidFill>
          </w14:textFill>
        </w:rPr>
        <w:t>采用风扇通风</w:t>
      </w:r>
      <w:r>
        <w:rPr>
          <w:color w:val="000000" w:themeColor="text1"/>
          <w:highlight w:val="none"/>
          <w14:textFill>
            <w14:solidFill>
              <w14:schemeClr w14:val="tx1"/>
            </w14:solidFill>
          </w14:textFill>
        </w:rPr>
        <w:t>喷洒植物型除臭剂，等措施处理后，满</w:t>
      </w:r>
      <w:r>
        <w:rPr>
          <w:rFonts w:hint="eastAsia"/>
          <w:color w:val="000000" w:themeColor="text1"/>
          <w:highlight w:val="none"/>
          <w14:textFill>
            <w14:solidFill>
              <w14:schemeClr w14:val="tx1"/>
            </w14:solidFill>
          </w14:textFill>
        </w:rPr>
        <w:t>足《恶臭污染物排放标准》（GB14554-93）中新污染源二级标准限值后达标排放；堆粪场、黑膜池、干湿分离车间采用喷洒生物除臭剂，</w:t>
      </w:r>
      <w:r>
        <w:rPr>
          <w:color w:val="000000" w:themeColor="text1"/>
          <w:highlight w:val="none"/>
          <w14:textFill>
            <w14:solidFill>
              <w14:schemeClr w14:val="tx1"/>
            </w14:solidFill>
          </w14:textFill>
        </w:rPr>
        <w:t>满足</w:t>
      </w:r>
      <w:r>
        <w:rPr>
          <w:rFonts w:hint="eastAsia"/>
          <w:color w:val="000000" w:themeColor="text1"/>
          <w:highlight w:val="none"/>
          <w14:textFill>
            <w14:solidFill>
              <w14:schemeClr w14:val="tx1"/>
            </w14:solidFill>
          </w14:textFill>
        </w:rPr>
        <w:t>《恶臭污染物排放标准》（GB14554-93）中新污染源二级标准</w:t>
      </w:r>
      <w:r>
        <w:rPr>
          <w:color w:val="000000" w:themeColor="text1"/>
          <w:highlight w:val="none"/>
          <w14:textFill>
            <w14:solidFill>
              <w14:schemeClr w14:val="tx1"/>
            </w14:solidFill>
          </w14:textFill>
        </w:rPr>
        <w:t>限值后达标排</w:t>
      </w:r>
      <w:r>
        <w:rPr>
          <w:rFonts w:hint="eastAsia" w:ascii="Times New Roman" w:hAnsi="Times New Roman" w:eastAsia="宋体" w:cs="宋体"/>
          <w:color w:val="000000" w:themeColor="text1"/>
          <w:highlight w:val="none"/>
          <w14:textFill>
            <w14:solidFill>
              <w14:schemeClr w14:val="tx1"/>
            </w14:solidFill>
          </w14:textFill>
        </w:rPr>
        <w:t>放。</w:t>
      </w:r>
      <w:r>
        <w:rPr>
          <w:rFonts w:hint="eastAsia" w:ascii="Times New Roman" w:hAnsi="Times New Roman" w:eastAsia="宋体" w:cs="宋体"/>
          <w:color w:val="000000" w:themeColor="text1"/>
          <w:highlight w:val="none"/>
          <w:lang w:val="en-US" w:eastAsia="zh-CN"/>
          <w14:textFill>
            <w14:solidFill>
              <w14:schemeClr w14:val="tx1"/>
            </w14:solidFill>
          </w14:textFill>
        </w:rPr>
        <w:t>饲料加工车间采用机器全封闭、洒水降尘，满足《大气污染物综合排放标准》表2无组织监控浓度限值后排放。</w:t>
      </w:r>
    </w:p>
    <w:p w14:paraId="40CD688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综上，废气采取以上措施是可行的，可使建项目废气排放控制在环保标准要求范围内。</w:t>
      </w:r>
    </w:p>
    <w:p w14:paraId="1D8A59C3">
      <w:pPr>
        <w:outlineLvl w:val="2"/>
        <w:rPr>
          <w:color w:val="000000" w:themeColor="text1"/>
          <w:highlight w:val="none"/>
          <w14:textFill>
            <w14:solidFill>
              <w14:schemeClr w14:val="tx1"/>
            </w14:solidFill>
          </w14:textFill>
        </w:rPr>
      </w:pPr>
      <w:bookmarkStart w:id="309" w:name="_Toc24337"/>
      <w:r>
        <w:rPr>
          <w:color w:val="000000" w:themeColor="text1"/>
          <w:highlight w:val="none"/>
          <w14:textFill>
            <w14:solidFill>
              <w14:schemeClr w14:val="tx1"/>
            </w14:solidFill>
          </w14:textFill>
        </w:rPr>
        <w:t>（2）废水</w:t>
      </w:r>
      <w:bookmarkEnd w:id="309"/>
    </w:p>
    <w:p w14:paraId="5B94E5D0">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本项目废水主要包括养殖废水及员工生活污水。养殖废水与生活污水采用</w:t>
      </w:r>
      <w:r>
        <w:rPr>
          <w:rFonts w:hint="eastAsia"/>
          <w:color w:val="000000" w:themeColor="text1"/>
          <w:highlight w:val="none"/>
          <w14:textFill>
            <w14:solidFill>
              <w14:schemeClr w14:val="tx1"/>
            </w14:solidFill>
          </w14:textFill>
        </w:rPr>
        <w:t>“黑膜池”</w:t>
      </w:r>
      <w:r>
        <w:rPr>
          <w:color w:val="000000" w:themeColor="text1"/>
          <w:highlight w:val="none"/>
          <w14:textFill>
            <w14:solidFill>
              <w14:schemeClr w14:val="tx1"/>
            </w14:solidFill>
          </w14:textFill>
        </w:rPr>
        <w:t>处理后，用于项目周边现有农田灌溉，不外排。</w:t>
      </w:r>
    </w:p>
    <w:p w14:paraId="4EBD7051">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综上，废水采取以上措施处理是可行的，可使项目废水排放控制在环保标准要求范围内。</w:t>
      </w:r>
    </w:p>
    <w:p w14:paraId="74E0521D">
      <w:pPr>
        <w:outlineLvl w:val="2"/>
        <w:rPr>
          <w:color w:val="000000" w:themeColor="text1"/>
          <w:highlight w:val="none"/>
          <w14:textFill>
            <w14:solidFill>
              <w14:schemeClr w14:val="tx1"/>
            </w14:solidFill>
          </w14:textFill>
        </w:rPr>
      </w:pPr>
      <w:bookmarkStart w:id="310" w:name="_Toc23223"/>
      <w:r>
        <w:rPr>
          <w:color w:val="000000" w:themeColor="text1"/>
          <w:highlight w:val="none"/>
          <w14:textFill>
            <w14:solidFill>
              <w14:schemeClr w14:val="tx1"/>
            </w14:solidFill>
          </w14:textFill>
        </w:rPr>
        <w:t>（3）噪声</w:t>
      </w:r>
      <w:bookmarkEnd w:id="310"/>
    </w:p>
    <w:p w14:paraId="485E5D74">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工程中采取的噪声污染控制措施如下：</w:t>
      </w:r>
    </w:p>
    <w:p w14:paraId="6A1A752B">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①在设备选型上尽可能选用低噪声设备。</w:t>
      </w:r>
    </w:p>
    <w:p w14:paraId="1C49F0D7">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②对噪声大的设备安装消声器和隔声罩。</w:t>
      </w:r>
    </w:p>
    <w:p w14:paraId="35474D7C">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③在建筑设计上采取隔声、吸音等降噪措施。</w:t>
      </w:r>
    </w:p>
    <w:p w14:paraId="19618F4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④在总图布置上，将噪声大的设备尽可能安排在远离厂界的位置，且集中布置于室内。</w:t>
      </w:r>
    </w:p>
    <w:p w14:paraId="37DC5373">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采取措施后厂界噪声能</w:t>
      </w:r>
      <w:r>
        <w:rPr>
          <w:rFonts w:hint="eastAsia"/>
          <w:color w:val="000000" w:themeColor="text1"/>
          <w:highlight w:val="none"/>
          <w:lang w:eastAsia="zh-CN"/>
          <w14:textFill>
            <w14:solidFill>
              <w14:schemeClr w14:val="tx1"/>
            </w14:solidFill>
          </w14:textFill>
        </w:rPr>
        <w:t>达到</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工业企业厂界环境噪声排放标准</w:t>
      </w:r>
      <w:r>
        <w:rPr>
          <w:color w:val="000000" w:themeColor="text1"/>
          <w:highlight w:val="none"/>
          <w14:textFill>
            <w14:solidFill>
              <w14:schemeClr w14:val="tx1"/>
            </w14:solidFill>
          </w14:textFill>
        </w:rPr>
        <w:t>》（GB12348-2008）中的标准中的2类标准要求。</w:t>
      </w:r>
    </w:p>
    <w:p w14:paraId="5553794D">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综上，噪声采取以上措施处理是可行的，可使建</w:t>
      </w:r>
      <w:r>
        <w:rPr>
          <w:rFonts w:hint="eastAsia"/>
          <w:color w:val="000000" w:themeColor="text1"/>
          <w:highlight w:val="none"/>
          <w:lang w:val="en-US" w:eastAsia="zh-CN"/>
          <w14:textFill>
            <w14:solidFill>
              <w14:schemeClr w14:val="tx1"/>
            </w14:solidFill>
          </w14:textFill>
        </w:rPr>
        <w:t>设</w:t>
      </w:r>
      <w:r>
        <w:rPr>
          <w:color w:val="000000" w:themeColor="text1"/>
          <w:highlight w:val="none"/>
          <w14:textFill>
            <w14:solidFill>
              <w14:schemeClr w14:val="tx1"/>
            </w14:solidFill>
          </w14:textFill>
        </w:rPr>
        <w:t>项目噪声排放控制在环保标准要求范围内。</w:t>
      </w:r>
    </w:p>
    <w:p w14:paraId="676D3F04">
      <w:pPr>
        <w:outlineLvl w:val="2"/>
        <w:rPr>
          <w:color w:val="000000" w:themeColor="text1"/>
          <w:highlight w:val="none"/>
          <w14:textFill>
            <w14:solidFill>
              <w14:schemeClr w14:val="tx1"/>
            </w14:solidFill>
          </w14:textFill>
        </w:rPr>
      </w:pPr>
      <w:bookmarkStart w:id="311" w:name="_Toc13476"/>
      <w:r>
        <w:rPr>
          <w:color w:val="000000" w:themeColor="text1"/>
          <w:highlight w:val="none"/>
          <w14:textFill>
            <w14:solidFill>
              <w14:schemeClr w14:val="tx1"/>
            </w14:solidFill>
          </w14:textFill>
        </w:rPr>
        <w:t>（4）固体废物</w:t>
      </w:r>
      <w:bookmarkEnd w:id="311"/>
    </w:p>
    <w:p w14:paraId="5791EA6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猪粪集中清运至</w:t>
      </w:r>
      <w:r>
        <w:rPr>
          <w:rFonts w:hint="eastAsia"/>
          <w:color w:val="000000" w:themeColor="text1"/>
          <w:highlight w:val="none"/>
          <w14:textFill>
            <w14:solidFill>
              <w14:schemeClr w14:val="tx1"/>
            </w14:solidFill>
          </w14:textFill>
        </w:rPr>
        <w:t>堆粪场</w:t>
      </w:r>
      <w:r>
        <w:rPr>
          <w:color w:val="000000" w:themeColor="text1"/>
          <w:highlight w:val="none"/>
          <w14:textFill>
            <w14:solidFill>
              <w14:schemeClr w14:val="tx1"/>
            </w14:solidFill>
          </w14:textFill>
        </w:rPr>
        <w:t>发酵处理，经腐熟无害化</w:t>
      </w:r>
      <w:r>
        <w:rPr>
          <w:rFonts w:hint="eastAsia"/>
          <w:color w:val="000000" w:themeColor="text1"/>
          <w:highlight w:val="none"/>
          <w:lang w:eastAsia="zh-CN"/>
          <w14:textFill>
            <w14:solidFill>
              <w14:schemeClr w14:val="tx1"/>
            </w14:solidFill>
          </w14:textFill>
        </w:rPr>
        <w:t>后作为</w:t>
      </w:r>
      <w:r>
        <w:rPr>
          <w:color w:val="000000" w:themeColor="text1"/>
          <w:highlight w:val="none"/>
          <w14:textFill>
            <w14:solidFill>
              <w14:schemeClr w14:val="tx1"/>
            </w14:solidFill>
          </w14:textFill>
        </w:rPr>
        <w:t>农肥还田；</w:t>
      </w:r>
      <w:r>
        <w:rPr>
          <w:rFonts w:hint="eastAsia"/>
          <w:color w:val="000000" w:themeColor="text1"/>
          <w:highlight w:val="none"/>
          <w:lang w:eastAsia="zh-CN"/>
          <w14:textFill>
            <w14:solidFill>
              <w14:schemeClr w14:val="tx1"/>
            </w14:solidFill>
          </w14:textFill>
        </w:rPr>
        <w:t>病死猪、胎衣</w:t>
      </w:r>
      <w:r>
        <w:rPr>
          <w:color w:val="000000" w:themeColor="text1"/>
          <w:highlight w:val="none"/>
          <w14:textFill>
            <w14:solidFill>
              <w14:schemeClr w14:val="tx1"/>
            </w14:solidFill>
          </w14:textFill>
        </w:rPr>
        <w:t>尸体</w:t>
      </w:r>
      <w:r>
        <w:rPr>
          <w:rFonts w:hint="eastAsia"/>
          <w:color w:val="000000" w:themeColor="text1"/>
          <w:highlight w:val="none"/>
          <w14:textFill>
            <w14:solidFill>
              <w14:schemeClr w14:val="tx1"/>
            </w14:solidFill>
          </w14:textFill>
        </w:rPr>
        <w:t>交由有资质单位</w:t>
      </w:r>
      <w:r>
        <w:rPr>
          <w:color w:val="000000" w:themeColor="text1"/>
          <w:highlight w:val="none"/>
          <w14:textFill>
            <w14:solidFill>
              <w14:schemeClr w14:val="tx1"/>
            </w14:solidFill>
          </w14:textFill>
        </w:rPr>
        <w:t>进行处理；医疗废物暂存于</w:t>
      </w:r>
      <w:r>
        <w:rPr>
          <w:rFonts w:hint="eastAsia"/>
          <w:color w:val="000000" w:themeColor="text1"/>
          <w:highlight w:val="none"/>
          <w:lang w:eastAsia="zh-CN"/>
          <w14:textFill>
            <w14:solidFill>
              <w14:schemeClr w14:val="tx1"/>
            </w14:solidFill>
          </w14:textFill>
        </w:rPr>
        <w:t>危废暂存间</w:t>
      </w:r>
      <w:r>
        <w:rPr>
          <w:color w:val="000000" w:themeColor="text1"/>
          <w:highlight w:val="none"/>
          <w14:textFill>
            <w14:solidFill>
              <w14:schemeClr w14:val="tx1"/>
            </w14:solidFill>
          </w14:textFill>
        </w:rPr>
        <w:t>，定期交由资质单位处置；</w:t>
      </w:r>
      <w:r>
        <w:rPr>
          <w:rFonts w:hint="eastAsia"/>
          <w:color w:val="000000" w:themeColor="text1"/>
          <w:highlight w:val="none"/>
          <w:lang w:eastAsia="zh-CN"/>
          <w14:textFill>
            <w14:solidFill>
              <w14:schemeClr w14:val="tx1"/>
            </w14:solidFill>
          </w14:textFill>
        </w:rPr>
        <w:t>沼渣</w:t>
      </w:r>
      <w:r>
        <w:rPr>
          <w:color w:val="000000" w:themeColor="text1"/>
          <w:highlight w:val="none"/>
          <w14:textFill>
            <w14:solidFill>
              <w14:schemeClr w14:val="tx1"/>
            </w14:solidFill>
          </w14:textFill>
        </w:rPr>
        <w:t>与发酵后的猪粪一起作为有机肥还田；生活垃圾集中收集后，定期委托环卫部门统一清运至</w:t>
      </w:r>
      <w:r>
        <w:rPr>
          <w:rFonts w:hint="eastAsia"/>
          <w:color w:val="000000" w:themeColor="text1"/>
          <w:highlight w:val="none"/>
          <w:lang w:eastAsia="zh-CN"/>
          <w14:textFill>
            <w14:solidFill>
              <w14:schemeClr w14:val="tx1"/>
            </w14:solidFill>
          </w14:textFill>
        </w:rPr>
        <w:t>胡杨河市</w:t>
      </w:r>
      <w:r>
        <w:rPr>
          <w:color w:val="000000" w:themeColor="text1"/>
          <w:highlight w:val="none"/>
          <w14:textFill>
            <w14:solidFill>
              <w14:schemeClr w14:val="tx1"/>
            </w14:solidFill>
          </w14:textFill>
        </w:rPr>
        <w:t>垃圾填埋场。</w:t>
      </w:r>
    </w:p>
    <w:p w14:paraId="4B40BAB5">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综上，固废在采取以上措施处理后，可使建</w:t>
      </w:r>
      <w:r>
        <w:rPr>
          <w:rFonts w:hint="eastAsia"/>
          <w:color w:val="000000" w:themeColor="text1"/>
          <w:highlight w:val="none"/>
          <w:lang w:val="en-US" w:eastAsia="zh-CN"/>
          <w14:textFill>
            <w14:solidFill>
              <w14:schemeClr w14:val="tx1"/>
            </w14:solidFill>
          </w14:textFill>
        </w:rPr>
        <w:t>设</w:t>
      </w:r>
      <w:r>
        <w:rPr>
          <w:color w:val="000000" w:themeColor="text1"/>
          <w:highlight w:val="none"/>
          <w14:textFill>
            <w14:solidFill>
              <w14:schemeClr w14:val="tx1"/>
            </w14:solidFill>
          </w14:textFill>
        </w:rPr>
        <w:t>项目固废排放控制在环保标准要求范围内。</w:t>
      </w:r>
    </w:p>
    <w:p w14:paraId="032EB3A8">
      <w:pPr>
        <w:pStyle w:val="3"/>
        <w:rPr>
          <w:color w:val="000000" w:themeColor="text1"/>
          <w:highlight w:val="none"/>
          <w14:textFill>
            <w14:solidFill>
              <w14:schemeClr w14:val="tx1"/>
            </w14:solidFill>
          </w14:textFill>
        </w:rPr>
      </w:pPr>
      <w:bookmarkStart w:id="312" w:name="bookmark45"/>
      <w:bookmarkEnd w:id="312"/>
      <w:bookmarkStart w:id="313" w:name="_Toc29808"/>
      <w:bookmarkStart w:id="314" w:name="_Toc18413"/>
      <w:r>
        <w:rPr>
          <w:color w:val="000000" w:themeColor="text1"/>
          <w:highlight w:val="none"/>
          <w14:textFill>
            <w14:solidFill>
              <w14:schemeClr w14:val="tx1"/>
            </w14:solidFill>
          </w14:textFill>
        </w:rPr>
        <w:t>9.</w:t>
      </w:r>
      <w:r>
        <w:rPr>
          <w:rFonts w:hint="eastAsia"/>
          <w:color w:val="000000" w:themeColor="text1"/>
          <w:highlight w:val="none"/>
          <w:lang w:eastAsia="zh-CN"/>
          <w14:textFill>
            <w14:solidFill>
              <w14:schemeClr w14:val="tx1"/>
            </w14:solidFill>
          </w14:textFill>
        </w:rPr>
        <w:t>5</w:t>
      </w:r>
      <w:r>
        <w:rPr>
          <w:color w:val="000000" w:themeColor="text1"/>
          <w:highlight w:val="none"/>
          <w14:textFill>
            <w14:solidFill>
              <w14:schemeClr w14:val="tx1"/>
            </w14:solidFill>
          </w14:textFill>
        </w:rPr>
        <w:t>环境影响经济损益分析</w:t>
      </w:r>
      <w:bookmarkEnd w:id="313"/>
      <w:bookmarkEnd w:id="314"/>
    </w:p>
    <w:p w14:paraId="20BF013A">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本项目环保投资估算为</w:t>
      </w:r>
      <w:r>
        <w:rPr>
          <w:rFonts w:hint="eastAsia"/>
          <w:color w:val="000000" w:themeColor="text1"/>
          <w:highlight w:val="none"/>
          <w:lang w:val="en-US" w:eastAsia="zh-CN"/>
          <w14:textFill>
            <w14:solidFill>
              <w14:schemeClr w14:val="tx1"/>
            </w14:solidFill>
          </w14:textFill>
        </w:rPr>
        <w:t>217.5</w:t>
      </w:r>
      <w:r>
        <w:rPr>
          <w:color w:val="000000" w:themeColor="text1"/>
          <w:highlight w:val="none"/>
          <w14:textFill>
            <w14:solidFill>
              <w14:schemeClr w14:val="tx1"/>
            </w14:solidFill>
          </w14:textFill>
        </w:rPr>
        <w:t>万元，用于对项目所产生污染物的治理，环保投资占总投资的</w:t>
      </w:r>
      <w:r>
        <w:rPr>
          <w:rFonts w:hint="eastAsia"/>
          <w:color w:val="000000" w:themeColor="text1"/>
          <w:highlight w:val="none"/>
          <w:lang w:val="en-US" w:eastAsia="zh-CN"/>
          <w14:textFill>
            <w14:solidFill>
              <w14:schemeClr w14:val="tx1"/>
            </w14:solidFill>
          </w14:textFill>
        </w:rPr>
        <w:t>7.25</w:t>
      </w:r>
      <w:r>
        <w:rPr>
          <w:color w:val="000000" w:themeColor="text1"/>
          <w:highlight w:val="none"/>
          <w14:textFill>
            <w14:solidFill>
              <w14:schemeClr w14:val="tx1"/>
            </w14:solidFill>
          </w14:textFill>
        </w:rPr>
        <w:t>%。在采取各项合理的环保措施后可在很大程度上减免项目建设、运营对环境造成的不利影响。项目环境保护费用可视为恢复环境质量所花费的费用，实现了环境效益和经济效益的统一。</w:t>
      </w:r>
    </w:p>
    <w:p w14:paraId="2F0E4F61">
      <w:pPr>
        <w:pStyle w:val="3"/>
        <w:rPr>
          <w:color w:val="000000" w:themeColor="text1"/>
          <w:highlight w:val="none"/>
          <w14:textFill>
            <w14:solidFill>
              <w14:schemeClr w14:val="tx1"/>
            </w14:solidFill>
          </w14:textFill>
        </w:rPr>
      </w:pPr>
      <w:bookmarkStart w:id="315" w:name="bookmark46"/>
      <w:bookmarkEnd w:id="315"/>
      <w:bookmarkStart w:id="316" w:name="_Toc12274"/>
      <w:bookmarkStart w:id="317" w:name="_Toc28613"/>
      <w:r>
        <w:rPr>
          <w:color w:val="000000" w:themeColor="text1"/>
          <w:highlight w:val="none"/>
          <w14:textFill>
            <w14:solidFill>
              <w14:schemeClr w14:val="tx1"/>
            </w14:solidFill>
          </w14:textFill>
        </w:rPr>
        <w:t>9.</w:t>
      </w:r>
      <w:r>
        <w:rPr>
          <w:rFonts w:hint="eastAsia"/>
          <w:color w:val="000000" w:themeColor="text1"/>
          <w:highlight w:val="none"/>
          <w:lang w:eastAsia="zh-CN"/>
          <w14:textFill>
            <w14:solidFill>
              <w14:schemeClr w14:val="tx1"/>
            </w14:solidFill>
          </w14:textFill>
        </w:rPr>
        <w:t>6</w:t>
      </w:r>
      <w:r>
        <w:rPr>
          <w:color w:val="000000" w:themeColor="text1"/>
          <w:highlight w:val="none"/>
          <w14:textFill>
            <w14:solidFill>
              <w14:schemeClr w14:val="tx1"/>
            </w14:solidFill>
          </w14:textFill>
        </w:rPr>
        <w:t>环境管理与监测计划</w:t>
      </w:r>
      <w:bookmarkEnd w:id="316"/>
      <w:bookmarkEnd w:id="317"/>
    </w:p>
    <w:p w14:paraId="7C3F1FFF">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通过建立环境管理体系，规范企业管理、落实环境管理职责，确保各项环保设施的正常运转；通过定期对环保设施及废气、废水、噪声等污染源情况进行监测，做到达标排放，同时对废气、废水、噪声防治设施进行监督检查，保证正常运行。</w:t>
      </w:r>
    </w:p>
    <w:p w14:paraId="259E6425">
      <w:pPr>
        <w:pStyle w:val="3"/>
        <w:rPr>
          <w:color w:val="000000" w:themeColor="text1"/>
          <w:highlight w:val="none"/>
          <w14:textFill>
            <w14:solidFill>
              <w14:schemeClr w14:val="tx1"/>
            </w14:solidFill>
          </w14:textFill>
        </w:rPr>
      </w:pPr>
      <w:bookmarkStart w:id="318" w:name="bookmark47"/>
      <w:bookmarkEnd w:id="318"/>
      <w:bookmarkStart w:id="319" w:name="_Toc9033"/>
      <w:bookmarkStart w:id="320" w:name="_Toc29827"/>
      <w:r>
        <w:rPr>
          <w:color w:val="000000" w:themeColor="text1"/>
          <w:highlight w:val="none"/>
          <w14:textFill>
            <w14:solidFill>
              <w14:schemeClr w14:val="tx1"/>
            </w14:solidFill>
          </w14:textFill>
        </w:rPr>
        <w:t>9.</w:t>
      </w:r>
      <w:r>
        <w:rPr>
          <w:rFonts w:hint="eastAsia"/>
          <w:color w:val="000000" w:themeColor="text1"/>
          <w:highlight w:val="none"/>
          <w:lang w:eastAsia="zh-CN"/>
          <w14:textFill>
            <w14:solidFill>
              <w14:schemeClr w14:val="tx1"/>
            </w14:solidFill>
          </w14:textFill>
        </w:rPr>
        <w:t>7</w:t>
      </w:r>
      <w:r>
        <w:rPr>
          <w:color w:val="000000" w:themeColor="text1"/>
          <w:highlight w:val="none"/>
          <w14:textFill>
            <w14:solidFill>
              <w14:schemeClr w14:val="tx1"/>
            </w14:solidFill>
          </w14:textFill>
        </w:rPr>
        <w:t>结论</w:t>
      </w:r>
      <w:bookmarkEnd w:id="319"/>
      <w:bookmarkEnd w:id="320"/>
    </w:p>
    <w:p w14:paraId="46247E3E">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本项目符合国家和地方相关产业政策。本项目选址于</w:t>
      </w:r>
      <w:r>
        <w:rPr>
          <w:rFonts w:hint="eastAsia"/>
          <w:color w:val="000000" w:themeColor="text1"/>
          <w:highlight w:val="none"/>
          <w:lang w:eastAsia="zh-CN"/>
          <w14:textFill>
            <w14:solidFill>
              <w14:schemeClr w14:val="tx1"/>
            </w14:solidFill>
          </w14:textFill>
        </w:rPr>
        <w:t>胡杨河市125团</w:t>
      </w:r>
      <w:r>
        <w:rPr>
          <w:color w:val="000000" w:themeColor="text1"/>
          <w:highlight w:val="none"/>
          <w14:textFill>
            <w14:solidFill>
              <w14:schemeClr w14:val="tx1"/>
            </w14:solidFill>
          </w14:textFill>
        </w:rPr>
        <w:t>，选址符合区域规划；建设项目工艺成熟，设备先进，物耗、能耗及污染物排放量较低；项目建设和运行过程中要切实落实环评中提出的有关环境保护对策，同时严格执行</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三同时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制度，做到各污染物的达标排放，对周围环境影响较小，不会降低区域环境功能；本项目在采取有效的事故防范，减缓措施后项目的环境风险水平是</w:t>
      </w:r>
      <w:r>
        <w:rPr>
          <w:rFonts w:hint="eastAsia"/>
          <w:color w:val="000000" w:themeColor="text1"/>
          <w:highlight w:val="none"/>
          <w14:textFill>
            <w14:solidFill>
              <w14:schemeClr w14:val="tx1"/>
            </w14:solidFill>
          </w14:textFill>
        </w:rPr>
        <w:t>可以</w:t>
      </w:r>
      <w:r>
        <w:rPr>
          <w:color w:val="000000" w:themeColor="text1"/>
          <w:highlight w:val="none"/>
          <w14:textFill>
            <w14:solidFill>
              <w14:schemeClr w14:val="tx1"/>
            </w14:solidFill>
          </w14:textFill>
        </w:rPr>
        <w:t>接受的；同时项目社会效益、经济效益较好，</w:t>
      </w:r>
      <w:r>
        <w:rPr>
          <w:rFonts w:hint="eastAsia"/>
          <w:color w:val="000000" w:themeColor="text1"/>
          <w:highlight w:val="none"/>
          <w:lang w:val="en-US" w:eastAsia="zh-CN"/>
          <w14:textFill>
            <w14:solidFill>
              <w14:schemeClr w14:val="tx1"/>
            </w14:solidFill>
          </w14:textFill>
        </w:rPr>
        <w:t>且</w:t>
      </w:r>
      <w:r>
        <w:rPr>
          <w:rFonts w:hint="eastAsia"/>
          <w:color w:val="000000" w:themeColor="text1"/>
          <w:highlight w:val="none"/>
          <w14:textFill>
            <w14:solidFill>
              <w14:schemeClr w14:val="tx1"/>
            </w14:solidFill>
          </w14:textFill>
        </w:rPr>
        <w:t>在开展环境影响评价公众参与公示公告过程中未收到公众通过网络、电话及书信等方式提出的意见</w:t>
      </w:r>
      <w:r>
        <w:rPr>
          <w:color w:val="000000" w:themeColor="text1"/>
          <w:highlight w:val="none"/>
          <w14:textFill>
            <w14:solidFill>
              <w14:schemeClr w14:val="tx1"/>
            </w14:solidFill>
          </w14:textFill>
        </w:rPr>
        <w:t>。</w:t>
      </w:r>
    </w:p>
    <w:p w14:paraId="5B1AC962">
      <w:pPr>
        <w:ind w:firstLine="48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总之，建设单位落实好相应的污染治理措施，保证污染源达标排放的情况下，从环境保护的角度看，项目的建设是可行的。</w:t>
      </w:r>
    </w:p>
    <w:p w14:paraId="32B94DA3">
      <w:pPr>
        <w:pStyle w:val="27"/>
      </w:pPr>
    </w:p>
    <w:sectPr>
      <w:headerReference r:id="rId25" w:type="first"/>
      <w:footerReference r:id="rId28" w:type="first"/>
      <w:headerReference r:id="rId23" w:type="default"/>
      <w:footerReference r:id="rId26" w:type="default"/>
      <w:headerReference r:id="rId24" w:type="even"/>
      <w:footerReference r:id="rId27" w:type="even"/>
      <w:pgSz w:w="11906" w:h="16838"/>
      <w:pgMar w:top="1440" w:right="1803" w:bottom="1440" w:left="1803"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E8839">
    <w:pPr>
      <w:pStyle w:val="20"/>
      <w:jc w:val="center"/>
      <w:rPr>
        <w:sz w:val="21"/>
        <w:szCs w:val="21"/>
      </w:rPr>
    </w:pPr>
    <w:r>
      <w:rPr>
        <w:rFonts w:hint="eastAsia"/>
        <w:sz w:val="21"/>
        <w:szCs w:val="21"/>
      </w:rPr>
      <w:t>乌鲁木齐市清泽蓝天环保科技有限公司</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98188">
    <w:pPr>
      <w:pStyle w:val="20"/>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3350A">
                          <w:pPr>
                            <w:pStyle w:val="20"/>
                          </w:pPr>
                          <w:r>
                            <w:fldChar w:fldCharType="begin"/>
                          </w:r>
                          <w:r>
                            <w:instrText xml:space="preserve"> PAGE  \* MERGEFORMAT </w:instrText>
                          </w:r>
                          <w:r>
                            <w:fldChar w:fldCharType="separate"/>
                          </w:r>
                          <w:r>
                            <w:t>211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853350A">
                    <w:pPr>
                      <w:pStyle w:val="20"/>
                    </w:pPr>
                    <w:r>
                      <w:fldChar w:fldCharType="begin"/>
                    </w:r>
                    <w:r>
                      <w:instrText xml:space="preserve"> PAGE  \* MERGEFORMAT </w:instrText>
                    </w:r>
                    <w:r>
                      <w:fldChar w:fldCharType="separate"/>
                    </w:r>
                    <w:r>
                      <w:t>211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A3C61">
    <w:pPr>
      <w:pStyle w:val="20"/>
      <w:framePr w:wrap="around" w:vAnchor="text" w:hAnchor="margin" w:xAlign="center" w:y="1"/>
    </w:pPr>
    <w:r>
      <w:fldChar w:fldCharType="begin"/>
    </w:r>
    <w:r>
      <w:instrText xml:space="preserve">PAGE  </w:instrText>
    </w:r>
    <w:r>
      <w:fldChar w:fldCharType="end"/>
    </w:r>
  </w:p>
  <w:p w14:paraId="6C75611F">
    <w:pPr>
      <w:pStyle w:val="20"/>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FDF31">
    <w:pPr>
      <w:pStyle w:val="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342275">
    <w:pPr>
      <w:pStyle w:val="2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D7B2F0">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65D7B2F0">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35BF7">
    <w:pPr>
      <w:spacing w:line="184" w:lineRule="auto"/>
      <w:ind w:left="4133"/>
      <w:rPr>
        <w:rFonts w:eastAsia="Times New Roman" w:cs="Times New Roman"/>
        <w:sz w:val="20"/>
        <w:szCs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8DA714">
                          <w:pPr>
                            <w:pStyle w:val="20"/>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278DA714">
                    <w:pPr>
                      <w:pStyle w:val="20"/>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7CFF7">
    <w:pPr>
      <w:pBdr>
        <w:top w:val="single" w:color="auto" w:sz="4" w:space="1"/>
      </w:pBdr>
      <w:snapToGrid w:val="0"/>
      <w:jc w:val="right"/>
      <w:rPr>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62D8BB">
                          <w:pPr>
                            <w:pStyle w:val="20"/>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6D62D8BB">
                    <w:pPr>
                      <w:pStyle w:val="20"/>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25076">
    <w:pPr>
      <w:spacing w:line="171"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990753">
                          <w:pPr>
                            <w:pStyle w:val="20"/>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43990753">
                    <w:pPr>
                      <w:pStyle w:val="20"/>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26A46">
    <w:pPr>
      <w:pStyle w:val="14"/>
      <w:spacing w:line="180" w:lineRule="auto"/>
      <w:ind w:left="4287"/>
    </w:pPr>
    <w:r>
      <w:rPr>
        <w:sz w:val="24"/>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75EDFA">
                          <w:pPr>
                            <w:pStyle w:val="20"/>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975EDFA">
                    <w:pPr>
                      <w:pStyle w:val="20"/>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18981">
    <w:pPr>
      <w:pStyle w:val="14"/>
      <w:spacing w:line="180" w:lineRule="auto"/>
      <w:ind w:left="4186"/>
    </w:pPr>
    <w:r>
      <w:rPr>
        <w:sz w:val="24"/>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58743">
                          <w:pPr>
                            <w:pStyle w:val="20"/>
                          </w:pPr>
                          <w:r>
                            <w:fldChar w:fldCharType="begin"/>
                          </w:r>
                          <w:r>
                            <w:instrText xml:space="preserve"> PAGE  \* MERGEFORMAT </w:instrText>
                          </w:r>
                          <w:r>
                            <w:fldChar w:fldCharType="separate"/>
                          </w:r>
                          <w:r>
                            <w:t>178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33A58743">
                    <w:pPr>
                      <w:pStyle w:val="20"/>
                    </w:pPr>
                    <w:r>
                      <w:fldChar w:fldCharType="begin"/>
                    </w:r>
                    <w:r>
                      <w:instrText xml:space="preserve"> PAGE  \* MERGEFORMAT </w:instrText>
                    </w:r>
                    <w:r>
                      <w:fldChar w:fldCharType="separate"/>
                    </w:r>
                    <w:r>
                      <w:t>178</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5641ED">
    <w:pPr>
      <w:pStyle w:val="14"/>
      <w:spacing w:line="180" w:lineRule="auto"/>
      <w:ind w:left="4186"/>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09DCBB">
                          <w:pPr>
                            <w:pStyle w:val="20"/>
                          </w:pPr>
                          <w:r>
                            <w:fldChar w:fldCharType="begin"/>
                          </w:r>
                          <w:r>
                            <w:instrText xml:space="preserve"> PAGE  \* MERGEFORMAT </w:instrText>
                          </w:r>
                          <w:r>
                            <w:fldChar w:fldCharType="separate"/>
                          </w:r>
                          <w:r>
                            <w:t>197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5E09DCBB">
                    <w:pPr>
                      <w:pStyle w:val="20"/>
                    </w:pPr>
                    <w:r>
                      <w:fldChar w:fldCharType="begin"/>
                    </w:r>
                    <w:r>
                      <w:instrText xml:space="preserve"> PAGE  \* MERGEFORMAT </w:instrText>
                    </w:r>
                    <w:r>
                      <w:fldChar w:fldCharType="separate"/>
                    </w:r>
                    <w:r>
                      <w:t>197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96990">
    <w:pPr>
      <w:pStyle w:val="14"/>
      <w:spacing w:line="180" w:lineRule="auto"/>
      <w:ind w:left="4287"/>
    </w:pPr>
    <w:r>
      <w:rPr>
        <w:sz w:val="24"/>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786638">
                          <w:pPr>
                            <w:pStyle w:val="20"/>
                          </w:pPr>
                          <w:r>
                            <w:fldChar w:fldCharType="begin"/>
                          </w:r>
                          <w:r>
                            <w:instrText xml:space="preserve"> PAGE  \* MERGEFORMAT </w:instrText>
                          </w:r>
                          <w:r>
                            <w:fldChar w:fldCharType="separate"/>
                          </w:r>
                          <w:r>
                            <w:t>200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E786638">
                    <w:pPr>
                      <w:pStyle w:val="20"/>
                    </w:pPr>
                    <w:r>
                      <w:fldChar w:fldCharType="begin"/>
                    </w:r>
                    <w:r>
                      <w:instrText xml:space="preserve"> PAGE  \* MERGEFORMAT </w:instrText>
                    </w:r>
                    <w:r>
                      <w:fldChar w:fldCharType="separate"/>
                    </w:r>
                    <w:r>
                      <w:t>200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1A626">
    <w:pPr>
      <w:pStyle w:val="21"/>
      <w:pBdr>
        <w:bottom w:val="thinThickMediumGap" w:color="auto" w:sz="18" w:space="1"/>
      </w:pBdr>
      <w:spacing w:line="240" w:lineRule="auto"/>
      <w:jc w:val="center"/>
      <w:rPr>
        <w:sz w:val="21"/>
        <w:szCs w:val="21"/>
      </w:rPr>
    </w:pPr>
    <w:r>
      <w:rPr>
        <w:rFonts w:hint="eastAsia"/>
        <w:sz w:val="21"/>
        <w:szCs w:val="21"/>
        <w:lang w:eastAsia="zh-CN"/>
      </w:rPr>
      <w:t>胡杨河市宏信种猪养殖基地项目</w:t>
    </w:r>
    <w:r>
      <w:rPr>
        <w:rFonts w:hint="eastAsia"/>
        <w:sz w:val="21"/>
        <w:szCs w:val="21"/>
      </w:rPr>
      <w:t>环境影响评价报告书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0F364">
    <w:pPr>
      <w:pStyle w:val="21"/>
      <w:pBdr>
        <w:bottom w:val="thinThickSmallGap" w:color="auto" w:sz="12" w:space="1"/>
      </w:pBdr>
      <w:spacing w:line="240" w:lineRule="auto"/>
      <w:jc w:val="center"/>
      <w:rPr>
        <w:sz w:val="21"/>
        <w:szCs w:val="21"/>
      </w:rPr>
    </w:pPr>
    <w:r>
      <w:rPr>
        <w:rFonts w:hint="eastAsia"/>
        <w:sz w:val="21"/>
        <w:szCs w:val="21"/>
        <w:lang w:eastAsia="zh-CN"/>
      </w:rPr>
      <w:t>胡杨河市宏信种猪养殖基地项目</w:t>
    </w:r>
    <w:r>
      <w:rPr>
        <w:rFonts w:hint="eastAsia"/>
        <w:sz w:val="21"/>
        <w:szCs w:val="21"/>
      </w:rPr>
      <w:t>环境影响评价报告书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D9C94">
    <w:pPr>
      <w:pStyle w:val="2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3656D">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B55417">
    <w:pPr>
      <w:pStyle w:val="21"/>
      <w:pBdr>
        <w:bottom w:val="thinThickMediumGap" w:color="auto" w:sz="18" w:space="1"/>
      </w:pBdr>
      <w:spacing w:line="240" w:lineRule="auto"/>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eastAsia="zh-CN"/>
      </w:rPr>
      <w:t>胡杨河市宏信种猪养殖基地项目</w:t>
    </w:r>
    <w:r>
      <w:rPr>
        <w:rFonts w:hint="eastAsia" w:asciiTheme="minorEastAsia" w:hAnsiTheme="minorEastAsia" w:eastAsiaTheme="minorEastAsia" w:cstheme="minorEastAsia"/>
        <w:sz w:val="21"/>
        <w:szCs w:val="21"/>
      </w:rPr>
      <w:t>环境影响评价报告书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9EACDB">
    <w:pPr>
      <w:pStyle w:val="14"/>
      <w:keepNext w:val="0"/>
      <w:keepLines w:val="0"/>
      <w:pageBreakBefore w:val="0"/>
      <w:widowControl w:val="0"/>
      <w:pBdr>
        <w:bottom w:val="none" w:color="auto" w:sz="0" w:space="0"/>
      </w:pBdr>
      <w:kinsoku/>
      <w:wordWrap/>
      <w:overflowPunct/>
      <w:topLinePunct w:val="0"/>
      <w:bidi w:val="0"/>
      <w:adjustRightInd/>
      <w:snapToGrid/>
      <w:spacing w:after="0" w:line="240" w:lineRule="auto"/>
      <w:ind w:left="1701"/>
      <w:textAlignment w:val="auto"/>
      <w:rPr>
        <w:sz w:val="21"/>
        <w:szCs w:val="21"/>
      </w:rPr>
    </w:pPr>
    <w:r>
      <w:rPr>
        <w:rFonts w:hint="eastAsia"/>
        <w:spacing w:val="8"/>
        <w:sz w:val="21"/>
        <w:szCs w:val="21"/>
        <w:lang w:eastAsia="zh-CN"/>
      </w:rPr>
      <w:t>胡杨河市宏信种猪养殖基地项目</w:t>
    </w:r>
    <w:r>
      <w:rPr>
        <w:spacing w:val="8"/>
        <w:sz w:val="21"/>
        <w:szCs w:val="21"/>
      </w:rPr>
      <w:t>环境影响报告书</w:t>
    </w:r>
  </w:p>
  <w:p w14:paraId="4DFAB467">
    <w:pPr>
      <w:pBdr>
        <w:bottom w:val="thinThickMediumGap" w:color="auto" w:sz="18" w:space="0"/>
      </w:pBdr>
      <w:spacing w:before="17" w:line="19" w:lineRule="exact"/>
      <w:ind w:firstLine="5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A2BAFA">
    <w:pPr>
      <w:pStyle w:val="21"/>
      <w:pBdr>
        <w:bottom w:val="thinThickSmallGap" w:color="auto" w:sz="12" w:space="1"/>
      </w:pBdr>
      <w:spacing w:line="240" w:lineRule="auto"/>
      <w:jc w:val="center"/>
      <w:rPr>
        <w:sz w:val="15"/>
        <w:szCs w:val="15"/>
      </w:rPr>
    </w:pPr>
    <w:r>
      <w:rPr>
        <w:rFonts w:hint="eastAsia"/>
        <w:sz w:val="21"/>
        <w:szCs w:val="21"/>
        <w:lang w:eastAsia="zh-CN"/>
      </w:rPr>
      <w:t>胡杨河市宏信种猪养殖基地项目</w:t>
    </w:r>
    <w:r>
      <w:rPr>
        <w:rFonts w:hint="eastAsia"/>
        <w:sz w:val="21"/>
        <w:szCs w:val="21"/>
      </w:rPr>
      <w:t>环境影响评价报告书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7BEDE">
    <w:pPr>
      <w:pStyle w:val="21"/>
      <w:pBdr>
        <w:bottom w:val="thinThickSmallGap" w:color="auto" w:sz="12" w:space="1"/>
      </w:pBdr>
      <w:spacing w:line="240" w:lineRule="auto"/>
      <w:jc w:val="center"/>
      <w:rPr>
        <w:sz w:val="15"/>
        <w:szCs w:val="15"/>
      </w:rPr>
    </w:pPr>
    <w:r>
      <w:rPr>
        <w:rFonts w:hint="eastAsia"/>
        <w:sz w:val="21"/>
        <w:szCs w:val="21"/>
        <w:lang w:eastAsia="zh-CN"/>
      </w:rPr>
      <w:t>胡杨河市宏信种猪养殖基地项目</w:t>
    </w:r>
    <w:r>
      <w:rPr>
        <w:rFonts w:hint="eastAsia"/>
        <w:sz w:val="21"/>
        <w:szCs w:val="21"/>
      </w:rPr>
      <w:t>环境影响评价报告书</w:t>
    </w:r>
  </w:p>
  <w:p w14:paraId="06687E94">
    <w:pPr>
      <w:pStyle w:val="2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53CE6">
    <w:pPr>
      <w:pStyle w:val="14"/>
      <w:keepNext w:val="0"/>
      <w:keepLines w:val="0"/>
      <w:pageBreakBefore w:val="0"/>
      <w:widowControl w:val="0"/>
      <w:pBdr>
        <w:bottom w:val="none" w:color="auto" w:sz="0" w:space="0"/>
      </w:pBdr>
      <w:kinsoku/>
      <w:wordWrap/>
      <w:overflowPunct/>
      <w:topLinePunct w:val="0"/>
      <w:bidi w:val="0"/>
      <w:adjustRightInd/>
      <w:snapToGrid/>
      <w:spacing w:after="0" w:line="240" w:lineRule="auto"/>
      <w:jc w:val="center"/>
      <w:textAlignment w:val="auto"/>
      <w:rPr>
        <w:sz w:val="20"/>
        <w:szCs w:val="20"/>
        <w:u w:val="none"/>
      </w:rPr>
    </w:pPr>
    <w:r>
      <w:rPr>
        <w:rFonts w:hint="eastAsia"/>
        <w:spacing w:val="8"/>
        <w:sz w:val="20"/>
        <w:szCs w:val="20"/>
        <w:u w:val="none"/>
        <w:lang w:eastAsia="zh-CN"/>
      </w:rPr>
      <w:t>胡杨河市宏信种猪养殖基地项目</w:t>
    </w:r>
    <w:r>
      <w:rPr>
        <w:spacing w:val="8"/>
        <w:sz w:val="20"/>
        <w:szCs w:val="20"/>
        <w:u w:val="none"/>
      </w:rPr>
      <w:t>环境影响报告书</w:t>
    </w:r>
  </w:p>
  <w:p w14:paraId="316E1905">
    <w:pPr>
      <w:pBdr>
        <w:bottom w:val="thinThickSmallGap" w:color="auto" w:sz="12" w:space="0"/>
      </w:pBdr>
      <w:spacing w:before="15" w:line="19" w:lineRule="exact"/>
      <w:ind w:firstLine="112"/>
      <w:rPr>
        <w:u w:val="non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A06254">
    <w:pPr>
      <w:pStyle w:val="14"/>
      <w:keepNext w:val="0"/>
      <w:keepLines w:val="0"/>
      <w:pageBreakBefore w:val="0"/>
      <w:widowControl w:val="0"/>
      <w:pBdr>
        <w:bottom w:val="none" w:color="auto" w:sz="0" w:space="0"/>
      </w:pBdr>
      <w:kinsoku/>
      <w:wordWrap/>
      <w:overflowPunct/>
      <w:topLinePunct w:val="0"/>
      <w:bidi w:val="0"/>
      <w:adjustRightInd/>
      <w:snapToGrid/>
      <w:spacing w:after="0" w:line="240" w:lineRule="auto"/>
      <w:jc w:val="center"/>
      <w:textAlignment w:val="auto"/>
      <w:rPr>
        <w:sz w:val="20"/>
        <w:szCs w:val="20"/>
      </w:rPr>
    </w:pPr>
    <w:r>
      <w:rPr>
        <w:rFonts w:hint="eastAsia"/>
        <w:spacing w:val="8"/>
        <w:sz w:val="20"/>
        <w:szCs w:val="20"/>
        <w:lang w:eastAsia="zh-CN"/>
      </w:rPr>
      <w:t>胡杨河市宏信种猪养殖基地项目</w:t>
    </w:r>
    <w:r>
      <w:rPr>
        <w:spacing w:val="8"/>
        <w:sz w:val="20"/>
        <w:szCs w:val="20"/>
      </w:rPr>
      <w:t>环境影响报告书</w:t>
    </w:r>
  </w:p>
  <w:p w14:paraId="080B63E0">
    <w:pPr>
      <w:pBdr>
        <w:bottom w:val="thinThickSmallGap" w:color="auto" w:sz="12" w:space="0"/>
      </w:pBdr>
      <w:spacing w:before="15" w:line="19" w:lineRule="exact"/>
      <w:ind w:firstLine="1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655C9">
    <w:pPr>
      <w:pStyle w:val="14"/>
      <w:keepNext w:val="0"/>
      <w:keepLines w:val="0"/>
      <w:pageBreakBefore w:val="0"/>
      <w:widowControl w:val="0"/>
      <w:pBdr>
        <w:bottom w:val="thinThickMediumGap" w:color="auto" w:sz="18" w:space="0"/>
      </w:pBdr>
      <w:kinsoku/>
      <w:wordWrap/>
      <w:overflowPunct/>
      <w:topLinePunct w:val="0"/>
      <w:bidi w:val="0"/>
      <w:adjustRightInd/>
      <w:snapToGrid/>
      <w:spacing w:after="0" w:line="240" w:lineRule="auto"/>
      <w:ind w:left="0"/>
      <w:jc w:val="center"/>
      <w:textAlignment w:val="auto"/>
    </w:pPr>
    <w:r>
      <w:rPr>
        <w:rFonts w:hint="eastAsia"/>
        <w:spacing w:val="8"/>
        <w:sz w:val="20"/>
        <w:szCs w:val="20"/>
        <w:lang w:eastAsia="zh-CN"/>
      </w:rPr>
      <w:t>胡杨河市宏信种猪养殖基地项目</w:t>
    </w:r>
    <w:r>
      <w:rPr>
        <w:spacing w:val="8"/>
        <w:sz w:val="20"/>
        <w:szCs w:val="20"/>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CE0B9">
    <w:pPr>
      <w:pStyle w:val="14"/>
      <w:keepNext w:val="0"/>
      <w:keepLines w:val="0"/>
      <w:pageBreakBefore w:val="0"/>
      <w:widowControl w:val="0"/>
      <w:pBdr>
        <w:bottom w:val="none" w:color="auto" w:sz="0" w:space="0"/>
      </w:pBdr>
      <w:tabs>
        <w:tab w:val="left" w:pos="6848"/>
      </w:tabs>
      <w:kinsoku/>
      <w:wordWrap/>
      <w:overflowPunct/>
      <w:topLinePunct w:val="0"/>
      <w:bidi w:val="0"/>
      <w:adjustRightInd/>
      <w:snapToGrid/>
      <w:spacing w:after="0" w:line="240" w:lineRule="auto"/>
      <w:ind w:left="0"/>
      <w:jc w:val="center"/>
      <w:textAlignment w:val="auto"/>
      <w:rPr>
        <w:rFonts w:hint="eastAsia" w:eastAsia="宋体"/>
        <w:sz w:val="20"/>
        <w:szCs w:val="20"/>
        <w:lang w:eastAsia="zh-CN"/>
      </w:rPr>
    </w:pPr>
    <w:r>
      <w:rPr>
        <w:rFonts w:hint="eastAsia"/>
        <w:spacing w:val="8"/>
        <w:sz w:val="20"/>
        <w:szCs w:val="20"/>
        <w:lang w:eastAsia="zh-CN"/>
      </w:rPr>
      <w:t>胡杨河市宏信种猪养殖基地项目</w:t>
    </w:r>
    <w:r>
      <w:rPr>
        <w:spacing w:val="8"/>
        <w:sz w:val="20"/>
        <w:szCs w:val="20"/>
      </w:rPr>
      <w:t>环境影响报告书</w:t>
    </w:r>
  </w:p>
  <w:p w14:paraId="495E1576">
    <w:pPr>
      <w:pBdr>
        <w:bottom w:val="thinThickMediumGap" w:color="auto" w:sz="18" w:space="0"/>
      </w:pBdr>
      <w:spacing w:before="17" w:line="19" w:lineRule="exact"/>
      <w:ind w:firstLine="11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7BD886"/>
    <w:multiLevelType w:val="singleLevel"/>
    <w:tmpl w:val="C97BD886"/>
    <w:lvl w:ilvl="0" w:tentative="0">
      <w:start w:val="1"/>
      <w:numFmt w:val="decimal"/>
      <w:suff w:val="nothing"/>
      <w:lvlText w:val="（%1）"/>
      <w:lvlJc w:val="left"/>
    </w:lvl>
  </w:abstractNum>
  <w:abstractNum w:abstractNumId="1">
    <w:nsid w:val="D5A43DD0"/>
    <w:multiLevelType w:val="singleLevel"/>
    <w:tmpl w:val="D5A43DD0"/>
    <w:lvl w:ilvl="0" w:tentative="0">
      <w:start w:val="3"/>
      <w:numFmt w:val="decimal"/>
      <w:suff w:val="nothing"/>
      <w:lvlText w:val="（%1）"/>
      <w:lvlJc w:val="left"/>
    </w:lvl>
  </w:abstractNum>
  <w:abstractNum w:abstractNumId="2">
    <w:nsid w:val="DDE0F6DE"/>
    <w:multiLevelType w:val="multilevel"/>
    <w:tmpl w:val="DDE0F6DE"/>
    <w:lvl w:ilvl="0" w:tentative="0">
      <w:start w:val="1"/>
      <w:numFmt w:val="decimal"/>
      <w:lvlText w:val="%1"/>
      <w:lvlJc w:val="left"/>
      <w:pPr>
        <w:ind w:left="432" w:hanging="432"/>
      </w:pPr>
      <w:rPr>
        <w:rFonts w:hint="default" w:ascii="宋体" w:hAnsi="宋体" w:eastAsia="宋体" w:cs="宋体"/>
      </w:rPr>
    </w:lvl>
    <w:lvl w:ilvl="1" w:tentative="0">
      <w:start w:val="1"/>
      <w:numFmt w:val="decimal"/>
      <w:lvlText w:val="%1.%2"/>
      <w:lvlJc w:val="left"/>
      <w:pPr>
        <w:ind w:left="575" w:hanging="575"/>
      </w:pPr>
      <w:rPr>
        <w:rFonts w:hint="default" w:ascii="宋体" w:hAnsi="宋体" w:eastAsia="宋体" w:cs="宋体"/>
      </w:rPr>
    </w:lvl>
    <w:lvl w:ilvl="2" w:tentative="0">
      <w:start w:val="1"/>
      <w:numFmt w:val="decimal"/>
      <w:lvlText w:val="%1.%2.%3"/>
      <w:lvlJc w:val="left"/>
      <w:pPr>
        <w:ind w:left="720" w:hanging="720"/>
      </w:pPr>
      <w:rPr>
        <w:rFonts w:hint="default" w:ascii="宋体" w:hAnsi="宋体" w:eastAsia="宋体" w:cs="宋体"/>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3">
    <w:nsid w:val="169162DA"/>
    <w:multiLevelType w:val="multilevel"/>
    <w:tmpl w:val="169162DA"/>
    <w:lvl w:ilvl="0" w:tentative="0">
      <w:start w:val="1"/>
      <w:numFmt w:val="decimal"/>
      <w:suff w:val="nothing"/>
      <w:lvlText w:val="第%1章  "/>
      <w:lvlJc w:val="center"/>
      <w:pPr>
        <w:ind w:left="2268" w:firstLine="0"/>
      </w:pPr>
      <w:rPr>
        <w:rFonts w:hint="eastAsia" w:ascii="宋体" w:hAnsi="宋体" w:eastAsia="宋体"/>
        <w:b/>
        <w:i w:val="0"/>
        <w:sz w:val="44"/>
        <w:szCs w:val="44"/>
        <w:lang w:val="en-US"/>
      </w:rPr>
    </w:lvl>
    <w:lvl w:ilvl="1" w:tentative="0">
      <w:start w:val="1"/>
      <w:numFmt w:val="decimal"/>
      <w:isLgl/>
      <w:suff w:val="nothing"/>
      <w:lvlText w:val="%1.%2 "/>
      <w:lvlJc w:val="left"/>
      <w:pPr>
        <w:ind w:left="1134" w:firstLine="0"/>
      </w:pPr>
      <w:rPr>
        <w:rFonts w:hint="eastAsia" w:ascii="黑体" w:hAnsi="Times New Roman" w:eastAsia="黑体" w:cs="Times New Roman"/>
        <w:b/>
        <w:bCs w:val="0"/>
        <w:i w:val="0"/>
        <w:iCs w:val="0"/>
        <w:caps w:val="0"/>
        <w:strike w:val="0"/>
        <w:dstrike w:val="0"/>
        <w:vanish w:val="0"/>
        <w:color w:val="auto"/>
        <w:spacing w:val="0"/>
        <w:position w:val="0"/>
        <w:sz w:val="30"/>
        <w:u w:val="none"/>
        <w:vertAlign w:val="baseline"/>
      </w:rPr>
    </w:lvl>
    <w:lvl w:ilvl="2" w:tentative="0">
      <w:start w:val="1"/>
      <w:numFmt w:val="decimal"/>
      <w:pStyle w:val="56"/>
      <w:isLgl/>
      <w:suff w:val="nothing"/>
      <w:lvlText w:val="%1.%2.%3 "/>
      <w:lvlJc w:val="left"/>
      <w:pPr>
        <w:ind w:left="1985" w:firstLine="0"/>
      </w:pPr>
      <w:rPr>
        <w:rFonts w:ascii="宋体" w:hAnsi="宋体" w:eastAsia="宋体"/>
        <w:b/>
        <w:bCs w:val="0"/>
        <w:i w:val="0"/>
        <w:iCs w:val="0"/>
        <w:caps w:val="0"/>
        <w:smallCaps w:val="0"/>
        <w:strike w:val="0"/>
        <w:dstrike w:val="0"/>
        <w:vanish w:val="0"/>
        <w:color w:val="auto"/>
        <w:spacing w:val="0"/>
        <w:position w:val="0"/>
        <w:sz w:val="28"/>
        <w:szCs w:val="28"/>
        <w:u w:val="none"/>
        <w:vertAlign w:val="baseline"/>
      </w:rPr>
    </w:lvl>
    <w:lvl w:ilvl="3" w:tentative="0">
      <w:start w:val="1"/>
      <w:numFmt w:val="decimal"/>
      <w:isLgl/>
      <w:suff w:val="nothing"/>
      <w:lvlText w:val="%1.%2.%3.%4 "/>
      <w:lvlJc w:val="left"/>
      <w:pPr>
        <w:ind w:left="2127" w:firstLine="0"/>
      </w:pPr>
      <w:rPr>
        <w:rFonts w:ascii="宋体" w:hAnsi="宋体" w:eastAsia="宋体"/>
        <w:b/>
        <w:bCs w:val="0"/>
        <w:i w:val="0"/>
        <w:iCs w:val="0"/>
        <w:caps w:val="0"/>
        <w:smallCaps w:val="0"/>
        <w:strike w:val="0"/>
        <w:dstrike w:val="0"/>
        <w:vanish w:val="0"/>
        <w:color w:val="auto"/>
        <w:spacing w:val="0"/>
        <w:position w:val="0"/>
        <w:u w:val="none"/>
        <w:vertAlign w:val="baseline"/>
      </w:rPr>
    </w:lvl>
    <w:lvl w:ilvl="4" w:tentative="0">
      <w:start w:val="1"/>
      <w:numFmt w:val="decimal"/>
      <w:isLgl/>
      <w:suff w:val="nothing"/>
      <w:lvlText w:val="%1.%2.%3.%4.%5  "/>
      <w:lvlJc w:val="left"/>
      <w:pPr>
        <w:ind w:left="-2692" w:firstLine="0"/>
      </w:pPr>
      <w:rPr>
        <w:rFonts w:hint="default" w:ascii="Arial" w:hAnsi="Arial" w:eastAsia="黑体" w:cs="Arial"/>
        <w:sz w:val="21"/>
        <w:szCs w:val="21"/>
      </w:rPr>
    </w:lvl>
    <w:lvl w:ilvl="5" w:tentative="0">
      <w:start w:val="1"/>
      <w:numFmt w:val="lowerLetter"/>
      <w:lvlText w:val="%6."/>
      <w:lvlJc w:val="left"/>
      <w:pPr>
        <w:tabs>
          <w:tab w:val="left" w:pos="-283"/>
        </w:tabs>
        <w:ind w:left="-283" w:hanging="425"/>
      </w:pPr>
      <w:rPr>
        <w:rFonts w:hint="eastAsia"/>
      </w:rPr>
    </w:lvl>
    <w:lvl w:ilvl="6" w:tentative="0">
      <w:start w:val="1"/>
      <w:numFmt w:val="lowerRoman"/>
      <w:lvlText w:val="%7."/>
      <w:lvlJc w:val="left"/>
      <w:pPr>
        <w:tabs>
          <w:tab w:val="left" w:pos="143"/>
        </w:tabs>
        <w:ind w:left="143" w:hanging="426"/>
      </w:pPr>
      <w:rPr>
        <w:rFonts w:hint="eastAsia"/>
      </w:rPr>
    </w:lvl>
    <w:lvl w:ilvl="7" w:tentative="0">
      <w:start w:val="1"/>
      <w:numFmt w:val="lowerLetter"/>
      <w:lvlText w:val="%8."/>
      <w:lvlJc w:val="left"/>
      <w:pPr>
        <w:tabs>
          <w:tab w:val="left" w:pos="568"/>
        </w:tabs>
        <w:ind w:left="568" w:hanging="425"/>
      </w:pPr>
      <w:rPr>
        <w:rFonts w:hint="eastAsia"/>
      </w:rPr>
    </w:lvl>
    <w:lvl w:ilvl="8" w:tentative="0">
      <w:start w:val="1"/>
      <w:numFmt w:val="lowerRoman"/>
      <w:lvlText w:val="%9."/>
      <w:lvlJc w:val="left"/>
      <w:pPr>
        <w:tabs>
          <w:tab w:val="left" w:pos="993"/>
        </w:tabs>
        <w:ind w:left="993" w:hanging="425"/>
      </w:pPr>
      <w:rPr>
        <w:rFonts w:hint="eastAsia"/>
      </w:rPr>
    </w:lvl>
  </w:abstractNum>
  <w:abstractNum w:abstractNumId="4">
    <w:nsid w:val="25B1A412"/>
    <w:multiLevelType w:val="singleLevel"/>
    <w:tmpl w:val="25B1A412"/>
    <w:lvl w:ilvl="0" w:tentative="0">
      <w:start w:val="8"/>
      <w:numFmt w:val="decimal"/>
      <w:suff w:val="nothing"/>
      <w:lvlText w:val="（%1）"/>
      <w:lvlJc w:val="left"/>
    </w:lvl>
  </w:abstractNum>
  <w:abstractNum w:abstractNumId="5">
    <w:nsid w:val="42BA3AB6"/>
    <w:multiLevelType w:val="singleLevel"/>
    <w:tmpl w:val="42BA3AB6"/>
    <w:lvl w:ilvl="0" w:tentative="0">
      <w:start w:val="1"/>
      <w:numFmt w:val="decimal"/>
      <w:suff w:val="nothing"/>
      <w:lvlText w:val="%1、"/>
      <w:lvlJc w:val="left"/>
    </w:lvl>
  </w:abstractNum>
  <w:abstractNum w:abstractNumId="6">
    <w:nsid w:val="4788B629"/>
    <w:multiLevelType w:val="singleLevel"/>
    <w:tmpl w:val="4788B629"/>
    <w:lvl w:ilvl="0" w:tentative="0">
      <w:start w:val="1"/>
      <w:numFmt w:val="decimal"/>
      <w:lvlText w:val="(%1)"/>
      <w:lvlJc w:val="left"/>
      <w:pPr>
        <w:tabs>
          <w:tab w:val="left" w:pos="312"/>
        </w:tabs>
      </w:pPr>
    </w:lvl>
  </w:abstractNum>
  <w:abstractNum w:abstractNumId="7">
    <w:nsid w:val="4A46E216"/>
    <w:multiLevelType w:val="singleLevel"/>
    <w:tmpl w:val="4A46E216"/>
    <w:lvl w:ilvl="0" w:tentative="0">
      <w:start w:val="5"/>
      <w:numFmt w:val="decimal"/>
      <w:suff w:val="nothing"/>
      <w:lvlText w:val="%1）"/>
      <w:lvlJc w:val="left"/>
    </w:lvl>
  </w:abstractNum>
  <w:abstractNum w:abstractNumId="8">
    <w:nsid w:val="5ED7A8AD"/>
    <w:multiLevelType w:val="singleLevel"/>
    <w:tmpl w:val="5ED7A8AD"/>
    <w:lvl w:ilvl="0" w:tentative="0">
      <w:start w:val="2"/>
      <w:numFmt w:val="decimal"/>
      <w:suff w:val="nothing"/>
      <w:lvlText w:val="（%1）"/>
      <w:lvlJc w:val="left"/>
    </w:lvl>
  </w:abstractNum>
  <w:num w:numId="1">
    <w:abstractNumId w:val="2"/>
  </w:num>
  <w:num w:numId="2">
    <w:abstractNumId w:val="3"/>
  </w:num>
  <w:num w:numId="3">
    <w:abstractNumId w:val="7"/>
  </w:num>
  <w:num w:numId="4">
    <w:abstractNumId w:val="1"/>
  </w:num>
  <w:num w:numId="5">
    <w:abstractNumId w:val="6"/>
  </w:num>
  <w:num w:numId="6">
    <w:abstractNumId w:val="0"/>
  </w:num>
  <w:num w:numId="7">
    <w:abstractNumId w:val="4"/>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RiNGNhNTgyYzQ2MTczY2U1MTExYjg1MzdhNjE1YjYifQ=="/>
  </w:docVars>
  <w:rsids>
    <w:rsidRoot w:val="009674F9"/>
    <w:rsid w:val="000222F9"/>
    <w:rsid w:val="000271BB"/>
    <w:rsid w:val="000D5215"/>
    <w:rsid w:val="001358A1"/>
    <w:rsid w:val="00142D1F"/>
    <w:rsid w:val="001D1B79"/>
    <w:rsid w:val="0021283E"/>
    <w:rsid w:val="002201FA"/>
    <w:rsid w:val="002F011B"/>
    <w:rsid w:val="0031305B"/>
    <w:rsid w:val="003304E4"/>
    <w:rsid w:val="003B55AE"/>
    <w:rsid w:val="003F63F3"/>
    <w:rsid w:val="00460058"/>
    <w:rsid w:val="00475109"/>
    <w:rsid w:val="00486DB2"/>
    <w:rsid w:val="004A1DEE"/>
    <w:rsid w:val="004E2A8C"/>
    <w:rsid w:val="004F1815"/>
    <w:rsid w:val="004F269F"/>
    <w:rsid w:val="00512B16"/>
    <w:rsid w:val="00515EDB"/>
    <w:rsid w:val="00516D72"/>
    <w:rsid w:val="00580FE6"/>
    <w:rsid w:val="005A7EA2"/>
    <w:rsid w:val="005B0B19"/>
    <w:rsid w:val="0062159A"/>
    <w:rsid w:val="00631364"/>
    <w:rsid w:val="006811B7"/>
    <w:rsid w:val="006C0C3E"/>
    <w:rsid w:val="006F6660"/>
    <w:rsid w:val="00703FC5"/>
    <w:rsid w:val="00714C25"/>
    <w:rsid w:val="00742A2A"/>
    <w:rsid w:val="007958E0"/>
    <w:rsid w:val="007B2330"/>
    <w:rsid w:val="007C4F87"/>
    <w:rsid w:val="0080764C"/>
    <w:rsid w:val="00810D0F"/>
    <w:rsid w:val="008F64FB"/>
    <w:rsid w:val="0093186A"/>
    <w:rsid w:val="00962A84"/>
    <w:rsid w:val="009674F9"/>
    <w:rsid w:val="009B7479"/>
    <w:rsid w:val="009D3EB8"/>
    <w:rsid w:val="00A068A1"/>
    <w:rsid w:val="00A364C9"/>
    <w:rsid w:val="00A47B29"/>
    <w:rsid w:val="00A53CC2"/>
    <w:rsid w:val="00A91176"/>
    <w:rsid w:val="00A91CB3"/>
    <w:rsid w:val="00AA05A4"/>
    <w:rsid w:val="00AA3CEC"/>
    <w:rsid w:val="00BC28B7"/>
    <w:rsid w:val="00BE5C08"/>
    <w:rsid w:val="00CB0EF6"/>
    <w:rsid w:val="00CC4639"/>
    <w:rsid w:val="00D52EE3"/>
    <w:rsid w:val="00DD0F75"/>
    <w:rsid w:val="00E46685"/>
    <w:rsid w:val="00E50280"/>
    <w:rsid w:val="00E74972"/>
    <w:rsid w:val="00E833AC"/>
    <w:rsid w:val="00EB7830"/>
    <w:rsid w:val="00F14DB9"/>
    <w:rsid w:val="00F40297"/>
    <w:rsid w:val="00F5191D"/>
    <w:rsid w:val="00FE0E92"/>
    <w:rsid w:val="010C5E88"/>
    <w:rsid w:val="013F7907"/>
    <w:rsid w:val="014164C9"/>
    <w:rsid w:val="016327C3"/>
    <w:rsid w:val="0165702C"/>
    <w:rsid w:val="01671BDD"/>
    <w:rsid w:val="0167458F"/>
    <w:rsid w:val="018C0765"/>
    <w:rsid w:val="01964270"/>
    <w:rsid w:val="01C22101"/>
    <w:rsid w:val="01F03D8A"/>
    <w:rsid w:val="01F21522"/>
    <w:rsid w:val="02216E5A"/>
    <w:rsid w:val="024B38CF"/>
    <w:rsid w:val="026A261A"/>
    <w:rsid w:val="027F6AB2"/>
    <w:rsid w:val="02924837"/>
    <w:rsid w:val="02C93A26"/>
    <w:rsid w:val="03105C2C"/>
    <w:rsid w:val="03604B36"/>
    <w:rsid w:val="03726617"/>
    <w:rsid w:val="03BE180C"/>
    <w:rsid w:val="04005ACE"/>
    <w:rsid w:val="044E2BE0"/>
    <w:rsid w:val="04542F22"/>
    <w:rsid w:val="046F07E2"/>
    <w:rsid w:val="0486510F"/>
    <w:rsid w:val="048A21B2"/>
    <w:rsid w:val="04974587"/>
    <w:rsid w:val="04D70E27"/>
    <w:rsid w:val="04D83D7B"/>
    <w:rsid w:val="04DF1A8A"/>
    <w:rsid w:val="04FE1C73"/>
    <w:rsid w:val="0543421B"/>
    <w:rsid w:val="05544226"/>
    <w:rsid w:val="055548F4"/>
    <w:rsid w:val="056326BB"/>
    <w:rsid w:val="0565677C"/>
    <w:rsid w:val="05795836"/>
    <w:rsid w:val="057F6877"/>
    <w:rsid w:val="058725F8"/>
    <w:rsid w:val="05E549E6"/>
    <w:rsid w:val="060657B2"/>
    <w:rsid w:val="061D4AC0"/>
    <w:rsid w:val="063302DF"/>
    <w:rsid w:val="06341813"/>
    <w:rsid w:val="06530982"/>
    <w:rsid w:val="066364A4"/>
    <w:rsid w:val="067A4160"/>
    <w:rsid w:val="06A92108"/>
    <w:rsid w:val="06AA2137"/>
    <w:rsid w:val="06ED5AF7"/>
    <w:rsid w:val="06FB68A6"/>
    <w:rsid w:val="070567C0"/>
    <w:rsid w:val="0718042C"/>
    <w:rsid w:val="07204668"/>
    <w:rsid w:val="07260719"/>
    <w:rsid w:val="074D717F"/>
    <w:rsid w:val="075E0C34"/>
    <w:rsid w:val="07846919"/>
    <w:rsid w:val="07CF0C6A"/>
    <w:rsid w:val="07EB74D6"/>
    <w:rsid w:val="07F04E36"/>
    <w:rsid w:val="082B7D91"/>
    <w:rsid w:val="082C5E24"/>
    <w:rsid w:val="085F761D"/>
    <w:rsid w:val="0888779C"/>
    <w:rsid w:val="08D1014E"/>
    <w:rsid w:val="08FF094D"/>
    <w:rsid w:val="09187C60"/>
    <w:rsid w:val="09306D58"/>
    <w:rsid w:val="09A11A04"/>
    <w:rsid w:val="09F04EC7"/>
    <w:rsid w:val="09FE1B18"/>
    <w:rsid w:val="0A48539C"/>
    <w:rsid w:val="0A651E76"/>
    <w:rsid w:val="0A6947FF"/>
    <w:rsid w:val="0AA3355A"/>
    <w:rsid w:val="0AC27289"/>
    <w:rsid w:val="0AF53DB5"/>
    <w:rsid w:val="0B17040D"/>
    <w:rsid w:val="0B3A5C6C"/>
    <w:rsid w:val="0B6E7526"/>
    <w:rsid w:val="0B753148"/>
    <w:rsid w:val="0B8E5FB8"/>
    <w:rsid w:val="0BC32847"/>
    <w:rsid w:val="0BC639A4"/>
    <w:rsid w:val="0C050B0C"/>
    <w:rsid w:val="0C30706F"/>
    <w:rsid w:val="0C547B3B"/>
    <w:rsid w:val="0C5E4BC8"/>
    <w:rsid w:val="0C727688"/>
    <w:rsid w:val="0C7372CD"/>
    <w:rsid w:val="0C946A83"/>
    <w:rsid w:val="0CA35A93"/>
    <w:rsid w:val="0CB3776C"/>
    <w:rsid w:val="0CB528CF"/>
    <w:rsid w:val="0CED3D20"/>
    <w:rsid w:val="0D075066"/>
    <w:rsid w:val="0D336E17"/>
    <w:rsid w:val="0D376533"/>
    <w:rsid w:val="0D387E59"/>
    <w:rsid w:val="0D8124EC"/>
    <w:rsid w:val="0D9553DC"/>
    <w:rsid w:val="0D9558D2"/>
    <w:rsid w:val="0D9B1E05"/>
    <w:rsid w:val="0E243849"/>
    <w:rsid w:val="0E7311E9"/>
    <w:rsid w:val="0E731F27"/>
    <w:rsid w:val="0ED00D52"/>
    <w:rsid w:val="0EEF7DC0"/>
    <w:rsid w:val="0F1B5DB5"/>
    <w:rsid w:val="0F5129BC"/>
    <w:rsid w:val="0F75168B"/>
    <w:rsid w:val="0FC86787"/>
    <w:rsid w:val="0FCE31CA"/>
    <w:rsid w:val="0FCF5ED8"/>
    <w:rsid w:val="0FE75496"/>
    <w:rsid w:val="10083DF9"/>
    <w:rsid w:val="101D3927"/>
    <w:rsid w:val="10544BB8"/>
    <w:rsid w:val="106C27BD"/>
    <w:rsid w:val="107F1C7C"/>
    <w:rsid w:val="108F25B6"/>
    <w:rsid w:val="10A31A14"/>
    <w:rsid w:val="10BE7621"/>
    <w:rsid w:val="10DE7312"/>
    <w:rsid w:val="10F8040C"/>
    <w:rsid w:val="1134315E"/>
    <w:rsid w:val="11384FE7"/>
    <w:rsid w:val="114D134F"/>
    <w:rsid w:val="116B792C"/>
    <w:rsid w:val="11A6405B"/>
    <w:rsid w:val="11B73E6E"/>
    <w:rsid w:val="11BF31CD"/>
    <w:rsid w:val="11F0177A"/>
    <w:rsid w:val="11F254F3"/>
    <w:rsid w:val="123D038C"/>
    <w:rsid w:val="12DA43DF"/>
    <w:rsid w:val="130E16C8"/>
    <w:rsid w:val="131F45EB"/>
    <w:rsid w:val="133D454B"/>
    <w:rsid w:val="13566AB3"/>
    <w:rsid w:val="138A0BB7"/>
    <w:rsid w:val="13A423F4"/>
    <w:rsid w:val="13AA508A"/>
    <w:rsid w:val="13B0691E"/>
    <w:rsid w:val="13FE14DB"/>
    <w:rsid w:val="140908A2"/>
    <w:rsid w:val="146855F8"/>
    <w:rsid w:val="147815B3"/>
    <w:rsid w:val="14BB3324"/>
    <w:rsid w:val="14C8156E"/>
    <w:rsid w:val="14D96DE6"/>
    <w:rsid w:val="14EF3878"/>
    <w:rsid w:val="1534372C"/>
    <w:rsid w:val="153F0549"/>
    <w:rsid w:val="15640EBA"/>
    <w:rsid w:val="159478BD"/>
    <w:rsid w:val="15C15472"/>
    <w:rsid w:val="15D62A35"/>
    <w:rsid w:val="15E96C0C"/>
    <w:rsid w:val="160E21CF"/>
    <w:rsid w:val="162E11B1"/>
    <w:rsid w:val="167621FB"/>
    <w:rsid w:val="16B50F1F"/>
    <w:rsid w:val="16F73D6A"/>
    <w:rsid w:val="16FD0F5C"/>
    <w:rsid w:val="17362FA3"/>
    <w:rsid w:val="17843B4D"/>
    <w:rsid w:val="17C15D2E"/>
    <w:rsid w:val="17CE36B3"/>
    <w:rsid w:val="17DF02C7"/>
    <w:rsid w:val="18280A8E"/>
    <w:rsid w:val="18633981"/>
    <w:rsid w:val="18757907"/>
    <w:rsid w:val="18851A26"/>
    <w:rsid w:val="1886652E"/>
    <w:rsid w:val="18C87C72"/>
    <w:rsid w:val="18E45469"/>
    <w:rsid w:val="1904356C"/>
    <w:rsid w:val="19232104"/>
    <w:rsid w:val="19260F05"/>
    <w:rsid w:val="192A241D"/>
    <w:rsid w:val="19530A35"/>
    <w:rsid w:val="1996659E"/>
    <w:rsid w:val="199944D2"/>
    <w:rsid w:val="199B39B3"/>
    <w:rsid w:val="19C316FC"/>
    <w:rsid w:val="1A081B58"/>
    <w:rsid w:val="1A1A2E74"/>
    <w:rsid w:val="1A26274E"/>
    <w:rsid w:val="1A4D1A2F"/>
    <w:rsid w:val="1A5F3E44"/>
    <w:rsid w:val="1A622AE9"/>
    <w:rsid w:val="1A7E3F9C"/>
    <w:rsid w:val="1AE72091"/>
    <w:rsid w:val="1B435C10"/>
    <w:rsid w:val="1B592A40"/>
    <w:rsid w:val="1B5C0CC3"/>
    <w:rsid w:val="1BCD0437"/>
    <w:rsid w:val="1C0129B4"/>
    <w:rsid w:val="1C066B51"/>
    <w:rsid w:val="1C623275"/>
    <w:rsid w:val="1C7D2D9C"/>
    <w:rsid w:val="1C9C036D"/>
    <w:rsid w:val="1CC7132A"/>
    <w:rsid w:val="1CE71497"/>
    <w:rsid w:val="1CF06AD2"/>
    <w:rsid w:val="1D0831FB"/>
    <w:rsid w:val="1D1D5155"/>
    <w:rsid w:val="1D2E30A9"/>
    <w:rsid w:val="1D931D75"/>
    <w:rsid w:val="1DD13720"/>
    <w:rsid w:val="1DE218CD"/>
    <w:rsid w:val="1DE673A8"/>
    <w:rsid w:val="1E021B0F"/>
    <w:rsid w:val="1E14059F"/>
    <w:rsid w:val="1E4C7C8A"/>
    <w:rsid w:val="1E5F6387"/>
    <w:rsid w:val="1E7D7C53"/>
    <w:rsid w:val="1E8660E1"/>
    <w:rsid w:val="1E933F4E"/>
    <w:rsid w:val="1E9C716D"/>
    <w:rsid w:val="1EA24932"/>
    <w:rsid w:val="1EA97C32"/>
    <w:rsid w:val="1EAD7B6A"/>
    <w:rsid w:val="1EBE4E7B"/>
    <w:rsid w:val="1EDC2F65"/>
    <w:rsid w:val="1F4147F2"/>
    <w:rsid w:val="1F855C65"/>
    <w:rsid w:val="1F9222A6"/>
    <w:rsid w:val="1F946E5A"/>
    <w:rsid w:val="1F974D81"/>
    <w:rsid w:val="1F9820E8"/>
    <w:rsid w:val="1FA9120A"/>
    <w:rsid w:val="1FBB4966"/>
    <w:rsid w:val="1FCE3F40"/>
    <w:rsid w:val="203706D9"/>
    <w:rsid w:val="207B3A57"/>
    <w:rsid w:val="20910455"/>
    <w:rsid w:val="209634ED"/>
    <w:rsid w:val="209854B7"/>
    <w:rsid w:val="20A828DC"/>
    <w:rsid w:val="20BC1013"/>
    <w:rsid w:val="20D3237D"/>
    <w:rsid w:val="211E2297"/>
    <w:rsid w:val="216E446A"/>
    <w:rsid w:val="2174741B"/>
    <w:rsid w:val="21837F15"/>
    <w:rsid w:val="218D389A"/>
    <w:rsid w:val="21AB2FC8"/>
    <w:rsid w:val="21C30AAA"/>
    <w:rsid w:val="21CC52FC"/>
    <w:rsid w:val="21DA38AD"/>
    <w:rsid w:val="222F482F"/>
    <w:rsid w:val="223E0997"/>
    <w:rsid w:val="223F63FF"/>
    <w:rsid w:val="22410236"/>
    <w:rsid w:val="22550D49"/>
    <w:rsid w:val="225B61F9"/>
    <w:rsid w:val="229E2EEB"/>
    <w:rsid w:val="22B44E83"/>
    <w:rsid w:val="22CD5368"/>
    <w:rsid w:val="23007412"/>
    <w:rsid w:val="231F0F60"/>
    <w:rsid w:val="2341673D"/>
    <w:rsid w:val="234E00AF"/>
    <w:rsid w:val="234F18C0"/>
    <w:rsid w:val="23741E53"/>
    <w:rsid w:val="23751A64"/>
    <w:rsid w:val="23A4392B"/>
    <w:rsid w:val="23EA3273"/>
    <w:rsid w:val="23EB7FA0"/>
    <w:rsid w:val="24492985"/>
    <w:rsid w:val="245820E6"/>
    <w:rsid w:val="246002C2"/>
    <w:rsid w:val="2468622B"/>
    <w:rsid w:val="247C5E5F"/>
    <w:rsid w:val="24A71052"/>
    <w:rsid w:val="24D50412"/>
    <w:rsid w:val="25352E84"/>
    <w:rsid w:val="25585215"/>
    <w:rsid w:val="255B0195"/>
    <w:rsid w:val="259156C4"/>
    <w:rsid w:val="261357CB"/>
    <w:rsid w:val="267C13D7"/>
    <w:rsid w:val="26B17A32"/>
    <w:rsid w:val="27095912"/>
    <w:rsid w:val="27665F94"/>
    <w:rsid w:val="27873585"/>
    <w:rsid w:val="27BB1A8B"/>
    <w:rsid w:val="27CC5774"/>
    <w:rsid w:val="27D67843"/>
    <w:rsid w:val="283B2423"/>
    <w:rsid w:val="28425546"/>
    <w:rsid w:val="28637214"/>
    <w:rsid w:val="28AD5878"/>
    <w:rsid w:val="28D607C7"/>
    <w:rsid w:val="290A546A"/>
    <w:rsid w:val="29231D3E"/>
    <w:rsid w:val="292A4721"/>
    <w:rsid w:val="293324B8"/>
    <w:rsid w:val="293A1363"/>
    <w:rsid w:val="2A3C4980"/>
    <w:rsid w:val="2A4763EA"/>
    <w:rsid w:val="2A54453D"/>
    <w:rsid w:val="2A8526E6"/>
    <w:rsid w:val="2A88034A"/>
    <w:rsid w:val="2ADE6AFB"/>
    <w:rsid w:val="2B320F6B"/>
    <w:rsid w:val="2B404781"/>
    <w:rsid w:val="2B6370B7"/>
    <w:rsid w:val="2B65068C"/>
    <w:rsid w:val="2B6C1D66"/>
    <w:rsid w:val="2B85488A"/>
    <w:rsid w:val="2B941760"/>
    <w:rsid w:val="2BA04F9E"/>
    <w:rsid w:val="2BA5305F"/>
    <w:rsid w:val="2BCE7FDF"/>
    <w:rsid w:val="2C131EB8"/>
    <w:rsid w:val="2C211CC7"/>
    <w:rsid w:val="2C29790B"/>
    <w:rsid w:val="2C59199D"/>
    <w:rsid w:val="2C6044FB"/>
    <w:rsid w:val="2C791CFB"/>
    <w:rsid w:val="2C844B41"/>
    <w:rsid w:val="2CBF497B"/>
    <w:rsid w:val="2CC969F8"/>
    <w:rsid w:val="2CD74212"/>
    <w:rsid w:val="2D0F4C2F"/>
    <w:rsid w:val="2D263F00"/>
    <w:rsid w:val="2D2C72B5"/>
    <w:rsid w:val="2D585153"/>
    <w:rsid w:val="2D6D7D7B"/>
    <w:rsid w:val="2D734326"/>
    <w:rsid w:val="2D800551"/>
    <w:rsid w:val="2DA83E6E"/>
    <w:rsid w:val="2DA93C6B"/>
    <w:rsid w:val="2DEA131C"/>
    <w:rsid w:val="2DEC0BF0"/>
    <w:rsid w:val="2DFF5307"/>
    <w:rsid w:val="2E576957"/>
    <w:rsid w:val="2EDF1ABB"/>
    <w:rsid w:val="2F0801DA"/>
    <w:rsid w:val="2F2107B5"/>
    <w:rsid w:val="2F334F8B"/>
    <w:rsid w:val="2F3A5137"/>
    <w:rsid w:val="2F3F109E"/>
    <w:rsid w:val="2F440814"/>
    <w:rsid w:val="2F8512FC"/>
    <w:rsid w:val="2F9C306F"/>
    <w:rsid w:val="2FB66B65"/>
    <w:rsid w:val="2FBC25A1"/>
    <w:rsid w:val="2FD724FB"/>
    <w:rsid w:val="2FFC79BE"/>
    <w:rsid w:val="2FFD1576"/>
    <w:rsid w:val="300466C5"/>
    <w:rsid w:val="30482772"/>
    <w:rsid w:val="306E7FE2"/>
    <w:rsid w:val="30751371"/>
    <w:rsid w:val="30AB6B41"/>
    <w:rsid w:val="30C95DE0"/>
    <w:rsid w:val="30E7118B"/>
    <w:rsid w:val="30E75626"/>
    <w:rsid w:val="30F753D6"/>
    <w:rsid w:val="311470CC"/>
    <w:rsid w:val="31480788"/>
    <w:rsid w:val="3151147A"/>
    <w:rsid w:val="31551114"/>
    <w:rsid w:val="316136A3"/>
    <w:rsid w:val="31745184"/>
    <w:rsid w:val="31850497"/>
    <w:rsid w:val="31B5579D"/>
    <w:rsid w:val="31D87C20"/>
    <w:rsid w:val="31EB40F5"/>
    <w:rsid w:val="31EE67DE"/>
    <w:rsid w:val="31F7433A"/>
    <w:rsid w:val="31FA6645"/>
    <w:rsid w:val="32266D93"/>
    <w:rsid w:val="32276868"/>
    <w:rsid w:val="326F1DF0"/>
    <w:rsid w:val="32BA404E"/>
    <w:rsid w:val="32BE4BD0"/>
    <w:rsid w:val="32C12DDD"/>
    <w:rsid w:val="32FC2507"/>
    <w:rsid w:val="33031444"/>
    <w:rsid w:val="330D2281"/>
    <w:rsid w:val="330F52F1"/>
    <w:rsid w:val="332130EA"/>
    <w:rsid w:val="335F3C12"/>
    <w:rsid w:val="33A9205E"/>
    <w:rsid w:val="33BD3C75"/>
    <w:rsid w:val="33CD3272"/>
    <w:rsid w:val="33EF143A"/>
    <w:rsid w:val="33F35C22"/>
    <w:rsid w:val="34304CB5"/>
    <w:rsid w:val="346E4A8D"/>
    <w:rsid w:val="34870DB2"/>
    <w:rsid w:val="348E07E8"/>
    <w:rsid w:val="34A538A9"/>
    <w:rsid w:val="34DA0600"/>
    <w:rsid w:val="34DC7BC6"/>
    <w:rsid w:val="34F12F90"/>
    <w:rsid w:val="354C2611"/>
    <w:rsid w:val="355852D2"/>
    <w:rsid w:val="35633FD8"/>
    <w:rsid w:val="35843E04"/>
    <w:rsid w:val="35891F9D"/>
    <w:rsid w:val="3641721C"/>
    <w:rsid w:val="36462E68"/>
    <w:rsid w:val="365B414D"/>
    <w:rsid w:val="36981915"/>
    <w:rsid w:val="36E81855"/>
    <w:rsid w:val="37392FC9"/>
    <w:rsid w:val="373E2754"/>
    <w:rsid w:val="376E08C8"/>
    <w:rsid w:val="37B705C6"/>
    <w:rsid w:val="37F110B5"/>
    <w:rsid w:val="380134EA"/>
    <w:rsid w:val="382207B9"/>
    <w:rsid w:val="3851237C"/>
    <w:rsid w:val="386A2D56"/>
    <w:rsid w:val="389471A0"/>
    <w:rsid w:val="389820A0"/>
    <w:rsid w:val="38A86703"/>
    <w:rsid w:val="38AE07C7"/>
    <w:rsid w:val="38DD18E8"/>
    <w:rsid w:val="39202096"/>
    <w:rsid w:val="395B3A89"/>
    <w:rsid w:val="39CD3FCC"/>
    <w:rsid w:val="3A0B7507"/>
    <w:rsid w:val="3A117EFD"/>
    <w:rsid w:val="3A1B797B"/>
    <w:rsid w:val="3A1C4389"/>
    <w:rsid w:val="3A4A46C9"/>
    <w:rsid w:val="3A534E68"/>
    <w:rsid w:val="3A595EA2"/>
    <w:rsid w:val="3A651D5D"/>
    <w:rsid w:val="3AD80984"/>
    <w:rsid w:val="3B693C76"/>
    <w:rsid w:val="3B85362E"/>
    <w:rsid w:val="3BA66882"/>
    <w:rsid w:val="3BC04DCD"/>
    <w:rsid w:val="3BF34A1D"/>
    <w:rsid w:val="3C823AC3"/>
    <w:rsid w:val="3C965237"/>
    <w:rsid w:val="3CA707CC"/>
    <w:rsid w:val="3CB13731"/>
    <w:rsid w:val="3CBD7A95"/>
    <w:rsid w:val="3CC5668C"/>
    <w:rsid w:val="3CCE236B"/>
    <w:rsid w:val="3CFE659F"/>
    <w:rsid w:val="3D45031D"/>
    <w:rsid w:val="3D715D82"/>
    <w:rsid w:val="3DAB7CA7"/>
    <w:rsid w:val="3E4A678D"/>
    <w:rsid w:val="3E61216A"/>
    <w:rsid w:val="3E7512A9"/>
    <w:rsid w:val="3F422C13"/>
    <w:rsid w:val="3F503F1F"/>
    <w:rsid w:val="3F7B77E0"/>
    <w:rsid w:val="3F987CCF"/>
    <w:rsid w:val="3F9B4224"/>
    <w:rsid w:val="3F9D552F"/>
    <w:rsid w:val="3FDF4AF7"/>
    <w:rsid w:val="3FE702F5"/>
    <w:rsid w:val="40353D02"/>
    <w:rsid w:val="40475EE5"/>
    <w:rsid w:val="405F07F5"/>
    <w:rsid w:val="40713094"/>
    <w:rsid w:val="40831B7A"/>
    <w:rsid w:val="40A94C34"/>
    <w:rsid w:val="40AB0497"/>
    <w:rsid w:val="40AF4371"/>
    <w:rsid w:val="40C13D04"/>
    <w:rsid w:val="40CA0A76"/>
    <w:rsid w:val="40DB5F91"/>
    <w:rsid w:val="410F6D67"/>
    <w:rsid w:val="41152803"/>
    <w:rsid w:val="414C7ECC"/>
    <w:rsid w:val="41654AEA"/>
    <w:rsid w:val="41790595"/>
    <w:rsid w:val="41792343"/>
    <w:rsid w:val="4210465F"/>
    <w:rsid w:val="424279D5"/>
    <w:rsid w:val="42A81132"/>
    <w:rsid w:val="42B721CF"/>
    <w:rsid w:val="42D633EC"/>
    <w:rsid w:val="42DE187F"/>
    <w:rsid w:val="42F11136"/>
    <w:rsid w:val="4313575A"/>
    <w:rsid w:val="431B2271"/>
    <w:rsid w:val="4348577C"/>
    <w:rsid w:val="43761230"/>
    <w:rsid w:val="4381218E"/>
    <w:rsid w:val="43E814B4"/>
    <w:rsid w:val="441D576D"/>
    <w:rsid w:val="445C7A96"/>
    <w:rsid w:val="44A92F3F"/>
    <w:rsid w:val="44AD2301"/>
    <w:rsid w:val="44B87626"/>
    <w:rsid w:val="44E4101D"/>
    <w:rsid w:val="44F62D94"/>
    <w:rsid w:val="44FE762C"/>
    <w:rsid w:val="451C0449"/>
    <w:rsid w:val="45324B3C"/>
    <w:rsid w:val="45761CF7"/>
    <w:rsid w:val="45B23C0A"/>
    <w:rsid w:val="45B30C92"/>
    <w:rsid w:val="45D205B4"/>
    <w:rsid w:val="46001D6B"/>
    <w:rsid w:val="462463DD"/>
    <w:rsid w:val="464E104B"/>
    <w:rsid w:val="464E6941"/>
    <w:rsid w:val="46710830"/>
    <w:rsid w:val="467E7671"/>
    <w:rsid w:val="46D53DA4"/>
    <w:rsid w:val="46F506BE"/>
    <w:rsid w:val="47073D25"/>
    <w:rsid w:val="47207727"/>
    <w:rsid w:val="47262F6D"/>
    <w:rsid w:val="473037E0"/>
    <w:rsid w:val="476074CC"/>
    <w:rsid w:val="476475F1"/>
    <w:rsid w:val="477A5E85"/>
    <w:rsid w:val="479F0B82"/>
    <w:rsid w:val="48192A0F"/>
    <w:rsid w:val="482E775E"/>
    <w:rsid w:val="4843385D"/>
    <w:rsid w:val="48633933"/>
    <w:rsid w:val="486468FD"/>
    <w:rsid w:val="48651163"/>
    <w:rsid w:val="48651873"/>
    <w:rsid w:val="48897310"/>
    <w:rsid w:val="49290AF3"/>
    <w:rsid w:val="49437766"/>
    <w:rsid w:val="49832EF7"/>
    <w:rsid w:val="499414FD"/>
    <w:rsid w:val="49B501A1"/>
    <w:rsid w:val="49B87630"/>
    <w:rsid w:val="49C8157C"/>
    <w:rsid w:val="49DE531A"/>
    <w:rsid w:val="49FE77FF"/>
    <w:rsid w:val="4A003601"/>
    <w:rsid w:val="4A1B26F5"/>
    <w:rsid w:val="4A3F1BC2"/>
    <w:rsid w:val="4A5F04EB"/>
    <w:rsid w:val="4A7D2EA4"/>
    <w:rsid w:val="4A8579DF"/>
    <w:rsid w:val="4A9F40E0"/>
    <w:rsid w:val="4AB64587"/>
    <w:rsid w:val="4AD41E4F"/>
    <w:rsid w:val="4B236CE5"/>
    <w:rsid w:val="4B3E1AF7"/>
    <w:rsid w:val="4B8D5369"/>
    <w:rsid w:val="4BB548C0"/>
    <w:rsid w:val="4BC55F4C"/>
    <w:rsid w:val="4BC7402D"/>
    <w:rsid w:val="4BD302E8"/>
    <w:rsid w:val="4BF07735"/>
    <w:rsid w:val="4C033F52"/>
    <w:rsid w:val="4C30647E"/>
    <w:rsid w:val="4C506A7C"/>
    <w:rsid w:val="4C910E89"/>
    <w:rsid w:val="4CC90623"/>
    <w:rsid w:val="4CCC6BE3"/>
    <w:rsid w:val="4CE362A1"/>
    <w:rsid w:val="4D1A1E8B"/>
    <w:rsid w:val="4D2A6BE7"/>
    <w:rsid w:val="4D6A34E3"/>
    <w:rsid w:val="4D957FFE"/>
    <w:rsid w:val="4D967B46"/>
    <w:rsid w:val="4D9C3C5B"/>
    <w:rsid w:val="4DA96288"/>
    <w:rsid w:val="4E79244E"/>
    <w:rsid w:val="4EC80037"/>
    <w:rsid w:val="4F2A553B"/>
    <w:rsid w:val="4F500846"/>
    <w:rsid w:val="4FA061EF"/>
    <w:rsid w:val="4FAA5DDF"/>
    <w:rsid w:val="4FAC2F9E"/>
    <w:rsid w:val="4FC94E2D"/>
    <w:rsid w:val="501D0494"/>
    <w:rsid w:val="50AA54B5"/>
    <w:rsid w:val="50AF7B2F"/>
    <w:rsid w:val="50B25872"/>
    <w:rsid w:val="50BB0282"/>
    <w:rsid w:val="51140871"/>
    <w:rsid w:val="511C523B"/>
    <w:rsid w:val="511D03F6"/>
    <w:rsid w:val="51387B25"/>
    <w:rsid w:val="51737055"/>
    <w:rsid w:val="51826FF2"/>
    <w:rsid w:val="518717BE"/>
    <w:rsid w:val="519130BE"/>
    <w:rsid w:val="51AF6B53"/>
    <w:rsid w:val="51C21FC2"/>
    <w:rsid w:val="51E6045F"/>
    <w:rsid w:val="51E85DC0"/>
    <w:rsid w:val="528E03BB"/>
    <w:rsid w:val="52B91773"/>
    <w:rsid w:val="52D01FDF"/>
    <w:rsid w:val="52F024A8"/>
    <w:rsid w:val="530800F7"/>
    <w:rsid w:val="531B45BC"/>
    <w:rsid w:val="53780AA4"/>
    <w:rsid w:val="537E13E5"/>
    <w:rsid w:val="53A07EE0"/>
    <w:rsid w:val="5402441A"/>
    <w:rsid w:val="5465326C"/>
    <w:rsid w:val="547C241E"/>
    <w:rsid w:val="548F48EA"/>
    <w:rsid w:val="549142D4"/>
    <w:rsid w:val="5495703C"/>
    <w:rsid w:val="55643E9D"/>
    <w:rsid w:val="556F4B7B"/>
    <w:rsid w:val="55727548"/>
    <w:rsid w:val="55773FF8"/>
    <w:rsid w:val="5579695E"/>
    <w:rsid w:val="557C31B7"/>
    <w:rsid w:val="56075D18"/>
    <w:rsid w:val="565C42B5"/>
    <w:rsid w:val="56B45EE9"/>
    <w:rsid w:val="56BF7082"/>
    <w:rsid w:val="56C32F91"/>
    <w:rsid w:val="56F22A4F"/>
    <w:rsid w:val="572A43B4"/>
    <w:rsid w:val="577478E1"/>
    <w:rsid w:val="57923D07"/>
    <w:rsid w:val="57BB74D2"/>
    <w:rsid w:val="57BD3593"/>
    <w:rsid w:val="57EC394C"/>
    <w:rsid w:val="58181E9B"/>
    <w:rsid w:val="581F6641"/>
    <w:rsid w:val="583106D3"/>
    <w:rsid w:val="58937D37"/>
    <w:rsid w:val="58AE4B70"/>
    <w:rsid w:val="58BF6D7E"/>
    <w:rsid w:val="58FF22E7"/>
    <w:rsid w:val="59745599"/>
    <w:rsid w:val="599C4F8A"/>
    <w:rsid w:val="59CF7480"/>
    <w:rsid w:val="5A2F1CA7"/>
    <w:rsid w:val="5A692FDD"/>
    <w:rsid w:val="5A726E5B"/>
    <w:rsid w:val="5A81253D"/>
    <w:rsid w:val="5A875601"/>
    <w:rsid w:val="5A8E07B6"/>
    <w:rsid w:val="5A935697"/>
    <w:rsid w:val="5AA24261"/>
    <w:rsid w:val="5AD42FAA"/>
    <w:rsid w:val="5AE13D2F"/>
    <w:rsid w:val="5AEB5F12"/>
    <w:rsid w:val="5AF869C4"/>
    <w:rsid w:val="5B2568B5"/>
    <w:rsid w:val="5BA34735"/>
    <w:rsid w:val="5BD25758"/>
    <w:rsid w:val="5BF1763B"/>
    <w:rsid w:val="5C000BC7"/>
    <w:rsid w:val="5C564EBF"/>
    <w:rsid w:val="5C8400C2"/>
    <w:rsid w:val="5C991439"/>
    <w:rsid w:val="5CB9763D"/>
    <w:rsid w:val="5CDF2C12"/>
    <w:rsid w:val="5CF521AE"/>
    <w:rsid w:val="5D04560C"/>
    <w:rsid w:val="5D0928E8"/>
    <w:rsid w:val="5D0A4D9F"/>
    <w:rsid w:val="5D0F351F"/>
    <w:rsid w:val="5D173C94"/>
    <w:rsid w:val="5D696601"/>
    <w:rsid w:val="5D8F48BA"/>
    <w:rsid w:val="5D9E7ED1"/>
    <w:rsid w:val="5DB20C5F"/>
    <w:rsid w:val="5DCD03F1"/>
    <w:rsid w:val="5DE828D3"/>
    <w:rsid w:val="5E1257DC"/>
    <w:rsid w:val="5E23286C"/>
    <w:rsid w:val="5E345B18"/>
    <w:rsid w:val="5E7145CB"/>
    <w:rsid w:val="5EA97EF5"/>
    <w:rsid w:val="5EB17168"/>
    <w:rsid w:val="5ED0759E"/>
    <w:rsid w:val="5ED74E21"/>
    <w:rsid w:val="5EDC7B5B"/>
    <w:rsid w:val="5EDD6E9F"/>
    <w:rsid w:val="5EE412EC"/>
    <w:rsid w:val="5F007017"/>
    <w:rsid w:val="5F1525F3"/>
    <w:rsid w:val="5F2A4618"/>
    <w:rsid w:val="5FB14D51"/>
    <w:rsid w:val="5FB749BB"/>
    <w:rsid w:val="5FDF24EC"/>
    <w:rsid w:val="601856F1"/>
    <w:rsid w:val="603506CC"/>
    <w:rsid w:val="60432042"/>
    <w:rsid w:val="605E6E7C"/>
    <w:rsid w:val="60646909"/>
    <w:rsid w:val="606673DA"/>
    <w:rsid w:val="606A4DBD"/>
    <w:rsid w:val="60914F2C"/>
    <w:rsid w:val="60A3109B"/>
    <w:rsid w:val="60A86923"/>
    <w:rsid w:val="615F4C5A"/>
    <w:rsid w:val="6186080A"/>
    <w:rsid w:val="61881FB2"/>
    <w:rsid w:val="618E553F"/>
    <w:rsid w:val="61953421"/>
    <w:rsid w:val="61A905CB"/>
    <w:rsid w:val="61E31A74"/>
    <w:rsid w:val="623115A4"/>
    <w:rsid w:val="623F25B5"/>
    <w:rsid w:val="6299163B"/>
    <w:rsid w:val="62E20295"/>
    <w:rsid w:val="62ED7B5F"/>
    <w:rsid w:val="62EF2739"/>
    <w:rsid w:val="62FF4B1B"/>
    <w:rsid w:val="63100901"/>
    <w:rsid w:val="631A5652"/>
    <w:rsid w:val="63245140"/>
    <w:rsid w:val="63351AF5"/>
    <w:rsid w:val="637E3F3F"/>
    <w:rsid w:val="63A931D0"/>
    <w:rsid w:val="63B80B3A"/>
    <w:rsid w:val="63DF4AE4"/>
    <w:rsid w:val="63F0603D"/>
    <w:rsid w:val="641A6606"/>
    <w:rsid w:val="644A50DD"/>
    <w:rsid w:val="647E189B"/>
    <w:rsid w:val="648253A3"/>
    <w:rsid w:val="64FF75F5"/>
    <w:rsid w:val="653B778C"/>
    <w:rsid w:val="654A5C21"/>
    <w:rsid w:val="654E74BF"/>
    <w:rsid w:val="65591B4C"/>
    <w:rsid w:val="65662771"/>
    <w:rsid w:val="65A370B1"/>
    <w:rsid w:val="65A84DA0"/>
    <w:rsid w:val="65C01050"/>
    <w:rsid w:val="660D52D7"/>
    <w:rsid w:val="665A1299"/>
    <w:rsid w:val="666075E6"/>
    <w:rsid w:val="66AD4A01"/>
    <w:rsid w:val="66CA6AD2"/>
    <w:rsid w:val="66DC6FE8"/>
    <w:rsid w:val="66E67276"/>
    <w:rsid w:val="66EA76BB"/>
    <w:rsid w:val="673B7F17"/>
    <w:rsid w:val="676270E4"/>
    <w:rsid w:val="67B85441"/>
    <w:rsid w:val="67C223E6"/>
    <w:rsid w:val="67C717AB"/>
    <w:rsid w:val="67D46EF3"/>
    <w:rsid w:val="6815184F"/>
    <w:rsid w:val="68332096"/>
    <w:rsid w:val="692B2738"/>
    <w:rsid w:val="6990454A"/>
    <w:rsid w:val="699B55AA"/>
    <w:rsid w:val="69A91168"/>
    <w:rsid w:val="69B3623A"/>
    <w:rsid w:val="69CD6E08"/>
    <w:rsid w:val="69F820EF"/>
    <w:rsid w:val="6AC1698C"/>
    <w:rsid w:val="6B071973"/>
    <w:rsid w:val="6B4355EC"/>
    <w:rsid w:val="6B462B43"/>
    <w:rsid w:val="6B4A2841"/>
    <w:rsid w:val="6B4D11C2"/>
    <w:rsid w:val="6B5127AE"/>
    <w:rsid w:val="6B742CDB"/>
    <w:rsid w:val="6B825A27"/>
    <w:rsid w:val="6B9F0244"/>
    <w:rsid w:val="6C333D44"/>
    <w:rsid w:val="6C3F1173"/>
    <w:rsid w:val="6C402CDE"/>
    <w:rsid w:val="6C4517E3"/>
    <w:rsid w:val="6C532E82"/>
    <w:rsid w:val="6CA22C75"/>
    <w:rsid w:val="6CA64822"/>
    <w:rsid w:val="6CB06CB1"/>
    <w:rsid w:val="6CB74DAD"/>
    <w:rsid w:val="6CE42E4B"/>
    <w:rsid w:val="6CEE40E5"/>
    <w:rsid w:val="6D0D7C60"/>
    <w:rsid w:val="6D372E7E"/>
    <w:rsid w:val="6D4120C3"/>
    <w:rsid w:val="6D535A6B"/>
    <w:rsid w:val="6DBB2BB9"/>
    <w:rsid w:val="6E052163"/>
    <w:rsid w:val="6E1A0886"/>
    <w:rsid w:val="6E2E6099"/>
    <w:rsid w:val="6E456D47"/>
    <w:rsid w:val="6E48584D"/>
    <w:rsid w:val="6E5F06CC"/>
    <w:rsid w:val="6E8136D1"/>
    <w:rsid w:val="6E947F9F"/>
    <w:rsid w:val="6EAB0A9F"/>
    <w:rsid w:val="6EBE3608"/>
    <w:rsid w:val="6EE63F95"/>
    <w:rsid w:val="6EF21158"/>
    <w:rsid w:val="6EF46338"/>
    <w:rsid w:val="6F033952"/>
    <w:rsid w:val="6F232584"/>
    <w:rsid w:val="6F2D6148"/>
    <w:rsid w:val="6F433E0D"/>
    <w:rsid w:val="6F5558EE"/>
    <w:rsid w:val="6F761DAA"/>
    <w:rsid w:val="6F875081"/>
    <w:rsid w:val="6F9D4000"/>
    <w:rsid w:val="704A6302"/>
    <w:rsid w:val="70512586"/>
    <w:rsid w:val="70A9269F"/>
    <w:rsid w:val="70E81E6E"/>
    <w:rsid w:val="71034055"/>
    <w:rsid w:val="71267542"/>
    <w:rsid w:val="71304114"/>
    <w:rsid w:val="713F0F73"/>
    <w:rsid w:val="71594D33"/>
    <w:rsid w:val="715A543E"/>
    <w:rsid w:val="715D6DA6"/>
    <w:rsid w:val="71803C89"/>
    <w:rsid w:val="71A36DE5"/>
    <w:rsid w:val="71B95CC0"/>
    <w:rsid w:val="71C31F0A"/>
    <w:rsid w:val="71E35433"/>
    <w:rsid w:val="71E92D84"/>
    <w:rsid w:val="71EC42E8"/>
    <w:rsid w:val="72005FE5"/>
    <w:rsid w:val="72491C83"/>
    <w:rsid w:val="726919BE"/>
    <w:rsid w:val="72BD5C84"/>
    <w:rsid w:val="72FA4DA6"/>
    <w:rsid w:val="73012B16"/>
    <w:rsid w:val="73215F87"/>
    <w:rsid w:val="734E594C"/>
    <w:rsid w:val="73CD639B"/>
    <w:rsid w:val="73EE6596"/>
    <w:rsid w:val="740D30A8"/>
    <w:rsid w:val="741A3A35"/>
    <w:rsid w:val="74536B93"/>
    <w:rsid w:val="74822CE1"/>
    <w:rsid w:val="74AC2B47"/>
    <w:rsid w:val="74B53F65"/>
    <w:rsid w:val="753D32F4"/>
    <w:rsid w:val="75BD7F3E"/>
    <w:rsid w:val="75D73F66"/>
    <w:rsid w:val="760F67F7"/>
    <w:rsid w:val="76254DF7"/>
    <w:rsid w:val="76390769"/>
    <w:rsid w:val="768A0573"/>
    <w:rsid w:val="768A6825"/>
    <w:rsid w:val="76A0687D"/>
    <w:rsid w:val="76A96C4B"/>
    <w:rsid w:val="76E37676"/>
    <w:rsid w:val="76FE0619"/>
    <w:rsid w:val="7706171B"/>
    <w:rsid w:val="77274014"/>
    <w:rsid w:val="772A439D"/>
    <w:rsid w:val="773F4EBA"/>
    <w:rsid w:val="77682E8C"/>
    <w:rsid w:val="778C1C92"/>
    <w:rsid w:val="77C60C6B"/>
    <w:rsid w:val="78054BDB"/>
    <w:rsid w:val="781D4A97"/>
    <w:rsid w:val="782567A5"/>
    <w:rsid w:val="782B4956"/>
    <w:rsid w:val="782D565A"/>
    <w:rsid w:val="78393BDC"/>
    <w:rsid w:val="787F0B37"/>
    <w:rsid w:val="7885416D"/>
    <w:rsid w:val="78A47B52"/>
    <w:rsid w:val="78A91183"/>
    <w:rsid w:val="78F04E11"/>
    <w:rsid w:val="790D1244"/>
    <w:rsid w:val="790D6681"/>
    <w:rsid w:val="791F1D70"/>
    <w:rsid w:val="79A00C23"/>
    <w:rsid w:val="79A34B8C"/>
    <w:rsid w:val="79EB6F1F"/>
    <w:rsid w:val="7A094344"/>
    <w:rsid w:val="7A330A29"/>
    <w:rsid w:val="7A4E7E8B"/>
    <w:rsid w:val="7A611D04"/>
    <w:rsid w:val="7A654D72"/>
    <w:rsid w:val="7A922F76"/>
    <w:rsid w:val="7AA2481C"/>
    <w:rsid w:val="7AD5622F"/>
    <w:rsid w:val="7B413C96"/>
    <w:rsid w:val="7B551B25"/>
    <w:rsid w:val="7B7A2964"/>
    <w:rsid w:val="7BB84656"/>
    <w:rsid w:val="7BD96C97"/>
    <w:rsid w:val="7BE6194C"/>
    <w:rsid w:val="7BEE023A"/>
    <w:rsid w:val="7BFD3595"/>
    <w:rsid w:val="7C016BE2"/>
    <w:rsid w:val="7C0F7C05"/>
    <w:rsid w:val="7C5A4544"/>
    <w:rsid w:val="7C711F75"/>
    <w:rsid w:val="7C773348"/>
    <w:rsid w:val="7C78071C"/>
    <w:rsid w:val="7C812FE8"/>
    <w:rsid w:val="7C8B2109"/>
    <w:rsid w:val="7C9D246D"/>
    <w:rsid w:val="7CE85FF3"/>
    <w:rsid w:val="7D580A83"/>
    <w:rsid w:val="7D7D2BE0"/>
    <w:rsid w:val="7D935485"/>
    <w:rsid w:val="7DBC700E"/>
    <w:rsid w:val="7DC26460"/>
    <w:rsid w:val="7DC46119"/>
    <w:rsid w:val="7DC878B1"/>
    <w:rsid w:val="7E1621A7"/>
    <w:rsid w:val="7E194417"/>
    <w:rsid w:val="7E6B0C8A"/>
    <w:rsid w:val="7EB14CC0"/>
    <w:rsid w:val="7ED22704"/>
    <w:rsid w:val="7EDC18D9"/>
    <w:rsid w:val="7EF5607F"/>
    <w:rsid w:val="7F7D6879"/>
    <w:rsid w:val="7FCB5E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wordWrap w:val="0"/>
      <w:spacing w:line="360" w:lineRule="auto"/>
    </w:pPr>
    <w:rPr>
      <w:rFonts w:ascii="Times New Roman" w:hAnsi="Times New Roman" w:eastAsia="宋体" w:cs="宋体"/>
      <w:sz w:val="24"/>
      <w:szCs w:val="24"/>
      <w:lang w:val="en-US" w:eastAsia="zh-CN" w:bidi="ar-SA"/>
    </w:rPr>
  </w:style>
  <w:style w:type="paragraph" w:styleId="2">
    <w:name w:val="heading 1"/>
    <w:basedOn w:val="1"/>
    <w:next w:val="1"/>
    <w:link w:val="38"/>
    <w:qFormat/>
    <w:uiPriority w:val="0"/>
    <w:pPr>
      <w:outlineLvl w:val="0"/>
    </w:pPr>
    <w:rPr>
      <w:b/>
      <w:bCs/>
      <w:sz w:val="32"/>
      <w:szCs w:val="32"/>
    </w:rPr>
  </w:style>
  <w:style w:type="paragraph" w:styleId="3">
    <w:name w:val="heading 2"/>
    <w:basedOn w:val="1"/>
    <w:next w:val="1"/>
    <w:unhideWhenUsed/>
    <w:qFormat/>
    <w:uiPriority w:val="0"/>
    <w:pPr>
      <w:topLinePunct/>
      <w:outlineLvl w:val="1"/>
    </w:pPr>
    <w:rPr>
      <w:b/>
      <w:sz w:val="30"/>
      <w:szCs w:val="28"/>
      <w:lang w:eastAsia="en-US" w:bidi="en-US"/>
    </w:rPr>
  </w:style>
  <w:style w:type="paragraph" w:styleId="4">
    <w:name w:val="heading 3"/>
    <w:basedOn w:val="1"/>
    <w:next w:val="1"/>
    <w:link w:val="39"/>
    <w:unhideWhenUsed/>
    <w:qFormat/>
    <w:uiPriority w:val="0"/>
    <w:pPr>
      <w:snapToGrid w:val="0"/>
      <w:spacing w:before="120"/>
      <w:outlineLvl w:val="2"/>
    </w:pPr>
    <w:rPr>
      <w:rFonts w:ascii="Times New Roman" w:hAnsi="Times New Roman" w:eastAsia="宋体"/>
      <w:b/>
      <w:sz w:val="28"/>
      <w:szCs w:val="28"/>
    </w:rPr>
  </w:style>
  <w:style w:type="paragraph" w:styleId="5">
    <w:name w:val="heading 4"/>
    <w:basedOn w:val="1"/>
    <w:next w:val="1"/>
    <w:unhideWhenUsed/>
    <w:qFormat/>
    <w:uiPriority w:val="0"/>
    <w:pPr>
      <w:keepNext/>
      <w:keepLines/>
      <w:numPr>
        <w:ilvl w:val="3"/>
        <w:numId w:val="1"/>
      </w:numPr>
      <w:spacing w:line="240" w:lineRule="auto"/>
      <w:outlineLvl w:val="3"/>
    </w:pPr>
    <w:rPr>
      <w:rFonts w:cs="Times New Roman"/>
      <w:b/>
      <w:kern w:val="21"/>
    </w:rPr>
  </w:style>
  <w:style w:type="paragraph" w:styleId="6">
    <w:name w:val="heading 5"/>
    <w:basedOn w:val="1"/>
    <w:next w:val="1"/>
    <w:semiHidden/>
    <w:unhideWhenUsed/>
    <w:qFormat/>
    <w:uiPriority w:val="0"/>
    <w:pPr>
      <w:keepNext/>
      <w:keepLines/>
      <w:numPr>
        <w:ilvl w:val="4"/>
        <w:numId w:val="1"/>
      </w:numPr>
      <w:spacing w:line="240" w:lineRule="auto"/>
      <w:outlineLvl w:val="4"/>
    </w:pPr>
    <w:rPr>
      <w:rFonts w:cs="Times New Roman"/>
      <w:b/>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35">
    <w:name w:val="Default Paragraph Font"/>
    <w:semiHidden/>
    <w:unhideWhenUsed/>
    <w:qFormat/>
    <w:uiPriority w:val="1"/>
  </w:style>
  <w:style w:type="table" w:default="1" w:styleId="33">
    <w:name w:val="Normal Table"/>
    <w:semiHidden/>
    <w:unhideWhenUsed/>
    <w:qFormat/>
    <w:uiPriority w:val="99"/>
    <w:tblPr>
      <w:tblCellMar>
        <w:top w:w="0" w:type="dxa"/>
        <w:left w:w="108" w:type="dxa"/>
        <w:bottom w:w="0" w:type="dxa"/>
        <w:right w:w="108" w:type="dxa"/>
      </w:tblCellMar>
    </w:tblPr>
  </w:style>
  <w:style w:type="paragraph" w:styleId="11">
    <w:name w:val="Normal Indent"/>
    <w:basedOn w:val="1"/>
    <w:next w:val="5"/>
    <w:qFormat/>
    <w:uiPriority w:val="0"/>
    <w:pPr>
      <w:spacing w:line="240" w:lineRule="auto"/>
      <w:ind w:firstLine="420"/>
    </w:pPr>
    <w:rPr>
      <w:sz w:val="21"/>
    </w:rPr>
  </w:style>
  <w:style w:type="paragraph" w:styleId="12">
    <w:name w:val="caption"/>
    <w:basedOn w:val="1"/>
    <w:next w:val="1"/>
    <w:qFormat/>
    <w:uiPriority w:val="0"/>
    <w:pPr>
      <w:spacing w:line="240" w:lineRule="auto"/>
    </w:pPr>
    <w:rPr>
      <w:rFonts w:ascii="Arial" w:hAnsi="Arial" w:eastAsia="黑体" w:cs="Arial"/>
      <w:sz w:val="20"/>
      <w:szCs w:val="20"/>
    </w:rPr>
  </w:style>
  <w:style w:type="paragraph" w:styleId="13">
    <w:name w:val="annotation text"/>
    <w:basedOn w:val="1"/>
    <w:link w:val="68"/>
    <w:qFormat/>
    <w:uiPriority w:val="0"/>
  </w:style>
  <w:style w:type="paragraph" w:styleId="14">
    <w:name w:val="Body Text"/>
    <w:basedOn w:val="1"/>
    <w:next w:val="1"/>
    <w:qFormat/>
    <w:uiPriority w:val="0"/>
    <w:pPr>
      <w:spacing w:after="120"/>
    </w:pPr>
  </w:style>
  <w:style w:type="paragraph" w:styleId="15">
    <w:name w:val="Body Text Indent"/>
    <w:basedOn w:val="1"/>
    <w:qFormat/>
    <w:uiPriority w:val="0"/>
    <w:pPr>
      <w:spacing w:after="120"/>
      <w:ind w:left="420" w:leftChars="200"/>
      <w:jc w:val="both"/>
    </w:pPr>
    <w:rPr>
      <w:rFonts w:cs="Times New Roman"/>
      <w:kern w:val="2"/>
      <w:sz w:val="21"/>
    </w:rPr>
  </w:style>
  <w:style w:type="paragraph" w:styleId="16">
    <w:name w:val="HTML Address"/>
    <w:basedOn w:val="1"/>
    <w:qFormat/>
    <w:uiPriority w:val="0"/>
    <w:rPr>
      <w:i/>
    </w:rPr>
  </w:style>
  <w:style w:type="paragraph" w:styleId="17">
    <w:name w:val="Plain Text"/>
    <w:basedOn w:val="1"/>
    <w:next w:val="15"/>
    <w:unhideWhenUsed/>
    <w:qFormat/>
    <w:uiPriority w:val="0"/>
    <w:pPr>
      <w:spacing w:line="240" w:lineRule="auto"/>
    </w:pPr>
    <w:rPr>
      <w:rFonts w:ascii="宋体" w:hAnsi="Courier New" w:cs="Courier New"/>
      <w:sz w:val="21"/>
      <w:szCs w:val="21"/>
    </w:rPr>
  </w:style>
  <w:style w:type="paragraph" w:styleId="18">
    <w:name w:val="Body Text Indent 2"/>
    <w:basedOn w:val="1"/>
    <w:qFormat/>
    <w:uiPriority w:val="0"/>
    <w:pPr>
      <w:spacing w:line="460" w:lineRule="exact"/>
      <w:ind w:firstLine="538" w:firstLineChars="192"/>
    </w:pPr>
    <w:rPr>
      <w:rFonts w:ascii="仿宋_GB2312" w:eastAsia="仿宋_GB2312"/>
      <w:sz w:val="28"/>
    </w:rPr>
  </w:style>
  <w:style w:type="paragraph" w:styleId="19">
    <w:name w:val="Balloon Text"/>
    <w:basedOn w:val="1"/>
    <w:link w:val="70"/>
    <w:qFormat/>
    <w:uiPriority w:val="0"/>
    <w:pPr>
      <w:spacing w:line="240" w:lineRule="auto"/>
    </w:pPr>
    <w:rPr>
      <w:sz w:val="18"/>
      <w:szCs w:val="18"/>
    </w:rPr>
  </w:style>
  <w:style w:type="paragraph" w:styleId="20">
    <w:name w:val="footer"/>
    <w:basedOn w:val="1"/>
    <w:qFormat/>
    <w:uiPriority w:val="0"/>
    <w:pPr>
      <w:tabs>
        <w:tab w:val="center" w:pos="4153"/>
        <w:tab w:val="right" w:pos="8306"/>
      </w:tabs>
      <w:snapToGrid w:val="0"/>
    </w:pPr>
    <w:rPr>
      <w:sz w:val="18"/>
    </w:rPr>
  </w:style>
  <w:style w:type="paragraph" w:styleId="21">
    <w:name w:val="header"/>
    <w:basedOn w:val="1"/>
    <w:next w:val="22"/>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rFonts w:cs="Times New Roman"/>
      <w:kern w:val="2"/>
      <w:sz w:val="18"/>
      <w:szCs w:val="20"/>
    </w:rPr>
  </w:style>
  <w:style w:type="paragraph" w:customStyle="1" w:styleId="22">
    <w:name w:val="样式5"/>
    <w:qFormat/>
    <w:uiPriority w:val="0"/>
    <w:pPr>
      <w:tabs>
        <w:tab w:val="center" w:pos="4153"/>
        <w:tab w:val="right" w:pos="8306"/>
      </w:tabs>
      <w:snapToGrid w:val="0"/>
      <w:spacing w:line="440" w:lineRule="exact"/>
      <w:ind w:firstLine="425"/>
      <w:jc w:val="both"/>
    </w:pPr>
    <w:rPr>
      <w:rFonts w:ascii="Times New Roman" w:hAnsi="Times New Roman" w:eastAsia="宋体" w:cs="Times New Roman"/>
      <w:color w:val="000000"/>
      <w:kern w:val="2"/>
      <w:sz w:val="18"/>
      <w:szCs w:val="24"/>
      <w:lang w:val="en-US" w:eastAsia="zh-CN" w:bidi="ar-SA"/>
    </w:rPr>
  </w:style>
  <w:style w:type="paragraph" w:styleId="23">
    <w:name w:val="toc 1"/>
    <w:basedOn w:val="1"/>
    <w:next w:val="1"/>
    <w:qFormat/>
    <w:uiPriority w:val="39"/>
    <w:pPr>
      <w:spacing w:before="120" w:after="120"/>
    </w:pPr>
    <w:rPr>
      <w:rFonts w:cs="Times New Roman"/>
      <w:b/>
      <w:bCs/>
      <w:caps/>
      <w:kern w:val="2"/>
      <w:sz w:val="20"/>
      <w:szCs w:val="20"/>
    </w:rPr>
  </w:style>
  <w:style w:type="paragraph" w:styleId="24">
    <w:name w:val="index heading"/>
    <w:basedOn w:val="1"/>
    <w:next w:val="25"/>
    <w:semiHidden/>
    <w:qFormat/>
    <w:uiPriority w:val="0"/>
    <w:rPr>
      <w:rFonts w:ascii="Arial" w:hAnsi="Arial" w:cs="Arial"/>
      <w:b/>
      <w:bCs/>
    </w:rPr>
  </w:style>
  <w:style w:type="paragraph" w:styleId="25">
    <w:name w:val="index 1"/>
    <w:basedOn w:val="1"/>
    <w:next w:val="1"/>
    <w:semiHidden/>
    <w:qFormat/>
    <w:uiPriority w:val="0"/>
  </w:style>
  <w:style w:type="paragraph" w:styleId="26">
    <w:name w:val="toc 2"/>
    <w:basedOn w:val="1"/>
    <w:next w:val="1"/>
    <w:qFormat/>
    <w:uiPriority w:val="39"/>
    <w:pPr>
      <w:ind w:left="210"/>
    </w:pPr>
    <w:rPr>
      <w:rFonts w:cs="Times New Roman"/>
      <w:smallCaps/>
      <w:kern w:val="2"/>
      <w:sz w:val="20"/>
      <w:szCs w:val="20"/>
    </w:rPr>
  </w:style>
  <w:style w:type="paragraph" w:styleId="27">
    <w:name w:val="Body Text 2"/>
    <w:basedOn w:val="1"/>
    <w:unhideWhenUsed/>
    <w:qFormat/>
    <w:uiPriority w:val="99"/>
    <w:pPr>
      <w:spacing w:after="120" w:line="480" w:lineRule="auto"/>
    </w:pPr>
  </w:style>
  <w:style w:type="paragraph" w:styleId="28">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9">
    <w:name w:val="Title"/>
    <w:basedOn w:val="1"/>
    <w:qFormat/>
    <w:uiPriority w:val="0"/>
    <w:pPr>
      <w:spacing w:before="240" w:after="60"/>
      <w:jc w:val="center"/>
      <w:outlineLvl w:val="0"/>
    </w:pPr>
    <w:rPr>
      <w:rFonts w:ascii="Arial" w:hAnsi="Arial"/>
      <w:b/>
      <w:sz w:val="32"/>
    </w:rPr>
  </w:style>
  <w:style w:type="paragraph" w:styleId="30">
    <w:name w:val="annotation subject"/>
    <w:basedOn w:val="13"/>
    <w:next w:val="13"/>
    <w:link w:val="69"/>
    <w:qFormat/>
    <w:uiPriority w:val="0"/>
    <w:rPr>
      <w:b/>
      <w:bCs/>
    </w:rPr>
  </w:style>
  <w:style w:type="paragraph" w:styleId="31">
    <w:name w:val="Body Text First Indent"/>
    <w:basedOn w:val="14"/>
    <w:next w:val="1"/>
    <w:qFormat/>
    <w:uiPriority w:val="0"/>
    <w:pPr>
      <w:ind w:firstLine="420" w:firstLineChars="100"/>
    </w:pPr>
  </w:style>
  <w:style w:type="paragraph" w:styleId="32">
    <w:name w:val="Body Text First Indent 2"/>
    <w:basedOn w:val="15"/>
    <w:qFormat/>
    <w:uiPriority w:val="0"/>
    <w:pPr>
      <w:ind w:firstLine="420" w:firstLineChars="200"/>
    </w:pPr>
  </w:style>
  <w:style w:type="table" w:styleId="34">
    <w:name w:val="Table Grid"/>
    <w:basedOn w:val="3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uiPriority w:val="0"/>
  </w:style>
  <w:style w:type="character" w:styleId="37">
    <w:name w:val="annotation reference"/>
    <w:semiHidden/>
    <w:qFormat/>
    <w:uiPriority w:val="0"/>
    <w:rPr>
      <w:sz w:val="21"/>
      <w:szCs w:val="21"/>
    </w:rPr>
  </w:style>
  <w:style w:type="character" w:customStyle="1" w:styleId="38">
    <w:name w:val="标题 1 字符"/>
    <w:link w:val="2"/>
    <w:qFormat/>
    <w:uiPriority w:val="0"/>
    <w:rPr>
      <w:rFonts w:ascii="Times New Roman" w:hAnsi="Times New Roman" w:eastAsia="宋体" w:cs="宋体"/>
      <w:b/>
      <w:bCs/>
      <w:kern w:val="0"/>
      <w:sz w:val="32"/>
      <w:szCs w:val="32"/>
    </w:rPr>
  </w:style>
  <w:style w:type="character" w:customStyle="1" w:styleId="39">
    <w:name w:val="标题 3 字符"/>
    <w:link w:val="4"/>
    <w:qFormat/>
    <w:uiPriority w:val="0"/>
    <w:rPr>
      <w:rFonts w:ascii="Times New Roman" w:hAnsi="Times New Roman" w:eastAsia="宋体" w:cs="Times New Roman"/>
      <w:b/>
      <w:sz w:val="28"/>
      <w:szCs w:val="22"/>
    </w:rPr>
  </w:style>
  <w:style w:type="paragraph" w:customStyle="1" w:styleId="40">
    <w:name w:val="表格"/>
    <w:basedOn w:val="1"/>
    <w:qFormat/>
    <w:uiPriority w:val="0"/>
    <w:pPr>
      <w:widowControl/>
      <w:wordWrap w:val="0"/>
      <w:topLinePunct/>
      <w:spacing w:line="240" w:lineRule="auto"/>
      <w:jc w:val="center"/>
      <w:textAlignment w:val="center"/>
    </w:pPr>
    <w:rPr>
      <w:rFonts w:cs="Times New Roman"/>
      <w:color w:val="000000"/>
      <w:sz w:val="21"/>
      <w:szCs w:val="22"/>
    </w:rPr>
  </w:style>
  <w:style w:type="paragraph" w:customStyle="1" w:styleId="41">
    <w:name w:val="表内文字"/>
    <w:basedOn w:val="1"/>
    <w:qFormat/>
    <w:uiPriority w:val="0"/>
    <w:pPr>
      <w:spacing w:line="240" w:lineRule="auto"/>
      <w:jc w:val="center"/>
    </w:pPr>
    <w:rPr>
      <w:rFonts w:cs="Times New Roman"/>
      <w:sz w:val="21"/>
    </w:rPr>
  </w:style>
  <w:style w:type="paragraph" w:customStyle="1" w:styleId="42">
    <w:name w:val="表头"/>
    <w:basedOn w:val="1"/>
    <w:next w:val="1"/>
    <w:qFormat/>
    <w:uiPriority w:val="0"/>
    <w:pPr>
      <w:widowControl/>
      <w:wordWrap w:val="0"/>
      <w:topLinePunct/>
      <w:spacing w:line="240" w:lineRule="auto"/>
      <w:jc w:val="center"/>
      <w:textAlignment w:val="center"/>
    </w:pPr>
    <w:rPr>
      <w:rFonts w:cs="Times New Roman"/>
      <w:b/>
      <w:color w:val="000000"/>
      <w:sz w:val="21"/>
      <w:szCs w:val="22"/>
    </w:rPr>
  </w:style>
  <w:style w:type="paragraph" w:customStyle="1" w:styleId="43">
    <w:name w:val="表名"/>
    <w:basedOn w:val="1"/>
    <w:qFormat/>
    <w:uiPriority w:val="0"/>
    <w:pPr>
      <w:jc w:val="center"/>
    </w:pPr>
    <w:rPr>
      <w:rFonts w:cs="Times New Roman"/>
      <w:b/>
    </w:rPr>
  </w:style>
  <w:style w:type="paragraph" w:customStyle="1" w:styleId="44">
    <w:name w:val="表头标题格式"/>
    <w:basedOn w:val="1"/>
    <w:qFormat/>
    <w:uiPriority w:val="0"/>
    <w:pPr>
      <w:tabs>
        <w:tab w:val="left" w:pos="360"/>
        <w:tab w:val="left" w:pos="1620"/>
      </w:tabs>
      <w:jc w:val="center"/>
    </w:pPr>
    <w:rPr>
      <w:rFonts w:ascii="黑体" w:eastAsia="黑体" w:cs="Times New Roman"/>
      <w:b/>
      <w:bCs/>
      <w:kern w:val="2"/>
      <w:szCs w:val="20"/>
    </w:rPr>
  </w:style>
  <w:style w:type="paragraph" w:customStyle="1" w:styleId="45">
    <w:name w:val="正文格式"/>
    <w:basedOn w:val="31"/>
    <w:qFormat/>
    <w:uiPriority w:val="0"/>
    <w:pPr>
      <w:widowControl/>
      <w:spacing w:after="0"/>
      <w:ind w:firstLine="200" w:firstLineChars="200"/>
    </w:pPr>
    <w:rPr>
      <w:rFonts w:ascii="宋体"/>
    </w:rPr>
  </w:style>
  <w:style w:type="paragraph" w:customStyle="1" w:styleId="46">
    <w:name w:val="环评正文"/>
    <w:basedOn w:val="1"/>
    <w:qFormat/>
    <w:uiPriority w:val="0"/>
    <w:pPr>
      <w:ind w:firstLine="480"/>
    </w:pPr>
    <w:rPr>
      <w:rFonts w:ascii="宋体"/>
    </w:rPr>
  </w:style>
  <w:style w:type="paragraph" w:customStyle="1" w:styleId="47">
    <w:name w:val="Default"/>
    <w:basedOn w:val="48"/>
    <w:next w:val="32"/>
    <w:qFormat/>
    <w:uiPriority w:val="99"/>
    <w:pPr>
      <w:tabs>
        <w:tab w:val="left" w:pos="2760"/>
      </w:tabs>
      <w:autoSpaceDE w:val="0"/>
      <w:autoSpaceDN w:val="0"/>
    </w:pPr>
    <w:rPr>
      <w:color w:val="000000"/>
      <w:szCs w:val="24"/>
    </w:rPr>
  </w:style>
  <w:style w:type="paragraph" w:customStyle="1" w:styleId="48">
    <w:name w:val="纯文本1"/>
    <w:basedOn w:val="1"/>
    <w:qFormat/>
    <w:uiPriority w:val="0"/>
    <w:pPr>
      <w:tabs>
        <w:tab w:val="left" w:pos="2760"/>
      </w:tabs>
      <w:adjustRightInd w:val="0"/>
    </w:pPr>
    <w:rPr>
      <w:rFonts w:ascii="宋体" w:hAnsi="Courier New"/>
      <w:szCs w:val="20"/>
    </w:rPr>
  </w:style>
  <w:style w:type="paragraph" w:customStyle="1" w:styleId="49">
    <w:name w:val="报告表正文"/>
    <w:basedOn w:val="50"/>
    <w:qFormat/>
    <w:uiPriority w:val="0"/>
    <w:pPr>
      <w:adjustRightInd w:val="0"/>
      <w:ind w:firstLine="482"/>
      <w:jc w:val="both"/>
      <w:textAlignment w:val="baseline"/>
    </w:pPr>
    <w:rPr>
      <w:snapToGrid/>
      <w:sz w:val="20"/>
      <w:szCs w:val="20"/>
    </w:rPr>
  </w:style>
  <w:style w:type="paragraph" w:customStyle="1" w:styleId="50">
    <w:name w:val="报告正文"/>
    <w:basedOn w:val="51"/>
    <w:qFormat/>
    <w:uiPriority w:val="0"/>
    <w:pPr>
      <w:widowControl w:val="0"/>
      <w:snapToGrid w:val="0"/>
      <w:ind w:firstLine="200" w:firstLineChars="200"/>
    </w:pPr>
    <w:rPr>
      <w:rFonts w:ascii="Times New Roman" w:hAnsi="Times New Roman" w:cs="Times New Roman"/>
      <w:snapToGrid w:val="0"/>
      <w:szCs w:val="28"/>
    </w:rPr>
  </w:style>
  <w:style w:type="paragraph" w:customStyle="1" w:styleId="51">
    <w:name w:val="p17"/>
    <w:basedOn w:val="1"/>
    <w:qFormat/>
    <w:uiPriority w:val="0"/>
    <w:pPr>
      <w:widowControl/>
    </w:pPr>
    <w:rPr>
      <w:rFonts w:ascii="宋体" w:hAnsi="宋体"/>
      <w:szCs w:val="21"/>
    </w:rPr>
  </w:style>
  <w:style w:type="paragraph" w:customStyle="1" w:styleId="52">
    <w:name w:val="表格内容"/>
    <w:basedOn w:val="53"/>
    <w:next w:val="54"/>
    <w:qFormat/>
    <w:uiPriority w:val="0"/>
    <w:pPr>
      <w:spacing w:line="320" w:lineRule="exact"/>
    </w:pPr>
    <w:rPr>
      <w:rFonts w:ascii="宋体"/>
      <w:szCs w:val="21"/>
    </w:rPr>
  </w:style>
  <w:style w:type="paragraph" w:customStyle="1" w:styleId="53">
    <w:name w:val="表格标题"/>
    <w:basedOn w:val="12"/>
    <w:next w:val="1"/>
    <w:qFormat/>
    <w:uiPriority w:val="0"/>
    <w:pPr>
      <w:spacing w:line="360" w:lineRule="auto"/>
      <w:jc w:val="center"/>
    </w:pPr>
    <w:rPr>
      <w:rFonts w:eastAsia="宋体"/>
      <w:b/>
      <w:sz w:val="21"/>
    </w:rPr>
  </w:style>
  <w:style w:type="paragraph" w:customStyle="1" w:styleId="54">
    <w:name w:val="文本正文"/>
    <w:basedOn w:val="1"/>
    <w:qFormat/>
    <w:uiPriority w:val="0"/>
    <w:pPr>
      <w:ind w:firstLine="480"/>
    </w:pPr>
  </w:style>
  <w:style w:type="character" w:customStyle="1" w:styleId="55">
    <w:name w:val="font21"/>
    <w:qFormat/>
    <w:uiPriority w:val="0"/>
    <w:rPr>
      <w:rFonts w:hint="default" w:ascii="Times New Roman" w:hAnsi="Times New Roman" w:cs="Times New Roman"/>
      <w:color w:val="000000"/>
      <w:sz w:val="21"/>
      <w:szCs w:val="21"/>
      <w:u w:val="none"/>
    </w:rPr>
  </w:style>
  <w:style w:type="paragraph" w:customStyle="1" w:styleId="56">
    <w:name w:val="样式1.1.1三级标题"/>
    <w:basedOn w:val="1"/>
    <w:next w:val="45"/>
    <w:qFormat/>
    <w:uiPriority w:val="0"/>
    <w:pPr>
      <w:numPr>
        <w:ilvl w:val="2"/>
        <w:numId w:val="2"/>
      </w:numPr>
      <w:tabs>
        <w:tab w:val="left" w:pos="4253"/>
      </w:tabs>
      <w:ind w:left="0"/>
      <w:jc w:val="both"/>
      <w:outlineLvl w:val="2"/>
    </w:pPr>
    <w:rPr>
      <w:rFonts w:cs="Times New Roman"/>
      <w:b/>
      <w:kern w:val="2"/>
      <w:sz w:val="28"/>
      <w:szCs w:val="28"/>
    </w:rPr>
  </w:style>
  <w:style w:type="paragraph" w:customStyle="1" w:styleId="57">
    <w:name w:val="样式 标题4 1.1.1.1"/>
    <w:basedOn w:val="5"/>
    <w:next w:val="45"/>
    <w:qFormat/>
    <w:uiPriority w:val="0"/>
    <w:rPr>
      <w:rFonts w:cs="宋体"/>
      <w:szCs w:val="20"/>
    </w:rPr>
  </w:style>
  <w:style w:type="table" w:customStyle="1" w:styleId="58">
    <w:name w:val="Table Normal"/>
    <w:semiHidden/>
    <w:unhideWhenUsed/>
    <w:qFormat/>
    <w:uiPriority w:val="0"/>
    <w:tblPr>
      <w:tblCellMar>
        <w:top w:w="0" w:type="dxa"/>
        <w:left w:w="0" w:type="dxa"/>
        <w:bottom w:w="0" w:type="dxa"/>
        <w:right w:w="0" w:type="dxa"/>
      </w:tblCellMar>
    </w:tblPr>
  </w:style>
  <w:style w:type="paragraph" w:customStyle="1" w:styleId="59">
    <w:name w:val="Table Text"/>
    <w:basedOn w:val="1"/>
    <w:semiHidden/>
    <w:qFormat/>
    <w:uiPriority w:val="0"/>
    <w:rPr>
      <w:rFonts w:ascii="宋体" w:hAnsi="宋体"/>
      <w:sz w:val="21"/>
      <w:szCs w:val="21"/>
      <w:lang w:eastAsia="en-US"/>
    </w:rPr>
  </w:style>
  <w:style w:type="paragraph" w:customStyle="1" w:styleId="60">
    <w:name w:val="表内居中"/>
    <w:basedOn w:val="1"/>
    <w:qFormat/>
    <w:uiPriority w:val="0"/>
    <w:pPr>
      <w:adjustRightInd w:val="0"/>
      <w:snapToGrid w:val="0"/>
      <w:spacing w:line="360" w:lineRule="exact"/>
      <w:contextualSpacing/>
      <w:jc w:val="center"/>
    </w:pPr>
    <w:rPr>
      <w:rFonts w:ascii="Calibri" w:hAnsi="Calibri"/>
      <w:snapToGrid w:val="0"/>
      <w:sz w:val="21"/>
    </w:rPr>
  </w:style>
  <w:style w:type="paragraph" w:customStyle="1" w:styleId="61">
    <w:name w:val="我的正文"/>
    <w:basedOn w:val="1"/>
    <w:qFormat/>
    <w:uiPriority w:val="0"/>
    <w:pPr>
      <w:ind w:firstLine="200" w:firstLineChars="200"/>
    </w:pPr>
    <w:rPr>
      <w:rFonts w:hAnsi="宋体"/>
    </w:rPr>
  </w:style>
  <w:style w:type="paragraph" w:customStyle="1" w:styleId="62">
    <w:name w:val="图表标题"/>
    <w:basedOn w:val="1"/>
    <w:qFormat/>
    <w:uiPriority w:val="0"/>
    <w:pPr>
      <w:jc w:val="center"/>
    </w:pPr>
    <w:rPr>
      <w:rFonts w:ascii="黑体" w:eastAsia="黑体"/>
    </w:rPr>
  </w:style>
  <w:style w:type="paragraph" w:customStyle="1" w:styleId="63">
    <w:name w:val="文本"/>
    <w:basedOn w:val="1"/>
    <w:qFormat/>
    <w:uiPriority w:val="0"/>
    <w:pPr>
      <w:adjustRightInd w:val="0"/>
      <w:snapToGrid w:val="0"/>
      <w:ind w:firstLine="480" w:firstLineChars="200"/>
    </w:pPr>
    <w:rPr>
      <w:rFonts w:cs="Times New Roman"/>
    </w:rPr>
  </w:style>
  <w:style w:type="paragraph" w:customStyle="1" w:styleId="64">
    <w:name w:val="样式1"/>
    <w:basedOn w:val="24"/>
    <w:next w:val="1"/>
    <w:qFormat/>
    <w:uiPriority w:val="0"/>
  </w:style>
  <w:style w:type="paragraph" w:customStyle="1" w:styleId="65">
    <w:name w:val="WPSOffice手动目录 1"/>
    <w:qFormat/>
    <w:uiPriority w:val="0"/>
    <w:rPr>
      <w:rFonts w:ascii="Times New Roman" w:hAnsi="Times New Roman" w:eastAsia="宋体" w:cs="Times New Roman"/>
      <w:lang w:val="en-US" w:eastAsia="zh-CN" w:bidi="ar-SA"/>
    </w:rPr>
  </w:style>
  <w:style w:type="paragraph" w:customStyle="1" w:styleId="66">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67">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68">
    <w:name w:val="批注文字 字符"/>
    <w:basedOn w:val="35"/>
    <w:link w:val="13"/>
    <w:qFormat/>
    <w:uiPriority w:val="0"/>
    <w:rPr>
      <w:rFonts w:cs="宋体"/>
      <w:sz w:val="24"/>
      <w:szCs w:val="24"/>
    </w:rPr>
  </w:style>
  <w:style w:type="character" w:customStyle="1" w:styleId="69">
    <w:name w:val="批注主题 字符"/>
    <w:basedOn w:val="68"/>
    <w:link w:val="30"/>
    <w:qFormat/>
    <w:uiPriority w:val="0"/>
    <w:rPr>
      <w:rFonts w:cs="宋体"/>
      <w:b/>
      <w:bCs/>
      <w:sz w:val="24"/>
      <w:szCs w:val="24"/>
    </w:rPr>
  </w:style>
  <w:style w:type="character" w:customStyle="1" w:styleId="70">
    <w:name w:val="批注框文本 字符"/>
    <w:basedOn w:val="35"/>
    <w:link w:val="19"/>
    <w:qFormat/>
    <w:uiPriority w:val="0"/>
    <w:rPr>
      <w:rFonts w:cs="宋体"/>
      <w:sz w:val="18"/>
      <w:szCs w:val="18"/>
    </w:rPr>
  </w:style>
  <w:style w:type="paragraph" w:customStyle="1" w:styleId="71">
    <w:name w:val="正文 楷体"/>
    <w:basedOn w:val="1"/>
    <w:qFormat/>
    <w:uiPriority w:val="0"/>
    <w:pPr>
      <w:spacing w:line="500" w:lineRule="exact"/>
      <w:ind w:firstLine="200" w:firstLineChars="200"/>
    </w:pPr>
    <w:rPr>
      <w:rFonts w:ascii="楷体_GB2312" w:hAnsi="楷体_GB2312" w:eastAsia="楷体_GB2312" w:cs="Times New Roman"/>
      <w:kern w:val="2"/>
    </w:rPr>
  </w:style>
  <w:style w:type="paragraph" w:customStyle="1" w:styleId="72">
    <w:name w:val="表格文字"/>
    <w:basedOn w:val="14"/>
    <w:qFormat/>
    <w:uiPriority w:val="0"/>
    <w:pPr>
      <w:widowControl w:val="0"/>
      <w:tabs>
        <w:tab w:val="left" w:pos="1119"/>
      </w:tabs>
      <w:spacing w:after="0"/>
      <w:ind w:left="-90" w:leftChars="-43"/>
    </w:pPr>
    <w:rPr>
      <w:snapToGrid w:val="0"/>
      <w:color w:val="000000"/>
      <w:sz w:val="18"/>
      <w:szCs w:val="18"/>
    </w:rPr>
  </w:style>
  <w:style w:type="paragraph" w:customStyle="1" w:styleId="73">
    <w:name w:val="正文A"/>
    <w:basedOn w:val="74"/>
    <w:qFormat/>
    <w:uiPriority w:val="0"/>
    <w:pPr>
      <w:widowControl w:val="0"/>
      <w:spacing w:line="500" w:lineRule="exact"/>
      <w:ind w:firstLine="480" w:firstLineChars="200"/>
      <w:jc w:val="both"/>
    </w:pPr>
    <w:rPr>
      <w:rFonts w:ascii="华文仿宋" w:hAnsi="华文仿宋" w:eastAsia="华文仿宋" w:cs="Times New Roman"/>
      <w:kern w:val="2"/>
    </w:rPr>
  </w:style>
  <w:style w:type="paragraph" w:customStyle="1" w:styleId="74">
    <w:name w:val="正文!!!!!!!!!!!"/>
    <w:basedOn w:val="71"/>
    <w:qFormat/>
    <w:uiPriority w:val="0"/>
    <w:pPr>
      <w:ind w:firstLine="480"/>
    </w:pPr>
    <w:rPr>
      <w:rFonts w:ascii="华文仿宋" w:hAnsi="华文仿宋" w:eastAsia="华文仿宋" w:cs="华文仿宋"/>
    </w:rPr>
  </w:style>
  <w:style w:type="paragraph" w:customStyle="1" w:styleId="75">
    <w:name w:val="！正文"/>
    <w:basedOn w:val="1"/>
    <w:qFormat/>
    <w:uiPriority w:val="0"/>
    <w:pPr>
      <w:spacing w:line="500" w:lineRule="exact"/>
      <w:ind w:firstLine="200" w:firstLineChars="200"/>
    </w:pPr>
    <w:rPr>
      <w:rFonts w:ascii="Times New Roman" w:hAnsi="Times New Roman" w:eastAsia="Times New Roman" w:cs="Times New Roman"/>
      <w:kern w:val="2"/>
    </w:rPr>
  </w:style>
  <w:style w:type="table" w:customStyle="1" w:styleId="76">
    <w:name w:val="网格型1"/>
    <w:basedOn w:val="33"/>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77">
    <w:name w:val="网格型23"/>
    <w:basedOn w:val="33"/>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78">
    <w:name w:val="样式 首行缩进"/>
    <w:basedOn w:val="1"/>
    <w:qFormat/>
    <w:uiPriority w:val="0"/>
    <w:pPr>
      <w:spacing w:line="480" w:lineRule="exact"/>
      <w:ind w:firstLine="200" w:firstLineChars="200"/>
    </w:pPr>
    <w:rPr>
      <w:rFonts w:cs="宋体"/>
      <w:sz w:val="24"/>
      <w:szCs w:val="20"/>
    </w:rPr>
  </w:style>
  <w:style w:type="paragraph" w:customStyle="1" w:styleId="79">
    <w:name w:val="任表格文字"/>
    <w:next w:val="1"/>
    <w:autoRedefine/>
    <w:qFormat/>
    <w:uiPriority w:val="0"/>
    <w:pPr>
      <w:tabs>
        <w:tab w:val="left" w:pos="1119"/>
      </w:tabs>
      <w:jc w:val="center"/>
    </w:pPr>
    <w:rPr>
      <w:rFonts w:ascii="Times New Roman" w:hAnsi="Times New Roman" w:eastAsia="宋体" w:cs="Times New Roman"/>
      <w:snapToGrid w:val="0"/>
      <w:color w:val="000000" w:themeColor="text1"/>
      <w:sz w:val="21"/>
      <w:szCs w:val="21"/>
      <w:lang w:val="en-US" w:eastAsia="zh-CN" w:bidi="ar-SA"/>
      <w14:textFill>
        <w14:solidFill>
          <w14:schemeClr w14:val="tx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1.xml"/><Relationship Id="rId59" Type="http://schemas.openxmlformats.org/officeDocument/2006/relationships/customXml" Target="../customXml/item1.xml"/><Relationship Id="rId58" Type="http://schemas.openxmlformats.org/officeDocument/2006/relationships/image" Target="media/image24.png"/><Relationship Id="rId57" Type="http://schemas.openxmlformats.org/officeDocument/2006/relationships/image" Target="media/image23.png"/><Relationship Id="rId56" Type="http://schemas.openxmlformats.org/officeDocument/2006/relationships/image" Target="media/image22.png"/><Relationship Id="rId55" Type="http://schemas.openxmlformats.org/officeDocument/2006/relationships/image" Target="media/image21.png"/><Relationship Id="rId54" Type="http://schemas.openxmlformats.org/officeDocument/2006/relationships/image" Target="media/image20.png"/><Relationship Id="rId53" Type="http://schemas.openxmlformats.org/officeDocument/2006/relationships/image" Target="media/image19.jpeg"/><Relationship Id="rId52" Type="http://schemas.openxmlformats.org/officeDocument/2006/relationships/image" Target="media/image18.png"/><Relationship Id="rId51" Type="http://schemas.openxmlformats.org/officeDocument/2006/relationships/image" Target="media/image17.png"/><Relationship Id="rId50" Type="http://schemas.openxmlformats.org/officeDocument/2006/relationships/image" Target="media/image16.png"/><Relationship Id="rId5" Type="http://schemas.openxmlformats.org/officeDocument/2006/relationships/header" Target="header1.xml"/><Relationship Id="rId49" Type="http://schemas.openxmlformats.org/officeDocument/2006/relationships/image" Target="media/image15.wmf"/><Relationship Id="rId48" Type="http://schemas.openxmlformats.org/officeDocument/2006/relationships/oleObject" Target="embeddings/oleObject5.bin"/><Relationship Id="rId47" Type="http://schemas.openxmlformats.org/officeDocument/2006/relationships/image" Target="media/image14.png"/><Relationship Id="rId46" Type="http://schemas.openxmlformats.org/officeDocument/2006/relationships/image" Target="media/image13.wmf"/><Relationship Id="rId45" Type="http://schemas.openxmlformats.org/officeDocument/2006/relationships/oleObject" Target="embeddings/oleObject4.bin"/><Relationship Id="rId44" Type="http://schemas.openxmlformats.org/officeDocument/2006/relationships/image" Target="media/image12.png"/><Relationship Id="rId43" Type="http://schemas.openxmlformats.org/officeDocument/2006/relationships/image" Target="media/image11.png"/><Relationship Id="rId42" Type="http://schemas.openxmlformats.org/officeDocument/2006/relationships/image" Target="media/image10.wmf"/><Relationship Id="rId41" Type="http://schemas.openxmlformats.org/officeDocument/2006/relationships/oleObject" Target="embeddings/oleObject3.bin"/><Relationship Id="rId40" Type="http://schemas.openxmlformats.org/officeDocument/2006/relationships/image" Target="media/image9.wmf"/><Relationship Id="rId4" Type="http://schemas.openxmlformats.org/officeDocument/2006/relationships/endnotes" Target="endnotes.xml"/><Relationship Id="rId39" Type="http://schemas.openxmlformats.org/officeDocument/2006/relationships/oleObject" Target="embeddings/oleObject2.bin"/><Relationship Id="rId38" Type="http://schemas.openxmlformats.org/officeDocument/2006/relationships/image" Target="media/image8.wmf"/><Relationship Id="rId37" Type="http://schemas.openxmlformats.org/officeDocument/2006/relationships/oleObject" Target="embeddings/oleObject1.bin"/><Relationship Id="rId36" Type="http://schemas.openxmlformats.org/officeDocument/2006/relationships/image" Target="media/image7.png"/><Relationship Id="rId35" Type="http://schemas.openxmlformats.org/officeDocument/2006/relationships/image" Target="media/image6.emf"/><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12.xml"/><Relationship Id="rId27" Type="http://schemas.openxmlformats.org/officeDocument/2006/relationships/footer" Target="footer11.xml"/><Relationship Id="rId26" Type="http://schemas.openxmlformats.org/officeDocument/2006/relationships/footer" Target="footer10.xml"/><Relationship Id="rId25" Type="http://schemas.openxmlformats.org/officeDocument/2006/relationships/header" Target="head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9.xml"/><Relationship Id="rId21" Type="http://schemas.openxmlformats.org/officeDocument/2006/relationships/header" Target="head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217</Pages>
  <Words>31543</Words>
  <Characters>33759</Characters>
  <Lines>1111</Lines>
  <Paragraphs>312</Paragraphs>
  <TotalTime>327</TotalTime>
  <ScaleCrop>false</ScaleCrop>
  <LinksUpToDate>false</LinksUpToDate>
  <CharactersWithSpaces>34069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风的自由</cp:lastModifiedBy>
  <dcterms:modified xsi:type="dcterms:W3CDTF">2024-12-24T04:39:53Z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2C46943633CF43CC928B120026869772_13</vt:lpwstr>
  </property>
</Properties>
</file>