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9034" w:type="dxa"/>
        <w:jc w:val="center"/>
        <w:tblLayout w:type="fixed"/>
        <w:tblCellMar>
          <w:top w:w="0" w:type="dxa"/>
          <w:left w:w="0" w:type="dxa"/>
          <w:bottom w:w="0" w:type="dxa"/>
          <w:right w:w="0" w:type="dxa"/>
        </w:tblCellMar>
      </w:tblPr>
      <w:tblGrid>
        <w:gridCol w:w="4400"/>
        <w:gridCol w:w="117"/>
        <w:gridCol w:w="123"/>
        <w:gridCol w:w="4394"/>
      </w:tblGrid>
      <w:tr w14:paraId="79F9737E">
        <w:tblPrEx>
          <w:tblCellMar>
            <w:top w:w="0" w:type="dxa"/>
            <w:left w:w="0" w:type="dxa"/>
            <w:bottom w:w="0" w:type="dxa"/>
            <w:right w:w="0" w:type="dxa"/>
          </w:tblCellMar>
        </w:tblPrEx>
        <w:trPr>
          <w:trHeight w:val="567" w:hRule="atLeast"/>
          <w:jc w:val="center"/>
        </w:trPr>
        <w:tc>
          <w:tcPr>
            <w:tcW w:w="9034" w:type="dxa"/>
            <w:gridSpan w:val="4"/>
            <w:vAlign w:val="center"/>
          </w:tcPr>
          <w:p w14:paraId="438C9EA3">
            <w:pPr>
              <w:adjustRightInd w:val="0"/>
              <w:snapToGrid w:val="0"/>
              <w:jc w:val="center"/>
            </w:pPr>
            <w:r>
              <w:drawing>
                <wp:inline distT="0" distB="0" distL="114300" distR="114300">
                  <wp:extent cx="5730875" cy="8461375"/>
                  <wp:effectExtent l="0" t="0" r="3175" b="15875"/>
                  <wp:docPr id="10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
                          <pic:cNvPicPr>
                            <a:picLocks noChangeAspect="1"/>
                          </pic:cNvPicPr>
                        </pic:nvPicPr>
                        <pic:blipFill>
                          <a:blip r:embed="rId8"/>
                          <a:stretch>
                            <a:fillRect/>
                          </a:stretch>
                        </pic:blipFill>
                        <pic:spPr>
                          <a:xfrm>
                            <a:off x="0" y="0"/>
                            <a:ext cx="5730875" cy="8461375"/>
                          </a:xfrm>
                          <a:prstGeom prst="rect">
                            <a:avLst/>
                          </a:prstGeom>
                          <a:noFill/>
                          <a:ln>
                            <a:noFill/>
                          </a:ln>
                        </pic:spPr>
                      </pic:pic>
                    </a:graphicData>
                  </a:graphic>
                </wp:inline>
              </w:drawing>
            </w:r>
            <w:r>
              <w:drawing>
                <wp:inline distT="0" distB="0" distL="114300" distR="114300">
                  <wp:extent cx="5655310" cy="7564755"/>
                  <wp:effectExtent l="0" t="0" r="2540" b="17145"/>
                  <wp:docPr id="1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
                          <pic:cNvPicPr>
                            <a:picLocks noChangeAspect="1"/>
                          </pic:cNvPicPr>
                        </pic:nvPicPr>
                        <pic:blipFill>
                          <a:blip r:embed="rId9"/>
                          <a:stretch>
                            <a:fillRect/>
                          </a:stretch>
                        </pic:blipFill>
                        <pic:spPr>
                          <a:xfrm>
                            <a:off x="0" y="0"/>
                            <a:ext cx="5655310" cy="7564755"/>
                          </a:xfrm>
                          <a:prstGeom prst="rect">
                            <a:avLst/>
                          </a:prstGeom>
                          <a:noFill/>
                          <a:ln>
                            <a:noFill/>
                          </a:ln>
                        </pic:spPr>
                      </pic:pic>
                    </a:graphicData>
                  </a:graphic>
                </wp:inline>
              </w:drawing>
            </w:r>
          </w:p>
          <w:p w14:paraId="7F789A0F">
            <w:pPr>
              <w:adjustRightInd w:val="0"/>
              <w:snapToGrid w:val="0"/>
              <w:jc w:val="center"/>
            </w:pPr>
          </w:p>
          <w:p w14:paraId="09E4CCF8">
            <w:pPr>
              <w:adjustRightInd w:val="0"/>
              <w:snapToGrid w:val="0"/>
              <w:jc w:val="center"/>
            </w:pPr>
          </w:p>
          <w:p w14:paraId="36195F3C">
            <w:pPr>
              <w:adjustRightInd w:val="0"/>
              <w:snapToGrid w:val="0"/>
              <w:jc w:val="center"/>
            </w:pPr>
          </w:p>
          <w:p w14:paraId="70021729">
            <w:pPr>
              <w:adjustRightInd w:val="0"/>
              <w:snapToGrid w:val="0"/>
              <w:jc w:val="center"/>
            </w:pPr>
          </w:p>
          <w:p w14:paraId="0E09E2AE">
            <w:pPr>
              <w:adjustRightInd w:val="0"/>
              <w:snapToGrid w:val="0"/>
              <w:jc w:val="center"/>
            </w:pPr>
          </w:p>
          <w:p w14:paraId="7FC3422E">
            <w:pPr>
              <w:adjustRightInd w:val="0"/>
              <w:snapToGrid w:val="0"/>
              <w:jc w:val="center"/>
            </w:pPr>
          </w:p>
          <w:p w14:paraId="55D4B79E">
            <w:pPr>
              <w:adjustRightInd w:val="0"/>
              <w:snapToGrid w:val="0"/>
              <w:jc w:val="center"/>
              <w:rPr>
                <w:b/>
                <w:szCs w:val="28"/>
              </w:rPr>
            </w:pPr>
            <w:r>
              <w:rPr>
                <w:b/>
                <w:bCs/>
              </w:rPr>
              <w:t>项目区勘察图</w:t>
            </w:r>
          </w:p>
        </w:tc>
      </w:tr>
      <w:tr w14:paraId="6F70237D">
        <w:tblPrEx>
          <w:tblCellMar>
            <w:top w:w="0" w:type="dxa"/>
            <w:left w:w="0" w:type="dxa"/>
            <w:bottom w:w="0" w:type="dxa"/>
            <w:right w:w="0" w:type="dxa"/>
          </w:tblCellMar>
        </w:tblPrEx>
        <w:trPr>
          <w:trHeight w:val="567" w:hRule="atLeast"/>
          <w:jc w:val="center"/>
        </w:trPr>
        <w:tc>
          <w:tcPr>
            <w:tcW w:w="4400" w:type="dxa"/>
            <w:vAlign w:val="center"/>
          </w:tcPr>
          <w:p w14:paraId="1BBC0A97">
            <w:pPr>
              <w:adjustRightInd w:val="0"/>
              <w:snapToGrid w:val="0"/>
              <w:jc w:val="center"/>
              <w:rPr>
                <w:b/>
                <w:szCs w:val="21"/>
              </w:rPr>
            </w:pPr>
          </w:p>
        </w:tc>
        <w:tc>
          <w:tcPr>
            <w:tcW w:w="240" w:type="dxa"/>
            <w:gridSpan w:val="2"/>
            <w:vAlign w:val="center"/>
          </w:tcPr>
          <w:p w14:paraId="33C56CD5">
            <w:pPr>
              <w:adjustRightInd w:val="0"/>
              <w:snapToGrid w:val="0"/>
              <w:jc w:val="center"/>
              <w:rPr>
                <w:b/>
                <w:szCs w:val="28"/>
              </w:rPr>
            </w:pPr>
          </w:p>
        </w:tc>
        <w:tc>
          <w:tcPr>
            <w:tcW w:w="4394" w:type="dxa"/>
            <w:vAlign w:val="center"/>
          </w:tcPr>
          <w:p w14:paraId="45D88F24">
            <w:pPr>
              <w:adjustRightInd w:val="0"/>
              <w:snapToGrid w:val="0"/>
              <w:jc w:val="center"/>
              <w:rPr>
                <w:b/>
                <w:szCs w:val="28"/>
              </w:rPr>
            </w:pPr>
          </w:p>
        </w:tc>
      </w:tr>
      <w:tr w14:paraId="2A20650D">
        <w:tblPrEx>
          <w:tblCellMar>
            <w:top w:w="0" w:type="dxa"/>
            <w:left w:w="0" w:type="dxa"/>
            <w:bottom w:w="0" w:type="dxa"/>
            <w:right w:w="0" w:type="dxa"/>
          </w:tblCellMar>
        </w:tblPrEx>
        <w:trPr>
          <w:trHeight w:val="567" w:hRule="atLeast"/>
          <w:jc w:val="center"/>
        </w:trPr>
        <w:tc>
          <w:tcPr>
            <w:tcW w:w="4400" w:type="dxa"/>
            <w:vAlign w:val="center"/>
          </w:tcPr>
          <w:p w14:paraId="146C43FF">
            <w:pPr>
              <w:adjustRightInd w:val="0"/>
              <w:snapToGrid w:val="0"/>
              <w:jc w:val="center"/>
              <w:rPr>
                <w:b/>
                <w:szCs w:val="21"/>
              </w:rPr>
            </w:pPr>
            <w:r>
              <w:rPr>
                <w:b/>
                <w:szCs w:val="21"/>
              </w:rPr>
              <w:t>项目区</w:t>
            </w:r>
            <w:r>
              <w:rPr>
                <w:rFonts w:hint="eastAsia"/>
                <w:b/>
                <w:szCs w:val="21"/>
              </w:rPr>
              <w:t>北侧</w:t>
            </w:r>
          </w:p>
        </w:tc>
        <w:tc>
          <w:tcPr>
            <w:tcW w:w="240" w:type="dxa"/>
            <w:gridSpan w:val="2"/>
            <w:vAlign w:val="center"/>
          </w:tcPr>
          <w:p w14:paraId="4628858D">
            <w:pPr>
              <w:adjustRightInd w:val="0"/>
              <w:snapToGrid w:val="0"/>
              <w:jc w:val="center"/>
              <w:rPr>
                <w:b/>
                <w:szCs w:val="21"/>
              </w:rPr>
            </w:pPr>
          </w:p>
        </w:tc>
        <w:tc>
          <w:tcPr>
            <w:tcW w:w="4394" w:type="dxa"/>
            <w:vAlign w:val="center"/>
          </w:tcPr>
          <w:p w14:paraId="71F1FC95">
            <w:pPr>
              <w:adjustRightInd w:val="0"/>
              <w:snapToGrid w:val="0"/>
              <w:jc w:val="center"/>
              <w:rPr>
                <w:b/>
                <w:szCs w:val="21"/>
              </w:rPr>
            </w:pPr>
            <w:r>
              <w:rPr>
                <w:b/>
                <w:szCs w:val="21"/>
              </w:rPr>
              <w:t>项目区</w:t>
            </w:r>
            <w:r>
              <w:rPr>
                <w:rFonts w:hint="eastAsia"/>
                <w:b/>
                <w:szCs w:val="21"/>
              </w:rPr>
              <w:t>东侧</w:t>
            </w:r>
          </w:p>
        </w:tc>
      </w:tr>
      <w:tr w14:paraId="57525050">
        <w:tblPrEx>
          <w:tblCellMar>
            <w:top w:w="0" w:type="dxa"/>
            <w:left w:w="0" w:type="dxa"/>
            <w:bottom w:w="0" w:type="dxa"/>
            <w:right w:w="0" w:type="dxa"/>
          </w:tblCellMar>
        </w:tblPrEx>
        <w:trPr>
          <w:trHeight w:val="567" w:hRule="atLeast"/>
          <w:jc w:val="center"/>
        </w:trPr>
        <w:tc>
          <w:tcPr>
            <w:tcW w:w="4400" w:type="dxa"/>
            <w:vAlign w:val="center"/>
          </w:tcPr>
          <w:p w14:paraId="7B6AD861">
            <w:pPr>
              <w:adjustRightInd w:val="0"/>
              <w:snapToGrid w:val="0"/>
              <w:jc w:val="center"/>
              <w:rPr>
                <w:b/>
                <w:szCs w:val="28"/>
              </w:rPr>
            </w:pPr>
          </w:p>
        </w:tc>
        <w:tc>
          <w:tcPr>
            <w:tcW w:w="240" w:type="dxa"/>
            <w:gridSpan w:val="2"/>
            <w:vAlign w:val="center"/>
          </w:tcPr>
          <w:p w14:paraId="0FF734FC">
            <w:pPr>
              <w:adjustRightInd w:val="0"/>
              <w:snapToGrid w:val="0"/>
              <w:jc w:val="center"/>
              <w:rPr>
                <w:b/>
                <w:szCs w:val="28"/>
              </w:rPr>
            </w:pPr>
          </w:p>
        </w:tc>
        <w:tc>
          <w:tcPr>
            <w:tcW w:w="4394" w:type="dxa"/>
            <w:vAlign w:val="center"/>
          </w:tcPr>
          <w:p w14:paraId="5C47ABCF">
            <w:pPr>
              <w:adjustRightInd w:val="0"/>
              <w:snapToGrid w:val="0"/>
              <w:jc w:val="center"/>
              <w:rPr>
                <w:b/>
                <w:szCs w:val="28"/>
              </w:rPr>
            </w:pPr>
          </w:p>
        </w:tc>
      </w:tr>
      <w:tr w14:paraId="70FBA492">
        <w:tblPrEx>
          <w:tblCellMar>
            <w:top w:w="0" w:type="dxa"/>
            <w:left w:w="0" w:type="dxa"/>
            <w:bottom w:w="0" w:type="dxa"/>
            <w:right w:w="0" w:type="dxa"/>
          </w:tblCellMar>
        </w:tblPrEx>
        <w:trPr>
          <w:trHeight w:val="462" w:hRule="atLeast"/>
          <w:jc w:val="center"/>
        </w:trPr>
        <w:tc>
          <w:tcPr>
            <w:tcW w:w="4400" w:type="dxa"/>
            <w:vAlign w:val="center"/>
          </w:tcPr>
          <w:p w14:paraId="4969CCD9">
            <w:pPr>
              <w:adjustRightInd w:val="0"/>
              <w:snapToGrid w:val="0"/>
              <w:jc w:val="center"/>
              <w:rPr>
                <w:b/>
                <w:szCs w:val="21"/>
              </w:rPr>
            </w:pPr>
            <w:r>
              <w:rPr>
                <w:b/>
                <w:szCs w:val="21"/>
              </w:rPr>
              <w:t>项目区</w:t>
            </w:r>
            <w:r>
              <w:rPr>
                <w:rFonts w:hint="eastAsia"/>
                <w:b/>
                <w:szCs w:val="21"/>
              </w:rPr>
              <w:t>南侧</w:t>
            </w:r>
          </w:p>
        </w:tc>
        <w:tc>
          <w:tcPr>
            <w:tcW w:w="240" w:type="dxa"/>
            <w:gridSpan w:val="2"/>
            <w:vAlign w:val="center"/>
          </w:tcPr>
          <w:p w14:paraId="3BC455AB">
            <w:pPr>
              <w:adjustRightInd w:val="0"/>
              <w:snapToGrid w:val="0"/>
              <w:jc w:val="center"/>
              <w:rPr>
                <w:b/>
                <w:szCs w:val="28"/>
              </w:rPr>
            </w:pPr>
          </w:p>
        </w:tc>
        <w:tc>
          <w:tcPr>
            <w:tcW w:w="4394" w:type="dxa"/>
            <w:vAlign w:val="center"/>
          </w:tcPr>
          <w:p w14:paraId="14C841C1">
            <w:pPr>
              <w:adjustRightInd w:val="0"/>
              <w:snapToGrid w:val="0"/>
              <w:jc w:val="center"/>
              <w:rPr>
                <w:b/>
                <w:szCs w:val="21"/>
              </w:rPr>
            </w:pPr>
            <w:r>
              <w:rPr>
                <w:b/>
                <w:szCs w:val="28"/>
              </w:rPr>
              <w:t>项目区</w:t>
            </w:r>
            <w:r>
              <w:rPr>
                <w:rFonts w:hint="eastAsia"/>
                <w:b/>
                <w:szCs w:val="28"/>
              </w:rPr>
              <w:t>西侧</w:t>
            </w:r>
          </w:p>
        </w:tc>
      </w:tr>
      <w:tr w14:paraId="696709D7">
        <w:tblPrEx>
          <w:tblCellMar>
            <w:top w:w="0" w:type="dxa"/>
            <w:left w:w="0" w:type="dxa"/>
            <w:bottom w:w="0" w:type="dxa"/>
            <w:right w:w="0" w:type="dxa"/>
          </w:tblCellMar>
        </w:tblPrEx>
        <w:trPr>
          <w:trHeight w:val="567" w:hRule="atLeast"/>
          <w:jc w:val="center"/>
        </w:trPr>
        <w:tc>
          <w:tcPr>
            <w:tcW w:w="4400" w:type="dxa"/>
            <w:vAlign w:val="center"/>
          </w:tcPr>
          <w:p w14:paraId="6EFA752C">
            <w:pPr>
              <w:adjustRightInd w:val="0"/>
              <w:snapToGrid w:val="0"/>
              <w:jc w:val="center"/>
              <w:rPr>
                <w:b/>
                <w:szCs w:val="21"/>
              </w:rPr>
            </w:pPr>
          </w:p>
        </w:tc>
        <w:tc>
          <w:tcPr>
            <w:tcW w:w="240" w:type="dxa"/>
            <w:gridSpan w:val="2"/>
            <w:vAlign w:val="center"/>
          </w:tcPr>
          <w:p w14:paraId="5C0A9DD9">
            <w:pPr>
              <w:adjustRightInd w:val="0"/>
              <w:snapToGrid w:val="0"/>
              <w:jc w:val="center"/>
              <w:rPr>
                <w:b/>
                <w:szCs w:val="28"/>
              </w:rPr>
            </w:pPr>
          </w:p>
        </w:tc>
        <w:tc>
          <w:tcPr>
            <w:tcW w:w="4394" w:type="dxa"/>
            <w:vAlign w:val="center"/>
          </w:tcPr>
          <w:p w14:paraId="472C8665">
            <w:pPr>
              <w:adjustRightInd w:val="0"/>
              <w:snapToGrid w:val="0"/>
              <w:jc w:val="center"/>
              <w:rPr>
                <w:b/>
                <w:szCs w:val="28"/>
              </w:rPr>
            </w:pPr>
          </w:p>
        </w:tc>
      </w:tr>
      <w:tr w14:paraId="5950A052">
        <w:tblPrEx>
          <w:tblCellMar>
            <w:top w:w="0" w:type="dxa"/>
            <w:left w:w="0" w:type="dxa"/>
            <w:bottom w:w="0" w:type="dxa"/>
            <w:right w:w="0" w:type="dxa"/>
          </w:tblCellMar>
        </w:tblPrEx>
        <w:trPr>
          <w:trHeight w:val="567" w:hRule="atLeast"/>
          <w:jc w:val="center"/>
        </w:trPr>
        <w:tc>
          <w:tcPr>
            <w:tcW w:w="4517" w:type="dxa"/>
            <w:gridSpan w:val="2"/>
            <w:vAlign w:val="center"/>
          </w:tcPr>
          <w:p w14:paraId="5CFB8CFC">
            <w:pPr>
              <w:adjustRightInd w:val="0"/>
              <w:snapToGrid w:val="0"/>
              <w:jc w:val="center"/>
              <w:rPr>
                <w:b/>
                <w:szCs w:val="28"/>
              </w:rPr>
            </w:pPr>
            <w:r>
              <w:rPr>
                <w:rFonts w:hint="eastAsia"/>
                <w:b/>
                <w:szCs w:val="28"/>
              </w:rPr>
              <w:t>沥青储罐</w:t>
            </w:r>
          </w:p>
        </w:tc>
        <w:tc>
          <w:tcPr>
            <w:tcW w:w="4517" w:type="dxa"/>
            <w:gridSpan w:val="2"/>
            <w:vAlign w:val="center"/>
          </w:tcPr>
          <w:p w14:paraId="60522610">
            <w:pPr>
              <w:adjustRightInd w:val="0"/>
              <w:snapToGrid w:val="0"/>
              <w:jc w:val="center"/>
              <w:rPr>
                <w:b/>
                <w:szCs w:val="28"/>
              </w:rPr>
            </w:pPr>
            <w:r>
              <w:rPr>
                <w:rFonts w:hint="eastAsia"/>
                <w:b/>
                <w:szCs w:val="28"/>
              </w:rPr>
              <w:t>沥青周转罐</w:t>
            </w:r>
          </w:p>
        </w:tc>
      </w:tr>
      <w:tr w14:paraId="0CB96334">
        <w:tblPrEx>
          <w:tblCellMar>
            <w:top w:w="0" w:type="dxa"/>
            <w:left w:w="0" w:type="dxa"/>
            <w:bottom w:w="0" w:type="dxa"/>
            <w:right w:w="0" w:type="dxa"/>
          </w:tblCellMar>
        </w:tblPrEx>
        <w:trPr>
          <w:trHeight w:val="567" w:hRule="atLeast"/>
          <w:jc w:val="center"/>
        </w:trPr>
        <w:tc>
          <w:tcPr>
            <w:tcW w:w="4517" w:type="dxa"/>
            <w:gridSpan w:val="2"/>
            <w:vAlign w:val="center"/>
          </w:tcPr>
          <w:p w14:paraId="6BA80420">
            <w:pPr>
              <w:adjustRightInd w:val="0"/>
              <w:snapToGrid w:val="0"/>
              <w:jc w:val="center"/>
              <w:rPr>
                <w:b/>
                <w:szCs w:val="28"/>
              </w:rPr>
            </w:pPr>
          </w:p>
        </w:tc>
        <w:tc>
          <w:tcPr>
            <w:tcW w:w="4517" w:type="dxa"/>
            <w:gridSpan w:val="2"/>
            <w:vAlign w:val="center"/>
          </w:tcPr>
          <w:p w14:paraId="77F4E915">
            <w:pPr>
              <w:adjustRightInd w:val="0"/>
              <w:snapToGrid w:val="0"/>
              <w:jc w:val="center"/>
              <w:rPr>
                <w:b/>
                <w:szCs w:val="28"/>
              </w:rPr>
            </w:pPr>
          </w:p>
        </w:tc>
      </w:tr>
      <w:tr w14:paraId="56E42BA8">
        <w:tblPrEx>
          <w:tblCellMar>
            <w:top w:w="0" w:type="dxa"/>
            <w:left w:w="0" w:type="dxa"/>
            <w:bottom w:w="0" w:type="dxa"/>
            <w:right w:w="0" w:type="dxa"/>
          </w:tblCellMar>
        </w:tblPrEx>
        <w:trPr>
          <w:trHeight w:val="567" w:hRule="atLeast"/>
          <w:jc w:val="center"/>
        </w:trPr>
        <w:tc>
          <w:tcPr>
            <w:tcW w:w="4517" w:type="dxa"/>
            <w:gridSpan w:val="2"/>
            <w:vAlign w:val="center"/>
          </w:tcPr>
          <w:p w14:paraId="6328E7C7">
            <w:pPr>
              <w:adjustRightInd w:val="0"/>
              <w:snapToGrid w:val="0"/>
              <w:jc w:val="center"/>
              <w:rPr>
                <w:b/>
                <w:szCs w:val="28"/>
              </w:rPr>
            </w:pPr>
            <w:r>
              <w:rPr>
                <w:rFonts w:hint="eastAsia"/>
                <w:b/>
                <w:szCs w:val="28"/>
              </w:rPr>
              <w:t>沥青生产线</w:t>
            </w:r>
          </w:p>
        </w:tc>
        <w:tc>
          <w:tcPr>
            <w:tcW w:w="4517" w:type="dxa"/>
            <w:gridSpan w:val="2"/>
            <w:vAlign w:val="center"/>
          </w:tcPr>
          <w:p w14:paraId="70D893C3">
            <w:pPr>
              <w:adjustRightInd w:val="0"/>
              <w:snapToGrid w:val="0"/>
              <w:jc w:val="center"/>
              <w:rPr>
                <w:b/>
                <w:szCs w:val="28"/>
              </w:rPr>
            </w:pPr>
            <w:r>
              <w:rPr>
                <w:rFonts w:hint="eastAsia"/>
                <w:b/>
                <w:szCs w:val="28"/>
              </w:rPr>
              <w:t>沥青生产线进料口</w:t>
            </w:r>
          </w:p>
        </w:tc>
      </w:tr>
      <w:tr w14:paraId="5AC8C059">
        <w:tblPrEx>
          <w:tblCellMar>
            <w:top w:w="0" w:type="dxa"/>
            <w:left w:w="0" w:type="dxa"/>
            <w:bottom w:w="0" w:type="dxa"/>
            <w:right w:w="0" w:type="dxa"/>
          </w:tblCellMar>
        </w:tblPrEx>
        <w:trPr>
          <w:trHeight w:val="567" w:hRule="atLeast"/>
          <w:jc w:val="center"/>
        </w:trPr>
        <w:tc>
          <w:tcPr>
            <w:tcW w:w="4517" w:type="dxa"/>
            <w:gridSpan w:val="2"/>
            <w:vAlign w:val="center"/>
          </w:tcPr>
          <w:p w14:paraId="34522DC2">
            <w:pPr>
              <w:adjustRightInd w:val="0"/>
              <w:snapToGrid w:val="0"/>
              <w:jc w:val="center"/>
              <w:rPr>
                <w:b/>
                <w:szCs w:val="28"/>
              </w:rPr>
            </w:pPr>
          </w:p>
        </w:tc>
        <w:tc>
          <w:tcPr>
            <w:tcW w:w="4517" w:type="dxa"/>
            <w:gridSpan w:val="2"/>
            <w:vAlign w:val="center"/>
          </w:tcPr>
          <w:p w14:paraId="467640A2">
            <w:pPr>
              <w:adjustRightInd w:val="0"/>
              <w:snapToGrid w:val="0"/>
              <w:jc w:val="center"/>
              <w:rPr>
                <w:b/>
                <w:szCs w:val="28"/>
              </w:rPr>
            </w:pPr>
          </w:p>
        </w:tc>
      </w:tr>
      <w:tr w14:paraId="7C732FBD">
        <w:tblPrEx>
          <w:tblCellMar>
            <w:top w:w="0" w:type="dxa"/>
            <w:left w:w="0" w:type="dxa"/>
            <w:bottom w:w="0" w:type="dxa"/>
            <w:right w:w="0" w:type="dxa"/>
          </w:tblCellMar>
        </w:tblPrEx>
        <w:trPr>
          <w:trHeight w:val="567" w:hRule="atLeast"/>
          <w:jc w:val="center"/>
        </w:trPr>
        <w:tc>
          <w:tcPr>
            <w:tcW w:w="9034" w:type="dxa"/>
            <w:gridSpan w:val="4"/>
            <w:vAlign w:val="center"/>
          </w:tcPr>
          <w:p w14:paraId="78390D00">
            <w:pPr>
              <w:adjustRightInd w:val="0"/>
              <w:snapToGrid w:val="0"/>
              <w:jc w:val="center"/>
              <w:rPr>
                <w:b/>
                <w:szCs w:val="28"/>
              </w:rPr>
            </w:pPr>
            <w:r>
              <w:rPr>
                <w:rFonts w:hint="eastAsia"/>
                <w:b/>
                <w:szCs w:val="28"/>
              </w:rPr>
              <w:t>骨料堆放现状</w:t>
            </w:r>
          </w:p>
        </w:tc>
      </w:tr>
      <w:tr w14:paraId="470B27D2">
        <w:tblPrEx>
          <w:tblCellMar>
            <w:top w:w="0" w:type="dxa"/>
            <w:left w:w="0" w:type="dxa"/>
            <w:bottom w:w="0" w:type="dxa"/>
            <w:right w:w="0" w:type="dxa"/>
          </w:tblCellMar>
        </w:tblPrEx>
        <w:trPr>
          <w:trHeight w:val="567" w:hRule="atLeast"/>
          <w:jc w:val="center"/>
        </w:trPr>
        <w:tc>
          <w:tcPr>
            <w:tcW w:w="4517" w:type="dxa"/>
            <w:gridSpan w:val="2"/>
            <w:vAlign w:val="center"/>
          </w:tcPr>
          <w:p w14:paraId="246E84AF">
            <w:pPr>
              <w:adjustRightInd w:val="0"/>
              <w:snapToGrid w:val="0"/>
              <w:jc w:val="center"/>
              <w:rPr>
                <w:b/>
                <w:szCs w:val="28"/>
              </w:rPr>
            </w:pPr>
          </w:p>
        </w:tc>
        <w:tc>
          <w:tcPr>
            <w:tcW w:w="4517" w:type="dxa"/>
            <w:gridSpan w:val="2"/>
            <w:vAlign w:val="center"/>
          </w:tcPr>
          <w:p w14:paraId="5D180FD3">
            <w:pPr>
              <w:adjustRightInd w:val="0"/>
              <w:snapToGrid w:val="0"/>
              <w:jc w:val="center"/>
              <w:rPr>
                <w:b/>
                <w:szCs w:val="28"/>
              </w:rPr>
            </w:pPr>
          </w:p>
        </w:tc>
      </w:tr>
      <w:tr w14:paraId="676A005B">
        <w:tblPrEx>
          <w:tblCellMar>
            <w:top w:w="0" w:type="dxa"/>
            <w:left w:w="0" w:type="dxa"/>
            <w:bottom w:w="0" w:type="dxa"/>
            <w:right w:w="0" w:type="dxa"/>
          </w:tblCellMar>
        </w:tblPrEx>
        <w:trPr>
          <w:trHeight w:val="567" w:hRule="atLeast"/>
          <w:jc w:val="center"/>
        </w:trPr>
        <w:tc>
          <w:tcPr>
            <w:tcW w:w="4517" w:type="dxa"/>
            <w:gridSpan w:val="2"/>
            <w:vAlign w:val="center"/>
          </w:tcPr>
          <w:p w14:paraId="03D80CDB">
            <w:pPr>
              <w:adjustRightInd w:val="0"/>
              <w:snapToGrid w:val="0"/>
              <w:jc w:val="center"/>
              <w:rPr>
                <w:b/>
                <w:szCs w:val="28"/>
              </w:rPr>
            </w:pPr>
            <w:r>
              <w:rPr>
                <w:rFonts w:hint="eastAsia"/>
                <w:b/>
                <w:szCs w:val="28"/>
              </w:rPr>
              <w:t>水稳料拌合站</w:t>
            </w:r>
          </w:p>
        </w:tc>
        <w:tc>
          <w:tcPr>
            <w:tcW w:w="4517" w:type="dxa"/>
            <w:gridSpan w:val="2"/>
            <w:vAlign w:val="center"/>
          </w:tcPr>
          <w:p w14:paraId="41B286FE">
            <w:pPr>
              <w:adjustRightInd w:val="0"/>
              <w:snapToGrid w:val="0"/>
              <w:jc w:val="center"/>
              <w:rPr>
                <w:b/>
                <w:szCs w:val="28"/>
              </w:rPr>
            </w:pPr>
            <w:r>
              <w:rPr>
                <w:rFonts w:hint="eastAsia"/>
                <w:b/>
                <w:szCs w:val="28"/>
              </w:rPr>
              <w:t>水稳站进料口</w:t>
            </w:r>
          </w:p>
        </w:tc>
      </w:tr>
    </w:tbl>
    <w:p w14:paraId="166F768D">
      <w:pPr>
        <w:pStyle w:val="28"/>
        <w:ind w:firstLine="181"/>
        <w:rPr>
          <w:b/>
          <w:szCs w:val="21"/>
        </w:rPr>
      </w:pPr>
    </w:p>
    <w:p w14:paraId="5498B3F7">
      <w:pPr>
        <w:pStyle w:val="28"/>
        <w:ind w:firstLine="1265" w:firstLineChars="700"/>
        <w:rPr>
          <w:b/>
          <w:szCs w:val="21"/>
        </w:rPr>
      </w:pPr>
    </w:p>
    <w:p w14:paraId="531578C6">
      <w:pPr>
        <w:jc w:val="center"/>
        <w:rPr>
          <w:b/>
          <w:bCs/>
        </w:rPr>
      </w:pPr>
    </w:p>
    <w:p w14:paraId="675AFD7E">
      <w:pPr>
        <w:pStyle w:val="25"/>
        <w:jc w:val="center"/>
        <w:outlineLvl w:val="0"/>
        <w:rPr>
          <w:rFonts w:ascii="黑体" w:hAnsi="黑体" w:eastAsia="黑体"/>
          <w:snapToGrid w:val="0"/>
          <w:sz w:val="30"/>
          <w:szCs w:val="30"/>
        </w:rPr>
        <w:sectPr>
          <w:footerReference r:id="rId3" w:type="default"/>
          <w:pgSz w:w="11906" w:h="16838"/>
          <w:pgMar w:top="1701" w:right="1531" w:bottom="1701" w:left="1531" w:header="851" w:footer="1077" w:gutter="0"/>
          <w:pgNumType w:start="1"/>
          <w:cols w:space="720" w:num="1"/>
          <w:docGrid w:linePitch="312" w:charSpace="0"/>
        </w:sectPr>
      </w:pPr>
    </w:p>
    <w:p w14:paraId="6686CEF5">
      <w:pPr>
        <w:pStyle w:val="25"/>
        <w:jc w:val="center"/>
        <w:outlineLvl w:val="0"/>
        <w:rPr>
          <w:rFonts w:ascii="黑体" w:hAnsi="黑体" w:eastAsia="黑体"/>
          <w:snapToGrid w:val="0"/>
          <w:sz w:val="30"/>
          <w:szCs w:val="30"/>
        </w:rPr>
      </w:pPr>
      <w:r>
        <w:rPr>
          <w:rFonts w:hint="eastAsia" w:ascii="黑体" w:hAnsi="黑体" w:eastAsia="黑体"/>
          <w:snapToGrid w:val="0"/>
          <w:sz w:val="30"/>
          <w:szCs w:val="30"/>
        </w:rPr>
        <w:t>一、建设项目基本情况</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60"/>
        <w:gridCol w:w="2159"/>
        <w:gridCol w:w="2212"/>
        <w:gridCol w:w="2639"/>
      </w:tblGrid>
      <w:tr w14:paraId="2F4C67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60" w:type="dxa"/>
            <w:tcMar>
              <w:top w:w="16" w:type="dxa"/>
              <w:left w:w="16" w:type="dxa"/>
              <w:right w:w="16" w:type="dxa"/>
            </w:tcMar>
            <w:vAlign w:val="center"/>
          </w:tcPr>
          <w:p w14:paraId="57CE9924">
            <w:pPr>
              <w:adjustRightInd w:val="0"/>
              <w:snapToGrid w:val="0"/>
              <w:spacing w:line="360" w:lineRule="auto"/>
              <w:jc w:val="center"/>
              <w:rPr>
                <w:szCs w:val="21"/>
              </w:rPr>
            </w:pPr>
            <w:r>
              <w:rPr>
                <w:szCs w:val="21"/>
              </w:rPr>
              <w:t>建设项目名称</w:t>
            </w:r>
          </w:p>
        </w:tc>
        <w:tc>
          <w:tcPr>
            <w:tcW w:w="7010" w:type="dxa"/>
            <w:gridSpan w:val="3"/>
            <w:vAlign w:val="center"/>
          </w:tcPr>
          <w:p w14:paraId="41A649BB">
            <w:pPr>
              <w:adjustRightInd w:val="0"/>
              <w:snapToGrid w:val="0"/>
              <w:spacing w:line="360" w:lineRule="auto"/>
              <w:jc w:val="center"/>
              <w:rPr>
                <w:szCs w:val="21"/>
              </w:rPr>
            </w:pPr>
            <w:r>
              <w:rPr>
                <w:rFonts w:hint="eastAsia"/>
              </w:rPr>
              <w:t>奎屯广合商品混凝土有限责任公司新建沥青拌合站、水泥稳定土拌合站</w:t>
            </w:r>
          </w:p>
        </w:tc>
      </w:tr>
      <w:tr w14:paraId="3F744E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60" w:type="dxa"/>
            <w:tcMar>
              <w:top w:w="16" w:type="dxa"/>
              <w:left w:w="16" w:type="dxa"/>
              <w:right w:w="16" w:type="dxa"/>
            </w:tcMar>
            <w:vAlign w:val="center"/>
          </w:tcPr>
          <w:p w14:paraId="1DDF7770">
            <w:pPr>
              <w:adjustRightInd w:val="0"/>
              <w:snapToGrid w:val="0"/>
              <w:spacing w:line="360" w:lineRule="auto"/>
              <w:jc w:val="center"/>
              <w:rPr>
                <w:szCs w:val="21"/>
              </w:rPr>
            </w:pPr>
            <w:r>
              <w:rPr>
                <w:szCs w:val="21"/>
              </w:rPr>
              <w:t>项目代码</w:t>
            </w:r>
          </w:p>
        </w:tc>
        <w:tc>
          <w:tcPr>
            <w:tcW w:w="7010" w:type="dxa"/>
            <w:gridSpan w:val="3"/>
            <w:vAlign w:val="center"/>
          </w:tcPr>
          <w:p w14:paraId="0C0B5716">
            <w:pPr>
              <w:adjustRightInd w:val="0"/>
              <w:snapToGrid w:val="0"/>
              <w:spacing w:line="360" w:lineRule="auto"/>
              <w:jc w:val="center"/>
              <w:rPr>
                <w:szCs w:val="21"/>
              </w:rPr>
            </w:pPr>
            <w:r>
              <w:rPr>
                <w:szCs w:val="21"/>
              </w:rPr>
              <w:t>2202-660700-04-01-</w:t>
            </w:r>
            <w:r>
              <w:rPr>
                <w:rFonts w:hint="eastAsia"/>
                <w:szCs w:val="21"/>
              </w:rPr>
              <w:t>504154</w:t>
            </w:r>
          </w:p>
        </w:tc>
      </w:tr>
      <w:tr w14:paraId="79BB34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60" w:type="dxa"/>
            <w:tcMar>
              <w:top w:w="16" w:type="dxa"/>
              <w:left w:w="16" w:type="dxa"/>
              <w:right w:w="16" w:type="dxa"/>
            </w:tcMar>
            <w:vAlign w:val="center"/>
          </w:tcPr>
          <w:p w14:paraId="1A805411">
            <w:pPr>
              <w:adjustRightInd w:val="0"/>
              <w:snapToGrid w:val="0"/>
              <w:spacing w:line="360" w:lineRule="auto"/>
              <w:jc w:val="center"/>
              <w:rPr>
                <w:szCs w:val="21"/>
              </w:rPr>
            </w:pPr>
            <w:r>
              <w:rPr>
                <w:szCs w:val="21"/>
              </w:rPr>
              <w:t>建设单位联系人</w:t>
            </w:r>
          </w:p>
        </w:tc>
        <w:tc>
          <w:tcPr>
            <w:tcW w:w="2159" w:type="dxa"/>
            <w:vAlign w:val="center"/>
          </w:tcPr>
          <w:p w14:paraId="7C1B89EB">
            <w:pPr>
              <w:adjustRightInd w:val="0"/>
              <w:snapToGrid w:val="0"/>
              <w:spacing w:line="360" w:lineRule="auto"/>
              <w:jc w:val="center"/>
              <w:rPr>
                <w:szCs w:val="21"/>
              </w:rPr>
            </w:pPr>
            <w:r>
              <w:rPr>
                <w:szCs w:val="21"/>
              </w:rPr>
              <w:t>周锦平</w:t>
            </w:r>
          </w:p>
        </w:tc>
        <w:tc>
          <w:tcPr>
            <w:tcW w:w="2212" w:type="dxa"/>
            <w:vAlign w:val="center"/>
          </w:tcPr>
          <w:p w14:paraId="5FC2DCE9">
            <w:pPr>
              <w:adjustRightInd w:val="0"/>
              <w:snapToGrid w:val="0"/>
              <w:spacing w:line="360" w:lineRule="auto"/>
              <w:jc w:val="center"/>
              <w:rPr>
                <w:szCs w:val="21"/>
              </w:rPr>
            </w:pPr>
            <w:r>
              <w:rPr>
                <w:szCs w:val="21"/>
              </w:rPr>
              <w:t>联系方式</w:t>
            </w:r>
          </w:p>
        </w:tc>
        <w:tc>
          <w:tcPr>
            <w:tcW w:w="2639" w:type="dxa"/>
            <w:vAlign w:val="center"/>
          </w:tcPr>
          <w:p w14:paraId="1AE47770">
            <w:pPr>
              <w:adjustRightInd w:val="0"/>
              <w:snapToGrid w:val="0"/>
              <w:spacing w:line="360" w:lineRule="auto"/>
              <w:jc w:val="center"/>
              <w:rPr>
                <w:szCs w:val="21"/>
              </w:rPr>
            </w:pPr>
            <w:r>
              <w:rPr>
                <w:szCs w:val="21"/>
              </w:rPr>
              <w:t>13565566731</w:t>
            </w:r>
          </w:p>
        </w:tc>
      </w:tr>
      <w:tr w14:paraId="1F7764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60" w:type="dxa"/>
            <w:tcMar>
              <w:top w:w="16" w:type="dxa"/>
              <w:left w:w="16" w:type="dxa"/>
              <w:right w:w="16" w:type="dxa"/>
            </w:tcMar>
            <w:vAlign w:val="center"/>
          </w:tcPr>
          <w:p w14:paraId="305DBE05">
            <w:pPr>
              <w:adjustRightInd w:val="0"/>
              <w:snapToGrid w:val="0"/>
              <w:spacing w:line="360" w:lineRule="auto"/>
              <w:jc w:val="center"/>
              <w:rPr>
                <w:szCs w:val="21"/>
              </w:rPr>
            </w:pPr>
            <w:r>
              <w:rPr>
                <w:szCs w:val="21"/>
              </w:rPr>
              <w:t>建设地点</w:t>
            </w:r>
          </w:p>
        </w:tc>
        <w:tc>
          <w:tcPr>
            <w:tcW w:w="7010" w:type="dxa"/>
            <w:gridSpan w:val="3"/>
            <w:vAlign w:val="center"/>
          </w:tcPr>
          <w:p w14:paraId="78FC513E">
            <w:pPr>
              <w:adjustRightInd w:val="0"/>
              <w:snapToGrid w:val="0"/>
              <w:spacing w:line="360" w:lineRule="auto"/>
              <w:jc w:val="center"/>
              <w:rPr>
                <w:szCs w:val="21"/>
              </w:rPr>
            </w:pPr>
            <w:r>
              <w:rPr>
                <w:rFonts w:hint="eastAsia"/>
                <w:szCs w:val="21"/>
              </w:rPr>
              <w:t>第七师胡杨河市130团6连冠维棉花加工厂以西、312省道以南</w:t>
            </w:r>
          </w:p>
        </w:tc>
      </w:tr>
      <w:tr w14:paraId="6E6489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60" w:type="dxa"/>
            <w:tcMar>
              <w:top w:w="16" w:type="dxa"/>
              <w:left w:w="16" w:type="dxa"/>
              <w:right w:w="16" w:type="dxa"/>
            </w:tcMar>
            <w:vAlign w:val="center"/>
          </w:tcPr>
          <w:p w14:paraId="44481E10">
            <w:pPr>
              <w:adjustRightInd w:val="0"/>
              <w:snapToGrid w:val="0"/>
              <w:spacing w:line="360" w:lineRule="auto"/>
              <w:jc w:val="center"/>
              <w:rPr>
                <w:szCs w:val="21"/>
              </w:rPr>
            </w:pPr>
            <w:r>
              <w:rPr>
                <w:szCs w:val="21"/>
              </w:rPr>
              <w:t>地理坐标</w:t>
            </w:r>
          </w:p>
        </w:tc>
        <w:tc>
          <w:tcPr>
            <w:tcW w:w="7010" w:type="dxa"/>
            <w:gridSpan w:val="3"/>
            <w:vAlign w:val="center"/>
          </w:tcPr>
          <w:p w14:paraId="4B92E215">
            <w:pPr>
              <w:spacing w:line="360" w:lineRule="auto"/>
              <w:jc w:val="center"/>
              <w:rPr>
                <w:szCs w:val="21"/>
              </w:rPr>
            </w:pPr>
            <w:r>
              <w:rPr>
                <w:szCs w:val="21"/>
              </w:rPr>
              <w:t>（84度</w:t>
            </w:r>
            <w:r>
              <w:rPr>
                <w:rFonts w:hint="eastAsia"/>
                <w:szCs w:val="21"/>
              </w:rPr>
              <w:t>53</w:t>
            </w:r>
            <w:r>
              <w:rPr>
                <w:szCs w:val="21"/>
              </w:rPr>
              <w:t>分</w:t>
            </w:r>
            <w:r>
              <w:rPr>
                <w:rFonts w:hint="eastAsia"/>
                <w:szCs w:val="21"/>
              </w:rPr>
              <w:t>28.165</w:t>
            </w:r>
            <w:r>
              <w:rPr>
                <w:szCs w:val="21"/>
              </w:rPr>
              <w:t>秒，44度</w:t>
            </w:r>
            <w:r>
              <w:rPr>
                <w:rFonts w:hint="eastAsia"/>
                <w:szCs w:val="21"/>
              </w:rPr>
              <w:t>38</w:t>
            </w:r>
            <w:r>
              <w:rPr>
                <w:szCs w:val="21"/>
              </w:rPr>
              <w:t>分5.</w:t>
            </w:r>
            <w:r>
              <w:rPr>
                <w:rFonts w:hint="eastAsia"/>
                <w:szCs w:val="21"/>
              </w:rPr>
              <w:t>511</w:t>
            </w:r>
            <w:r>
              <w:rPr>
                <w:szCs w:val="21"/>
              </w:rPr>
              <w:t>秒）</w:t>
            </w:r>
          </w:p>
        </w:tc>
      </w:tr>
      <w:tr w14:paraId="7A5603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60" w:type="dxa"/>
            <w:tcMar>
              <w:top w:w="16" w:type="dxa"/>
              <w:left w:w="16" w:type="dxa"/>
              <w:right w:w="16" w:type="dxa"/>
            </w:tcMar>
            <w:vAlign w:val="center"/>
          </w:tcPr>
          <w:p w14:paraId="50E3E480">
            <w:pPr>
              <w:adjustRightInd w:val="0"/>
              <w:snapToGrid w:val="0"/>
              <w:spacing w:line="360" w:lineRule="auto"/>
              <w:jc w:val="center"/>
              <w:rPr>
                <w:color w:val="auto"/>
                <w:szCs w:val="21"/>
              </w:rPr>
            </w:pPr>
            <w:r>
              <w:rPr>
                <w:color w:val="auto"/>
                <w:szCs w:val="21"/>
              </w:rPr>
              <w:t>国民经济</w:t>
            </w:r>
          </w:p>
          <w:p w14:paraId="66D979B1">
            <w:pPr>
              <w:adjustRightInd w:val="0"/>
              <w:snapToGrid w:val="0"/>
              <w:spacing w:line="360" w:lineRule="auto"/>
              <w:jc w:val="center"/>
              <w:rPr>
                <w:color w:val="auto"/>
                <w:szCs w:val="21"/>
              </w:rPr>
            </w:pPr>
            <w:r>
              <w:rPr>
                <w:color w:val="auto"/>
                <w:szCs w:val="21"/>
              </w:rPr>
              <w:t>行业类别</w:t>
            </w:r>
          </w:p>
        </w:tc>
        <w:tc>
          <w:tcPr>
            <w:tcW w:w="2159" w:type="dxa"/>
            <w:vAlign w:val="center"/>
          </w:tcPr>
          <w:p w14:paraId="54C8A07D">
            <w:pPr>
              <w:spacing w:line="360" w:lineRule="auto"/>
              <w:jc w:val="center"/>
              <w:rPr>
                <w:rFonts w:hint="eastAsia"/>
                <w:color w:val="auto"/>
                <w:lang w:eastAsia="zh-CN"/>
              </w:rPr>
            </w:pPr>
            <w:r>
              <w:rPr>
                <w:color w:val="auto"/>
              </w:rPr>
              <w:t>C3021水泥制品制造</w:t>
            </w:r>
            <w:r>
              <w:rPr>
                <w:rFonts w:hint="eastAsia"/>
                <w:color w:val="auto"/>
                <w:lang w:eastAsia="zh-CN"/>
              </w:rPr>
              <w:t>；</w:t>
            </w:r>
          </w:p>
          <w:p w14:paraId="5020DDC2">
            <w:pPr>
              <w:pStyle w:val="35"/>
              <w:rPr>
                <w:rFonts w:hint="eastAsia"/>
                <w:color w:val="auto"/>
                <w:lang w:eastAsia="zh-CN"/>
              </w:rPr>
            </w:pPr>
            <w:r>
              <w:rPr>
                <w:rFonts w:hint="default" w:ascii="Times New Roman" w:hAnsi="Times New Roman" w:cs="Times New Roman"/>
                <w:color w:val="auto"/>
                <w:sz w:val="21"/>
                <w:szCs w:val="21"/>
              </w:rPr>
              <w:t>C3099其它非金属矿制品制造</w:t>
            </w:r>
          </w:p>
        </w:tc>
        <w:tc>
          <w:tcPr>
            <w:tcW w:w="2212" w:type="dxa"/>
            <w:vAlign w:val="center"/>
          </w:tcPr>
          <w:p w14:paraId="17430689">
            <w:pPr>
              <w:adjustRightInd w:val="0"/>
              <w:snapToGrid w:val="0"/>
              <w:spacing w:line="360" w:lineRule="auto"/>
              <w:jc w:val="center"/>
              <w:rPr>
                <w:color w:val="auto"/>
                <w:szCs w:val="21"/>
              </w:rPr>
            </w:pPr>
            <w:r>
              <w:rPr>
                <w:color w:val="auto"/>
                <w:szCs w:val="21"/>
              </w:rPr>
              <w:t>建设项目</w:t>
            </w:r>
          </w:p>
          <w:p w14:paraId="5B3E92BD">
            <w:pPr>
              <w:adjustRightInd w:val="0"/>
              <w:snapToGrid w:val="0"/>
              <w:spacing w:line="360" w:lineRule="auto"/>
              <w:jc w:val="center"/>
              <w:rPr>
                <w:color w:val="auto"/>
                <w:szCs w:val="21"/>
              </w:rPr>
            </w:pPr>
            <w:r>
              <w:rPr>
                <w:color w:val="auto"/>
                <w:szCs w:val="21"/>
              </w:rPr>
              <w:t>行业类别</w:t>
            </w:r>
          </w:p>
        </w:tc>
        <w:tc>
          <w:tcPr>
            <w:tcW w:w="2639" w:type="dxa"/>
            <w:vAlign w:val="center"/>
          </w:tcPr>
          <w:p w14:paraId="005CB67E">
            <w:pPr>
              <w:adjustRightInd w:val="0"/>
              <w:snapToGrid w:val="0"/>
              <w:rPr>
                <w:color w:val="auto"/>
                <w:szCs w:val="21"/>
              </w:rPr>
            </w:pPr>
            <w:r>
              <w:rPr>
                <w:color w:val="auto"/>
                <w:szCs w:val="21"/>
              </w:rPr>
              <w:t>二十七、非金属矿物制品业</w:t>
            </w:r>
            <w:r>
              <w:rPr>
                <w:rFonts w:eastAsia="Times New Roman"/>
                <w:color w:val="auto"/>
                <w:szCs w:val="21"/>
              </w:rPr>
              <w:t>30</w:t>
            </w:r>
            <w:r>
              <w:rPr>
                <w:color w:val="auto"/>
                <w:szCs w:val="21"/>
              </w:rPr>
              <w:t>中</w:t>
            </w:r>
            <w:r>
              <w:rPr>
                <w:rFonts w:hint="eastAsia"/>
                <w:color w:val="auto"/>
                <w:szCs w:val="21"/>
              </w:rPr>
              <w:t>55石膏、水泥制品及类似制品制造302；60石墨及其他非金属矿物制品制造309；</w:t>
            </w:r>
          </w:p>
        </w:tc>
      </w:tr>
      <w:tr w14:paraId="28D90B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860" w:type="dxa"/>
            <w:tcMar>
              <w:top w:w="16" w:type="dxa"/>
              <w:left w:w="16" w:type="dxa"/>
              <w:right w:w="16" w:type="dxa"/>
            </w:tcMar>
            <w:vAlign w:val="center"/>
          </w:tcPr>
          <w:p w14:paraId="675CBCE6">
            <w:pPr>
              <w:adjustRightInd w:val="0"/>
              <w:snapToGrid w:val="0"/>
              <w:spacing w:line="360" w:lineRule="auto"/>
              <w:jc w:val="center"/>
              <w:rPr>
                <w:szCs w:val="21"/>
              </w:rPr>
            </w:pPr>
            <w:r>
              <w:rPr>
                <w:szCs w:val="21"/>
              </w:rPr>
              <w:t>建设性质</w:t>
            </w:r>
          </w:p>
        </w:tc>
        <w:tc>
          <w:tcPr>
            <w:tcW w:w="2159" w:type="dxa"/>
            <w:vAlign w:val="center"/>
          </w:tcPr>
          <w:p w14:paraId="7BE58AC9">
            <w:pPr>
              <w:spacing w:line="360" w:lineRule="auto"/>
              <w:jc w:val="left"/>
              <w:rPr>
                <w:szCs w:val="21"/>
              </w:rPr>
            </w:pPr>
            <w:r>
              <w:rPr>
                <w:szCs w:val="21"/>
              </w:rPr>
              <w:t>☑新建（迁建）</w:t>
            </w:r>
          </w:p>
          <w:p w14:paraId="7E095AE5">
            <w:pPr>
              <w:spacing w:line="360" w:lineRule="auto"/>
              <w:jc w:val="left"/>
              <w:rPr>
                <w:szCs w:val="21"/>
              </w:rPr>
            </w:pPr>
            <w:r>
              <w:rPr>
                <w:rFonts w:hint="eastAsia"/>
                <w:szCs w:val="21"/>
              </w:rPr>
              <w:t>□</w:t>
            </w:r>
            <w:r>
              <w:rPr>
                <w:szCs w:val="21"/>
              </w:rPr>
              <w:t>改建</w:t>
            </w:r>
          </w:p>
          <w:p w14:paraId="29CDD903">
            <w:pPr>
              <w:spacing w:line="360" w:lineRule="auto"/>
              <w:jc w:val="left"/>
              <w:rPr>
                <w:szCs w:val="21"/>
              </w:rPr>
            </w:pPr>
            <w:r>
              <w:rPr>
                <w:rFonts w:hint="eastAsia"/>
                <w:szCs w:val="21"/>
              </w:rPr>
              <w:t>□</w:t>
            </w:r>
            <w:r>
              <w:rPr>
                <w:szCs w:val="21"/>
              </w:rPr>
              <w:t>扩建</w:t>
            </w:r>
          </w:p>
          <w:p w14:paraId="74B27B54">
            <w:pPr>
              <w:spacing w:line="360" w:lineRule="auto"/>
              <w:jc w:val="left"/>
              <w:rPr>
                <w:szCs w:val="21"/>
              </w:rPr>
            </w:pPr>
            <w:r>
              <w:rPr>
                <w:rFonts w:hint="eastAsia"/>
                <w:szCs w:val="21"/>
              </w:rPr>
              <w:t>□</w:t>
            </w:r>
            <w:r>
              <w:rPr>
                <w:szCs w:val="21"/>
              </w:rPr>
              <w:t>技术改造</w:t>
            </w:r>
          </w:p>
        </w:tc>
        <w:tc>
          <w:tcPr>
            <w:tcW w:w="2212" w:type="dxa"/>
            <w:vAlign w:val="center"/>
          </w:tcPr>
          <w:p w14:paraId="1C63E351">
            <w:pPr>
              <w:adjustRightInd w:val="0"/>
              <w:snapToGrid w:val="0"/>
              <w:spacing w:line="360" w:lineRule="auto"/>
              <w:jc w:val="center"/>
              <w:rPr>
                <w:szCs w:val="21"/>
              </w:rPr>
            </w:pPr>
            <w:r>
              <w:rPr>
                <w:szCs w:val="21"/>
              </w:rPr>
              <w:t>建设项目</w:t>
            </w:r>
          </w:p>
          <w:p w14:paraId="2D71B4FC">
            <w:pPr>
              <w:adjustRightInd w:val="0"/>
              <w:snapToGrid w:val="0"/>
              <w:spacing w:line="360" w:lineRule="auto"/>
              <w:jc w:val="center"/>
              <w:rPr>
                <w:szCs w:val="21"/>
              </w:rPr>
            </w:pPr>
            <w:r>
              <w:rPr>
                <w:szCs w:val="21"/>
              </w:rPr>
              <w:t>申报情形</w:t>
            </w:r>
          </w:p>
        </w:tc>
        <w:tc>
          <w:tcPr>
            <w:tcW w:w="2639" w:type="dxa"/>
            <w:vAlign w:val="center"/>
          </w:tcPr>
          <w:p w14:paraId="40386FA9">
            <w:pPr>
              <w:spacing w:line="360" w:lineRule="auto"/>
              <w:jc w:val="left"/>
              <w:rPr>
                <w:szCs w:val="21"/>
              </w:rPr>
            </w:pPr>
            <w:r>
              <w:rPr>
                <w:szCs w:val="21"/>
              </w:rPr>
              <w:t xml:space="preserve">☑首次申报项目             </w:t>
            </w:r>
          </w:p>
          <w:p w14:paraId="2E355037">
            <w:pPr>
              <w:spacing w:line="360" w:lineRule="auto"/>
              <w:jc w:val="left"/>
              <w:rPr>
                <w:szCs w:val="21"/>
              </w:rPr>
            </w:pPr>
            <w:r>
              <w:rPr>
                <w:rFonts w:hint="eastAsia"/>
                <w:szCs w:val="21"/>
              </w:rPr>
              <w:t>□</w:t>
            </w:r>
            <w:r>
              <w:rPr>
                <w:szCs w:val="21"/>
              </w:rPr>
              <w:t>不予批准后再次申报项目</w:t>
            </w:r>
          </w:p>
          <w:p w14:paraId="7C3826DD">
            <w:pPr>
              <w:spacing w:line="360" w:lineRule="auto"/>
              <w:jc w:val="left"/>
              <w:rPr>
                <w:szCs w:val="21"/>
              </w:rPr>
            </w:pPr>
            <w:r>
              <w:rPr>
                <w:rFonts w:hint="eastAsia"/>
                <w:szCs w:val="21"/>
              </w:rPr>
              <w:t>□</w:t>
            </w:r>
            <w:r>
              <w:rPr>
                <w:szCs w:val="21"/>
              </w:rPr>
              <w:t xml:space="preserve">超五年重新审核项目     </w:t>
            </w:r>
          </w:p>
          <w:p w14:paraId="43697561">
            <w:pPr>
              <w:spacing w:line="360" w:lineRule="auto"/>
              <w:jc w:val="left"/>
              <w:rPr>
                <w:szCs w:val="21"/>
              </w:rPr>
            </w:pPr>
            <w:r>
              <w:rPr>
                <w:rFonts w:hint="eastAsia"/>
                <w:szCs w:val="21"/>
              </w:rPr>
              <w:t>□</w:t>
            </w:r>
            <w:r>
              <w:rPr>
                <w:szCs w:val="21"/>
              </w:rPr>
              <w:t>重大变动重新报批项目</w:t>
            </w:r>
          </w:p>
        </w:tc>
      </w:tr>
      <w:tr w14:paraId="2DE265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60" w:type="dxa"/>
            <w:tcMar>
              <w:top w:w="16" w:type="dxa"/>
              <w:left w:w="16" w:type="dxa"/>
              <w:right w:w="16" w:type="dxa"/>
            </w:tcMar>
            <w:vAlign w:val="center"/>
          </w:tcPr>
          <w:p w14:paraId="7023D5CE">
            <w:pPr>
              <w:adjustRightInd w:val="0"/>
              <w:snapToGrid w:val="0"/>
              <w:spacing w:line="360" w:lineRule="auto"/>
              <w:jc w:val="center"/>
              <w:rPr>
                <w:szCs w:val="21"/>
              </w:rPr>
            </w:pPr>
            <w:r>
              <w:rPr>
                <w:szCs w:val="21"/>
              </w:rPr>
              <w:t>项目审批（核准/</w:t>
            </w:r>
          </w:p>
          <w:p w14:paraId="380B81A6">
            <w:pPr>
              <w:adjustRightInd w:val="0"/>
              <w:snapToGrid w:val="0"/>
              <w:spacing w:line="360" w:lineRule="auto"/>
              <w:jc w:val="center"/>
              <w:rPr>
                <w:szCs w:val="21"/>
              </w:rPr>
            </w:pPr>
            <w:r>
              <w:rPr>
                <w:szCs w:val="21"/>
              </w:rPr>
              <w:t>备案）部门（选填）</w:t>
            </w:r>
          </w:p>
        </w:tc>
        <w:tc>
          <w:tcPr>
            <w:tcW w:w="2159" w:type="dxa"/>
            <w:vAlign w:val="center"/>
          </w:tcPr>
          <w:p w14:paraId="491A7138">
            <w:pPr>
              <w:adjustRightInd w:val="0"/>
              <w:snapToGrid w:val="0"/>
              <w:spacing w:line="360" w:lineRule="auto"/>
              <w:jc w:val="center"/>
              <w:rPr>
                <w:szCs w:val="21"/>
              </w:rPr>
            </w:pPr>
            <w:r>
              <w:rPr>
                <w:szCs w:val="21"/>
              </w:rPr>
              <w:t>/</w:t>
            </w:r>
          </w:p>
        </w:tc>
        <w:tc>
          <w:tcPr>
            <w:tcW w:w="2212" w:type="dxa"/>
            <w:vAlign w:val="center"/>
          </w:tcPr>
          <w:p w14:paraId="14F877E5">
            <w:pPr>
              <w:adjustRightInd w:val="0"/>
              <w:snapToGrid w:val="0"/>
              <w:spacing w:line="360" w:lineRule="auto"/>
              <w:jc w:val="center"/>
              <w:rPr>
                <w:szCs w:val="21"/>
              </w:rPr>
            </w:pPr>
            <w:r>
              <w:rPr>
                <w:szCs w:val="21"/>
              </w:rPr>
              <w:t>项目审批（核准/</w:t>
            </w:r>
          </w:p>
          <w:p w14:paraId="0CB402F6">
            <w:pPr>
              <w:adjustRightInd w:val="0"/>
              <w:snapToGrid w:val="0"/>
              <w:spacing w:line="360" w:lineRule="auto"/>
              <w:jc w:val="center"/>
              <w:rPr>
                <w:szCs w:val="21"/>
              </w:rPr>
            </w:pPr>
            <w:r>
              <w:rPr>
                <w:szCs w:val="21"/>
              </w:rPr>
              <w:t>备案）文号（选填）</w:t>
            </w:r>
          </w:p>
        </w:tc>
        <w:tc>
          <w:tcPr>
            <w:tcW w:w="2639" w:type="dxa"/>
            <w:vAlign w:val="center"/>
          </w:tcPr>
          <w:p w14:paraId="7CAEE731">
            <w:pPr>
              <w:adjustRightInd w:val="0"/>
              <w:snapToGrid w:val="0"/>
              <w:spacing w:line="360" w:lineRule="auto"/>
              <w:jc w:val="center"/>
              <w:rPr>
                <w:szCs w:val="21"/>
              </w:rPr>
            </w:pPr>
            <w:r>
              <w:rPr>
                <w:szCs w:val="21"/>
              </w:rPr>
              <w:t>/</w:t>
            </w:r>
          </w:p>
        </w:tc>
      </w:tr>
      <w:tr w14:paraId="73650E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60" w:type="dxa"/>
            <w:tcMar>
              <w:top w:w="16" w:type="dxa"/>
              <w:left w:w="16" w:type="dxa"/>
              <w:right w:w="16" w:type="dxa"/>
            </w:tcMar>
            <w:vAlign w:val="center"/>
          </w:tcPr>
          <w:p w14:paraId="56245D39">
            <w:pPr>
              <w:adjustRightInd w:val="0"/>
              <w:snapToGrid w:val="0"/>
              <w:spacing w:line="360" w:lineRule="auto"/>
              <w:jc w:val="center"/>
              <w:rPr>
                <w:szCs w:val="21"/>
              </w:rPr>
            </w:pPr>
            <w:r>
              <w:rPr>
                <w:szCs w:val="21"/>
              </w:rPr>
              <w:t>总投资（万元）</w:t>
            </w:r>
          </w:p>
        </w:tc>
        <w:tc>
          <w:tcPr>
            <w:tcW w:w="2159" w:type="dxa"/>
            <w:vAlign w:val="center"/>
          </w:tcPr>
          <w:p w14:paraId="0250011D">
            <w:pPr>
              <w:adjustRightInd w:val="0"/>
              <w:snapToGrid w:val="0"/>
              <w:spacing w:line="360" w:lineRule="auto"/>
              <w:jc w:val="center"/>
              <w:rPr>
                <w:szCs w:val="21"/>
              </w:rPr>
            </w:pPr>
            <w:r>
              <w:rPr>
                <w:szCs w:val="21"/>
              </w:rPr>
              <w:t>1</w:t>
            </w:r>
            <w:r>
              <w:rPr>
                <w:rFonts w:hint="eastAsia"/>
                <w:szCs w:val="21"/>
              </w:rPr>
              <w:t>0354.61</w:t>
            </w:r>
          </w:p>
        </w:tc>
        <w:tc>
          <w:tcPr>
            <w:tcW w:w="2212" w:type="dxa"/>
            <w:tcMar>
              <w:top w:w="16" w:type="dxa"/>
              <w:left w:w="16" w:type="dxa"/>
              <w:right w:w="16" w:type="dxa"/>
            </w:tcMar>
            <w:vAlign w:val="center"/>
          </w:tcPr>
          <w:p w14:paraId="5E932D01">
            <w:pPr>
              <w:adjustRightInd w:val="0"/>
              <w:snapToGrid w:val="0"/>
              <w:spacing w:line="360" w:lineRule="auto"/>
              <w:jc w:val="center"/>
              <w:rPr>
                <w:szCs w:val="21"/>
              </w:rPr>
            </w:pPr>
            <w:r>
              <w:rPr>
                <w:szCs w:val="21"/>
              </w:rPr>
              <w:t>环保投资（万元）</w:t>
            </w:r>
          </w:p>
        </w:tc>
        <w:tc>
          <w:tcPr>
            <w:tcW w:w="2639" w:type="dxa"/>
            <w:vAlign w:val="center"/>
          </w:tcPr>
          <w:p w14:paraId="7A5CC556">
            <w:pPr>
              <w:adjustRightInd w:val="0"/>
              <w:snapToGrid w:val="0"/>
              <w:spacing w:line="360" w:lineRule="auto"/>
              <w:jc w:val="center"/>
              <w:rPr>
                <w:szCs w:val="21"/>
              </w:rPr>
            </w:pPr>
            <w:r>
              <w:rPr>
                <w:rFonts w:hint="eastAsia"/>
                <w:snapToGrid w:val="0"/>
                <w:kern w:val="0"/>
                <w:szCs w:val="21"/>
              </w:rPr>
              <w:t>130.5</w:t>
            </w:r>
          </w:p>
        </w:tc>
      </w:tr>
      <w:tr w14:paraId="231806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60" w:type="dxa"/>
            <w:tcMar>
              <w:top w:w="16" w:type="dxa"/>
              <w:left w:w="16" w:type="dxa"/>
              <w:right w:w="16" w:type="dxa"/>
            </w:tcMar>
            <w:vAlign w:val="center"/>
          </w:tcPr>
          <w:p w14:paraId="063ACA9C">
            <w:pPr>
              <w:adjustRightInd w:val="0"/>
              <w:snapToGrid w:val="0"/>
              <w:spacing w:line="360" w:lineRule="auto"/>
              <w:jc w:val="center"/>
              <w:rPr>
                <w:szCs w:val="21"/>
              </w:rPr>
            </w:pPr>
            <w:r>
              <w:rPr>
                <w:szCs w:val="21"/>
              </w:rPr>
              <w:t>环保投资占比（%）</w:t>
            </w:r>
          </w:p>
        </w:tc>
        <w:tc>
          <w:tcPr>
            <w:tcW w:w="2159" w:type="dxa"/>
            <w:vAlign w:val="center"/>
          </w:tcPr>
          <w:p w14:paraId="419CBACB">
            <w:pPr>
              <w:adjustRightInd w:val="0"/>
              <w:snapToGrid w:val="0"/>
              <w:spacing w:line="360" w:lineRule="auto"/>
              <w:jc w:val="center"/>
              <w:rPr>
                <w:szCs w:val="21"/>
              </w:rPr>
            </w:pPr>
            <w:r>
              <w:rPr>
                <w:rFonts w:hint="eastAsia"/>
                <w:szCs w:val="21"/>
              </w:rPr>
              <w:t>1.2%</w:t>
            </w:r>
          </w:p>
        </w:tc>
        <w:tc>
          <w:tcPr>
            <w:tcW w:w="2212" w:type="dxa"/>
            <w:tcMar>
              <w:top w:w="16" w:type="dxa"/>
              <w:left w:w="16" w:type="dxa"/>
              <w:right w:w="16" w:type="dxa"/>
            </w:tcMar>
            <w:vAlign w:val="center"/>
          </w:tcPr>
          <w:p w14:paraId="2BB123F4">
            <w:pPr>
              <w:adjustRightInd w:val="0"/>
              <w:snapToGrid w:val="0"/>
              <w:spacing w:line="360" w:lineRule="auto"/>
              <w:jc w:val="center"/>
              <w:rPr>
                <w:szCs w:val="21"/>
              </w:rPr>
            </w:pPr>
            <w:r>
              <w:rPr>
                <w:szCs w:val="21"/>
              </w:rPr>
              <w:t>施工工期</w:t>
            </w:r>
            <w:r>
              <w:rPr>
                <w:rFonts w:hint="eastAsia"/>
                <w:szCs w:val="21"/>
              </w:rPr>
              <w:t>（月）</w:t>
            </w:r>
          </w:p>
        </w:tc>
        <w:tc>
          <w:tcPr>
            <w:tcW w:w="2639" w:type="dxa"/>
            <w:vAlign w:val="center"/>
          </w:tcPr>
          <w:p w14:paraId="3C3C2898">
            <w:pPr>
              <w:adjustRightInd w:val="0"/>
              <w:snapToGrid w:val="0"/>
              <w:spacing w:line="360" w:lineRule="auto"/>
              <w:jc w:val="center"/>
              <w:rPr>
                <w:szCs w:val="21"/>
              </w:rPr>
            </w:pPr>
            <w:r>
              <w:rPr>
                <w:rFonts w:hint="eastAsia"/>
                <w:szCs w:val="21"/>
              </w:rPr>
              <w:t>3</w:t>
            </w:r>
          </w:p>
        </w:tc>
      </w:tr>
      <w:tr w14:paraId="1571BA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60" w:type="dxa"/>
            <w:tcMar>
              <w:top w:w="16" w:type="dxa"/>
              <w:left w:w="16" w:type="dxa"/>
              <w:right w:w="16" w:type="dxa"/>
            </w:tcMar>
            <w:vAlign w:val="center"/>
          </w:tcPr>
          <w:p w14:paraId="255191D6">
            <w:pPr>
              <w:adjustRightInd w:val="0"/>
              <w:snapToGrid w:val="0"/>
              <w:spacing w:line="360" w:lineRule="auto"/>
              <w:jc w:val="center"/>
              <w:rPr>
                <w:color w:val="auto"/>
                <w:szCs w:val="21"/>
              </w:rPr>
            </w:pPr>
            <w:r>
              <w:rPr>
                <w:color w:val="auto"/>
                <w:szCs w:val="21"/>
              </w:rPr>
              <w:t>是否开工建设</w:t>
            </w:r>
          </w:p>
        </w:tc>
        <w:tc>
          <w:tcPr>
            <w:tcW w:w="2159" w:type="dxa"/>
            <w:vAlign w:val="center"/>
          </w:tcPr>
          <w:p w14:paraId="7DDEAC0A">
            <w:pPr>
              <w:adjustRightInd w:val="0"/>
              <w:snapToGrid w:val="0"/>
              <w:spacing w:line="360" w:lineRule="auto"/>
              <w:rPr>
                <w:color w:val="auto"/>
                <w:szCs w:val="21"/>
              </w:rPr>
            </w:pPr>
            <w:r>
              <w:rPr>
                <w:rFonts w:hint="eastAsia"/>
                <w:color w:val="auto"/>
                <w:szCs w:val="21"/>
              </w:rPr>
              <w:t>□</w:t>
            </w:r>
            <w:r>
              <w:rPr>
                <w:color w:val="auto"/>
                <w:szCs w:val="21"/>
              </w:rPr>
              <w:t>否</w:t>
            </w:r>
          </w:p>
          <w:p w14:paraId="45898158">
            <w:pPr>
              <w:adjustRightInd w:val="0"/>
              <w:snapToGrid w:val="0"/>
              <w:spacing w:line="360" w:lineRule="auto"/>
              <w:rPr>
                <w:rFonts w:hint="default" w:eastAsia="宋体"/>
                <w:color w:val="auto"/>
                <w:szCs w:val="21"/>
                <w:lang w:val="en-US" w:eastAsia="zh-CN"/>
              </w:rPr>
            </w:pPr>
            <w:r>
              <w:rPr>
                <w:rFonts w:hint="eastAsia"/>
                <w:color w:val="auto"/>
                <w:szCs w:val="21"/>
                <w:lang w:eastAsia="zh-CN"/>
              </w:rPr>
              <w:t>☑</w:t>
            </w:r>
            <w:r>
              <w:rPr>
                <w:color w:val="auto"/>
                <w:szCs w:val="21"/>
              </w:rPr>
              <w:t>是</w:t>
            </w:r>
            <w:r>
              <w:rPr>
                <w:rFonts w:hint="eastAsia"/>
                <w:color w:val="auto"/>
                <w:szCs w:val="21"/>
                <w:lang w:eastAsia="zh-CN"/>
              </w:rPr>
              <w:t>：</w:t>
            </w:r>
            <w:r>
              <w:rPr>
                <w:rFonts w:hint="eastAsia"/>
                <w:color w:val="auto"/>
                <w:szCs w:val="21"/>
                <w:u w:val="single"/>
                <w:lang w:val="en-US" w:eastAsia="zh-CN"/>
              </w:rPr>
              <w:t>2018年8月建设，已过追诉期，超出未批先建处罚时效。</w:t>
            </w:r>
          </w:p>
        </w:tc>
        <w:tc>
          <w:tcPr>
            <w:tcW w:w="2212" w:type="dxa"/>
            <w:tcMar>
              <w:top w:w="16" w:type="dxa"/>
              <w:left w:w="16" w:type="dxa"/>
              <w:right w:w="16" w:type="dxa"/>
            </w:tcMar>
            <w:vAlign w:val="center"/>
          </w:tcPr>
          <w:p w14:paraId="192AB511">
            <w:pPr>
              <w:adjustRightInd w:val="0"/>
              <w:snapToGrid w:val="0"/>
              <w:spacing w:line="360" w:lineRule="auto"/>
              <w:jc w:val="center"/>
              <w:rPr>
                <w:color w:val="auto"/>
                <w:spacing w:val="-6"/>
                <w:szCs w:val="21"/>
              </w:rPr>
            </w:pPr>
            <w:r>
              <w:rPr>
                <w:color w:val="auto"/>
                <w:spacing w:val="-6"/>
                <w:szCs w:val="21"/>
              </w:rPr>
              <w:t>用地（用海）</w:t>
            </w:r>
          </w:p>
          <w:p w14:paraId="178EAE9C">
            <w:pPr>
              <w:adjustRightInd w:val="0"/>
              <w:snapToGrid w:val="0"/>
              <w:spacing w:line="360" w:lineRule="auto"/>
              <w:jc w:val="center"/>
              <w:rPr>
                <w:color w:val="auto"/>
                <w:szCs w:val="21"/>
              </w:rPr>
            </w:pPr>
            <w:r>
              <w:rPr>
                <w:color w:val="auto"/>
                <w:spacing w:val="-6"/>
                <w:szCs w:val="21"/>
              </w:rPr>
              <w:t>面积（m</w:t>
            </w:r>
            <w:r>
              <w:rPr>
                <w:color w:val="auto"/>
                <w:spacing w:val="-6"/>
                <w:szCs w:val="21"/>
                <w:vertAlign w:val="superscript"/>
              </w:rPr>
              <w:t>2</w:t>
            </w:r>
            <w:r>
              <w:rPr>
                <w:color w:val="auto"/>
                <w:spacing w:val="-6"/>
                <w:szCs w:val="21"/>
              </w:rPr>
              <w:t>）</w:t>
            </w:r>
          </w:p>
        </w:tc>
        <w:tc>
          <w:tcPr>
            <w:tcW w:w="2639" w:type="dxa"/>
            <w:vAlign w:val="center"/>
          </w:tcPr>
          <w:p w14:paraId="1FD184D7">
            <w:pPr>
              <w:adjustRightInd w:val="0"/>
              <w:snapToGrid w:val="0"/>
              <w:spacing w:line="360" w:lineRule="auto"/>
              <w:ind w:firstLine="1050" w:firstLineChars="500"/>
              <w:jc w:val="left"/>
              <w:rPr>
                <w:color w:val="auto"/>
                <w:szCs w:val="21"/>
              </w:rPr>
            </w:pPr>
            <w:r>
              <w:rPr>
                <w:rFonts w:hint="eastAsia"/>
                <w:color w:val="auto"/>
                <w:kern w:val="0"/>
                <w:szCs w:val="21"/>
              </w:rPr>
              <w:t>35151.20</w:t>
            </w:r>
          </w:p>
        </w:tc>
      </w:tr>
      <w:tr w14:paraId="3DBCE5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1" w:hRule="atLeast"/>
          <w:jc w:val="center"/>
        </w:trPr>
        <w:tc>
          <w:tcPr>
            <w:tcW w:w="1860" w:type="dxa"/>
            <w:vAlign w:val="center"/>
          </w:tcPr>
          <w:p w14:paraId="3691CFC5">
            <w:pPr>
              <w:autoSpaceDE w:val="0"/>
              <w:autoSpaceDN w:val="0"/>
              <w:adjustRightInd w:val="0"/>
              <w:snapToGrid w:val="0"/>
              <w:spacing w:line="360" w:lineRule="auto"/>
              <w:jc w:val="center"/>
              <w:rPr>
                <w:color w:val="auto"/>
                <w:kern w:val="0"/>
                <w:szCs w:val="21"/>
              </w:rPr>
            </w:pPr>
            <w:r>
              <w:rPr>
                <w:color w:val="auto"/>
                <w:kern w:val="0"/>
                <w:szCs w:val="21"/>
              </w:rPr>
              <w:t>专项评价设置情况</w:t>
            </w:r>
          </w:p>
        </w:tc>
        <w:tc>
          <w:tcPr>
            <w:tcW w:w="7010" w:type="dxa"/>
            <w:gridSpan w:val="3"/>
            <w:vAlign w:val="center"/>
          </w:tcPr>
          <w:tbl>
            <w:tblPr>
              <w:tblStyle w:val="31"/>
              <w:tblW w:w="67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4696"/>
              <w:gridCol w:w="1128"/>
            </w:tblGrid>
            <w:tr w14:paraId="15630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trPr>
              <w:tc>
                <w:tcPr>
                  <w:tcW w:w="949" w:type="dxa"/>
                  <w:vAlign w:val="center"/>
                </w:tcPr>
                <w:p w14:paraId="3CDBF4D2">
                  <w:pPr>
                    <w:pStyle w:val="115"/>
                    <w:rPr>
                      <w:color w:val="auto"/>
                    </w:rPr>
                  </w:pPr>
                  <w:r>
                    <w:rPr>
                      <w:color w:val="auto"/>
                    </w:rPr>
                    <w:t>环境要素</w:t>
                  </w:r>
                </w:p>
              </w:tc>
              <w:tc>
                <w:tcPr>
                  <w:tcW w:w="4696" w:type="dxa"/>
                  <w:vAlign w:val="center"/>
                </w:tcPr>
                <w:p w14:paraId="1395DD01">
                  <w:pPr>
                    <w:pStyle w:val="115"/>
                    <w:rPr>
                      <w:rFonts w:hint="eastAsia" w:eastAsia="宋体"/>
                      <w:color w:val="auto"/>
                      <w:lang w:eastAsia="zh-CN"/>
                    </w:rPr>
                  </w:pPr>
                  <w:r>
                    <w:rPr>
                      <w:rFonts w:hint="eastAsia"/>
                      <w:color w:val="auto"/>
                      <w:lang w:eastAsia="zh-CN"/>
                    </w:rPr>
                    <w:t>设置原则</w:t>
                  </w:r>
                </w:p>
              </w:tc>
              <w:tc>
                <w:tcPr>
                  <w:tcW w:w="1128" w:type="dxa"/>
                  <w:vAlign w:val="center"/>
                </w:tcPr>
                <w:p w14:paraId="703C6CB5">
                  <w:pPr>
                    <w:pStyle w:val="115"/>
                    <w:rPr>
                      <w:rFonts w:ascii="Times New Roman" w:hAnsi="Times New Roman" w:eastAsia="宋体" w:cs="Times New Roman"/>
                      <w:color w:val="auto"/>
                      <w:kern w:val="2"/>
                      <w:sz w:val="21"/>
                      <w:szCs w:val="24"/>
                      <w:lang w:val="en-US" w:eastAsia="zh-CN" w:bidi="ar-SA"/>
                    </w:rPr>
                  </w:pPr>
                  <w:r>
                    <w:rPr>
                      <w:color w:val="auto"/>
                    </w:rPr>
                    <w:t>是否设置专项评价</w:t>
                  </w:r>
                </w:p>
              </w:tc>
            </w:tr>
            <w:tr w14:paraId="70593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949" w:type="dxa"/>
                  <w:vAlign w:val="center"/>
                </w:tcPr>
                <w:p w14:paraId="5C2FA6E2">
                  <w:pPr>
                    <w:pStyle w:val="115"/>
                    <w:rPr>
                      <w:color w:val="auto"/>
                    </w:rPr>
                  </w:pPr>
                  <w:r>
                    <w:rPr>
                      <w:color w:val="auto"/>
                    </w:rPr>
                    <w:t>大气</w:t>
                  </w:r>
                </w:p>
              </w:tc>
              <w:tc>
                <w:tcPr>
                  <w:tcW w:w="4696" w:type="dxa"/>
                  <w:vAlign w:val="center"/>
                </w:tcPr>
                <w:p w14:paraId="3013803F">
                  <w:pPr>
                    <w:pStyle w:val="115"/>
                    <w:keepNext w:val="0"/>
                    <w:keepLines w:val="0"/>
                    <w:pageBreakBefore w:val="0"/>
                    <w:widowControl w:val="0"/>
                    <w:kinsoku/>
                    <w:wordWrap/>
                    <w:overflowPunct/>
                    <w:topLinePunct w:val="0"/>
                    <w:autoSpaceDE/>
                    <w:autoSpaceDN/>
                    <w:bidi w:val="0"/>
                    <w:adjustRightInd/>
                    <w:snapToGrid/>
                    <w:ind w:firstLine="0" w:firstLineChars="0"/>
                    <w:jc w:val="left"/>
                    <w:textAlignment w:val="auto"/>
                    <w:rPr>
                      <w:color w:val="auto"/>
                    </w:rPr>
                  </w:pPr>
                  <w:r>
                    <w:rPr>
                      <w:rFonts w:hint="eastAsia"/>
                      <w:color w:val="auto"/>
                    </w:rPr>
                    <w:t>排放废气含有毒有害污染物</w:t>
                  </w:r>
                  <w:r>
                    <w:rPr>
                      <w:rFonts w:hint="eastAsia"/>
                      <w:color w:val="auto"/>
                      <w:vertAlign w:val="superscript"/>
                      <w:lang w:val="en-US" w:eastAsia="zh-CN"/>
                    </w:rPr>
                    <w:t>1</w:t>
                  </w:r>
                  <w:r>
                    <w:rPr>
                      <w:rFonts w:hint="eastAsia"/>
                      <w:color w:val="auto"/>
                      <w:vertAlign w:val="baseline"/>
                      <w:lang w:val="en-US" w:eastAsia="zh-CN"/>
                    </w:rPr>
                    <w:t>、</w:t>
                  </w:r>
                  <w:r>
                    <w:rPr>
                      <w:rFonts w:hint="eastAsia"/>
                      <w:color w:val="auto"/>
                      <w:lang w:eastAsia="zh-CN"/>
                    </w:rPr>
                    <w:t>二噁英</w:t>
                  </w:r>
                  <w:r>
                    <w:rPr>
                      <w:rFonts w:hint="eastAsia"/>
                      <w:color w:val="auto"/>
                    </w:rPr>
                    <w:t>、苯并[a]芘、氰化物、氯气且厂界外500米范围内有环境空气保护目标</w:t>
                  </w:r>
                  <w:r>
                    <w:rPr>
                      <w:rFonts w:hint="eastAsia"/>
                      <w:color w:val="auto"/>
                      <w:vertAlign w:val="superscript"/>
                    </w:rPr>
                    <w:t>2</w:t>
                  </w:r>
                  <w:r>
                    <w:rPr>
                      <w:rFonts w:hint="eastAsia"/>
                      <w:color w:val="auto"/>
                    </w:rPr>
                    <w:t>的建设项目</w:t>
                  </w:r>
                </w:p>
              </w:tc>
              <w:tc>
                <w:tcPr>
                  <w:tcW w:w="1128" w:type="dxa"/>
                  <w:vAlign w:val="center"/>
                </w:tcPr>
                <w:p w14:paraId="5B7422FE">
                  <w:pPr>
                    <w:pStyle w:val="115"/>
                    <w:rPr>
                      <w:rFonts w:ascii="Times New Roman" w:hAnsi="Times New Roman" w:eastAsia="宋体" w:cs="Times New Roman"/>
                      <w:color w:val="auto"/>
                      <w:kern w:val="2"/>
                      <w:sz w:val="21"/>
                      <w:szCs w:val="24"/>
                      <w:lang w:val="en-US" w:eastAsia="zh-CN" w:bidi="ar-SA"/>
                    </w:rPr>
                  </w:pPr>
                  <w:r>
                    <w:rPr>
                      <w:color w:val="auto"/>
                    </w:rPr>
                    <w:t>否</w:t>
                  </w:r>
                </w:p>
              </w:tc>
            </w:tr>
            <w:tr w14:paraId="55EC7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949" w:type="dxa"/>
                  <w:vAlign w:val="center"/>
                </w:tcPr>
                <w:p w14:paraId="3616E6B5">
                  <w:pPr>
                    <w:pStyle w:val="115"/>
                    <w:rPr>
                      <w:color w:val="auto"/>
                    </w:rPr>
                  </w:pPr>
                  <w:r>
                    <w:rPr>
                      <w:color w:val="auto"/>
                    </w:rPr>
                    <w:t>地表水</w:t>
                  </w:r>
                </w:p>
              </w:tc>
              <w:tc>
                <w:tcPr>
                  <w:tcW w:w="4696" w:type="dxa"/>
                  <w:vAlign w:val="center"/>
                </w:tcPr>
                <w:p w14:paraId="732B5306">
                  <w:pPr>
                    <w:pStyle w:val="115"/>
                    <w:keepNext w:val="0"/>
                    <w:keepLines w:val="0"/>
                    <w:pageBreakBefore w:val="0"/>
                    <w:widowControl w:val="0"/>
                    <w:kinsoku/>
                    <w:wordWrap/>
                    <w:overflowPunct/>
                    <w:topLinePunct w:val="0"/>
                    <w:autoSpaceDE/>
                    <w:autoSpaceDN/>
                    <w:bidi w:val="0"/>
                    <w:adjustRightInd/>
                    <w:snapToGrid/>
                    <w:ind w:firstLine="0" w:firstLineChars="0"/>
                    <w:jc w:val="left"/>
                    <w:textAlignment w:val="auto"/>
                    <w:rPr>
                      <w:color w:val="auto"/>
                    </w:rPr>
                  </w:pPr>
                  <w:r>
                    <w:rPr>
                      <w:rFonts w:hint="eastAsia"/>
                      <w:color w:val="auto"/>
                    </w:rPr>
                    <w:t>新增工业废水直排建设项目(槽罐车外送污水处理厂的除外);新增废水直排的污水集中处理厂</w:t>
                  </w:r>
                </w:p>
              </w:tc>
              <w:tc>
                <w:tcPr>
                  <w:tcW w:w="1128" w:type="dxa"/>
                  <w:vAlign w:val="center"/>
                </w:tcPr>
                <w:p w14:paraId="266245CD">
                  <w:pPr>
                    <w:pStyle w:val="115"/>
                    <w:rPr>
                      <w:rFonts w:ascii="Times New Roman" w:hAnsi="Times New Roman" w:eastAsia="宋体" w:cs="Times New Roman"/>
                      <w:color w:val="auto"/>
                      <w:kern w:val="2"/>
                      <w:sz w:val="21"/>
                      <w:szCs w:val="24"/>
                      <w:lang w:val="en-US" w:eastAsia="zh-CN" w:bidi="ar-SA"/>
                    </w:rPr>
                  </w:pPr>
                  <w:r>
                    <w:rPr>
                      <w:color w:val="auto"/>
                    </w:rPr>
                    <w:t>否</w:t>
                  </w:r>
                </w:p>
              </w:tc>
            </w:tr>
            <w:tr w14:paraId="0703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49" w:type="dxa"/>
                  <w:vAlign w:val="center"/>
                </w:tcPr>
                <w:p w14:paraId="4018952E">
                  <w:pPr>
                    <w:pStyle w:val="115"/>
                    <w:rPr>
                      <w:color w:val="auto"/>
                    </w:rPr>
                  </w:pPr>
                  <w:r>
                    <w:rPr>
                      <w:color w:val="auto"/>
                    </w:rPr>
                    <w:t>环境风险</w:t>
                  </w:r>
                </w:p>
              </w:tc>
              <w:tc>
                <w:tcPr>
                  <w:tcW w:w="4696" w:type="dxa"/>
                  <w:vAlign w:val="center"/>
                </w:tcPr>
                <w:p w14:paraId="2C588E13">
                  <w:pPr>
                    <w:pStyle w:val="115"/>
                    <w:keepNext w:val="0"/>
                    <w:keepLines w:val="0"/>
                    <w:pageBreakBefore w:val="0"/>
                    <w:widowControl w:val="0"/>
                    <w:kinsoku/>
                    <w:wordWrap/>
                    <w:overflowPunct/>
                    <w:topLinePunct w:val="0"/>
                    <w:autoSpaceDE/>
                    <w:autoSpaceDN/>
                    <w:bidi w:val="0"/>
                    <w:adjustRightInd/>
                    <w:snapToGrid/>
                    <w:ind w:firstLine="0" w:firstLineChars="0"/>
                    <w:jc w:val="left"/>
                    <w:textAlignment w:val="auto"/>
                    <w:rPr>
                      <w:color w:val="auto"/>
                    </w:rPr>
                  </w:pPr>
                  <w:r>
                    <w:rPr>
                      <w:rFonts w:hint="eastAsia"/>
                      <w:color w:val="auto"/>
                    </w:rPr>
                    <w:t>有毒有害和易燃易爆危险物质存储量超过临界量</w:t>
                  </w:r>
                  <w:r>
                    <w:rPr>
                      <w:rFonts w:hint="eastAsia"/>
                      <w:color w:val="auto"/>
                      <w:vertAlign w:val="superscript"/>
                    </w:rPr>
                    <w:t>3</w:t>
                  </w:r>
                  <w:r>
                    <w:rPr>
                      <w:rFonts w:hint="eastAsia"/>
                      <w:color w:val="auto"/>
                    </w:rPr>
                    <w:t>的建设项目</w:t>
                  </w:r>
                </w:p>
              </w:tc>
              <w:tc>
                <w:tcPr>
                  <w:tcW w:w="1128" w:type="dxa"/>
                  <w:vAlign w:val="center"/>
                </w:tcPr>
                <w:p w14:paraId="3B617043">
                  <w:pPr>
                    <w:pStyle w:val="115"/>
                    <w:rPr>
                      <w:rFonts w:ascii="Times New Roman" w:hAnsi="Times New Roman" w:eastAsia="宋体" w:cs="Times New Roman"/>
                      <w:color w:val="auto"/>
                      <w:kern w:val="2"/>
                      <w:sz w:val="21"/>
                      <w:szCs w:val="24"/>
                      <w:lang w:val="en-US" w:eastAsia="zh-CN" w:bidi="ar-SA"/>
                    </w:rPr>
                  </w:pPr>
                  <w:r>
                    <w:rPr>
                      <w:color w:val="auto"/>
                    </w:rPr>
                    <w:t>否</w:t>
                  </w:r>
                </w:p>
              </w:tc>
            </w:tr>
            <w:tr w14:paraId="446C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49" w:type="dxa"/>
                  <w:vAlign w:val="center"/>
                </w:tcPr>
                <w:p w14:paraId="67E49A97">
                  <w:pPr>
                    <w:pStyle w:val="115"/>
                    <w:rPr>
                      <w:color w:val="auto"/>
                    </w:rPr>
                  </w:pPr>
                  <w:r>
                    <w:rPr>
                      <w:color w:val="auto"/>
                    </w:rPr>
                    <w:t>生态</w:t>
                  </w:r>
                </w:p>
              </w:tc>
              <w:tc>
                <w:tcPr>
                  <w:tcW w:w="4696" w:type="dxa"/>
                  <w:vAlign w:val="center"/>
                </w:tcPr>
                <w:p w14:paraId="107169A3">
                  <w:pPr>
                    <w:pStyle w:val="115"/>
                    <w:keepNext w:val="0"/>
                    <w:keepLines w:val="0"/>
                    <w:pageBreakBefore w:val="0"/>
                    <w:widowControl w:val="0"/>
                    <w:kinsoku/>
                    <w:wordWrap/>
                    <w:overflowPunct/>
                    <w:topLinePunct w:val="0"/>
                    <w:autoSpaceDE/>
                    <w:autoSpaceDN/>
                    <w:bidi w:val="0"/>
                    <w:adjustRightInd/>
                    <w:snapToGrid/>
                    <w:ind w:firstLine="0" w:firstLineChars="0"/>
                    <w:jc w:val="left"/>
                    <w:textAlignment w:val="auto"/>
                    <w:rPr>
                      <w:color w:val="auto"/>
                    </w:rPr>
                  </w:pPr>
                  <w:r>
                    <w:rPr>
                      <w:rFonts w:hint="eastAsia"/>
                      <w:color w:val="auto"/>
                    </w:rPr>
                    <w:t>取水口下游500米范围内有重要水生生物的自然产卵场、索饵场、越冬场和洄游通道的新增河道取水的污染类建设项目</w:t>
                  </w:r>
                </w:p>
              </w:tc>
              <w:tc>
                <w:tcPr>
                  <w:tcW w:w="1128" w:type="dxa"/>
                  <w:vAlign w:val="center"/>
                </w:tcPr>
                <w:p w14:paraId="3F310EAC">
                  <w:pPr>
                    <w:pStyle w:val="115"/>
                    <w:rPr>
                      <w:rFonts w:ascii="Times New Roman" w:hAnsi="Times New Roman" w:eastAsia="宋体" w:cs="Times New Roman"/>
                      <w:color w:val="auto"/>
                      <w:kern w:val="2"/>
                      <w:sz w:val="21"/>
                      <w:szCs w:val="24"/>
                      <w:lang w:val="en-US" w:eastAsia="zh-CN" w:bidi="ar-SA"/>
                    </w:rPr>
                  </w:pPr>
                  <w:r>
                    <w:rPr>
                      <w:color w:val="auto"/>
                    </w:rPr>
                    <w:t>否</w:t>
                  </w:r>
                </w:p>
              </w:tc>
            </w:tr>
            <w:tr w14:paraId="2AAE0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949" w:type="dxa"/>
                  <w:vAlign w:val="center"/>
                </w:tcPr>
                <w:p w14:paraId="1A5CD89A">
                  <w:pPr>
                    <w:pStyle w:val="115"/>
                    <w:rPr>
                      <w:color w:val="auto"/>
                    </w:rPr>
                  </w:pPr>
                  <w:r>
                    <w:rPr>
                      <w:color w:val="auto"/>
                    </w:rPr>
                    <w:t>海洋</w:t>
                  </w:r>
                </w:p>
              </w:tc>
              <w:tc>
                <w:tcPr>
                  <w:tcW w:w="4696" w:type="dxa"/>
                  <w:vAlign w:val="center"/>
                </w:tcPr>
                <w:p w14:paraId="7CCFC676">
                  <w:pPr>
                    <w:pStyle w:val="115"/>
                    <w:keepNext w:val="0"/>
                    <w:keepLines w:val="0"/>
                    <w:pageBreakBefore w:val="0"/>
                    <w:widowControl w:val="0"/>
                    <w:kinsoku/>
                    <w:wordWrap/>
                    <w:overflowPunct/>
                    <w:topLinePunct w:val="0"/>
                    <w:autoSpaceDE/>
                    <w:autoSpaceDN/>
                    <w:bidi w:val="0"/>
                    <w:adjustRightInd/>
                    <w:snapToGrid/>
                    <w:ind w:firstLine="0" w:firstLineChars="0"/>
                    <w:jc w:val="both"/>
                    <w:textAlignment w:val="auto"/>
                    <w:rPr>
                      <w:color w:val="auto"/>
                    </w:rPr>
                  </w:pPr>
                  <w:r>
                    <w:rPr>
                      <w:rFonts w:hint="eastAsia"/>
                      <w:color w:val="auto"/>
                    </w:rPr>
                    <w:t>直接向海排放污染物的海洋工程建设项目</w:t>
                  </w:r>
                </w:p>
              </w:tc>
              <w:tc>
                <w:tcPr>
                  <w:tcW w:w="1128" w:type="dxa"/>
                  <w:vAlign w:val="center"/>
                </w:tcPr>
                <w:p w14:paraId="5B4A245B">
                  <w:pPr>
                    <w:pStyle w:val="115"/>
                    <w:rPr>
                      <w:rFonts w:ascii="Times New Roman" w:hAnsi="Times New Roman" w:eastAsia="宋体" w:cs="Times New Roman"/>
                      <w:color w:val="auto"/>
                      <w:kern w:val="2"/>
                      <w:sz w:val="21"/>
                      <w:szCs w:val="24"/>
                      <w:lang w:val="en-US" w:eastAsia="zh-CN" w:bidi="ar-SA"/>
                    </w:rPr>
                  </w:pPr>
                  <w:r>
                    <w:rPr>
                      <w:color w:val="auto"/>
                    </w:rPr>
                    <w:t>否</w:t>
                  </w:r>
                </w:p>
              </w:tc>
            </w:tr>
          </w:tbl>
          <w:p w14:paraId="30EDB7B5">
            <w:pPr>
              <w:pStyle w:val="115"/>
              <w:ind w:firstLine="420" w:firstLineChars="200"/>
              <w:jc w:val="left"/>
              <w:rPr>
                <w:color w:val="auto"/>
                <w:kern w:val="0"/>
                <w:szCs w:val="21"/>
              </w:rPr>
            </w:pPr>
          </w:p>
        </w:tc>
      </w:tr>
      <w:tr w14:paraId="29BF74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860" w:type="dxa"/>
            <w:vAlign w:val="center"/>
          </w:tcPr>
          <w:p w14:paraId="39FDBDAF">
            <w:pPr>
              <w:autoSpaceDE w:val="0"/>
              <w:autoSpaceDN w:val="0"/>
              <w:adjustRightInd w:val="0"/>
              <w:snapToGrid w:val="0"/>
              <w:spacing w:line="360" w:lineRule="auto"/>
              <w:jc w:val="center"/>
              <w:rPr>
                <w:kern w:val="0"/>
                <w:szCs w:val="21"/>
              </w:rPr>
            </w:pPr>
            <w:r>
              <w:rPr>
                <w:szCs w:val="21"/>
              </w:rPr>
              <w:t>规划情况</w:t>
            </w:r>
          </w:p>
        </w:tc>
        <w:tc>
          <w:tcPr>
            <w:tcW w:w="7010" w:type="dxa"/>
            <w:gridSpan w:val="3"/>
            <w:vAlign w:val="center"/>
          </w:tcPr>
          <w:p w14:paraId="6EECCC39">
            <w:pPr>
              <w:autoSpaceDE w:val="0"/>
              <w:autoSpaceDN w:val="0"/>
              <w:adjustRightInd w:val="0"/>
              <w:snapToGrid w:val="0"/>
              <w:spacing w:line="360" w:lineRule="auto"/>
              <w:jc w:val="center"/>
              <w:rPr>
                <w:kern w:val="0"/>
                <w:szCs w:val="21"/>
              </w:rPr>
            </w:pPr>
            <w:r>
              <w:rPr>
                <w:kern w:val="0"/>
                <w:szCs w:val="21"/>
              </w:rPr>
              <w:t>无</w:t>
            </w:r>
          </w:p>
        </w:tc>
      </w:tr>
      <w:tr w14:paraId="682F76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1860" w:type="dxa"/>
            <w:vAlign w:val="center"/>
          </w:tcPr>
          <w:p w14:paraId="291BAF39">
            <w:pPr>
              <w:adjustRightInd w:val="0"/>
              <w:snapToGrid w:val="0"/>
              <w:spacing w:line="360" w:lineRule="auto"/>
              <w:jc w:val="center"/>
              <w:rPr>
                <w:szCs w:val="21"/>
              </w:rPr>
            </w:pPr>
            <w:r>
              <w:rPr>
                <w:szCs w:val="21"/>
              </w:rPr>
              <w:t>规划环境影响</w:t>
            </w:r>
          </w:p>
          <w:p w14:paraId="6D717926">
            <w:pPr>
              <w:adjustRightInd w:val="0"/>
              <w:snapToGrid w:val="0"/>
              <w:spacing w:line="360" w:lineRule="auto"/>
              <w:jc w:val="center"/>
              <w:rPr>
                <w:kern w:val="0"/>
                <w:szCs w:val="21"/>
              </w:rPr>
            </w:pPr>
            <w:r>
              <w:rPr>
                <w:szCs w:val="21"/>
              </w:rPr>
              <w:t>评价情况</w:t>
            </w:r>
          </w:p>
        </w:tc>
        <w:tc>
          <w:tcPr>
            <w:tcW w:w="7010" w:type="dxa"/>
            <w:gridSpan w:val="3"/>
            <w:vAlign w:val="center"/>
          </w:tcPr>
          <w:p w14:paraId="464493A4">
            <w:pPr>
              <w:autoSpaceDE w:val="0"/>
              <w:autoSpaceDN w:val="0"/>
              <w:adjustRightInd w:val="0"/>
              <w:snapToGrid w:val="0"/>
              <w:spacing w:line="360" w:lineRule="auto"/>
              <w:jc w:val="center"/>
              <w:rPr>
                <w:kern w:val="0"/>
                <w:szCs w:val="21"/>
              </w:rPr>
            </w:pPr>
            <w:r>
              <w:rPr>
                <w:kern w:val="0"/>
                <w:szCs w:val="21"/>
              </w:rPr>
              <w:t>无</w:t>
            </w:r>
          </w:p>
        </w:tc>
      </w:tr>
      <w:tr w14:paraId="2CDDEA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60" w:type="dxa"/>
            <w:vAlign w:val="center"/>
          </w:tcPr>
          <w:p w14:paraId="4CD40256">
            <w:pPr>
              <w:autoSpaceDE w:val="0"/>
              <w:autoSpaceDN w:val="0"/>
              <w:adjustRightInd w:val="0"/>
              <w:snapToGrid w:val="0"/>
              <w:spacing w:line="360" w:lineRule="auto"/>
              <w:jc w:val="center"/>
              <w:rPr>
                <w:kern w:val="0"/>
                <w:szCs w:val="21"/>
              </w:rPr>
            </w:pPr>
            <w:r>
              <w:rPr>
                <w:kern w:val="0"/>
                <w:szCs w:val="21"/>
              </w:rPr>
              <w:t>规划及规划环境</w:t>
            </w:r>
          </w:p>
          <w:p w14:paraId="09048FBA">
            <w:pPr>
              <w:autoSpaceDE w:val="0"/>
              <w:autoSpaceDN w:val="0"/>
              <w:adjustRightInd w:val="0"/>
              <w:snapToGrid w:val="0"/>
              <w:spacing w:line="360" w:lineRule="auto"/>
              <w:jc w:val="center"/>
              <w:rPr>
                <w:kern w:val="0"/>
                <w:szCs w:val="21"/>
              </w:rPr>
            </w:pPr>
            <w:r>
              <w:rPr>
                <w:kern w:val="0"/>
                <w:szCs w:val="21"/>
              </w:rPr>
              <w:t>影响评价符合性分析</w:t>
            </w:r>
          </w:p>
        </w:tc>
        <w:tc>
          <w:tcPr>
            <w:tcW w:w="7010" w:type="dxa"/>
            <w:gridSpan w:val="3"/>
            <w:vAlign w:val="center"/>
          </w:tcPr>
          <w:p w14:paraId="4E0E114A">
            <w:pPr>
              <w:autoSpaceDE w:val="0"/>
              <w:autoSpaceDN w:val="0"/>
              <w:adjustRightInd w:val="0"/>
              <w:snapToGrid w:val="0"/>
              <w:spacing w:line="360" w:lineRule="auto"/>
              <w:jc w:val="center"/>
              <w:rPr>
                <w:szCs w:val="21"/>
              </w:rPr>
            </w:pPr>
            <w:r>
              <w:rPr>
                <w:kern w:val="0"/>
                <w:szCs w:val="21"/>
              </w:rPr>
              <w:t>无</w:t>
            </w:r>
          </w:p>
        </w:tc>
      </w:tr>
      <w:tr w14:paraId="3417EA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60" w:type="dxa"/>
            <w:vAlign w:val="center"/>
          </w:tcPr>
          <w:p w14:paraId="1A6EF29C">
            <w:pPr>
              <w:autoSpaceDE w:val="0"/>
              <w:autoSpaceDN w:val="0"/>
              <w:adjustRightInd w:val="0"/>
              <w:snapToGrid w:val="0"/>
              <w:spacing w:line="360" w:lineRule="auto"/>
              <w:jc w:val="center"/>
              <w:rPr>
                <w:kern w:val="0"/>
                <w:szCs w:val="21"/>
              </w:rPr>
            </w:pPr>
            <w:r>
              <w:rPr>
                <w:kern w:val="0"/>
                <w:szCs w:val="21"/>
              </w:rPr>
              <w:t>其</w:t>
            </w:r>
          </w:p>
          <w:p w14:paraId="5B65E588">
            <w:pPr>
              <w:autoSpaceDE w:val="0"/>
              <w:autoSpaceDN w:val="0"/>
              <w:adjustRightInd w:val="0"/>
              <w:snapToGrid w:val="0"/>
              <w:spacing w:line="360" w:lineRule="auto"/>
              <w:jc w:val="center"/>
              <w:rPr>
                <w:kern w:val="0"/>
                <w:szCs w:val="21"/>
              </w:rPr>
            </w:pPr>
            <w:r>
              <w:rPr>
                <w:kern w:val="0"/>
                <w:szCs w:val="21"/>
              </w:rPr>
              <w:t>他</w:t>
            </w:r>
          </w:p>
          <w:p w14:paraId="7D8BE33E">
            <w:pPr>
              <w:autoSpaceDE w:val="0"/>
              <w:autoSpaceDN w:val="0"/>
              <w:adjustRightInd w:val="0"/>
              <w:snapToGrid w:val="0"/>
              <w:spacing w:line="360" w:lineRule="auto"/>
              <w:jc w:val="center"/>
              <w:rPr>
                <w:kern w:val="0"/>
                <w:szCs w:val="21"/>
              </w:rPr>
            </w:pPr>
            <w:r>
              <w:rPr>
                <w:kern w:val="0"/>
                <w:szCs w:val="21"/>
              </w:rPr>
              <w:t>符</w:t>
            </w:r>
          </w:p>
          <w:p w14:paraId="2A08C969">
            <w:pPr>
              <w:autoSpaceDE w:val="0"/>
              <w:autoSpaceDN w:val="0"/>
              <w:adjustRightInd w:val="0"/>
              <w:snapToGrid w:val="0"/>
              <w:spacing w:line="360" w:lineRule="auto"/>
              <w:jc w:val="center"/>
              <w:rPr>
                <w:kern w:val="0"/>
                <w:szCs w:val="21"/>
              </w:rPr>
            </w:pPr>
            <w:r>
              <w:rPr>
                <w:kern w:val="0"/>
                <w:szCs w:val="21"/>
              </w:rPr>
              <w:t>合</w:t>
            </w:r>
          </w:p>
          <w:p w14:paraId="757B6BF6">
            <w:pPr>
              <w:autoSpaceDE w:val="0"/>
              <w:autoSpaceDN w:val="0"/>
              <w:adjustRightInd w:val="0"/>
              <w:snapToGrid w:val="0"/>
              <w:spacing w:line="360" w:lineRule="auto"/>
              <w:jc w:val="center"/>
              <w:rPr>
                <w:kern w:val="0"/>
                <w:szCs w:val="21"/>
              </w:rPr>
            </w:pPr>
            <w:r>
              <w:rPr>
                <w:kern w:val="0"/>
                <w:szCs w:val="21"/>
              </w:rPr>
              <w:t>性</w:t>
            </w:r>
          </w:p>
          <w:p w14:paraId="7AC6D2C5">
            <w:pPr>
              <w:autoSpaceDE w:val="0"/>
              <w:autoSpaceDN w:val="0"/>
              <w:adjustRightInd w:val="0"/>
              <w:snapToGrid w:val="0"/>
              <w:spacing w:line="360" w:lineRule="auto"/>
              <w:jc w:val="center"/>
              <w:rPr>
                <w:kern w:val="0"/>
                <w:szCs w:val="21"/>
              </w:rPr>
            </w:pPr>
            <w:r>
              <w:rPr>
                <w:kern w:val="0"/>
                <w:szCs w:val="21"/>
              </w:rPr>
              <w:t>分</w:t>
            </w:r>
          </w:p>
          <w:p w14:paraId="1387FEAC">
            <w:pPr>
              <w:autoSpaceDE w:val="0"/>
              <w:autoSpaceDN w:val="0"/>
              <w:adjustRightInd w:val="0"/>
              <w:snapToGrid w:val="0"/>
              <w:spacing w:line="360" w:lineRule="auto"/>
              <w:jc w:val="center"/>
              <w:rPr>
                <w:kern w:val="0"/>
                <w:szCs w:val="21"/>
              </w:rPr>
            </w:pPr>
            <w:r>
              <w:rPr>
                <w:kern w:val="0"/>
                <w:szCs w:val="21"/>
              </w:rPr>
              <w:t>析</w:t>
            </w:r>
          </w:p>
        </w:tc>
        <w:tc>
          <w:tcPr>
            <w:tcW w:w="7010" w:type="dxa"/>
            <w:gridSpan w:val="3"/>
            <w:vAlign w:val="center"/>
          </w:tcPr>
          <w:p w14:paraId="0A96219D">
            <w:pPr>
              <w:autoSpaceDE w:val="0"/>
              <w:autoSpaceDN w:val="0"/>
              <w:adjustRightInd w:val="0"/>
              <w:snapToGrid w:val="0"/>
              <w:spacing w:line="360" w:lineRule="auto"/>
              <w:rPr>
                <w:b/>
                <w:bCs/>
              </w:rPr>
            </w:pPr>
            <w:r>
              <w:rPr>
                <w:b/>
                <w:bCs/>
              </w:rPr>
              <w:t>1、产业政策符合性分析</w:t>
            </w:r>
          </w:p>
          <w:p w14:paraId="49E25B9E">
            <w:pPr>
              <w:autoSpaceDE w:val="0"/>
              <w:autoSpaceDN w:val="0"/>
              <w:adjustRightInd w:val="0"/>
              <w:snapToGrid w:val="0"/>
              <w:spacing w:line="360" w:lineRule="auto"/>
              <w:ind w:firstLine="420" w:firstLineChars="200"/>
            </w:pPr>
            <w:r>
              <w:t>本项目属于</w:t>
            </w:r>
            <w:r>
              <w:rPr>
                <w:rFonts w:hint="eastAsia"/>
                <w:lang w:eastAsia="zh-CN"/>
              </w:rPr>
              <w:t>302石膏、水泥制品及类似制品制造及309石墨及其他非金属矿物制品制造</w:t>
            </w:r>
            <w:r>
              <w:t>，不属于《产业结构调整指导目录（2019年本）》的鼓励类、限制类和淘汰类项目，属于允许类项目。因此，本项目符合国家产业政策。</w:t>
            </w:r>
          </w:p>
          <w:p w14:paraId="36C82165">
            <w:pPr>
              <w:autoSpaceDE w:val="0"/>
              <w:autoSpaceDN w:val="0"/>
              <w:adjustRightInd w:val="0"/>
              <w:snapToGrid w:val="0"/>
              <w:spacing w:line="360" w:lineRule="auto"/>
              <w:rPr>
                <w:b/>
                <w:bCs/>
              </w:rPr>
            </w:pPr>
            <w:r>
              <w:rPr>
                <w:b/>
                <w:bCs/>
              </w:rPr>
              <w:t>2、“三线一单”符合性分析</w:t>
            </w:r>
          </w:p>
          <w:p w14:paraId="051E0985">
            <w:pPr>
              <w:autoSpaceDE w:val="0"/>
              <w:autoSpaceDN w:val="0"/>
              <w:spacing w:line="360" w:lineRule="auto"/>
              <w:ind w:firstLine="420" w:firstLineChars="200"/>
            </w:pPr>
            <w:r>
              <w:t>根据《关于以改善环境质量为核心加强环境影响评价管理的通知》（环环评[2016]150号），落实</w:t>
            </w:r>
            <w:r>
              <w:rPr>
                <w:rFonts w:hint="eastAsia"/>
              </w:rPr>
              <w:t>“</w:t>
            </w:r>
            <w:r>
              <w:t>生态保护红线、环境质量底线、资源利用上线和环境准入负面清单</w:t>
            </w:r>
            <w:r>
              <w:rPr>
                <w:rFonts w:hint="eastAsia"/>
              </w:rPr>
              <w:t>”</w:t>
            </w:r>
            <w:r>
              <w:t>（简称</w:t>
            </w:r>
            <w:r>
              <w:rPr>
                <w:rFonts w:hint="eastAsia"/>
              </w:rPr>
              <w:t>“</w:t>
            </w:r>
            <w:r>
              <w:t>三线一单</w:t>
            </w:r>
            <w:r>
              <w:rPr>
                <w:rFonts w:hint="eastAsia"/>
              </w:rPr>
              <w:t>”</w:t>
            </w:r>
            <w:r>
              <w:t>）约束，更好地发挥环评制度从源头防范环境污染和生态破坏的作用，加快推进改善环境质量。</w:t>
            </w:r>
          </w:p>
          <w:p w14:paraId="4D2368DC">
            <w:pPr>
              <w:autoSpaceDE w:val="0"/>
              <w:autoSpaceDN w:val="0"/>
              <w:spacing w:line="360" w:lineRule="auto"/>
              <w:rPr>
                <w:b/>
                <w:bCs/>
              </w:rPr>
            </w:pPr>
            <w:r>
              <w:rPr>
                <w:rFonts w:hint="eastAsia"/>
                <w:b/>
                <w:bCs/>
                <w:lang w:val="en-US" w:eastAsia="zh-CN"/>
              </w:rPr>
              <w:t>3、</w:t>
            </w:r>
            <w:r>
              <w:rPr>
                <w:rFonts w:hint="eastAsia"/>
                <w:b/>
                <w:bCs/>
              </w:rPr>
              <w:t>《新疆生产建设兵团“三线一单”生态环境分区管控方案》符合性分析</w:t>
            </w:r>
          </w:p>
          <w:p w14:paraId="31806484">
            <w:pPr>
              <w:widowControl/>
              <w:overflowPunct w:val="0"/>
              <w:autoSpaceDE w:val="0"/>
              <w:autoSpaceDN w:val="0"/>
              <w:adjustRightInd w:val="0"/>
              <w:spacing w:before="60" w:after="160"/>
              <w:ind w:right="113"/>
              <w:jc w:val="center"/>
              <w:textAlignment w:val="baseline"/>
              <w:rPr>
                <w:b/>
                <w:color w:val="70AD47"/>
                <w:kern w:val="0"/>
                <w:szCs w:val="21"/>
              </w:rPr>
            </w:pPr>
            <w:r>
              <w:rPr>
                <w:rFonts w:hint="eastAsia"/>
                <w:b/>
                <w:kern w:val="0"/>
                <w:szCs w:val="21"/>
              </w:rPr>
              <w:t>表1-2 《</w:t>
            </w:r>
            <w:r>
              <w:rPr>
                <w:rFonts w:hint="eastAsia"/>
                <w:b/>
                <w:bCs/>
                <w:kern w:val="0"/>
                <w:szCs w:val="20"/>
              </w:rPr>
              <w:t>新疆生产建设兵团</w:t>
            </w:r>
            <w:r>
              <w:rPr>
                <w:rFonts w:hint="eastAsia"/>
                <w:b/>
                <w:kern w:val="0"/>
                <w:szCs w:val="21"/>
              </w:rPr>
              <w:t>“三线一单”生态环境分区管控方案》符合性分析</w:t>
            </w:r>
          </w:p>
          <w:tbl>
            <w:tblPr>
              <w:tblStyle w:val="31"/>
              <w:tblW w:w="6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2461"/>
              <w:gridCol w:w="3395"/>
            </w:tblGrid>
            <w:tr w14:paraId="481D6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Align w:val="center"/>
                </w:tcPr>
                <w:p w14:paraId="2CD8EE3A">
                  <w:pPr>
                    <w:tabs>
                      <w:tab w:val="left" w:pos="1535"/>
                      <w:tab w:val="left" w:pos="3105"/>
                      <w:tab w:val="left" w:pos="4676"/>
                      <w:tab w:val="left" w:pos="6247"/>
                      <w:tab w:val="left" w:pos="7740"/>
                      <w:tab w:val="left" w:pos="9288"/>
                    </w:tabs>
                    <w:adjustRightInd w:val="0"/>
                    <w:snapToGrid w:val="0"/>
                    <w:jc w:val="center"/>
                    <w:textAlignment w:val="baseline"/>
                    <w:rPr>
                      <w:color w:val="auto"/>
                      <w:szCs w:val="21"/>
                    </w:rPr>
                  </w:pPr>
                  <w:r>
                    <w:rPr>
                      <w:rFonts w:hint="eastAsia"/>
                      <w:color w:val="auto"/>
                      <w:szCs w:val="21"/>
                    </w:rPr>
                    <w:t>内容</w:t>
                  </w:r>
                </w:p>
              </w:tc>
              <w:tc>
                <w:tcPr>
                  <w:tcW w:w="2461" w:type="dxa"/>
                  <w:vAlign w:val="center"/>
                </w:tcPr>
                <w:p w14:paraId="1EE185B8">
                  <w:pPr>
                    <w:tabs>
                      <w:tab w:val="left" w:pos="1535"/>
                      <w:tab w:val="left" w:pos="3105"/>
                      <w:tab w:val="left" w:pos="4676"/>
                      <w:tab w:val="left" w:pos="6247"/>
                      <w:tab w:val="left" w:pos="7740"/>
                      <w:tab w:val="left" w:pos="9288"/>
                    </w:tabs>
                    <w:adjustRightInd w:val="0"/>
                    <w:snapToGrid w:val="0"/>
                    <w:jc w:val="center"/>
                    <w:textAlignment w:val="baseline"/>
                    <w:rPr>
                      <w:color w:val="auto"/>
                      <w:szCs w:val="21"/>
                    </w:rPr>
                  </w:pPr>
                  <w:r>
                    <w:rPr>
                      <w:rFonts w:hint="eastAsia"/>
                      <w:color w:val="auto"/>
                      <w:szCs w:val="21"/>
                    </w:rPr>
                    <w:t>要求</w:t>
                  </w:r>
                </w:p>
              </w:tc>
              <w:tc>
                <w:tcPr>
                  <w:tcW w:w="3395" w:type="dxa"/>
                  <w:vAlign w:val="center"/>
                </w:tcPr>
                <w:p w14:paraId="6F55543F">
                  <w:pPr>
                    <w:tabs>
                      <w:tab w:val="left" w:pos="1535"/>
                      <w:tab w:val="left" w:pos="3105"/>
                      <w:tab w:val="left" w:pos="4676"/>
                      <w:tab w:val="left" w:pos="6247"/>
                      <w:tab w:val="left" w:pos="7740"/>
                      <w:tab w:val="left" w:pos="9288"/>
                    </w:tabs>
                    <w:adjustRightInd w:val="0"/>
                    <w:snapToGrid w:val="0"/>
                    <w:jc w:val="center"/>
                    <w:textAlignment w:val="baseline"/>
                    <w:rPr>
                      <w:color w:val="auto"/>
                      <w:szCs w:val="21"/>
                    </w:rPr>
                  </w:pPr>
                  <w:r>
                    <w:rPr>
                      <w:rFonts w:hint="eastAsia"/>
                      <w:color w:val="auto"/>
                      <w:szCs w:val="21"/>
                    </w:rPr>
                    <w:t>符合性</w:t>
                  </w:r>
                </w:p>
              </w:tc>
            </w:tr>
            <w:tr w14:paraId="2513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Align w:val="center"/>
                </w:tcPr>
                <w:p w14:paraId="2EA3FC71">
                  <w:pPr>
                    <w:tabs>
                      <w:tab w:val="left" w:pos="1535"/>
                      <w:tab w:val="left" w:pos="3105"/>
                      <w:tab w:val="left" w:pos="4676"/>
                      <w:tab w:val="left" w:pos="6247"/>
                      <w:tab w:val="left" w:pos="7740"/>
                      <w:tab w:val="left" w:pos="9288"/>
                    </w:tabs>
                    <w:adjustRightInd w:val="0"/>
                    <w:snapToGrid w:val="0"/>
                    <w:jc w:val="center"/>
                    <w:textAlignment w:val="baseline"/>
                    <w:rPr>
                      <w:color w:val="auto"/>
                      <w:szCs w:val="21"/>
                    </w:rPr>
                  </w:pPr>
                  <w:r>
                    <w:rPr>
                      <w:rFonts w:hint="eastAsia"/>
                      <w:color w:val="auto"/>
                      <w:szCs w:val="21"/>
                    </w:rPr>
                    <w:t>生态保护红线</w:t>
                  </w:r>
                </w:p>
              </w:tc>
              <w:tc>
                <w:tcPr>
                  <w:tcW w:w="2461" w:type="dxa"/>
                  <w:vAlign w:val="center"/>
                </w:tcPr>
                <w:p w14:paraId="25EC991E">
                  <w:pPr>
                    <w:tabs>
                      <w:tab w:val="left" w:pos="1535"/>
                      <w:tab w:val="left" w:pos="3105"/>
                      <w:tab w:val="left" w:pos="4676"/>
                      <w:tab w:val="left" w:pos="6247"/>
                      <w:tab w:val="left" w:pos="7740"/>
                      <w:tab w:val="left" w:pos="9288"/>
                    </w:tabs>
                    <w:adjustRightInd w:val="0"/>
                    <w:snapToGrid w:val="0"/>
                    <w:jc w:val="center"/>
                    <w:textAlignment w:val="baseline"/>
                    <w:rPr>
                      <w:color w:val="auto"/>
                      <w:szCs w:val="21"/>
                    </w:rPr>
                  </w:pPr>
                  <w:r>
                    <w:rPr>
                      <w:rFonts w:hint="eastAsia"/>
                      <w:color w:val="auto"/>
                      <w:szCs w:val="21"/>
                    </w:rPr>
                    <w:t>按照“生态功能不降低、面积不减少、性质不改变”的基本要求,对划定的生态保护红线实施严格管控,保障和维护国家生态安全的底线和生命线。</w:t>
                  </w:r>
                </w:p>
              </w:tc>
              <w:tc>
                <w:tcPr>
                  <w:tcW w:w="3395" w:type="dxa"/>
                  <w:vAlign w:val="center"/>
                </w:tcPr>
                <w:p w14:paraId="0F2375ED">
                  <w:pPr>
                    <w:tabs>
                      <w:tab w:val="left" w:pos="1535"/>
                      <w:tab w:val="left" w:pos="3105"/>
                      <w:tab w:val="left" w:pos="4676"/>
                      <w:tab w:val="left" w:pos="6247"/>
                      <w:tab w:val="left" w:pos="7740"/>
                      <w:tab w:val="left" w:pos="9288"/>
                    </w:tabs>
                    <w:adjustRightInd w:val="0"/>
                    <w:snapToGrid w:val="0"/>
                    <w:jc w:val="center"/>
                    <w:textAlignment w:val="baseline"/>
                    <w:rPr>
                      <w:color w:val="auto"/>
                      <w:szCs w:val="21"/>
                    </w:rPr>
                  </w:pPr>
                  <w:r>
                    <w:rPr>
                      <w:rFonts w:hint="eastAsia"/>
                      <w:color w:val="auto"/>
                      <w:szCs w:val="21"/>
                    </w:rPr>
                    <w:t>项目位于</w:t>
                  </w:r>
                  <w:r>
                    <w:rPr>
                      <w:color w:val="auto"/>
                      <w:szCs w:val="21"/>
                    </w:rPr>
                    <w:t>第七师胡杨河市130团</w:t>
                  </w:r>
                  <w:r>
                    <w:rPr>
                      <w:rFonts w:hint="eastAsia"/>
                      <w:color w:val="auto"/>
                      <w:szCs w:val="21"/>
                    </w:rPr>
                    <w:t>6</w:t>
                  </w:r>
                  <w:r>
                    <w:rPr>
                      <w:color w:val="auto"/>
                      <w:szCs w:val="21"/>
                    </w:rPr>
                    <w:t>连，</w:t>
                  </w:r>
                  <w:r>
                    <w:rPr>
                      <w:rFonts w:hint="eastAsia"/>
                      <w:color w:val="auto"/>
                      <w:szCs w:val="21"/>
                    </w:rPr>
                    <w:t>冠维棉花加工厂以西、312省道以南，本项目不涉及生态红线保护区域</w:t>
                  </w:r>
                  <w:r>
                    <w:rPr>
                      <w:rFonts w:hint="eastAsia"/>
                      <w:color w:val="auto"/>
                      <w:szCs w:val="21"/>
                      <w:lang w:eastAsia="zh-CN"/>
                    </w:rPr>
                    <w:t>（</w:t>
                  </w:r>
                  <w:r>
                    <w:rPr>
                      <w:rFonts w:hint="eastAsia"/>
                      <w:color w:val="auto"/>
                      <w:szCs w:val="21"/>
                      <w:lang w:val="en-US" w:eastAsia="zh-CN"/>
                    </w:rPr>
                    <w:t>见图1-2生态红线关系图</w:t>
                  </w:r>
                  <w:r>
                    <w:rPr>
                      <w:rFonts w:hint="eastAsia"/>
                      <w:color w:val="auto"/>
                      <w:szCs w:val="21"/>
                      <w:lang w:eastAsia="zh-CN"/>
                    </w:rPr>
                    <w:t>）</w:t>
                  </w:r>
                  <w:r>
                    <w:rPr>
                      <w:rFonts w:hint="eastAsia"/>
                      <w:color w:val="auto"/>
                      <w:szCs w:val="21"/>
                    </w:rPr>
                    <w:t>，不会影响所在区域内生态服务功能。</w:t>
                  </w:r>
                </w:p>
              </w:tc>
            </w:tr>
            <w:tr w14:paraId="50DF3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Align w:val="center"/>
                </w:tcPr>
                <w:p w14:paraId="3C742537">
                  <w:pPr>
                    <w:tabs>
                      <w:tab w:val="left" w:pos="1535"/>
                      <w:tab w:val="left" w:pos="3105"/>
                      <w:tab w:val="left" w:pos="4676"/>
                      <w:tab w:val="left" w:pos="6247"/>
                      <w:tab w:val="left" w:pos="7740"/>
                      <w:tab w:val="left" w:pos="9288"/>
                    </w:tabs>
                    <w:adjustRightInd w:val="0"/>
                    <w:snapToGrid w:val="0"/>
                    <w:jc w:val="center"/>
                    <w:textAlignment w:val="baseline"/>
                    <w:rPr>
                      <w:szCs w:val="21"/>
                    </w:rPr>
                  </w:pPr>
                  <w:r>
                    <w:rPr>
                      <w:rFonts w:hint="eastAsia"/>
                      <w:szCs w:val="21"/>
                    </w:rPr>
                    <w:t>环境质量底线</w:t>
                  </w:r>
                </w:p>
                <w:p w14:paraId="0C0B86B9">
                  <w:pPr>
                    <w:tabs>
                      <w:tab w:val="left" w:pos="1535"/>
                      <w:tab w:val="left" w:pos="3105"/>
                      <w:tab w:val="left" w:pos="4676"/>
                      <w:tab w:val="left" w:pos="6247"/>
                      <w:tab w:val="left" w:pos="7740"/>
                      <w:tab w:val="left" w:pos="9288"/>
                    </w:tabs>
                    <w:adjustRightInd w:val="0"/>
                    <w:snapToGrid w:val="0"/>
                    <w:jc w:val="center"/>
                    <w:textAlignment w:val="baseline"/>
                    <w:rPr>
                      <w:szCs w:val="21"/>
                    </w:rPr>
                  </w:pPr>
                </w:p>
              </w:tc>
              <w:tc>
                <w:tcPr>
                  <w:tcW w:w="2461" w:type="dxa"/>
                  <w:vAlign w:val="center"/>
                </w:tcPr>
                <w:p w14:paraId="0DBCCE1F">
                  <w:pPr>
                    <w:tabs>
                      <w:tab w:val="left" w:pos="1535"/>
                      <w:tab w:val="left" w:pos="3105"/>
                      <w:tab w:val="left" w:pos="4676"/>
                      <w:tab w:val="left" w:pos="6247"/>
                      <w:tab w:val="left" w:pos="7740"/>
                      <w:tab w:val="left" w:pos="9288"/>
                    </w:tabs>
                    <w:adjustRightInd w:val="0"/>
                    <w:snapToGrid w:val="0"/>
                    <w:jc w:val="center"/>
                    <w:textAlignment w:val="baseline"/>
                    <w:rPr>
                      <w:szCs w:val="21"/>
                    </w:rPr>
                  </w:pPr>
                  <w:r>
                    <w:rPr>
                      <w:rFonts w:hint="eastAsia"/>
                      <w:szCs w:val="21"/>
                    </w:rPr>
                    <w:t>水环境质量持续改善，受污染地表水体得到有效治理，饮用水安全保障水平持续提升,地下水超采得到严格控制，地下水水质保持稳定；全区环境空气质量有所提升，重污染天数持续减少，已达标城市环境空气质量保持稳定，未达标城市环境空气质量持续改善，沙尘影响严重地区做好防风固沙、生态环境保护修复等工作；全区土壤环境质量保持稳定，污染地块安全利用水平稳中有升，土壤环境风险得到进一步管控。</w:t>
                  </w:r>
                </w:p>
              </w:tc>
              <w:tc>
                <w:tcPr>
                  <w:tcW w:w="3395" w:type="dxa"/>
                  <w:vAlign w:val="center"/>
                </w:tcPr>
                <w:p w14:paraId="286EE138">
                  <w:pPr>
                    <w:tabs>
                      <w:tab w:val="left" w:pos="1535"/>
                      <w:tab w:val="left" w:pos="3105"/>
                      <w:tab w:val="left" w:pos="4676"/>
                      <w:tab w:val="left" w:pos="6247"/>
                      <w:tab w:val="left" w:pos="7740"/>
                      <w:tab w:val="left" w:pos="9288"/>
                    </w:tabs>
                    <w:adjustRightInd w:val="0"/>
                    <w:snapToGrid w:val="0"/>
                    <w:jc w:val="distribute"/>
                    <w:textAlignment w:val="baseline"/>
                    <w:rPr>
                      <w:szCs w:val="21"/>
                    </w:rPr>
                  </w:pPr>
                  <w:r>
                    <w:rPr>
                      <w:rFonts w:hint="eastAsia"/>
                      <w:szCs w:val="21"/>
                    </w:rPr>
                    <w:t>区域大气环境质量应满足《环境空气质量标准》(GB3095-2012)中的二级标准；声环境质量应满足《声环境质量标准》（GB3096-2008）中的2类区标准。本项目为水泥品制造项目，</w:t>
                  </w:r>
                  <w:r>
                    <w:rPr>
                      <w:highlight w:val="none"/>
                    </w:rPr>
                    <w:t>本项目</w:t>
                  </w:r>
                  <w:r>
                    <w:rPr>
                      <w:rFonts w:hint="eastAsia"/>
                      <w:highlight w:val="none"/>
                    </w:rPr>
                    <w:t>沥青混凝土生产过程中产生</w:t>
                  </w:r>
                  <w:r>
                    <w:rPr>
                      <w:highlight w:val="none"/>
                    </w:rPr>
                    <w:t>的</w:t>
                  </w:r>
                  <w:r>
                    <w:rPr>
                      <w:szCs w:val="21"/>
                      <w:highlight w:val="none"/>
                    </w:rPr>
                    <w:t>苯并[a]芘</w:t>
                  </w:r>
                  <w:r>
                    <w:rPr>
                      <w:rFonts w:hint="eastAsia"/>
                      <w:szCs w:val="21"/>
                      <w:highlight w:val="none"/>
                    </w:rPr>
                    <w:t>和</w:t>
                  </w:r>
                  <w:r>
                    <w:rPr>
                      <w:szCs w:val="21"/>
                      <w:highlight w:val="none"/>
                    </w:rPr>
                    <w:t>沥青烟执行《大气污染物综合排放标准》（</w:t>
                  </w:r>
                  <w:r>
                    <w:rPr>
                      <w:rFonts w:hint="eastAsia"/>
                      <w:szCs w:val="21"/>
                      <w:highlight w:val="none"/>
                    </w:rPr>
                    <w:t xml:space="preserve">GB </w:t>
                  </w:r>
                  <w:r>
                    <w:rPr>
                      <w:szCs w:val="21"/>
                      <w:highlight w:val="none"/>
                    </w:rPr>
                    <w:t>1629</w:t>
                  </w:r>
                  <w:r>
                    <w:rPr>
                      <w:color w:val="auto"/>
                      <w:szCs w:val="21"/>
                      <w:highlight w:val="none"/>
                    </w:rPr>
                    <w:t>7-1996）表2中二级标准；</w:t>
                  </w:r>
                  <w:r>
                    <w:rPr>
                      <w:rFonts w:hint="eastAsia"/>
                      <w:color w:val="auto"/>
                      <w:highlight w:val="none"/>
                    </w:rPr>
                    <w:t>沥青混凝土生产过程中产生</w:t>
                  </w:r>
                  <w:r>
                    <w:rPr>
                      <w:color w:val="auto"/>
                      <w:highlight w:val="none"/>
                    </w:rPr>
                    <w:t>的</w:t>
                  </w:r>
                  <w:r>
                    <w:rPr>
                      <w:rFonts w:hint="eastAsia"/>
                      <w:color w:val="auto"/>
                      <w:highlight w:val="none"/>
                    </w:rPr>
                    <w:t>有组织</w:t>
                  </w:r>
                  <w:r>
                    <w:rPr>
                      <w:rFonts w:hint="eastAsia"/>
                      <w:color w:val="auto"/>
                      <w:szCs w:val="21"/>
                      <w:highlight w:val="none"/>
                    </w:rPr>
                    <w:t>非甲烷总烃</w:t>
                  </w:r>
                  <w:r>
                    <w:rPr>
                      <w:color w:val="auto"/>
                      <w:szCs w:val="21"/>
                      <w:highlight w:val="none"/>
                    </w:rPr>
                    <w:t>执行《大气污染物综合排放标准》（</w:t>
                  </w:r>
                  <w:r>
                    <w:rPr>
                      <w:rFonts w:hint="eastAsia"/>
                      <w:color w:val="auto"/>
                      <w:szCs w:val="21"/>
                      <w:highlight w:val="none"/>
                    </w:rPr>
                    <w:t xml:space="preserve">GB </w:t>
                  </w:r>
                  <w:r>
                    <w:rPr>
                      <w:color w:val="auto"/>
                      <w:szCs w:val="21"/>
                      <w:highlight w:val="none"/>
                    </w:rPr>
                    <w:t>16297-1996）表2中二级标</w:t>
                  </w:r>
                  <w:r>
                    <w:rPr>
                      <w:rFonts w:hint="eastAsia"/>
                      <w:color w:val="auto"/>
                      <w:szCs w:val="21"/>
                      <w:highlight w:val="none"/>
                    </w:rPr>
                    <w:t>，</w:t>
                  </w:r>
                  <w:r>
                    <w:rPr>
                      <w:rFonts w:hint="eastAsia" w:eastAsia="宋体"/>
                      <w:color w:val="auto"/>
                      <w:highlight w:val="none"/>
                      <w:lang w:eastAsia="zh-CN"/>
                    </w:rPr>
                    <w:t>厂界无组织废气颗粒物、苯并[a]芘、非甲烷总烃执行《大气污染物综合排放标准》(GB</w:t>
                  </w:r>
                  <w:r>
                    <w:rPr>
                      <w:rFonts w:hint="eastAsia" w:eastAsia="宋体"/>
                      <w:color w:val="auto"/>
                      <w:highlight w:val="none"/>
                      <w:lang w:val="en-US" w:eastAsia="zh-CN"/>
                    </w:rPr>
                    <w:t xml:space="preserve"> </w:t>
                  </w:r>
                  <w:r>
                    <w:rPr>
                      <w:rFonts w:hint="eastAsia" w:eastAsia="宋体"/>
                      <w:color w:val="auto"/>
                      <w:highlight w:val="none"/>
                      <w:lang w:eastAsia="zh-CN"/>
                    </w:rPr>
                    <w:t>16297-1996)无组织排放标准限值</w:t>
                  </w:r>
                  <w:r>
                    <w:rPr>
                      <w:rFonts w:hint="eastAsia"/>
                      <w:color w:val="auto"/>
                      <w:kern w:val="0"/>
                      <w:szCs w:val="21"/>
                      <w:highlight w:val="none"/>
                    </w:rPr>
                    <w:t>；天然气烘干筒产生的燃气废气</w:t>
                  </w:r>
                  <w:r>
                    <w:rPr>
                      <w:color w:val="auto"/>
                      <w:szCs w:val="21"/>
                      <w:highlight w:val="none"/>
                    </w:rPr>
                    <w:t>执</w:t>
                  </w:r>
                  <w:r>
                    <w:rPr>
                      <w:color w:val="auto"/>
                      <w:highlight w:val="none"/>
                    </w:rPr>
                    <w:t>行</w:t>
                  </w:r>
                  <w:r>
                    <w:rPr>
                      <w:rFonts w:hint="eastAsia"/>
                      <w:color w:val="auto"/>
                      <w:szCs w:val="21"/>
                      <w:highlight w:val="none"/>
                    </w:rPr>
                    <w:t>《兵团工业炉窑大气污染综合治理实施方案》中重点区域排放标准</w:t>
                  </w:r>
                  <w:r>
                    <w:rPr>
                      <w:color w:val="auto"/>
                      <w:szCs w:val="21"/>
                      <w:highlight w:val="none"/>
                    </w:rPr>
                    <w:t>；水稳料生产过程中上料、搅拌、卸料时产生的粉尘，执行《水泥工业大气污染物排放标准》（</w:t>
                  </w:r>
                  <w:r>
                    <w:rPr>
                      <w:rFonts w:hint="eastAsia"/>
                      <w:color w:val="auto"/>
                      <w:szCs w:val="21"/>
                      <w:highlight w:val="none"/>
                    </w:rPr>
                    <w:t xml:space="preserve">GB </w:t>
                  </w:r>
                  <w:r>
                    <w:rPr>
                      <w:color w:val="auto"/>
                      <w:szCs w:val="21"/>
                      <w:highlight w:val="none"/>
                    </w:rPr>
                    <w:t>4915-2013）中表</w:t>
                  </w:r>
                  <w:r>
                    <w:rPr>
                      <w:rFonts w:hint="eastAsia"/>
                      <w:color w:val="auto"/>
                      <w:szCs w:val="21"/>
                      <w:highlight w:val="none"/>
                    </w:rPr>
                    <w:t>2</w:t>
                  </w:r>
                  <w:r>
                    <w:rPr>
                      <w:color w:val="auto"/>
                      <w:szCs w:val="21"/>
                      <w:highlight w:val="none"/>
                    </w:rPr>
                    <w:t>和表3中相关标准；食堂油烟执行《饮食业油烟排放标准（试行）</w:t>
                  </w:r>
                  <w:r>
                    <w:rPr>
                      <w:szCs w:val="21"/>
                      <w:highlight w:val="none"/>
                    </w:rPr>
                    <w:t>》（</w:t>
                  </w:r>
                  <w:r>
                    <w:rPr>
                      <w:rFonts w:hint="eastAsia"/>
                      <w:szCs w:val="21"/>
                      <w:highlight w:val="none"/>
                    </w:rPr>
                    <w:t xml:space="preserve">GB </w:t>
                  </w:r>
                  <w:r>
                    <w:rPr>
                      <w:szCs w:val="21"/>
                      <w:highlight w:val="none"/>
                    </w:rPr>
                    <w:t>18483-2001）标准，已执行最严格的大气污染物排放标准</w:t>
                  </w:r>
                  <w:r>
                    <w:rPr>
                      <w:rFonts w:hint="eastAsia"/>
                      <w:szCs w:val="21"/>
                      <w:highlight w:val="none"/>
                    </w:rPr>
                    <w:t>，因此项目运营期对周围环境影响较小，项目实施不会降低区域空气质量现有水平；本项目基本无生产废水产生，生产用水主要为洒水</w:t>
                  </w:r>
                  <w:r>
                    <w:rPr>
                      <w:rFonts w:hint="eastAsia"/>
                      <w:color w:val="auto"/>
                      <w:szCs w:val="21"/>
                      <w:highlight w:val="none"/>
                    </w:rPr>
                    <w:t>降尘用水，自然蒸发；食堂废水经隔油池预处理后同生活污水一同</w:t>
                  </w:r>
                  <w:r>
                    <w:rPr>
                      <w:color w:val="auto"/>
                      <w:szCs w:val="21"/>
                      <w:highlight w:val="none"/>
                    </w:rPr>
                    <w:t>排入</w:t>
                  </w:r>
                  <w:r>
                    <w:rPr>
                      <w:rFonts w:hint="eastAsia"/>
                      <w:color w:val="auto"/>
                      <w:szCs w:val="21"/>
                      <w:highlight w:val="none"/>
                    </w:rPr>
                    <w:t>厂区</w:t>
                  </w:r>
                  <w:r>
                    <w:rPr>
                      <w:color w:val="auto"/>
                      <w:szCs w:val="21"/>
                      <w:highlight w:val="none"/>
                    </w:rPr>
                    <w:t>内</w:t>
                  </w:r>
                  <w:r>
                    <w:rPr>
                      <w:rFonts w:hint="eastAsia"/>
                      <w:color w:val="auto"/>
                      <w:szCs w:val="21"/>
                      <w:highlight w:val="none"/>
                    </w:rPr>
                    <w:t>50m</w:t>
                  </w:r>
                  <w:r>
                    <w:rPr>
                      <w:rFonts w:hint="eastAsia"/>
                      <w:color w:val="auto"/>
                      <w:szCs w:val="21"/>
                      <w:highlight w:val="none"/>
                      <w:vertAlign w:val="superscript"/>
                    </w:rPr>
                    <w:t>3</w:t>
                  </w:r>
                  <w:r>
                    <w:rPr>
                      <w:rFonts w:hint="eastAsia"/>
                      <w:color w:val="auto"/>
                      <w:szCs w:val="21"/>
                      <w:highlight w:val="none"/>
                    </w:rPr>
                    <w:t>化粪池（防渗等级P8），定期由吸污车清运至</w:t>
                  </w:r>
                  <w:r>
                    <w:rPr>
                      <w:rFonts w:hint="eastAsia"/>
                      <w:color w:val="auto"/>
                      <w:szCs w:val="21"/>
                      <w:highlight w:val="none"/>
                      <w:lang w:eastAsia="zh-CN"/>
                    </w:rPr>
                    <w:t>七师胡杨河市污水处理厂（一期）</w:t>
                  </w:r>
                  <w:r>
                    <w:rPr>
                      <w:rFonts w:hint="eastAsia"/>
                      <w:color w:val="auto"/>
                      <w:szCs w:val="21"/>
                      <w:highlight w:val="none"/>
                    </w:rPr>
                    <w:t>，不排入地表水体；项目产生的固体废物均采取相应</w:t>
                  </w:r>
                  <w:r>
                    <w:rPr>
                      <w:rFonts w:hint="eastAsia"/>
                      <w:szCs w:val="21"/>
                      <w:highlight w:val="none"/>
                    </w:rPr>
                    <w:t>治理措施，产生的固废均得到合理处置。综上，本项目实施对环境影响较小，不会对项目区环境质量造成冲击。</w:t>
                  </w:r>
                </w:p>
              </w:tc>
            </w:tr>
            <w:tr w14:paraId="1FDC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Align w:val="center"/>
                </w:tcPr>
                <w:p w14:paraId="7B77F8B9">
                  <w:pPr>
                    <w:tabs>
                      <w:tab w:val="left" w:pos="1535"/>
                      <w:tab w:val="left" w:pos="3105"/>
                      <w:tab w:val="left" w:pos="4676"/>
                      <w:tab w:val="left" w:pos="6247"/>
                      <w:tab w:val="left" w:pos="7740"/>
                      <w:tab w:val="left" w:pos="9288"/>
                    </w:tabs>
                    <w:adjustRightInd w:val="0"/>
                    <w:snapToGrid w:val="0"/>
                    <w:jc w:val="center"/>
                    <w:textAlignment w:val="baseline"/>
                    <w:rPr>
                      <w:szCs w:val="21"/>
                    </w:rPr>
                  </w:pPr>
                  <w:r>
                    <w:rPr>
                      <w:rFonts w:hint="eastAsia"/>
                      <w:szCs w:val="21"/>
                    </w:rPr>
                    <w:t>资源利用上线</w:t>
                  </w:r>
                </w:p>
              </w:tc>
              <w:tc>
                <w:tcPr>
                  <w:tcW w:w="2461" w:type="dxa"/>
                  <w:vAlign w:val="center"/>
                </w:tcPr>
                <w:p w14:paraId="766296C5">
                  <w:pPr>
                    <w:tabs>
                      <w:tab w:val="left" w:pos="1535"/>
                      <w:tab w:val="left" w:pos="3105"/>
                      <w:tab w:val="left" w:pos="4676"/>
                      <w:tab w:val="left" w:pos="6247"/>
                      <w:tab w:val="left" w:pos="7740"/>
                      <w:tab w:val="left" w:pos="9288"/>
                    </w:tabs>
                    <w:adjustRightInd w:val="0"/>
                    <w:snapToGrid w:val="0"/>
                    <w:jc w:val="center"/>
                    <w:textAlignment w:val="baseline"/>
                    <w:rPr>
                      <w:szCs w:val="21"/>
                    </w:rPr>
                  </w:pPr>
                  <w:r>
                    <w:rPr>
                      <w:rFonts w:hint="eastAsia"/>
                      <w:szCs w:val="21"/>
                    </w:rPr>
                    <w:t>强化节约集约利用，持续提升资源能源利用效率，水资源、土地资源、能源消耗等达到国家、自治区下达的总量和强度控制目标。</w:t>
                  </w:r>
                </w:p>
              </w:tc>
              <w:tc>
                <w:tcPr>
                  <w:tcW w:w="3395" w:type="dxa"/>
                  <w:vAlign w:val="center"/>
                </w:tcPr>
                <w:p w14:paraId="11809A8E">
                  <w:pPr>
                    <w:widowControl/>
                    <w:jc w:val="left"/>
                    <w:rPr>
                      <w:szCs w:val="21"/>
                    </w:rPr>
                  </w:pPr>
                  <w:r>
                    <w:rPr>
                      <w:rFonts w:hint="eastAsia" w:ascii="宋体" w:hAnsi="宋体" w:cs="宋体"/>
                      <w:kern w:val="0"/>
                      <w:szCs w:val="21"/>
                      <w:lang w:bidi="ar"/>
                    </w:rPr>
                    <w:t>运营过程中消耗一定的水资源，项目资源消耗量相对区域资源总量较小，符合资源利用上线要求。</w:t>
                  </w:r>
                </w:p>
              </w:tc>
            </w:tr>
          </w:tbl>
          <w:p w14:paraId="302C79C3">
            <w:pPr>
              <w:widowControl/>
              <w:adjustRightInd w:val="0"/>
              <w:spacing w:line="360" w:lineRule="auto"/>
              <w:ind w:firstLine="420" w:firstLineChars="200"/>
              <w:textAlignment w:val="baseline"/>
              <w:rPr>
                <w:rFonts w:eastAsia="Times New Roman" w:cs="宋体"/>
                <w:kern w:val="0"/>
                <w:szCs w:val="21"/>
              </w:rPr>
            </w:pPr>
            <w:r>
              <w:rPr>
                <w:rFonts w:hint="eastAsia" w:eastAsia="Times New Roman" w:cs="宋体"/>
                <w:kern w:val="0"/>
                <w:szCs w:val="21"/>
              </w:rPr>
              <w:t>根据</w:t>
            </w:r>
            <w:r>
              <w:rPr>
                <w:rFonts w:hint="eastAsia"/>
                <w:kern w:val="0"/>
                <w:szCs w:val="21"/>
              </w:rPr>
              <w:t>关于印发《新疆生产建设兵团“三线一单”生态环境分区管控方案》的通知（新兵发【2021】16号），</w:t>
            </w:r>
            <w:r>
              <w:rPr>
                <w:rFonts w:hint="eastAsia" w:eastAsia="Times New Roman" w:cs="宋体"/>
                <w:kern w:val="0"/>
                <w:szCs w:val="21"/>
              </w:rPr>
              <w:t>按照生态保护红线、环境质量底线、资源利用上线的管控要求，从生态环境保护角度划分为优先保护单元、重点管控单元、一般管控单元。</w:t>
            </w:r>
          </w:p>
          <w:p w14:paraId="3EFDD9E5">
            <w:pPr>
              <w:autoSpaceDE w:val="0"/>
              <w:autoSpaceDN w:val="0"/>
              <w:spacing w:line="360" w:lineRule="auto"/>
              <w:ind w:firstLine="420" w:firstLineChars="200"/>
              <w:rPr>
                <w:szCs w:val="21"/>
              </w:rPr>
            </w:pPr>
            <w:r>
              <w:rPr>
                <w:rFonts w:hint="eastAsia"/>
                <w:szCs w:val="21"/>
              </w:rPr>
              <w:t>根据项目建设地点与生态环境分区管控单元的核查，本项目位于重点管控单元，重点管控单元要求：主要落实生优化空间布局，加强污染物排放控制和环境风险推动生态环境质量持续改善。</w:t>
            </w:r>
          </w:p>
          <w:p w14:paraId="42AED773">
            <w:pPr>
              <w:autoSpaceDE w:val="0"/>
              <w:autoSpaceDN w:val="0"/>
              <w:spacing w:line="360" w:lineRule="auto"/>
              <w:ind w:firstLine="420" w:firstLineChars="200"/>
              <w:rPr>
                <w:color w:val="auto"/>
                <w:szCs w:val="21"/>
                <w:highlight w:val="none"/>
              </w:rPr>
            </w:pPr>
            <w:r>
              <w:rPr>
                <w:highlight w:val="none"/>
              </w:rPr>
              <w:t>本项</w:t>
            </w:r>
            <w:r>
              <w:rPr>
                <w:color w:val="auto"/>
                <w:highlight w:val="none"/>
              </w:rPr>
              <w:t>目</w:t>
            </w:r>
            <w:r>
              <w:rPr>
                <w:rFonts w:hint="eastAsia"/>
                <w:color w:val="auto"/>
                <w:highlight w:val="none"/>
              </w:rPr>
              <w:t>沥青混凝土生产过程中产生</w:t>
            </w:r>
            <w:r>
              <w:rPr>
                <w:color w:val="auto"/>
                <w:highlight w:val="none"/>
              </w:rPr>
              <w:t>的</w:t>
            </w:r>
            <w:r>
              <w:rPr>
                <w:color w:val="auto"/>
                <w:szCs w:val="21"/>
                <w:highlight w:val="none"/>
              </w:rPr>
              <w:t>苯并[a]芘</w:t>
            </w:r>
            <w:r>
              <w:rPr>
                <w:rFonts w:hint="eastAsia"/>
                <w:color w:val="auto"/>
                <w:szCs w:val="21"/>
                <w:highlight w:val="none"/>
              </w:rPr>
              <w:t>和</w:t>
            </w:r>
            <w:r>
              <w:rPr>
                <w:color w:val="auto"/>
                <w:szCs w:val="21"/>
                <w:highlight w:val="none"/>
              </w:rPr>
              <w:t>沥青烟执行《大气污染物综合排放标准》（</w:t>
            </w:r>
            <w:r>
              <w:rPr>
                <w:rFonts w:hint="eastAsia"/>
                <w:color w:val="auto"/>
                <w:szCs w:val="21"/>
                <w:highlight w:val="none"/>
              </w:rPr>
              <w:t xml:space="preserve">GB </w:t>
            </w:r>
            <w:r>
              <w:rPr>
                <w:color w:val="auto"/>
                <w:szCs w:val="21"/>
                <w:highlight w:val="none"/>
              </w:rPr>
              <w:t>16297-1996）表2中二级标准；</w:t>
            </w:r>
            <w:r>
              <w:rPr>
                <w:rFonts w:hint="eastAsia"/>
                <w:color w:val="auto"/>
                <w:highlight w:val="none"/>
              </w:rPr>
              <w:t>沥青混凝土生产过程中产生</w:t>
            </w:r>
            <w:r>
              <w:rPr>
                <w:color w:val="auto"/>
                <w:highlight w:val="none"/>
              </w:rPr>
              <w:t>的</w:t>
            </w:r>
            <w:r>
              <w:rPr>
                <w:rFonts w:hint="eastAsia"/>
                <w:color w:val="auto"/>
                <w:highlight w:val="none"/>
              </w:rPr>
              <w:t>有组织</w:t>
            </w:r>
            <w:r>
              <w:rPr>
                <w:rFonts w:hint="eastAsia"/>
                <w:color w:val="auto"/>
                <w:szCs w:val="21"/>
                <w:highlight w:val="none"/>
              </w:rPr>
              <w:t>非甲烷总烃</w:t>
            </w:r>
            <w:r>
              <w:rPr>
                <w:color w:val="auto"/>
                <w:szCs w:val="21"/>
                <w:highlight w:val="none"/>
              </w:rPr>
              <w:t>执行《大气污染物综合排放标准》（</w:t>
            </w:r>
            <w:r>
              <w:rPr>
                <w:rFonts w:hint="eastAsia"/>
                <w:color w:val="auto"/>
                <w:szCs w:val="21"/>
                <w:highlight w:val="none"/>
              </w:rPr>
              <w:t xml:space="preserve">GB </w:t>
            </w:r>
            <w:r>
              <w:rPr>
                <w:color w:val="auto"/>
                <w:szCs w:val="21"/>
                <w:highlight w:val="none"/>
              </w:rPr>
              <w:t>16297-1996）表2中二级标</w:t>
            </w:r>
            <w:r>
              <w:rPr>
                <w:rFonts w:hint="eastAsia"/>
                <w:color w:val="auto"/>
                <w:szCs w:val="21"/>
                <w:highlight w:val="none"/>
              </w:rPr>
              <w:t>，</w:t>
            </w:r>
            <w:r>
              <w:rPr>
                <w:rFonts w:hint="eastAsia" w:eastAsia="宋体"/>
                <w:color w:val="auto"/>
                <w:highlight w:val="none"/>
                <w:lang w:eastAsia="zh-CN"/>
              </w:rPr>
              <w:t>厂界无组织废气颗粒物、苯并[a]芘、非甲烷总烃执行《大气污染物综合排放标准》(GB16297-1996)无组织排放标准限值</w:t>
            </w:r>
            <w:r>
              <w:rPr>
                <w:rFonts w:hint="eastAsia"/>
                <w:color w:val="auto"/>
                <w:kern w:val="0"/>
                <w:szCs w:val="21"/>
                <w:highlight w:val="none"/>
              </w:rPr>
              <w:t>；天然气烘干筒产生的燃气废气</w:t>
            </w:r>
            <w:r>
              <w:rPr>
                <w:color w:val="auto"/>
                <w:szCs w:val="21"/>
                <w:highlight w:val="none"/>
              </w:rPr>
              <w:t>执</w:t>
            </w:r>
            <w:r>
              <w:rPr>
                <w:color w:val="auto"/>
                <w:highlight w:val="none"/>
              </w:rPr>
              <w:t>行</w:t>
            </w:r>
            <w:r>
              <w:rPr>
                <w:rFonts w:hint="eastAsia"/>
                <w:color w:val="auto"/>
                <w:szCs w:val="21"/>
                <w:highlight w:val="none"/>
              </w:rPr>
              <w:t>《兵团工业炉窑大气污染综合治理实施方案》中重点区域排放标准</w:t>
            </w:r>
            <w:r>
              <w:rPr>
                <w:color w:val="auto"/>
                <w:szCs w:val="21"/>
                <w:highlight w:val="none"/>
              </w:rPr>
              <w:t>；水稳料生产过程中上料、搅拌、卸料时产生的粉尘，执行《水泥工业大气污染物排放标准》（</w:t>
            </w:r>
            <w:r>
              <w:rPr>
                <w:rFonts w:hint="eastAsia"/>
                <w:color w:val="auto"/>
                <w:szCs w:val="21"/>
                <w:highlight w:val="none"/>
              </w:rPr>
              <w:t xml:space="preserve">GB </w:t>
            </w:r>
            <w:r>
              <w:rPr>
                <w:color w:val="auto"/>
                <w:szCs w:val="21"/>
                <w:highlight w:val="none"/>
              </w:rPr>
              <w:t>4915-2013）中表</w:t>
            </w:r>
            <w:r>
              <w:rPr>
                <w:rFonts w:hint="eastAsia"/>
                <w:color w:val="auto"/>
                <w:szCs w:val="21"/>
                <w:highlight w:val="none"/>
              </w:rPr>
              <w:t>2</w:t>
            </w:r>
            <w:r>
              <w:rPr>
                <w:color w:val="auto"/>
                <w:szCs w:val="21"/>
                <w:highlight w:val="none"/>
              </w:rPr>
              <w:t>和表3中相关标准；食堂油烟执行《饮食业油烟排放标准（试行）》（</w:t>
            </w:r>
            <w:r>
              <w:rPr>
                <w:rFonts w:hint="eastAsia"/>
                <w:color w:val="auto"/>
                <w:szCs w:val="21"/>
                <w:highlight w:val="none"/>
              </w:rPr>
              <w:t xml:space="preserve">GB </w:t>
            </w:r>
            <w:r>
              <w:rPr>
                <w:color w:val="auto"/>
                <w:szCs w:val="21"/>
                <w:highlight w:val="none"/>
              </w:rPr>
              <w:t>18483-2001）标准，已执行最严格的大气污染物排放标准</w:t>
            </w:r>
            <w:r>
              <w:rPr>
                <w:rFonts w:hint="eastAsia"/>
                <w:color w:val="auto"/>
                <w:szCs w:val="21"/>
                <w:highlight w:val="none"/>
              </w:rPr>
              <w:t>，因此项目运</w:t>
            </w:r>
            <w:r>
              <w:rPr>
                <w:rFonts w:hint="eastAsia"/>
                <w:szCs w:val="21"/>
                <w:highlight w:val="none"/>
              </w:rPr>
              <w:t>营期对周围环境影响较小，项目实施不会降低区域空气质量现有水平；本项目基本无生产废水产生，生产用水主要为洒水降尘用水，自然蒸发；食堂废水经</w:t>
            </w:r>
            <w:r>
              <w:rPr>
                <w:rFonts w:hint="eastAsia"/>
                <w:color w:val="auto"/>
                <w:szCs w:val="21"/>
                <w:highlight w:val="none"/>
              </w:rPr>
              <w:t>隔油池预处理后同生活污水一同</w:t>
            </w:r>
            <w:r>
              <w:rPr>
                <w:color w:val="auto"/>
                <w:szCs w:val="21"/>
                <w:highlight w:val="none"/>
              </w:rPr>
              <w:t>排入</w:t>
            </w:r>
            <w:r>
              <w:rPr>
                <w:rFonts w:hint="eastAsia"/>
                <w:color w:val="auto"/>
                <w:szCs w:val="21"/>
                <w:highlight w:val="none"/>
              </w:rPr>
              <w:t>厂区</w:t>
            </w:r>
            <w:r>
              <w:rPr>
                <w:color w:val="auto"/>
                <w:szCs w:val="21"/>
                <w:highlight w:val="none"/>
              </w:rPr>
              <w:t>内</w:t>
            </w:r>
            <w:r>
              <w:rPr>
                <w:rFonts w:hint="eastAsia"/>
                <w:color w:val="auto"/>
                <w:szCs w:val="21"/>
                <w:highlight w:val="none"/>
              </w:rPr>
              <w:t>50m</w:t>
            </w:r>
            <w:r>
              <w:rPr>
                <w:rFonts w:hint="eastAsia"/>
                <w:color w:val="auto"/>
                <w:szCs w:val="21"/>
                <w:highlight w:val="none"/>
                <w:vertAlign w:val="superscript"/>
              </w:rPr>
              <w:t>3</w:t>
            </w:r>
            <w:r>
              <w:rPr>
                <w:rFonts w:hint="eastAsia"/>
                <w:color w:val="auto"/>
                <w:szCs w:val="21"/>
                <w:highlight w:val="none"/>
              </w:rPr>
              <w:t>化粪池（防渗等级P8），定期由吸污车清运至</w:t>
            </w:r>
            <w:r>
              <w:rPr>
                <w:rFonts w:hint="eastAsia"/>
                <w:color w:val="auto"/>
                <w:szCs w:val="21"/>
                <w:highlight w:val="none"/>
                <w:lang w:eastAsia="zh-CN"/>
              </w:rPr>
              <w:t>七师胡杨河市污水处理厂（一期）</w:t>
            </w:r>
            <w:r>
              <w:rPr>
                <w:rFonts w:hint="eastAsia"/>
                <w:color w:val="auto"/>
                <w:szCs w:val="21"/>
                <w:highlight w:val="none"/>
              </w:rPr>
              <w:t>，不排入地表水体；项目产生的固体废物均采取相应治理措施，产生的固废均得到合理处置。综上，本项目实施对环境影响较小，不会对项目区环境质量造成冲击。本项目符合分区管控的要求。</w:t>
            </w:r>
          </w:p>
          <w:p w14:paraId="69EC0A90">
            <w:pPr>
              <w:autoSpaceDE w:val="0"/>
              <w:autoSpaceDN w:val="0"/>
              <w:spacing w:line="360" w:lineRule="auto"/>
              <w:rPr>
                <w:b/>
                <w:bCs/>
                <w:color w:val="auto"/>
              </w:rPr>
            </w:pPr>
            <w:r>
              <w:rPr>
                <w:rFonts w:hint="eastAsia"/>
                <w:b/>
                <w:bCs/>
                <w:color w:val="auto"/>
                <w:lang w:val="en-US" w:eastAsia="zh-CN"/>
              </w:rPr>
              <w:t>4、</w:t>
            </w:r>
            <w:r>
              <w:rPr>
                <w:rFonts w:hint="eastAsia"/>
                <w:b/>
                <w:bCs/>
                <w:color w:val="auto"/>
              </w:rPr>
              <w:t>《第七师“三线一单”生态环境分区管控要求》符合性分析</w:t>
            </w:r>
          </w:p>
          <w:p w14:paraId="251FC3DB">
            <w:pPr>
              <w:autoSpaceDE w:val="0"/>
              <w:autoSpaceDN w:val="0"/>
              <w:spacing w:line="360" w:lineRule="auto"/>
              <w:ind w:firstLine="420" w:firstLineChars="200"/>
              <w:rPr>
                <w:color w:val="auto"/>
              </w:rPr>
            </w:pPr>
            <w:r>
              <w:rPr>
                <w:color w:val="auto"/>
              </w:rPr>
              <w:t>根据</w:t>
            </w:r>
            <w:r>
              <w:rPr>
                <w:rFonts w:hint="eastAsia"/>
                <w:color w:val="auto"/>
                <w:szCs w:val="21"/>
              </w:rPr>
              <w:t>《新疆生产建设兵团“三线一单”生态环境分区管控方案》的通知（新兵发【2021】16号）、</w:t>
            </w:r>
            <w:r>
              <w:rPr>
                <w:rFonts w:hint="eastAsia"/>
                <w:color w:val="auto"/>
                <w:szCs w:val="21"/>
                <w:lang w:eastAsia="zh-CN"/>
              </w:rPr>
              <w:t>由</w:t>
            </w:r>
            <w:r>
              <w:rPr>
                <w:rFonts w:hint="eastAsia"/>
                <w:color w:val="auto"/>
                <w:szCs w:val="21"/>
                <w:lang w:val="en-US" w:eastAsia="zh-CN"/>
              </w:rPr>
              <w:t>新疆生产建设兵团第七师发布的《第七师胡杨河市“三线一单”生态环境分区管控方案》（师市发[2021]8号）</w:t>
            </w:r>
            <w:r>
              <w:rPr>
                <w:color w:val="auto"/>
              </w:rPr>
              <w:t>，项目区位于第七师</w:t>
            </w:r>
            <w:r>
              <w:rPr>
                <w:rFonts w:hint="eastAsia"/>
                <w:color w:val="auto"/>
              </w:rPr>
              <w:t>胡杨河市</w:t>
            </w:r>
            <w:r>
              <w:rPr>
                <w:color w:val="auto"/>
              </w:rPr>
              <w:t>130团</w:t>
            </w:r>
            <w:r>
              <w:rPr>
                <w:rFonts w:hint="eastAsia"/>
                <w:color w:val="auto"/>
              </w:rPr>
              <w:t>6</w:t>
            </w:r>
            <w:r>
              <w:rPr>
                <w:color w:val="auto"/>
              </w:rPr>
              <w:t>连，属于重点管控单元，编码为ZH65770820001，分区管控图见图1-1。</w:t>
            </w:r>
          </w:p>
          <w:p w14:paraId="5C8339F7">
            <w:pPr>
              <w:widowControl/>
              <w:spacing w:line="360" w:lineRule="auto"/>
              <w:ind w:firstLine="422" w:firstLineChars="200"/>
              <w:outlineLvl w:val="3"/>
              <w:rPr>
                <w:b/>
              </w:rPr>
            </w:pPr>
            <w:r>
              <w:rPr>
                <w:b/>
              </w:rPr>
              <w:t>第七师130团重点管控要求如下：</w:t>
            </w:r>
          </w:p>
          <w:p w14:paraId="57E4EDC7">
            <w:pPr>
              <w:autoSpaceDE w:val="0"/>
              <w:autoSpaceDN w:val="0"/>
              <w:spacing w:line="360" w:lineRule="auto"/>
              <w:ind w:firstLine="420" w:firstLineChars="200"/>
            </w:pPr>
            <w:r>
              <w:t>空间布局约束：</w:t>
            </w:r>
          </w:p>
          <w:p w14:paraId="6C008ADE">
            <w:pPr>
              <w:widowControl/>
              <w:spacing w:line="360" w:lineRule="auto"/>
              <w:ind w:firstLine="420" w:firstLineChars="200"/>
            </w:pPr>
            <w:r>
              <w:t>①执行大气环境布局敏感区相关要求。</w:t>
            </w:r>
          </w:p>
          <w:p w14:paraId="74A633CE">
            <w:pPr>
              <w:widowControl/>
              <w:spacing w:line="360" w:lineRule="auto"/>
              <w:ind w:firstLine="420" w:firstLineChars="200"/>
            </w:pPr>
            <w:r>
              <w:t>②加强农田防护林网体系建设，保护基本农田，改造中低产农田和盐碱地，发展设施农业，并改进农业种植技术。</w:t>
            </w:r>
          </w:p>
          <w:p w14:paraId="5F9E4F5F">
            <w:pPr>
              <w:widowControl/>
              <w:spacing w:line="360" w:lineRule="auto"/>
              <w:ind w:firstLine="420" w:firstLineChars="200"/>
            </w:pPr>
            <w:r>
              <w:t>③严格控制非农建设占用耕地，加大对土地整理复垦开发重点区域及重点工程、粮食主产区和基本农田保护区的投入。</w:t>
            </w:r>
          </w:p>
          <w:p w14:paraId="5E2340CF">
            <w:pPr>
              <w:autoSpaceDE w:val="0"/>
              <w:autoSpaceDN w:val="0"/>
              <w:adjustRightInd w:val="0"/>
              <w:spacing w:line="360" w:lineRule="auto"/>
              <w:ind w:firstLine="420" w:firstLineChars="200"/>
            </w:pPr>
            <w:r>
              <w:t>④禁止任何单位和个人在基本农田保护区内建窑、建房、建坟、挖砂采石、采矿、取土、堆放固体废弃物或者进行其他破坏基本农田的活动。</w:t>
            </w:r>
          </w:p>
          <w:p w14:paraId="43157026">
            <w:pPr>
              <w:widowControl/>
              <w:spacing w:line="360" w:lineRule="auto"/>
              <w:ind w:firstLine="420" w:firstLineChars="200"/>
            </w:pPr>
            <w:r>
              <w:t>污染物排放管控：</w:t>
            </w:r>
          </w:p>
          <w:p w14:paraId="2E8E0B17">
            <w:pPr>
              <w:widowControl/>
              <w:spacing w:line="360" w:lineRule="auto"/>
              <w:ind w:firstLine="420" w:firstLineChars="200"/>
            </w:pPr>
            <w:r>
              <w:t>①严格落实环境保护目标责任制，强化污染物总量控制目标考核，健全重大环境事件和污染事故责任追究制度，加大问责力度。强化环境执法监督，严格污染物排放标准、环境影响评价和污染物排放许可制度，进一步健全环境监管体制。严格执行行业排放标准、清洁生产标准，降低污染物产生强度、排放强度。</w:t>
            </w:r>
          </w:p>
          <w:p w14:paraId="77FD9642">
            <w:pPr>
              <w:widowControl/>
              <w:spacing w:line="360" w:lineRule="auto"/>
              <w:ind w:firstLine="420" w:firstLineChars="200"/>
            </w:pPr>
            <w:r>
              <w:t>②已有改扩建项目要提高节能环保准入门槛，实行大气污染物排放减量置换，实施区域内最严格的大气污染物排放标准。</w:t>
            </w:r>
          </w:p>
          <w:p w14:paraId="2D91F247">
            <w:pPr>
              <w:widowControl/>
              <w:spacing w:line="360" w:lineRule="auto"/>
              <w:ind w:firstLine="420" w:firstLineChars="200"/>
            </w:pPr>
            <w:r>
              <w:t>③已达到大气环境质量标准的地区，应当严格控制新增排放大气污染物项目大气污染物排放量。</w:t>
            </w:r>
          </w:p>
          <w:p w14:paraId="4CA9CEB7">
            <w:pPr>
              <w:widowControl/>
              <w:spacing w:line="360" w:lineRule="auto"/>
              <w:ind w:firstLine="420" w:firstLineChars="200"/>
              <w:rPr>
                <w:color w:val="auto"/>
              </w:rPr>
            </w:pPr>
            <w:r>
              <w:t>本项目选址位于第七师胡杨河市130团6连，为重点管控单元，本项目产污主要为生产废气、生活污水和固体废物，本次环评提出，沥青混凝土生产过程中，加入骨料、矿粉时产生的粉尘经布袋除尘器处理后，由15m高排气筒（DA001）排放；</w:t>
            </w:r>
            <w:r>
              <w:rPr>
                <w:rFonts w:hint="eastAsia"/>
                <w:lang w:val="en-US" w:eastAsia="zh-CN"/>
              </w:rPr>
              <w:t>骨料进入烘干筒后，以天然气作为热源加热烘干筒时产</w:t>
            </w:r>
            <w:r>
              <w:rPr>
                <w:rFonts w:hint="eastAsia"/>
                <w:color w:val="auto"/>
                <w:lang w:val="en-US" w:eastAsia="zh-CN"/>
              </w:rPr>
              <w:t>生的燃气废气与骨料进入烘干筒、粉料提升工序和振动筛分工序产生的粉尘，在采取封闭措施的沥青混凝土生产线中，一同</w:t>
            </w:r>
            <w:r>
              <w:rPr>
                <w:color w:val="auto"/>
              </w:rPr>
              <w:t>经“布袋除尘器+</w:t>
            </w:r>
            <w:r>
              <w:rPr>
                <w:rFonts w:hint="eastAsia"/>
                <w:color w:val="auto"/>
                <w:lang w:val="en-US" w:eastAsia="zh-CN"/>
              </w:rPr>
              <w:t>二级</w:t>
            </w:r>
            <w:r>
              <w:rPr>
                <w:color w:val="auto"/>
              </w:rPr>
              <w:t>活性炭吸附装置”进行处理后，由15m高排气筒（DA002）排放；</w:t>
            </w:r>
            <w:r>
              <w:rPr>
                <w:rFonts w:hint="eastAsia"/>
                <w:color w:val="auto"/>
                <w:lang w:val="en-US" w:eastAsia="zh-CN"/>
              </w:rPr>
              <w:t>在采取封闭措施的沥青混凝土生产线中，</w:t>
            </w:r>
            <w:r>
              <w:rPr>
                <w:color w:val="auto"/>
              </w:rPr>
              <w:t>搅拌设备产生的沥青烟气通过管道收集后利用负压风机引至</w:t>
            </w:r>
            <w:r>
              <w:rPr>
                <w:rFonts w:hint="eastAsia"/>
                <w:color w:val="auto"/>
              </w:rPr>
              <w:t>天然气烘干筒</w:t>
            </w:r>
            <w:r>
              <w:rPr>
                <w:rFonts w:hint="eastAsia"/>
                <w:color w:val="auto"/>
                <w:lang w:val="en-US" w:eastAsia="zh-CN"/>
              </w:rPr>
              <w:t>焚烧</w:t>
            </w:r>
            <w:r>
              <w:rPr>
                <w:color w:val="auto"/>
              </w:rPr>
              <w:t>处理，与烘干</w:t>
            </w:r>
            <w:r>
              <w:rPr>
                <w:rFonts w:hint="eastAsia"/>
                <w:color w:val="auto"/>
                <w:lang w:val="en-US" w:eastAsia="zh-CN"/>
              </w:rPr>
              <w:t>废气</w:t>
            </w:r>
            <w:r>
              <w:rPr>
                <w:rFonts w:hint="eastAsia"/>
                <w:color w:val="auto"/>
                <w:lang w:eastAsia="zh-CN"/>
              </w:rPr>
              <w:t>、</w:t>
            </w:r>
            <w:r>
              <w:rPr>
                <w:color w:val="auto"/>
              </w:rPr>
              <w:t>筛分废气、</w:t>
            </w:r>
            <w:r>
              <w:rPr>
                <w:rFonts w:hint="eastAsia"/>
                <w:color w:val="auto"/>
              </w:rPr>
              <w:t>燃气废气</w:t>
            </w:r>
            <w:r>
              <w:rPr>
                <w:color w:val="auto"/>
              </w:rPr>
              <w:t>一起经“布袋除尘器+</w:t>
            </w:r>
            <w:r>
              <w:rPr>
                <w:rFonts w:hint="eastAsia"/>
                <w:color w:val="auto"/>
                <w:lang w:val="en-US" w:eastAsia="zh-CN"/>
              </w:rPr>
              <w:t>二级</w:t>
            </w:r>
            <w:r>
              <w:rPr>
                <w:color w:val="auto"/>
              </w:rPr>
              <w:t>活性炭吸附装置”进行处理后，由15m高排气筒（DA002）排放；水稳料生产过程中</w:t>
            </w:r>
            <w:r>
              <w:rPr>
                <w:rFonts w:hint="eastAsia"/>
                <w:color w:val="auto"/>
                <w:lang w:val="en-US" w:eastAsia="zh-CN"/>
              </w:rPr>
              <w:t>上料、</w:t>
            </w:r>
            <w:r>
              <w:rPr>
                <w:color w:val="auto"/>
              </w:rPr>
              <w:t>搅拌、卸料时产生的粉尘经布袋除尘收集后由15m高排气筒（DA003）排放；员工食堂产生的食堂油烟经油烟净化器处理后</w:t>
            </w:r>
            <w:r>
              <w:rPr>
                <w:rFonts w:hint="eastAsia"/>
                <w:color w:val="auto"/>
              </w:rPr>
              <w:t>高出屋面排放</w:t>
            </w:r>
            <w:r>
              <w:rPr>
                <w:color w:val="auto"/>
              </w:rPr>
              <w:t>。</w:t>
            </w:r>
          </w:p>
          <w:p w14:paraId="0C05AF2D">
            <w:pPr>
              <w:rPr>
                <w:color w:val="auto"/>
              </w:rPr>
            </w:pPr>
            <w:r>
              <w:rPr>
                <w:color w:val="auto"/>
                <w:highlight w:val="none"/>
              </w:rPr>
              <w:t>食堂废水经隔油池预处理后同生活污水一同排入厂区内50m</w:t>
            </w:r>
            <w:r>
              <w:rPr>
                <w:color w:val="auto"/>
                <w:highlight w:val="none"/>
                <w:vertAlign w:val="superscript"/>
              </w:rPr>
              <w:t>3</w:t>
            </w:r>
            <w:r>
              <w:rPr>
                <w:color w:val="auto"/>
                <w:highlight w:val="none"/>
              </w:rPr>
              <w:t>化粪池</w:t>
            </w:r>
            <w:r>
              <w:rPr>
                <w:rFonts w:hint="eastAsia"/>
                <w:color w:val="auto"/>
                <w:highlight w:val="none"/>
              </w:rPr>
              <w:t>（防渗等级P8）</w:t>
            </w:r>
            <w:r>
              <w:rPr>
                <w:color w:val="auto"/>
                <w:highlight w:val="none"/>
              </w:rPr>
              <w:t>，定期由吸污车清运至</w:t>
            </w:r>
            <w:r>
              <w:rPr>
                <w:rFonts w:hint="eastAsia"/>
                <w:color w:val="auto"/>
                <w:highlight w:val="none"/>
                <w:lang w:eastAsia="zh-CN"/>
              </w:rPr>
              <w:t>七师胡杨河市污水处理厂（一期）</w:t>
            </w:r>
            <w:r>
              <w:rPr>
                <w:color w:val="auto"/>
                <w:highlight w:val="none"/>
              </w:rPr>
              <w:t>；一般固废中，袋式除尘器收集的粉尘收集后</w:t>
            </w:r>
            <w:r>
              <w:rPr>
                <w:highlight w:val="none"/>
              </w:rPr>
              <w:t>回用于生产</w:t>
            </w:r>
            <w:r>
              <w:rPr>
                <w:rFonts w:hint="eastAsia"/>
                <w:highlight w:val="none"/>
              </w:rPr>
              <w:t>；车辆经过洗车槽时沉淀的少量原料收集后回用于生产；</w:t>
            </w:r>
            <w:r>
              <w:rPr>
                <w:highlight w:val="none"/>
              </w:rPr>
              <w:t>滴漏沥青经收集后回用于搅拌工序</w:t>
            </w:r>
            <w:r>
              <w:rPr>
                <w:rFonts w:hint="eastAsia"/>
                <w:highlight w:val="none"/>
              </w:rPr>
              <w:t>；</w:t>
            </w:r>
            <w:r>
              <w:rPr>
                <w:highlight w:val="none"/>
              </w:rPr>
              <w:t>生活垃圾由环卫部门</w:t>
            </w:r>
            <w:r>
              <w:rPr>
                <w:color w:val="auto"/>
                <w:highlight w:val="none"/>
              </w:rPr>
              <w:t>定期清运</w:t>
            </w:r>
            <w:r>
              <w:rPr>
                <w:rFonts w:hint="eastAsia"/>
                <w:color w:val="auto"/>
                <w:szCs w:val="21"/>
                <w:highlight w:val="none"/>
              </w:rPr>
              <w:t>至</w:t>
            </w:r>
            <w:r>
              <w:rPr>
                <w:rFonts w:hint="eastAsia"/>
                <w:color w:val="auto"/>
                <w:lang w:val="en-US" w:eastAsia="zh-CN"/>
              </w:rPr>
              <w:t>运距约为5km的</w:t>
            </w:r>
            <w:r>
              <w:rPr>
                <w:rFonts w:hint="eastAsia"/>
                <w:color w:val="auto"/>
                <w:szCs w:val="21"/>
                <w:lang w:val="en-US" w:eastAsia="zh-CN"/>
              </w:rPr>
              <w:t>胡杨河市第七师130团11连</w:t>
            </w:r>
            <w:r>
              <w:rPr>
                <w:rFonts w:hint="eastAsia"/>
                <w:color w:val="auto"/>
                <w:highlight w:val="none"/>
              </w:rPr>
              <w:t>垃圾填埋场</w:t>
            </w:r>
            <w:r>
              <w:rPr>
                <w:color w:val="auto"/>
                <w:highlight w:val="none"/>
              </w:rPr>
              <w:t>；本项目产生的危险废物有废导热油、废机油</w:t>
            </w:r>
            <w:r>
              <w:rPr>
                <w:rFonts w:hint="eastAsia"/>
                <w:color w:val="auto"/>
                <w:highlight w:val="none"/>
              </w:rPr>
              <w:t>和</w:t>
            </w:r>
            <w:r>
              <w:rPr>
                <w:color w:val="auto"/>
                <w:highlight w:val="none"/>
              </w:rPr>
              <w:t>废活性炭：设置危废暂存间，危险废物分区暂存于危废暂存间，委托具有危废处置资质的单位处置。</w:t>
            </w:r>
          </w:p>
          <w:p w14:paraId="3F7B53C5">
            <w:pPr>
              <w:widowControl/>
              <w:spacing w:line="360" w:lineRule="auto"/>
              <w:ind w:firstLine="420" w:firstLineChars="200"/>
            </w:pPr>
            <w:r>
              <w:t>综上，本项目建设符合“三线一单”的建设要求</w:t>
            </w:r>
            <w:r>
              <w:rPr>
                <w:rFonts w:hint="eastAsia"/>
              </w:rPr>
              <w:t>。</w:t>
            </w:r>
          </w:p>
          <w:p w14:paraId="54064C1E">
            <w:pPr>
              <w:jc w:val="center"/>
            </w:pPr>
          </w:p>
          <w:p w14:paraId="12D7FE4B">
            <w:pPr>
              <w:autoSpaceDE w:val="0"/>
              <w:autoSpaceDN w:val="0"/>
              <w:adjustRightInd w:val="0"/>
              <w:snapToGrid w:val="0"/>
              <w:spacing w:line="360" w:lineRule="auto"/>
              <w:jc w:val="center"/>
              <w:rPr>
                <w:b/>
                <w:bCs/>
                <w:color w:val="auto"/>
              </w:rPr>
            </w:pPr>
            <w:r>
              <w:rPr>
                <w:rFonts w:hint="eastAsia"/>
                <w:b/>
                <w:bCs/>
                <w:color w:val="auto"/>
              </w:rPr>
              <w:t xml:space="preserve">图1-1  </w:t>
            </w:r>
            <w:r>
              <w:rPr>
                <w:rFonts w:ascii="宋体" w:hAnsi="宋体" w:cs="宋体"/>
                <w:b/>
                <w:bCs/>
                <w:color w:val="auto"/>
                <w:szCs w:val="21"/>
              </w:rPr>
              <w:t>分区管控图</w:t>
            </w:r>
          </w:p>
          <w:p w14:paraId="2D90ED13">
            <w:pPr>
              <w:autoSpaceDE w:val="0"/>
              <w:autoSpaceDN w:val="0"/>
              <w:adjustRightInd w:val="0"/>
              <w:snapToGrid w:val="0"/>
              <w:spacing w:line="360" w:lineRule="auto"/>
              <w:rPr>
                <w:b/>
                <w:bCs/>
                <w:color w:val="auto"/>
              </w:rPr>
            </w:pPr>
            <w:r>
              <w:rPr>
                <w:rFonts w:hint="eastAsia"/>
                <w:b/>
                <w:bCs/>
                <w:color w:val="auto"/>
                <w:lang w:val="en-US" w:eastAsia="zh-CN"/>
              </w:rPr>
              <w:t>5</w:t>
            </w:r>
            <w:r>
              <w:rPr>
                <w:b/>
                <w:bCs/>
                <w:color w:val="auto"/>
              </w:rPr>
              <w:t>、项目合规性分析</w:t>
            </w:r>
          </w:p>
          <w:p w14:paraId="63E3ACA4">
            <w:pPr>
              <w:autoSpaceDE w:val="0"/>
              <w:autoSpaceDN w:val="0"/>
              <w:spacing w:line="360" w:lineRule="auto"/>
              <w:ind w:firstLine="420" w:firstLineChars="200"/>
            </w:pPr>
            <w:r>
              <w:rPr>
                <w:rFonts w:hint="eastAsia"/>
                <w:color w:val="auto"/>
              </w:rPr>
              <w:t>奎屯广合商品混凝土有限责任公司新建沥青拌合站、水泥稳定土拌合站项目</w:t>
            </w:r>
            <w:r>
              <w:rPr>
                <w:color w:val="auto"/>
              </w:rPr>
              <w:t>于201</w:t>
            </w:r>
            <w:r>
              <w:rPr>
                <w:rFonts w:hint="eastAsia"/>
                <w:color w:val="auto"/>
              </w:rPr>
              <w:t>8</w:t>
            </w:r>
            <w:r>
              <w:rPr>
                <w:color w:val="auto"/>
              </w:rPr>
              <w:t>建成，项目建成以来一直未进行环境影响评价工作，根据原环境保护部《关于建设项目“未批先建”违法行为法律适用问题的意见》（环政法函[2018]31号）第二十九条的规定，“即违法行为在二年内未被发现的，不再给予行政处罚，”本项目于201</w:t>
            </w:r>
            <w:r>
              <w:rPr>
                <w:rFonts w:hint="eastAsia"/>
                <w:color w:val="auto"/>
              </w:rPr>
              <w:t>8</w:t>
            </w:r>
            <w:r>
              <w:rPr>
                <w:color w:val="auto"/>
              </w:rPr>
              <w:t>年</w:t>
            </w:r>
            <w:r>
              <w:rPr>
                <w:rFonts w:hint="eastAsia"/>
                <w:color w:val="auto"/>
                <w:lang w:val="en-US" w:eastAsia="zh-CN"/>
              </w:rPr>
              <w:t>8月</w:t>
            </w:r>
            <w:r>
              <w:rPr>
                <w:color w:val="auto"/>
              </w:rPr>
              <w:t>建设，已过追溯期，因此本项目不再进行行政处罚，项目符合规定要求，根据《建设项目环境影响评价分类管理名录》（2021年版），本项目类别为</w:t>
            </w:r>
            <w:r>
              <w:rPr>
                <w:rFonts w:hint="eastAsia"/>
                <w:color w:val="auto"/>
                <w:lang w:eastAsia="zh-CN"/>
              </w:rPr>
              <w:t>302石膏、</w:t>
            </w:r>
            <w:r>
              <w:rPr>
                <w:rFonts w:hint="eastAsia"/>
                <w:lang w:eastAsia="zh-CN"/>
              </w:rPr>
              <w:t>水泥制品及类似制品制造及309石墨及其他非金属矿物制品制造</w:t>
            </w:r>
            <w:r>
              <w:t>，应当编制环境影响报告表，因此建设单位主动进行环境影响评价工作。</w:t>
            </w:r>
          </w:p>
          <w:p w14:paraId="08AD8A83">
            <w:pPr>
              <w:autoSpaceDE w:val="0"/>
              <w:autoSpaceDN w:val="0"/>
              <w:adjustRightInd w:val="0"/>
              <w:snapToGrid w:val="0"/>
              <w:spacing w:line="360" w:lineRule="auto"/>
              <w:rPr>
                <w:b/>
                <w:bCs/>
              </w:rPr>
            </w:pPr>
            <w:r>
              <w:rPr>
                <w:rFonts w:hint="eastAsia"/>
                <w:b/>
                <w:bCs/>
                <w:lang w:val="en-US" w:eastAsia="zh-CN"/>
              </w:rPr>
              <w:t>6</w:t>
            </w:r>
            <w:r>
              <w:rPr>
                <w:b/>
                <w:bCs/>
              </w:rPr>
              <w:t>、与《关于奎屯-独山子-乌苏区域大气污染联防联控工作方案的批复》（新函〔2015〕99号）</w:t>
            </w:r>
            <w:r>
              <w:rPr>
                <w:rFonts w:hint="eastAsia"/>
                <w:b/>
                <w:bCs/>
              </w:rPr>
              <w:t>和</w:t>
            </w:r>
            <w:r>
              <w:rPr>
                <w:b/>
                <w:bCs/>
              </w:rPr>
              <w:t>《关于印发</w:t>
            </w:r>
            <w:r>
              <w:rPr>
                <w:rFonts w:hint="eastAsia"/>
                <w:b/>
                <w:bCs/>
              </w:rPr>
              <w:t>&lt;兵团</w:t>
            </w:r>
            <w:r>
              <w:rPr>
                <w:b/>
                <w:bCs/>
              </w:rPr>
              <w:t>打赢蓝天保卫战三年行动计划（2018-2020）年</w:t>
            </w:r>
            <w:r>
              <w:rPr>
                <w:rFonts w:hint="eastAsia"/>
                <w:b/>
                <w:bCs/>
              </w:rPr>
              <w:t>&gt;</w:t>
            </w:r>
            <w:r>
              <w:rPr>
                <w:b/>
                <w:bCs/>
              </w:rPr>
              <w:t>的通知》</w:t>
            </w:r>
            <w:r>
              <w:rPr>
                <w:b/>
                <w:bCs/>
                <w:szCs w:val="21"/>
              </w:rPr>
              <w:t>的符合性分析</w:t>
            </w:r>
          </w:p>
          <w:p w14:paraId="39211A3D">
            <w:pPr>
              <w:autoSpaceDE w:val="0"/>
              <w:autoSpaceDN w:val="0"/>
              <w:spacing w:line="360" w:lineRule="auto"/>
              <w:ind w:firstLine="420" w:firstLineChars="200"/>
            </w:pPr>
            <w:r>
              <w:rPr>
                <w:rFonts w:hint="eastAsia"/>
              </w:rPr>
              <w:t>本项目位于</w:t>
            </w:r>
            <w:r>
              <w:t>第七师胡杨河市130团6连</w:t>
            </w:r>
            <w:r>
              <w:rPr>
                <w:rFonts w:hint="eastAsia"/>
              </w:rPr>
              <w:t>，</w:t>
            </w:r>
            <w:r>
              <w:t>根据《关于奎屯-独山子-乌苏区域大气污染联防联控工作方案的批复》（新函〔2015〕99号）和</w:t>
            </w:r>
            <w:r>
              <w:rPr>
                <w:rFonts w:hint="eastAsia"/>
              </w:rPr>
              <w:t>《关于印发&lt;兵团打赢蓝天保卫战三年行动计划（2018-2020）年&gt;的通知》</w:t>
            </w:r>
            <w:r>
              <w:t>，</w:t>
            </w:r>
            <w:r>
              <w:rPr>
                <w:rFonts w:hint="eastAsia"/>
              </w:rPr>
              <w:t>本项目属于“重点区域范围”，其</w:t>
            </w:r>
            <w:r>
              <w:t>主要任务为调整优化产业结构，推进绿色发展。要求建立健全严禁“三高”项目进新疆制度体系；环境空气质量未达标城市及“乌-昌-石”“奎-独-乌”区域各城市</w:t>
            </w:r>
            <w:r>
              <w:rPr>
                <w:rFonts w:hint="eastAsia"/>
              </w:rPr>
              <w:t>（</w:t>
            </w:r>
            <w:r>
              <w:t>县级及以上人民政府以及生产建设兵团师团所在的市、区、城镇，下同</w:t>
            </w:r>
            <w:r>
              <w:rPr>
                <w:rFonts w:hint="eastAsia"/>
              </w:rPr>
              <w:t>）</w:t>
            </w:r>
            <w:r>
              <w:t>应制定更严格的产业准入门槛；“乌-昌-石”区域和“奎-独-乌”区域所有新</w:t>
            </w:r>
            <w:r>
              <w:rPr>
                <w:rFonts w:hint="eastAsia"/>
              </w:rPr>
              <w:t>（</w:t>
            </w:r>
            <w:r>
              <w:t>改、扩</w:t>
            </w:r>
            <w:r>
              <w:rPr>
                <w:rFonts w:hint="eastAsia"/>
              </w:rPr>
              <w:t>）</w:t>
            </w:r>
            <w:r>
              <w:t>建项目应执行最严格的大气污染物排放标准</w:t>
            </w:r>
            <w:r>
              <w:rPr>
                <w:rFonts w:hint="eastAsia"/>
              </w:rPr>
              <w:t>。</w:t>
            </w:r>
          </w:p>
          <w:p w14:paraId="50E6B34F">
            <w:pPr>
              <w:spacing w:line="360" w:lineRule="auto"/>
              <w:rPr>
                <w:rFonts w:cs="宋体"/>
                <w:sz w:val="24"/>
                <w:szCs w:val="20"/>
              </w:rPr>
            </w:pPr>
            <w:r>
              <w:rPr>
                <w:rFonts w:cs="宋体"/>
                <w:sz w:val="24"/>
                <w:szCs w:val="20"/>
              </w:rPr>
              <w:drawing>
                <wp:inline distT="0" distB="0" distL="114300" distR="114300">
                  <wp:extent cx="4312920" cy="1218565"/>
                  <wp:effectExtent l="0" t="0" r="11430" b="6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4312920" cy="1218565"/>
                          </a:xfrm>
                          <a:prstGeom prst="rect">
                            <a:avLst/>
                          </a:prstGeom>
                          <a:noFill/>
                          <a:ln>
                            <a:noFill/>
                          </a:ln>
                        </pic:spPr>
                      </pic:pic>
                    </a:graphicData>
                  </a:graphic>
                </wp:inline>
              </w:drawing>
            </w:r>
          </w:p>
          <w:p w14:paraId="08CB11E3">
            <w:pPr>
              <w:autoSpaceDE w:val="0"/>
              <w:autoSpaceDN w:val="0"/>
              <w:adjustRightInd w:val="0"/>
              <w:snapToGrid w:val="0"/>
              <w:spacing w:line="360" w:lineRule="auto"/>
              <w:jc w:val="center"/>
              <w:rPr>
                <w:b/>
                <w:bCs/>
              </w:rPr>
            </w:pPr>
            <w:r>
              <w:rPr>
                <w:rFonts w:hint="eastAsia"/>
                <w:b/>
                <w:bCs/>
              </w:rPr>
              <w:t xml:space="preserve">1-2  </w:t>
            </w:r>
            <w:r>
              <w:rPr>
                <w:rFonts w:hint="eastAsia" w:ascii="宋体" w:hAnsi="宋体" w:cs="宋体"/>
                <w:b/>
                <w:bCs/>
                <w:szCs w:val="21"/>
              </w:rPr>
              <w:t>重点区域范围</w:t>
            </w:r>
          </w:p>
          <w:p w14:paraId="5F90F9C3">
            <w:pPr>
              <w:tabs>
                <w:tab w:val="left" w:pos="1540"/>
              </w:tabs>
              <w:overflowPunct w:val="0"/>
              <w:snapToGrid w:val="0"/>
              <w:spacing w:line="360" w:lineRule="auto"/>
              <w:ind w:firstLine="420" w:firstLineChars="200"/>
              <w:rPr>
                <w:szCs w:val="21"/>
                <w:highlight w:val="none"/>
              </w:rPr>
            </w:pPr>
            <w:r>
              <w:t>本项目不属于“三高”项目；项目选址在兵团第七师</w:t>
            </w:r>
            <w:r>
              <w:rPr>
                <w:rFonts w:hint="eastAsia"/>
              </w:rPr>
              <w:t>胡杨河市</w:t>
            </w:r>
            <w:r>
              <w:t>，属于“奎-独-乌”联防联控重点区域，</w:t>
            </w:r>
            <w:r>
              <w:rPr>
                <w:highlight w:val="none"/>
              </w:rPr>
              <w:t>本项目</w:t>
            </w:r>
            <w:r>
              <w:rPr>
                <w:rFonts w:hint="eastAsia"/>
                <w:highlight w:val="none"/>
              </w:rPr>
              <w:t>沥青混凝土生产过程中产生</w:t>
            </w:r>
            <w:r>
              <w:rPr>
                <w:highlight w:val="none"/>
              </w:rPr>
              <w:t>的</w:t>
            </w:r>
            <w:r>
              <w:rPr>
                <w:szCs w:val="21"/>
                <w:highlight w:val="none"/>
              </w:rPr>
              <w:t>苯并[a]芘</w:t>
            </w:r>
            <w:r>
              <w:rPr>
                <w:rFonts w:hint="eastAsia"/>
                <w:szCs w:val="21"/>
                <w:highlight w:val="none"/>
              </w:rPr>
              <w:t>和</w:t>
            </w:r>
            <w:r>
              <w:rPr>
                <w:szCs w:val="21"/>
                <w:highlight w:val="none"/>
              </w:rPr>
              <w:t>沥青烟执行《大气污染物</w:t>
            </w:r>
            <w:r>
              <w:rPr>
                <w:color w:val="auto"/>
                <w:szCs w:val="21"/>
                <w:highlight w:val="none"/>
              </w:rPr>
              <w:t>综合排放标准》（</w:t>
            </w:r>
            <w:r>
              <w:rPr>
                <w:rFonts w:hint="eastAsia"/>
                <w:color w:val="auto"/>
                <w:szCs w:val="21"/>
                <w:highlight w:val="none"/>
              </w:rPr>
              <w:t xml:space="preserve">GB </w:t>
            </w:r>
            <w:r>
              <w:rPr>
                <w:color w:val="auto"/>
                <w:szCs w:val="21"/>
                <w:highlight w:val="none"/>
              </w:rPr>
              <w:t>16297-1996）表2中二级标准；</w:t>
            </w:r>
            <w:r>
              <w:rPr>
                <w:rFonts w:hint="eastAsia"/>
                <w:color w:val="auto"/>
                <w:highlight w:val="none"/>
              </w:rPr>
              <w:t>沥青混凝土生产过程中产生</w:t>
            </w:r>
            <w:r>
              <w:rPr>
                <w:color w:val="auto"/>
                <w:highlight w:val="none"/>
              </w:rPr>
              <w:t>的</w:t>
            </w:r>
            <w:r>
              <w:rPr>
                <w:rFonts w:hint="eastAsia"/>
                <w:color w:val="auto"/>
                <w:highlight w:val="none"/>
              </w:rPr>
              <w:t>有组织</w:t>
            </w:r>
            <w:r>
              <w:rPr>
                <w:rFonts w:hint="eastAsia"/>
                <w:color w:val="auto"/>
                <w:szCs w:val="21"/>
                <w:highlight w:val="none"/>
              </w:rPr>
              <w:t>非甲烷总烃</w:t>
            </w:r>
            <w:r>
              <w:rPr>
                <w:color w:val="auto"/>
                <w:szCs w:val="21"/>
                <w:highlight w:val="none"/>
              </w:rPr>
              <w:t>执行《大气污染物综合排放标准》（</w:t>
            </w:r>
            <w:r>
              <w:rPr>
                <w:rFonts w:hint="eastAsia"/>
                <w:color w:val="auto"/>
                <w:szCs w:val="21"/>
                <w:highlight w:val="none"/>
              </w:rPr>
              <w:t xml:space="preserve">GB </w:t>
            </w:r>
            <w:r>
              <w:rPr>
                <w:color w:val="auto"/>
                <w:szCs w:val="21"/>
                <w:highlight w:val="none"/>
              </w:rPr>
              <w:t>16297-1996）表2中二级标</w:t>
            </w:r>
            <w:r>
              <w:rPr>
                <w:rFonts w:hint="eastAsia"/>
                <w:color w:val="auto"/>
                <w:szCs w:val="21"/>
                <w:highlight w:val="none"/>
              </w:rPr>
              <w:t>，</w:t>
            </w:r>
            <w:r>
              <w:rPr>
                <w:rFonts w:hint="eastAsia" w:eastAsia="宋体"/>
                <w:color w:val="auto"/>
                <w:highlight w:val="none"/>
                <w:lang w:eastAsia="zh-CN"/>
              </w:rPr>
              <w:t>厂界无组织废气颗粒物、苯并[a]芘、非甲烷总烃执行《大气污染物综合排放标准》(GB16297-1996)无组织排放标准限值</w:t>
            </w:r>
            <w:r>
              <w:rPr>
                <w:rFonts w:hint="eastAsia"/>
                <w:color w:val="auto"/>
                <w:kern w:val="0"/>
                <w:szCs w:val="21"/>
                <w:highlight w:val="none"/>
              </w:rPr>
              <w:t>；</w:t>
            </w:r>
            <w:r>
              <w:rPr>
                <w:rFonts w:hint="eastAsia"/>
                <w:color w:val="auto"/>
                <w:szCs w:val="21"/>
                <w:highlight w:val="none"/>
              </w:rPr>
              <w:t>天然气烘干筒产生的燃气废气</w:t>
            </w:r>
            <w:r>
              <w:rPr>
                <w:color w:val="auto"/>
                <w:szCs w:val="21"/>
                <w:highlight w:val="none"/>
              </w:rPr>
              <w:t>执</w:t>
            </w:r>
            <w:r>
              <w:rPr>
                <w:color w:val="auto"/>
                <w:highlight w:val="none"/>
              </w:rPr>
              <w:t>行</w:t>
            </w:r>
            <w:r>
              <w:rPr>
                <w:rFonts w:hint="eastAsia" w:ascii="Arial" w:hAnsi="Arial"/>
                <w:color w:val="auto"/>
                <w:szCs w:val="21"/>
                <w:highlight w:val="none"/>
              </w:rPr>
              <w:t>《兵团工业炉窑大气污染综合治理实施方案》中重点区域排放标准</w:t>
            </w:r>
            <w:r>
              <w:rPr>
                <w:color w:val="auto"/>
                <w:szCs w:val="21"/>
                <w:highlight w:val="none"/>
              </w:rPr>
              <w:t>；水稳料生产过程中上料、搅拌、卸料时产生的粉尘，执行《水泥工业大气污染物排放标准》（</w:t>
            </w:r>
            <w:r>
              <w:rPr>
                <w:rFonts w:hint="eastAsia"/>
                <w:color w:val="auto"/>
                <w:szCs w:val="21"/>
                <w:highlight w:val="none"/>
              </w:rPr>
              <w:t xml:space="preserve">GB </w:t>
            </w:r>
            <w:r>
              <w:rPr>
                <w:color w:val="auto"/>
                <w:szCs w:val="21"/>
                <w:highlight w:val="none"/>
              </w:rPr>
              <w:t>4915-2013）中表</w:t>
            </w:r>
            <w:r>
              <w:rPr>
                <w:rFonts w:hint="eastAsia"/>
                <w:color w:val="auto"/>
                <w:szCs w:val="21"/>
                <w:highlight w:val="none"/>
              </w:rPr>
              <w:t>2</w:t>
            </w:r>
            <w:r>
              <w:rPr>
                <w:color w:val="auto"/>
                <w:szCs w:val="21"/>
                <w:highlight w:val="none"/>
              </w:rPr>
              <w:t>和表3中相关标准；食堂</w:t>
            </w:r>
            <w:r>
              <w:rPr>
                <w:szCs w:val="21"/>
                <w:highlight w:val="none"/>
              </w:rPr>
              <w:t>油烟执行《饮食业油烟排放标准（试行）》（</w:t>
            </w:r>
            <w:r>
              <w:rPr>
                <w:rFonts w:hint="eastAsia"/>
                <w:szCs w:val="21"/>
                <w:highlight w:val="none"/>
              </w:rPr>
              <w:t xml:space="preserve">GB </w:t>
            </w:r>
            <w:r>
              <w:rPr>
                <w:szCs w:val="21"/>
                <w:highlight w:val="none"/>
              </w:rPr>
              <w:t>18483-2001）标准，已执行最严格的大气污染物排放标准。</w:t>
            </w:r>
          </w:p>
          <w:p w14:paraId="57E84866">
            <w:pPr>
              <w:autoSpaceDE w:val="0"/>
              <w:autoSpaceDN w:val="0"/>
              <w:adjustRightInd w:val="0"/>
              <w:snapToGrid w:val="0"/>
              <w:spacing w:line="360" w:lineRule="auto"/>
              <w:rPr>
                <w:b/>
                <w:bCs/>
                <w:szCs w:val="21"/>
              </w:rPr>
            </w:pPr>
            <w:r>
              <w:rPr>
                <w:rFonts w:hint="eastAsia"/>
                <w:b/>
                <w:bCs/>
                <w:szCs w:val="21"/>
                <w:lang w:val="en-US" w:eastAsia="zh-CN"/>
              </w:rPr>
              <w:t>7</w:t>
            </w:r>
            <w:r>
              <w:rPr>
                <w:b/>
                <w:bCs/>
                <w:szCs w:val="21"/>
              </w:rPr>
              <w:t>、选址合理性分析</w:t>
            </w:r>
          </w:p>
          <w:p w14:paraId="5F1EA842">
            <w:pPr>
              <w:autoSpaceDE w:val="0"/>
              <w:autoSpaceDN w:val="0"/>
              <w:spacing w:line="360" w:lineRule="auto"/>
              <w:ind w:firstLine="420" w:firstLineChars="200"/>
              <w:rPr>
                <w:szCs w:val="21"/>
              </w:rPr>
            </w:pPr>
            <w:r>
              <w:rPr>
                <w:rFonts w:hint="eastAsia"/>
                <w:szCs w:val="21"/>
              </w:rPr>
              <w:t>根据兵团生态环境局、兵团发展和改革委员会、兵团工业和信息化局和兵团财政局联合印发的《兵团工业炉窑大气污染综合治理实施方案》（兵环发【2019】139号）要求。</w:t>
            </w:r>
          </w:p>
          <w:p w14:paraId="7D4DD3AC">
            <w:pPr>
              <w:spacing w:line="360" w:lineRule="auto"/>
              <w:ind w:firstLine="420" w:firstLineChars="200"/>
              <w:rPr>
                <w:szCs w:val="21"/>
              </w:rPr>
            </w:pPr>
            <w:r>
              <w:rPr>
                <w:rFonts w:hint="eastAsia"/>
                <w:szCs w:val="21"/>
              </w:rPr>
              <w:t>（1）总体要求</w:t>
            </w:r>
          </w:p>
          <w:p w14:paraId="799DB843">
            <w:pPr>
              <w:spacing w:line="360" w:lineRule="auto"/>
              <w:ind w:firstLine="420" w:firstLineChars="200"/>
              <w:rPr>
                <w:szCs w:val="21"/>
              </w:rPr>
            </w:pPr>
            <w:r>
              <w:rPr>
                <w:rFonts w:hint="eastAsia"/>
                <w:szCs w:val="21"/>
              </w:rPr>
              <w:t>①</w:t>
            </w:r>
            <w:r>
              <w:rPr>
                <w:rFonts w:hint="eastAsia"/>
                <w:b/>
                <w:bCs/>
                <w:szCs w:val="21"/>
              </w:rPr>
              <w:t>工业炉窑。</w:t>
            </w:r>
            <w:r>
              <w:rPr>
                <w:rFonts w:hint="eastAsia"/>
                <w:szCs w:val="21"/>
              </w:rPr>
              <w:t>指在工业生产中利用燃料燃烧或电能等转换产生的热量，将物料或工件进行熔炼、熔化、焙(煅)烧、加热、干馏、气化等的热工设备，包括熔炼炉、熔化炉、焙(煅)烧炉(窑)、加热炉、热处理炉、干燥炉(窑)、焦炉、煤气发生炉等八类。</w:t>
            </w:r>
          </w:p>
          <w:p w14:paraId="1DB5D1FE">
            <w:pPr>
              <w:spacing w:line="360" w:lineRule="auto"/>
              <w:ind w:firstLine="420" w:firstLineChars="200"/>
              <w:rPr>
                <w:szCs w:val="21"/>
              </w:rPr>
            </w:pPr>
            <w:r>
              <w:rPr>
                <w:rFonts w:hint="eastAsia"/>
                <w:szCs w:val="21"/>
              </w:rPr>
              <w:t>②</w:t>
            </w:r>
            <w:r>
              <w:rPr>
                <w:rFonts w:hint="eastAsia"/>
                <w:b/>
                <w:bCs/>
                <w:szCs w:val="21"/>
              </w:rPr>
              <w:t>重点区域范围。</w:t>
            </w:r>
            <w:r>
              <w:rPr>
                <w:rFonts w:hint="eastAsia"/>
                <w:szCs w:val="21"/>
              </w:rPr>
              <w:t>“乌-昌-石”区域内第六师五家渠市、第八师石河子市、第十一师、第十二师、兵团驻乌有关单位，重点区域范围按照《关于加强乌鲁木齐、昌吉、石河子、五家渠区域环境同防同治的意见》( 新政发[2016]140号)执行。“奎-独-乌”区域内第七师，重点区域范围按照《关于奎屯-独山子-乌苏区域大气污染联防联控工作方案的批复》(新政函[2015]99号)执行。</w:t>
            </w:r>
          </w:p>
          <w:p w14:paraId="4092CDA5">
            <w:pPr>
              <w:spacing w:line="360" w:lineRule="auto"/>
              <w:ind w:firstLine="420" w:firstLineChars="200"/>
              <w:rPr>
                <w:szCs w:val="21"/>
              </w:rPr>
            </w:pPr>
            <w:r>
              <w:rPr>
                <w:rFonts w:hint="eastAsia"/>
                <w:szCs w:val="21"/>
              </w:rPr>
              <w:t>（2）重点任务</w:t>
            </w:r>
          </w:p>
          <w:p w14:paraId="29B29A46">
            <w:pPr>
              <w:spacing w:line="360" w:lineRule="auto"/>
              <w:ind w:firstLine="420" w:firstLineChars="200"/>
            </w:pPr>
            <w:r>
              <w:rPr>
                <w:rFonts w:hint="eastAsia"/>
                <w:szCs w:val="21"/>
              </w:rPr>
              <w:t>①</w:t>
            </w:r>
            <w:r>
              <w:rPr>
                <w:rFonts w:hint="eastAsia"/>
                <w:b/>
                <w:bCs/>
                <w:szCs w:val="21"/>
              </w:rPr>
              <w:t>加大产业结构调整力度。</w:t>
            </w:r>
            <w:r>
              <w:rPr>
                <w:rFonts w:hint="eastAsia"/>
                <w:szCs w:val="21"/>
              </w:rPr>
              <w:t>严格建设项目环境准入。新建涉工业炉窑的建设项目，原则上要入园区，配套建设高效环保治理设施。重点区域严格控制涉工业炉窑建设项目，严禁新增钢铁、焦化、电解铝、铸造、水泥和平板玻璃等产能；除列入国家</w:t>
            </w:r>
            <w:r>
              <w:rPr>
                <w:rFonts w:hint="eastAsia"/>
              </w:rPr>
              <w:t>规划项目外，禁止新建、扩建使用原煤的工业炉窑项目；严格执行项目单位产品能耗限额标准，新(改、扩)建固定资产投资项目单位产品能耗水平须达到国内先进水平。本项目不属于上述严禁新增产能的项目。</w:t>
            </w:r>
          </w:p>
          <w:p w14:paraId="263E37EC">
            <w:pPr>
              <w:spacing w:line="360" w:lineRule="auto"/>
              <w:ind w:firstLine="420" w:firstLineChars="200"/>
            </w:pPr>
            <w:r>
              <w:rPr>
                <w:szCs w:val="21"/>
              </w:rPr>
              <w:t>本项目位于第七师130团6</w:t>
            </w:r>
            <w:r>
              <w:rPr>
                <w:rFonts w:hint="eastAsia"/>
                <w:szCs w:val="21"/>
              </w:rPr>
              <w:t>连，冠维棉花加工厂以西、312省道以南。</w:t>
            </w:r>
            <w:r>
              <w:rPr>
                <w:szCs w:val="21"/>
              </w:rPr>
              <w:t>本项目</w:t>
            </w:r>
            <w:r>
              <w:rPr>
                <w:rFonts w:hint="eastAsia"/>
                <w:szCs w:val="21"/>
              </w:rPr>
              <w:t>工业炉窑类型为干燥炉，且第七师属于重点区域范围，原则上要入园区，但本项目已取得</w:t>
            </w:r>
            <w:r>
              <w:rPr>
                <w:szCs w:val="21"/>
              </w:rPr>
              <w:t>于2021年4月28日由新疆生产建设兵团第七师自然资源和规划局颁发</w:t>
            </w:r>
            <w:r>
              <w:rPr>
                <w:rFonts w:hint="eastAsia"/>
                <w:szCs w:val="21"/>
              </w:rPr>
              <w:t>（</w:t>
            </w:r>
            <w:r>
              <w:rPr>
                <w:szCs w:val="21"/>
              </w:rPr>
              <w:t>项目编号：用字第6590102021B0027号</w:t>
            </w:r>
            <w:r>
              <w:rPr>
                <w:rFonts w:hint="eastAsia"/>
                <w:szCs w:val="21"/>
              </w:rPr>
              <w:t>）的</w:t>
            </w:r>
            <w:r>
              <w:rPr>
                <w:szCs w:val="21"/>
              </w:rPr>
              <w:t>《第七师自然资源和规划局建设用地规划条件》，选址用地类型为工业用地</w:t>
            </w:r>
            <w:r>
              <w:rPr>
                <w:rFonts w:hint="eastAsia"/>
                <w:szCs w:val="21"/>
              </w:rPr>
              <w:t>；本项目符合《新疆生产建设兵团“三线一单”生态环境分区管控方案》的通知（新兵发【2021】16号）、</w:t>
            </w:r>
            <w:r>
              <w:rPr>
                <w:rFonts w:hint="eastAsia"/>
                <w:color w:val="C0504D" w:themeColor="accent2"/>
                <w:szCs w:val="21"/>
                <w:lang w:val="en-US" w:eastAsia="zh-CN"/>
                <w14:textFill>
                  <w14:solidFill>
                    <w14:schemeClr w14:val="accent2"/>
                  </w14:solidFill>
                </w14:textFill>
              </w:rPr>
              <w:t>第七师胡杨河市“三线一单”生态环境分区管控方案》（师市发[2021]8号）</w:t>
            </w:r>
            <w:r>
              <w:rPr>
                <w:rFonts w:hint="eastAsia"/>
                <w:szCs w:val="21"/>
              </w:rPr>
              <w:t>的同时，</w:t>
            </w:r>
            <w:r>
              <w:rPr>
                <w:rFonts w:hint="eastAsia"/>
              </w:rPr>
              <w:t>以天然气作为烘干筒的能源</w:t>
            </w:r>
            <w:r>
              <w:rPr>
                <w:rFonts w:hint="eastAsia"/>
                <w:szCs w:val="21"/>
              </w:rPr>
              <w:t>，贯彻淘汰燃煤锅炉的方针，沥青烟气配套了（焚烧法+布袋除尘+</w:t>
            </w:r>
            <w:r>
              <w:rPr>
                <w:rFonts w:hint="eastAsia"/>
                <w:color w:val="C0504D" w:themeColor="accent2"/>
                <w:szCs w:val="21"/>
                <w:lang w:val="en-US" w:eastAsia="zh-CN"/>
                <w14:textFill>
                  <w14:solidFill>
                    <w14:schemeClr w14:val="accent2"/>
                  </w14:solidFill>
                </w14:textFill>
              </w:rPr>
              <w:t>二级</w:t>
            </w:r>
            <w:r>
              <w:rPr>
                <w:color w:val="C0504D" w:themeColor="accent2"/>
                <w:szCs w:val="21"/>
                <w14:textFill>
                  <w14:solidFill>
                    <w14:schemeClr w14:val="accent2"/>
                  </w14:solidFill>
                </w14:textFill>
              </w:rPr>
              <w:t>活性炭吸附</w:t>
            </w:r>
            <w:r>
              <w:rPr>
                <w:rFonts w:hint="eastAsia"/>
                <w:color w:val="C0504D" w:themeColor="accent2"/>
                <w:szCs w:val="21"/>
                <w14:textFill>
                  <w14:solidFill>
                    <w14:schemeClr w14:val="accent2"/>
                  </w14:solidFill>
                </w14:textFill>
              </w:rPr>
              <w:t>）</w:t>
            </w:r>
            <w:r>
              <w:rPr>
                <w:rFonts w:hint="eastAsia"/>
                <w:szCs w:val="21"/>
              </w:rPr>
              <w:t>环保治理措施，项目产生的大气污染物均能达标排放：</w:t>
            </w:r>
            <w:r>
              <w:rPr>
                <w:szCs w:val="21"/>
                <w:highlight w:val="none"/>
              </w:rPr>
              <w:t>本项目</w:t>
            </w:r>
            <w:r>
              <w:rPr>
                <w:rFonts w:hint="eastAsia"/>
                <w:szCs w:val="21"/>
                <w:highlight w:val="none"/>
              </w:rPr>
              <w:t>沥青混凝土生产</w:t>
            </w:r>
            <w:r>
              <w:rPr>
                <w:rFonts w:hint="eastAsia"/>
                <w:color w:val="auto"/>
                <w:szCs w:val="21"/>
                <w:highlight w:val="none"/>
              </w:rPr>
              <w:t>过程中产生</w:t>
            </w:r>
            <w:r>
              <w:rPr>
                <w:color w:val="auto"/>
                <w:szCs w:val="21"/>
                <w:highlight w:val="none"/>
              </w:rPr>
              <w:t>的苯并[a]芘</w:t>
            </w:r>
            <w:r>
              <w:rPr>
                <w:rFonts w:hint="eastAsia"/>
                <w:color w:val="auto"/>
                <w:szCs w:val="21"/>
                <w:highlight w:val="none"/>
              </w:rPr>
              <w:t>和</w:t>
            </w:r>
            <w:r>
              <w:rPr>
                <w:color w:val="auto"/>
                <w:szCs w:val="21"/>
                <w:highlight w:val="none"/>
              </w:rPr>
              <w:t>沥青烟执行《大气污染物综合排放标准》（</w:t>
            </w:r>
            <w:r>
              <w:rPr>
                <w:rFonts w:hint="eastAsia"/>
                <w:color w:val="auto"/>
                <w:szCs w:val="21"/>
                <w:highlight w:val="none"/>
              </w:rPr>
              <w:t xml:space="preserve">GB </w:t>
            </w:r>
            <w:r>
              <w:rPr>
                <w:color w:val="auto"/>
                <w:szCs w:val="21"/>
                <w:highlight w:val="none"/>
              </w:rPr>
              <w:t>16297-1996）表2中二级标准；</w:t>
            </w:r>
            <w:r>
              <w:rPr>
                <w:rFonts w:hint="eastAsia"/>
                <w:color w:val="auto"/>
                <w:szCs w:val="21"/>
                <w:highlight w:val="none"/>
              </w:rPr>
              <w:t>沥青混凝土生产过程中产生</w:t>
            </w:r>
            <w:r>
              <w:rPr>
                <w:color w:val="auto"/>
                <w:szCs w:val="21"/>
                <w:highlight w:val="none"/>
              </w:rPr>
              <w:t>的</w:t>
            </w:r>
            <w:r>
              <w:rPr>
                <w:rFonts w:hint="eastAsia"/>
                <w:color w:val="auto"/>
                <w:szCs w:val="21"/>
                <w:highlight w:val="none"/>
              </w:rPr>
              <w:t>有组织非甲烷总烃</w:t>
            </w:r>
            <w:r>
              <w:rPr>
                <w:color w:val="auto"/>
                <w:szCs w:val="21"/>
                <w:highlight w:val="none"/>
              </w:rPr>
              <w:t>执行《大气污染物综合排放标准》（</w:t>
            </w:r>
            <w:r>
              <w:rPr>
                <w:rFonts w:hint="eastAsia"/>
                <w:color w:val="auto"/>
                <w:szCs w:val="21"/>
                <w:highlight w:val="none"/>
              </w:rPr>
              <w:t xml:space="preserve">GB </w:t>
            </w:r>
            <w:r>
              <w:rPr>
                <w:color w:val="auto"/>
                <w:szCs w:val="21"/>
                <w:highlight w:val="none"/>
              </w:rPr>
              <w:t>16297-1996）表2中二级标</w:t>
            </w:r>
            <w:r>
              <w:rPr>
                <w:rFonts w:hint="eastAsia"/>
                <w:color w:val="auto"/>
                <w:szCs w:val="21"/>
                <w:highlight w:val="none"/>
              </w:rPr>
              <w:t>，</w:t>
            </w:r>
            <w:r>
              <w:rPr>
                <w:rFonts w:hint="eastAsia" w:eastAsia="宋体"/>
                <w:color w:val="auto"/>
                <w:highlight w:val="none"/>
                <w:lang w:eastAsia="zh-CN"/>
              </w:rPr>
              <w:t>厂界无组织废气颗粒物、苯并[a]芘、非甲烷总烃执行《大气污染物综合排放标准》(GB16297-1996)无组织排放标准限值</w:t>
            </w:r>
            <w:r>
              <w:rPr>
                <w:rFonts w:hint="eastAsia"/>
                <w:color w:val="auto"/>
                <w:szCs w:val="21"/>
                <w:highlight w:val="none"/>
              </w:rPr>
              <w:t>；</w:t>
            </w:r>
            <w:r>
              <w:rPr>
                <w:rFonts w:hint="eastAsia"/>
                <w:color w:val="auto"/>
                <w:kern w:val="0"/>
                <w:szCs w:val="21"/>
                <w:highlight w:val="none"/>
              </w:rPr>
              <w:t>天然气烘干筒产生的燃气废气</w:t>
            </w:r>
            <w:r>
              <w:rPr>
                <w:color w:val="auto"/>
                <w:szCs w:val="21"/>
                <w:highlight w:val="none"/>
              </w:rPr>
              <w:t>执</w:t>
            </w:r>
            <w:r>
              <w:rPr>
                <w:color w:val="auto"/>
                <w:highlight w:val="none"/>
              </w:rPr>
              <w:t>行</w:t>
            </w:r>
            <w:r>
              <w:rPr>
                <w:rFonts w:hint="eastAsia"/>
                <w:color w:val="auto"/>
                <w:szCs w:val="21"/>
                <w:highlight w:val="none"/>
              </w:rPr>
              <w:t>《兵团工业炉窑大气污染综合治理实施方案》中重点区域排放标准</w:t>
            </w:r>
            <w:r>
              <w:rPr>
                <w:color w:val="auto"/>
                <w:szCs w:val="21"/>
                <w:highlight w:val="none"/>
              </w:rPr>
              <w:t>；水稳料生产过程中上料、搅拌、卸料时产生的粉尘，执行《水泥工业大气污染物排放标准》（</w:t>
            </w:r>
            <w:r>
              <w:rPr>
                <w:rFonts w:hint="eastAsia"/>
                <w:color w:val="auto"/>
                <w:szCs w:val="21"/>
                <w:highlight w:val="none"/>
              </w:rPr>
              <w:t xml:space="preserve">GB </w:t>
            </w:r>
            <w:r>
              <w:rPr>
                <w:color w:val="auto"/>
                <w:szCs w:val="21"/>
                <w:highlight w:val="none"/>
              </w:rPr>
              <w:t>4915-2013）中表</w:t>
            </w:r>
            <w:r>
              <w:rPr>
                <w:rFonts w:hint="eastAsia"/>
                <w:color w:val="auto"/>
                <w:szCs w:val="21"/>
                <w:highlight w:val="none"/>
              </w:rPr>
              <w:t>2</w:t>
            </w:r>
            <w:r>
              <w:rPr>
                <w:color w:val="auto"/>
                <w:szCs w:val="21"/>
                <w:highlight w:val="none"/>
              </w:rPr>
              <w:t>和表3中相关标准；食堂油烟执行《饮食业油烟排放标准（试行）》（</w:t>
            </w:r>
            <w:r>
              <w:rPr>
                <w:rFonts w:hint="eastAsia"/>
                <w:color w:val="auto"/>
                <w:szCs w:val="21"/>
                <w:highlight w:val="none"/>
              </w:rPr>
              <w:t xml:space="preserve">GB </w:t>
            </w:r>
            <w:r>
              <w:rPr>
                <w:color w:val="auto"/>
                <w:szCs w:val="21"/>
                <w:highlight w:val="none"/>
              </w:rPr>
              <w:t>18483-2001）标准，已执行最严格的大气污染物排放标准</w:t>
            </w:r>
            <w:r>
              <w:rPr>
                <w:rFonts w:hint="eastAsia"/>
                <w:color w:val="auto"/>
                <w:szCs w:val="21"/>
                <w:highlight w:val="none"/>
              </w:rPr>
              <w:t>。</w:t>
            </w:r>
            <w:r>
              <w:rPr>
                <w:color w:val="auto"/>
                <w:szCs w:val="21"/>
                <w:highlight w:val="none"/>
              </w:rPr>
              <w:t>本项目供水</w:t>
            </w:r>
            <w:r>
              <w:rPr>
                <w:rFonts w:hint="eastAsia"/>
                <w:color w:val="auto"/>
                <w:szCs w:val="21"/>
                <w:highlight w:val="none"/>
              </w:rPr>
              <w:t>通过水罐车拉运</w:t>
            </w:r>
            <w:r>
              <w:rPr>
                <w:color w:val="auto"/>
                <w:szCs w:val="21"/>
                <w:highlight w:val="none"/>
              </w:rPr>
              <w:t>，供电依托130团供电网络，项目区冬季不生产，</w:t>
            </w:r>
            <w:r>
              <w:rPr>
                <w:rFonts w:hint="eastAsia"/>
                <w:color w:val="auto"/>
                <w:szCs w:val="21"/>
                <w:highlight w:val="none"/>
              </w:rPr>
              <w:t>值班人员</w:t>
            </w:r>
            <w:r>
              <w:rPr>
                <w:color w:val="auto"/>
                <w:szCs w:val="21"/>
                <w:highlight w:val="none"/>
              </w:rPr>
              <w:t>供暖使用</w:t>
            </w:r>
            <w:r>
              <w:rPr>
                <w:rFonts w:hint="eastAsia"/>
                <w:color w:val="auto"/>
                <w:szCs w:val="21"/>
                <w:highlight w:val="none"/>
                <w:lang w:val="en-US" w:eastAsia="zh-CN"/>
              </w:rPr>
              <w:t>空调</w:t>
            </w:r>
            <w:r>
              <w:rPr>
                <w:color w:val="auto"/>
                <w:szCs w:val="21"/>
                <w:highlight w:val="none"/>
              </w:rPr>
              <w:t>采暖，四周交通便利且项目周围区域无重要保护文物、风景名胜区、生态敏感点及社会敏</w:t>
            </w:r>
            <w:r>
              <w:rPr>
                <w:color w:val="auto"/>
                <w:highlight w:val="none"/>
              </w:rPr>
              <w:t>感点等明显的环境制约因子，从环境</w:t>
            </w:r>
            <w:r>
              <w:rPr>
                <w:highlight w:val="none"/>
              </w:rPr>
              <w:t>保护角度考虑，项目选址</w:t>
            </w:r>
            <w:r>
              <w:rPr>
                <w:rFonts w:hint="eastAsia"/>
                <w:highlight w:val="none"/>
              </w:rPr>
              <w:t>基本</w:t>
            </w:r>
            <w:r>
              <w:rPr>
                <w:highlight w:val="none"/>
              </w:rPr>
              <w:t>合理。</w:t>
            </w:r>
          </w:p>
        </w:tc>
      </w:tr>
    </w:tbl>
    <w:p w14:paraId="5FB739C6">
      <w:pPr>
        <w:spacing w:line="360" w:lineRule="auto"/>
        <w:outlineLvl w:val="0"/>
        <w:rPr>
          <w:rFonts w:eastAsia="黑体"/>
          <w:sz w:val="30"/>
        </w:rPr>
        <w:sectPr>
          <w:headerReference r:id="rId4" w:type="default"/>
          <w:footerReference r:id="rId5" w:type="default"/>
          <w:pgSz w:w="11906" w:h="16838"/>
          <w:pgMar w:top="1701" w:right="1531" w:bottom="1701" w:left="1531" w:header="851" w:footer="1077" w:gutter="0"/>
          <w:pgNumType w:start="1"/>
          <w:cols w:space="720" w:num="1"/>
          <w:docGrid w:linePitch="312" w:charSpace="0"/>
        </w:sectPr>
      </w:pPr>
    </w:p>
    <w:p w14:paraId="62D9BE5C">
      <w:pPr>
        <w:autoSpaceDE w:val="0"/>
        <w:autoSpaceDN w:val="0"/>
        <w:adjustRightInd w:val="0"/>
        <w:snapToGrid w:val="0"/>
        <w:spacing w:line="360" w:lineRule="auto"/>
        <w:jc w:val="center"/>
        <w:rPr>
          <w:rFonts w:hint="eastAsia" w:eastAsia="宋体"/>
          <w:lang w:eastAsia="zh-CN"/>
        </w:rPr>
      </w:pPr>
      <w:r>
        <w:drawing>
          <wp:anchor distT="0" distB="0" distL="114300" distR="114300" simplePos="0" relativeHeight="251727872" behindDoc="0" locked="0" layoutInCell="1" allowOverlap="1">
            <wp:simplePos x="0" y="0"/>
            <wp:positionH relativeFrom="column">
              <wp:posOffset>6311900</wp:posOffset>
            </wp:positionH>
            <wp:positionV relativeFrom="paragraph">
              <wp:posOffset>211455</wp:posOffset>
            </wp:positionV>
            <wp:extent cx="852170" cy="923925"/>
            <wp:effectExtent l="0" t="0" r="5080" b="9525"/>
            <wp:wrapNone/>
            <wp:docPr id="9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0"/>
                    <pic:cNvPicPr>
                      <a:picLocks noChangeAspect="1"/>
                    </pic:cNvPicPr>
                  </pic:nvPicPr>
                  <pic:blipFill>
                    <a:blip r:embed="rId11"/>
                    <a:stretch>
                      <a:fillRect/>
                    </a:stretch>
                  </pic:blipFill>
                  <pic:spPr>
                    <a:xfrm>
                      <a:off x="0" y="0"/>
                      <a:ext cx="852170" cy="923925"/>
                    </a:xfrm>
                    <a:prstGeom prst="rect">
                      <a:avLst/>
                    </a:prstGeom>
                    <a:noFill/>
                    <a:ln>
                      <a:noFill/>
                    </a:ln>
                  </pic:spPr>
                </pic:pic>
              </a:graphicData>
            </a:graphic>
          </wp:anchor>
        </w:drawing>
      </w:r>
      <w:r>
        <w:rPr>
          <w:sz w:val="21"/>
        </w:rPr>
        <mc:AlternateContent>
          <mc:Choice Requires="wps">
            <w:drawing>
              <wp:anchor distT="0" distB="0" distL="114300" distR="114300" simplePos="0" relativeHeight="251726848" behindDoc="0" locked="0" layoutInCell="1" allowOverlap="1">
                <wp:simplePos x="0" y="0"/>
                <wp:positionH relativeFrom="column">
                  <wp:posOffset>4765040</wp:posOffset>
                </wp:positionH>
                <wp:positionV relativeFrom="paragraph">
                  <wp:posOffset>376555</wp:posOffset>
                </wp:positionV>
                <wp:extent cx="908685" cy="292100"/>
                <wp:effectExtent l="12700" t="12700" r="31115" b="647700"/>
                <wp:wrapNone/>
                <wp:docPr id="95" name="矩形标注 95"/>
                <wp:cNvGraphicFramePr/>
                <a:graphic xmlns:a="http://schemas.openxmlformats.org/drawingml/2006/main">
                  <a:graphicData uri="http://schemas.microsoft.com/office/word/2010/wordprocessingShape">
                    <wps:wsp>
                      <wps:cNvSpPr/>
                      <wps:spPr>
                        <a:xfrm>
                          <a:off x="5845175" y="1565275"/>
                          <a:ext cx="908685" cy="292100"/>
                        </a:xfrm>
                        <a:prstGeom prst="wedgeRectCallout">
                          <a:avLst>
                            <a:gd name="adj1" fmla="val -48532"/>
                            <a:gd name="adj2" fmla="val 261304"/>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888830F">
                            <w:pPr>
                              <w:jc w:val="center"/>
                              <w:rPr>
                                <w:rFonts w:hint="eastAsia" w:eastAsia="宋体"/>
                                <w:b/>
                                <w:bCs/>
                                <w:lang w:val="en-US" w:eastAsia="zh-CN"/>
                              </w:rPr>
                            </w:pPr>
                            <w:r>
                              <w:rPr>
                                <w:rFonts w:hint="eastAsia"/>
                                <w:b/>
                                <w:bCs/>
                                <w:color w:val="FF0000"/>
                                <w:lang w:val="en-US" w:eastAsia="zh-CN"/>
                              </w:rPr>
                              <w:t>项目区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75.2pt;margin-top:29.65pt;height:23pt;width:71.55pt;z-index:251726848;v-text-anchor:middle;mso-width-relative:page;mso-height-relative:page;" filled="f" stroked="t" coordsize="21600,21600" o:gfxdata="UEsDBAoAAAAAAIdO4kAAAAAAAAAAAAAAAAAEAAAAZHJzL1BLAwQUAAAACACHTuJA+kr4otgAAAAK&#10;AQAADwAAAGRycy9kb3ducmV2LnhtbE2PwU7DMBBE70j8g7VI3Khdh0Ab4lQIwQUJVRQu3Jx4SSLi&#10;dRQ7afl7lhMcV/M087bcnfwgFpxiH8jAeqVAIDXB9dQaeH97utqAiMmSs0MgNPCNEXbV+VlpCxeO&#10;9IrLIbWCSygW1kCX0lhIGZsOvY2rMCJx9hkmbxOfUyvdZI9c7geplbqR3vbEC50d8aHD5uswewOP&#10;3Shf5LJPqqZnPX/oVit9b8zlxVrdgUh4Sn8w/OqzOlTsVIeZXBSDgdtcXTNqIN9mIBjYbLMcRM2k&#10;yjOQVSn/v1D9AFBLAwQUAAAACACHTuJAOQNlnrkCAABSBQAADgAAAGRycy9lMm9Eb2MueG1srVTB&#10;bhMxEL0j8Q+W7+1uttk0ibqpokRFSBWtKIiz4/VmF3ltYztNyg/wGSBOcObM51B+g2fvtg2FAwdy&#10;2Mx4np9n3nh8crprJbkW1jVaFXRwmFIiFNdlo9YFff3q7GBMifNMlUxqJQp6Ixw9nT19crI1U5Hp&#10;WstSWAIS5aZbU9DaezNNEsdr0TJ3qI1QCFbatszDteuktGwL9lYmWZqOkq22pbGaC+ewuuyCtGe0&#10;/0Koq6rhYqn5phXKd6xWSOZRkqsb4+gsZltVgvuLqnLCE1lQVOrjF4fAXoVvMjth07Vlpm54nwL7&#10;lxQe1dSyRuHQe6ol84xsbPMHVdtwq52u/CHXbdIVEhVBFYP0kTZXNTMi1gKpnbkX3f0/Wv7i+tKS&#10;pizoJKdEsRYd//nx64/vn28/fbj99oVgGRptjZsCemUube85mKHgXWXb8I9SyK6g+XiYD45BdYO7&#10;lY/yDHbUWOw84QBM0vFojDgHIJtkgzT2IHkgMtb5Z0K3JBgF3YpyLV6ijwsmpd74qDK7Pnc+yl32&#10;ObPy7YCSqpXo3jWT5GA4zo+yvr17oGwflI0GR+kwgHB+zwnrLoNwgNJnjZSxAqnIFjnnQ6RMOMPV&#10;r3DlYLYG8jm1poTJNWaKexuzdFo2ZdgeiJxdrxbSEiRX0KNxvhzPO1DNStGt5il+fTY9PGb2G09I&#10;bslc3W2JoX6LVECHRnWtCZbfrXZ9v1a6vEGnre5GwBl+1oDqnDl/ySxUQ1F4FfwFPpXUqFT3FiW1&#10;tu//th7wuIqIUrLFDEGFdxtmBSXyucIlnQyGwzB00Rnmxxkcux9Z7UfUpl1oiIM+IrtoBryXd2Zl&#10;dfsGj8c8nIoQUxxnd3r3zsJ3s43nh4v5PMIwaIb5c3VleCDvujrfeF01PrQ+CNWp0zsYtah7/yyE&#10;Wd73I+rhKZz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PpK+KLYAAAACgEAAA8AAAAAAAAAAQAg&#10;AAAAIgAAAGRycy9kb3ducmV2LnhtbFBLAQIUABQAAAAIAIdO4kA5A2WeuQIAAFIFAAAOAAAAAAAA&#10;AAEAIAAAACcBAABkcnMvZTJvRG9jLnhtbFBLBQYAAAAABgAGAFkBAABSBgAAAAA=&#10;" adj="317,67242">
                <v:fill on="f" focussize="0,0"/>
                <v:stroke weight="2pt" color="#385D8A [3204]" joinstyle="round"/>
                <v:imagedata o:title=""/>
                <o:lock v:ext="edit" aspectratio="f"/>
                <v:textbox>
                  <w:txbxContent>
                    <w:p w14:paraId="5888830F">
                      <w:pPr>
                        <w:jc w:val="center"/>
                        <w:rPr>
                          <w:rFonts w:hint="eastAsia" w:eastAsia="宋体"/>
                          <w:b/>
                          <w:bCs/>
                          <w:lang w:val="en-US" w:eastAsia="zh-CN"/>
                        </w:rPr>
                      </w:pPr>
                      <w:r>
                        <w:rPr>
                          <w:rFonts w:hint="eastAsia"/>
                          <w:b/>
                          <w:bCs/>
                          <w:color w:val="FF0000"/>
                          <w:lang w:val="en-US" w:eastAsia="zh-CN"/>
                        </w:rPr>
                        <w:t>项目区</w:t>
                      </w:r>
                    </w:p>
                  </w:txbxContent>
                </v:textbox>
              </v:shape>
            </w:pict>
          </mc:Fallback>
        </mc:AlternateContent>
      </w:r>
    </w:p>
    <w:p w14:paraId="3727DCAC">
      <w:pPr>
        <w:autoSpaceDE w:val="0"/>
        <w:autoSpaceDN w:val="0"/>
        <w:adjustRightInd w:val="0"/>
        <w:snapToGrid w:val="0"/>
        <w:spacing w:line="360" w:lineRule="auto"/>
        <w:jc w:val="center"/>
        <w:rPr>
          <w:rFonts w:hint="default" w:eastAsia="宋体"/>
          <w:b/>
          <w:bCs/>
          <w:color w:val="auto"/>
          <w:lang w:val="en-US" w:eastAsia="zh-CN"/>
        </w:rPr>
      </w:pPr>
      <w:r>
        <w:rPr>
          <w:rFonts w:hint="eastAsia"/>
          <w:b/>
          <w:bCs/>
          <w:color w:val="auto"/>
        </w:rPr>
        <w:t>图1-</w:t>
      </w:r>
      <w:r>
        <w:rPr>
          <w:rFonts w:hint="eastAsia"/>
          <w:b/>
          <w:bCs/>
          <w:color w:val="auto"/>
          <w:lang w:val="en-US" w:eastAsia="zh-CN"/>
        </w:rPr>
        <w:t>2</w:t>
      </w:r>
      <w:r>
        <w:rPr>
          <w:rFonts w:hint="eastAsia"/>
          <w:b/>
          <w:bCs/>
          <w:color w:val="auto"/>
        </w:rPr>
        <w:t xml:space="preserve">  </w:t>
      </w:r>
      <w:r>
        <w:rPr>
          <w:rFonts w:hint="eastAsia" w:ascii="宋体" w:hAnsi="宋体" w:cs="宋体"/>
          <w:b/>
          <w:bCs/>
          <w:color w:val="auto"/>
          <w:szCs w:val="21"/>
          <w:lang w:val="en-US" w:eastAsia="zh-CN"/>
        </w:rPr>
        <w:t>生态红线关系图</w:t>
      </w:r>
    </w:p>
    <w:p w14:paraId="2BF07377">
      <w:pPr>
        <w:pStyle w:val="2"/>
        <w:jc w:val="center"/>
        <w:rPr>
          <w:rFonts w:hint="eastAsia" w:eastAsia="宋体"/>
          <w:color w:val="auto"/>
          <w:lang w:eastAsia="zh-CN"/>
        </w:rPr>
        <w:sectPr>
          <w:pgSz w:w="16838" w:h="11906" w:orient="landscape"/>
          <w:pgMar w:top="1531" w:right="1701" w:bottom="1531" w:left="1701" w:header="851" w:footer="1077" w:gutter="0"/>
          <w:cols w:space="720" w:num="1"/>
          <w:docGrid w:linePitch="312" w:charSpace="0"/>
        </w:sectPr>
      </w:pPr>
    </w:p>
    <w:p w14:paraId="2ADDF58A">
      <w:pPr>
        <w:pStyle w:val="25"/>
        <w:jc w:val="center"/>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8525"/>
      </w:tblGrid>
      <w:tr w14:paraId="72E1DB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56" w:hRule="atLeast"/>
          <w:jc w:val="center"/>
        </w:trPr>
        <w:tc>
          <w:tcPr>
            <w:tcW w:w="535" w:type="dxa"/>
            <w:vAlign w:val="center"/>
          </w:tcPr>
          <w:p w14:paraId="2B958092">
            <w:pPr>
              <w:pStyle w:val="25"/>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建设内容</w:t>
            </w:r>
          </w:p>
        </w:tc>
        <w:tc>
          <w:tcPr>
            <w:tcW w:w="8525" w:type="dxa"/>
          </w:tcPr>
          <w:p w14:paraId="7B5B69F5">
            <w:pPr>
              <w:adjustRightInd w:val="0"/>
              <w:snapToGrid w:val="0"/>
              <w:spacing w:line="360" w:lineRule="auto"/>
              <w:rPr>
                <w:b/>
                <w:szCs w:val="21"/>
              </w:rPr>
            </w:pPr>
            <w:r>
              <w:rPr>
                <w:rFonts w:hint="eastAsia"/>
                <w:b/>
                <w:szCs w:val="21"/>
              </w:rPr>
              <w:t>1、工程内容及规模</w:t>
            </w:r>
          </w:p>
          <w:p w14:paraId="1E811386">
            <w:pPr>
              <w:adjustRightInd w:val="0"/>
              <w:snapToGrid w:val="0"/>
              <w:spacing w:line="360" w:lineRule="auto"/>
              <w:ind w:firstLine="422" w:firstLineChars="200"/>
              <w:rPr>
                <w:b/>
                <w:szCs w:val="21"/>
              </w:rPr>
            </w:pPr>
            <w:r>
              <w:rPr>
                <w:rFonts w:hint="eastAsia"/>
                <w:b/>
                <w:szCs w:val="21"/>
              </w:rPr>
              <w:t>1.1</w:t>
            </w:r>
            <w:r>
              <w:rPr>
                <w:b/>
                <w:szCs w:val="21"/>
              </w:rPr>
              <w:t>项目概况</w:t>
            </w:r>
          </w:p>
          <w:p w14:paraId="6C4E50B6">
            <w:pPr>
              <w:adjustRightInd w:val="0"/>
              <w:snapToGrid w:val="0"/>
              <w:spacing w:line="360" w:lineRule="auto"/>
              <w:ind w:firstLine="420" w:firstLineChars="200"/>
              <w:rPr>
                <w:szCs w:val="21"/>
              </w:rPr>
            </w:pPr>
            <w:r>
              <w:rPr>
                <w:bCs/>
                <w:szCs w:val="21"/>
              </w:rPr>
              <w:t>项目名称：</w:t>
            </w:r>
            <w:r>
              <w:rPr>
                <w:rFonts w:hint="eastAsia"/>
              </w:rPr>
              <w:t>奎屯广合商品混凝土有限责任公司新建沥青拌合站、水泥稳定土拌合站</w:t>
            </w:r>
          </w:p>
          <w:p w14:paraId="1B612794">
            <w:pPr>
              <w:adjustRightInd w:val="0"/>
              <w:snapToGrid w:val="0"/>
              <w:spacing w:line="360" w:lineRule="auto"/>
              <w:ind w:firstLine="420" w:firstLineChars="200"/>
              <w:rPr>
                <w:bCs/>
                <w:szCs w:val="21"/>
              </w:rPr>
            </w:pPr>
            <w:r>
              <w:rPr>
                <w:bCs/>
                <w:szCs w:val="21"/>
              </w:rPr>
              <w:t>项目性质：</w:t>
            </w:r>
            <w:r>
              <w:rPr>
                <w:rFonts w:hint="eastAsia"/>
                <w:bCs/>
                <w:szCs w:val="21"/>
              </w:rPr>
              <w:t>新建（</w:t>
            </w:r>
            <w:r>
              <w:rPr>
                <w:bCs/>
                <w:szCs w:val="21"/>
              </w:rPr>
              <w:t>未批先建</w:t>
            </w:r>
            <w:r>
              <w:rPr>
                <w:rFonts w:hint="eastAsia"/>
                <w:bCs/>
                <w:szCs w:val="21"/>
              </w:rPr>
              <w:t>）</w:t>
            </w:r>
          </w:p>
          <w:p w14:paraId="42B22F6E">
            <w:pPr>
              <w:adjustRightInd w:val="0"/>
              <w:snapToGrid w:val="0"/>
              <w:spacing w:line="360" w:lineRule="auto"/>
              <w:ind w:firstLine="420" w:firstLineChars="200"/>
              <w:rPr>
                <w:bCs/>
                <w:szCs w:val="21"/>
              </w:rPr>
            </w:pPr>
            <w:r>
              <w:rPr>
                <w:bCs/>
                <w:szCs w:val="21"/>
              </w:rPr>
              <w:t>建设地点：</w:t>
            </w:r>
            <w:r>
              <w:rPr>
                <w:szCs w:val="21"/>
              </w:rPr>
              <w:t>第七师</w:t>
            </w:r>
            <w:r>
              <w:rPr>
                <w:rFonts w:hint="eastAsia"/>
              </w:rPr>
              <w:t>胡杨河市</w:t>
            </w:r>
            <w:r>
              <w:rPr>
                <w:szCs w:val="21"/>
              </w:rPr>
              <w:t>130团6连，</w:t>
            </w:r>
            <w:r>
              <w:rPr>
                <w:rFonts w:hint="eastAsia"/>
                <w:szCs w:val="21"/>
              </w:rPr>
              <w:t>冠维棉花加工厂以西、312省道以南</w:t>
            </w:r>
            <w:r>
              <w:rPr>
                <w:bCs/>
                <w:szCs w:val="21"/>
              </w:rPr>
              <w:t>，</w:t>
            </w:r>
            <w:r>
              <w:rPr>
                <w:rFonts w:hint="eastAsia"/>
                <w:bCs/>
                <w:szCs w:val="21"/>
              </w:rPr>
              <w:t>胡杨河市以南10km、</w:t>
            </w:r>
            <w:r>
              <w:rPr>
                <w:rFonts w:hint="eastAsia"/>
              </w:rPr>
              <w:t>胡杨河经济技术开发区（原五五工业园区）</w:t>
            </w:r>
            <w:r>
              <w:rPr>
                <w:rFonts w:hint="eastAsia"/>
                <w:bCs/>
                <w:szCs w:val="21"/>
              </w:rPr>
              <w:t>以南18km。</w:t>
            </w:r>
            <w:r>
              <w:rPr>
                <w:bCs/>
                <w:szCs w:val="21"/>
              </w:rPr>
              <w:t>项目地理中心坐标为：东经84°</w:t>
            </w:r>
            <w:r>
              <w:rPr>
                <w:rFonts w:hint="eastAsia"/>
                <w:bCs/>
                <w:szCs w:val="21"/>
              </w:rPr>
              <w:t>53</w:t>
            </w:r>
            <w:r>
              <w:rPr>
                <w:bCs/>
                <w:szCs w:val="21"/>
              </w:rPr>
              <w:t>′</w:t>
            </w:r>
            <w:r>
              <w:rPr>
                <w:rFonts w:hint="eastAsia"/>
                <w:bCs/>
                <w:szCs w:val="21"/>
              </w:rPr>
              <w:t>28.165</w:t>
            </w:r>
            <w:r>
              <w:rPr>
                <w:bCs/>
                <w:szCs w:val="21"/>
              </w:rPr>
              <w:t>″，北纬44°</w:t>
            </w:r>
            <w:r>
              <w:rPr>
                <w:rFonts w:hint="eastAsia"/>
                <w:bCs/>
                <w:szCs w:val="21"/>
              </w:rPr>
              <w:t>38</w:t>
            </w:r>
            <w:r>
              <w:rPr>
                <w:bCs/>
                <w:szCs w:val="21"/>
              </w:rPr>
              <w:t>′</w:t>
            </w:r>
            <w:r>
              <w:rPr>
                <w:rFonts w:hint="eastAsia"/>
                <w:bCs/>
                <w:szCs w:val="21"/>
              </w:rPr>
              <w:t>5.511</w:t>
            </w:r>
            <w:r>
              <w:rPr>
                <w:bCs/>
                <w:szCs w:val="21"/>
              </w:rPr>
              <w:t>″。</w:t>
            </w:r>
            <w:r>
              <w:t>项目区东侧为第七师130团6连冠维棉花加工厂，西侧</w:t>
            </w:r>
            <w:r>
              <w:rPr>
                <w:rFonts w:hint="eastAsia"/>
              </w:rPr>
              <w:t>、南侧为130团6连东荒，</w:t>
            </w:r>
            <w:r>
              <w:t>北侧为</w:t>
            </w:r>
            <w:r>
              <w:rPr>
                <w:rFonts w:hint="eastAsia"/>
              </w:rPr>
              <w:t>312省道</w:t>
            </w:r>
            <w:r>
              <w:rPr>
                <w:bCs/>
                <w:szCs w:val="21"/>
              </w:rPr>
              <w:t>。项目地理位置见</w:t>
            </w:r>
            <w:r>
              <w:rPr>
                <w:rFonts w:hint="eastAsia"/>
                <w:bCs/>
                <w:szCs w:val="21"/>
              </w:rPr>
              <w:t>图2-1，</w:t>
            </w:r>
            <w:r>
              <w:rPr>
                <w:rFonts w:hint="eastAsia"/>
              </w:rPr>
              <w:t>项目区卫星图见图2-2</w:t>
            </w:r>
            <w:r>
              <w:rPr>
                <w:bCs/>
                <w:szCs w:val="21"/>
              </w:rPr>
              <w:t>。</w:t>
            </w:r>
          </w:p>
          <w:p w14:paraId="0A58D261">
            <w:pPr>
              <w:widowControl/>
              <w:spacing w:line="360" w:lineRule="auto"/>
              <w:ind w:firstLine="420" w:firstLineChars="200"/>
              <w:jc w:val="left"/>
              <w:rPr>
                <w:bCs/>
                <w:szCs w:val="21"/>
              </w:rPr>
            </w:pPr>
            <w:r>
              <w:rPr>
                <w:bCs/>
                <w:szCs w:val="21"/>
              </w:rPr>
              <w:t>投资总额：</w:t>
            </w:r>
            <w:r>
              <w:rPr>
                <w:szCs w:val="21"/>
              </w:rPr>
              <w:t>1</w:t>
            </w:r>
            <w:r>
              <w:rPr>
                <w:rFonts w:hint="eastAsia"/>
                <w:szCs w:val="21"/>
              </w:rPr>
              <w:t>0354.61</w:t>
            </w:r>
            <w:r>
              <w:rPr>
                <w:szCs w:val="21"/>
              </w:rPr>
              <w:t>万</w:t>
            </w:r>
            <w:r>
              <w:rPr>
                <w:bCs/>
                <w:szCs w:val="21"/>
              </w:rPr>
              <w:t>元，全部由企业自筹。</w:t>
            </w:r>
          </w:p>
          <w:p w14:paraId="634EFD91">
            <w:pPr>
              <w:widowControl/>
              <w:spacing w:line="360" w:lineRule="auto"/>
              <w:ind w:firstLine="420" w:firstLineChars="200"/>
            </w:pPr>
            <w:r>
              <w:rPr>
                <w:bCs/>
                <w:szCs w:val="21"/>
              </w:rPr>
              <w:t>工程内容及规模：本项目占地面积为</w:t>
            </w:r>
            <w:r>
              <w:rPr>
                <w:rFonts w:hint="eastAsia"/>
                <w:color w:val="000000"/>
                <w:kern w:val="0"/>
                <w:szCs w:val="21"/>
              </w:rPr>
              <w:t>35151.20</w:t>
            </w:r>
            <w:r>
              <w:rPr>
                <w:bCs/>
                <w:szCs w:val="21"/>
              </w:rPr>
              <w:t>平方米，建设</w:t>
            </w:r>
            <w:r>
              <w:rPr>
                <w:rFonts w:hint="eastAsia"/>
                <w:bCs/>
                <w:szCs w:val="21"/>
              </w:rPr>
              <w:t>规模为</w:t>
            </w:r>
            <w:r>
              <w:rPr>
                <w:bCs/>
                <w:szCs w:val="21"/>
              </w:rPr>
              <w:t>年产沥青砼</w:t>
            </w:r>
            <w:r>
              <w:rPr>
                <w:rFonts w:hint="eastAsia"/>
                <w:bCs/>
                <w:szCs w:val="21"/>
              </w:rPr>
              <w:t>12</w:t>
            </w:r>
            <w:r>
              <w:rPr>
                <w:bCs/>
                <w:szCs w:val="21"/>
              </w:rPr>
              <w:t>万吨</w:t>
            </w:r>
            <w:r>
              <w:rPr>
                <w:rFonts w:hint="eastAsia"/>
                <w:bCs/>
                <w:szCs w:val="21"/>
              </w:rPr>
              <w:t>年产</w:t>
            </w:r>
            <w:r>
              <w:rPr>
                <w:bCs/>
                <w:szCs w:val="21"/>
              </w:rPr>
              <w:t>水稳砼</w:t>
            </w:r>
            <w:r>
              <w:rPr>
                <w:rFonts w:hint="eastAsia"/>
                <w:bCs/>
                <w:szCs w:val="21"/>
              </w:rPr>
              <w:t>20</w:t>
            </w:r>
            <w:r>
              <w:rPr>
                <w:bCs/>
                <w:szCs w:val="21"/>
              </w:rPr>
              <w:t>万吨。具体组成见下表2-1。</w:t>
            </w:r>
          </w:p>
          <w:p w14:paraId="2D47A35F">
            <w:pPr>
              <w:jc w:val="center"/>
              <w:rPr>
                <w:b/>
                <w:szCs w:val="21"/>
              </w:rPr>
            </w:pPr>
            <w:r>
              <w:rPr>
                <w:b/>
                <w:bCs/>
                <w:szCs w:val="21"/>
              </w:rPr>
              <w:t>表2-1</w:t>
            </w:r>
            <w:r>
              <w:rPr>
                <w:rFonts w:hint="eastAsia"/>
                <w:b/>
                <w:bCs/>
                <w:szCs w:val="21"/>
              </w:rPr>
              <w:t xml:space="preserve"> </w:t>
            </w:r>
            <w:r>
              <w:rPr>
                <w:b/>
                <w:bCs/>
                <w:szCs w:val="21"/>
              </w:rPr>
              <w:t>项目工程组成一览表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1537"/>
              <w:gridCol w:w="5060"/>
              <w:gridCol w:w="1084"/>
            </w:tblGrid>
            <w:tr w14:paraId="760DA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371" w:type="pct"/>
                  <w:vAlign w:val="center"/>
                </w:tcPr>
                <w:p w14:paraId="20937D67">
                  <w:pPr>
                    <w:jc w:val="center"/>
                    <w:rPr>
                      <w:b/>
                      <w:szCs w:val="21"/>
                    </w:rPr>
                  </w:pPr>
                  <w:bookmarkStart w:id="0" w:name="_Hlk531002970"/>
                  <w:r>
                    <w:rPr>
                      <w:b/>
                      <w:szCs w:val="21"/>
                    </w:rPr>
                    <w:t>项目</w:t>
                  </w:r>
                </w:p>
              </w:tc>
              <w:tc>
                <w:tcPr>
                  <w:tcW w:w="926" w:type="pct"/>
                  <w:vAlign w:val="center"/>
                </w:tcPr>
                <w:p w14:paraId="432BF56D">
                  <w:pPr>
                    <w:jc w:val="center"/>
                    <w:rPr>
                      <w:b/>
                      <w:szCs w:val="21"/>
                    </w:rPr>
                  </w:pPr>
                  <w:r>
                    <w:rPr>
                      <w:b/>
                      <w:szCs w:val="21"/>
                    </w:rPr>
                    <w:t>主要组成</w:t>
                  </w:r>
                </w:p>
              </w:tc>
              <w:tc>
                <w:tcPr>
                  <w:tcW w:w="3049" w:type="pct"/>
                  <w:vAlign w:val="center"/>
                </w:tcPr>
                <w:p w14:paraId="42D09B52">
                  <w:pPr>
                    <w:jc w:val="center"/>
                    <w:rPr>
                      <w:b/>
                      <w:szCs w:val="21"/>
                    </w:rPr>
                  </w:pPr>
                  <w:r>
                    <w:rPr>
                      <w:b/>
                      <w:szCs w:val="21"/>
                    </w:rPr>
                    <w:t>工程内容</w:t>
                  </w:r>
                </w:p>
              </w:tc>
              <w:tc>
                <w:tcPr>
                  <w:tcW w:w="653" w:type="pct"/>
                  <w:vAlign w:val="center"/>
                </w:tcPr>
                <w:p w14:paraId="71904EC9">
                  <w:pPr>
                    <w:jc w:val="center"/>
                    <w:rPr>
                      <w:b/>
                      <w:szCs w:val="21"/>
                    </w:rPr>
                  </w:pPr>
                  <w:r>
                    <w:rPr>
                      <w:b/>
                      <w:szCs w:val="21"/>
                    </w:rPr>
                    <w:t>备注</w:t>
                  </w:r>
                </w:p>
              </w:tc>
            </w:tr>
            <w:tr w14:paraId="44005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jc w:val="center"/>
              </w:trPr>
              <w:tc>
                <w:tcPr>
                  <w:tcW w:w="371" w:type="pct"/>
                  <w:vMerge w:val="restart"/>
                  <w:vAlign w:val="center"/>
                </w:tcPr>
                <w:p w14:paraId="0A0D1087">
                  <w:pPr>
                    <w:jc w:val="center"/>
                    <w:rPr>
                      <w:szCs w:val="21"/>
                    </w:rPr>
                  </w:pPr>
                  <w:r>
                    <w:rPr>
                      <w:szCs w:val="21"/>
                    </w:rPr>
                    <w:t>主体工程</w:t>
                  </w:r>
                </w:p>
              </w:tc>
              <w:tc>
                <w:tcPr>
                  <w:tcW w:w="926" w:type="pct"/>
                  <w:vAlign w:val="center"/>
                </w:tcPr>
                <w:p w14:paraId="13B7619F">
                  <w:pPr>
                    <w:jc w:val="center"/>
                    <w:rPr>
                      <w:szCs w:val="21"/>
                    </w:rPr>
                  </w:pPr>
                  <w:r>
                    <w:rPr>
                      <w:szCs w:val="21"/>
                    </w:rPr>
                    <w:t>沥青混凝土拌合</w:t>
                  </w:r>
                  <w:r>
                    <w:rPr>
                      <w:rFonts w:hint="eastAsia"/>
                      <w:szCs w:val="21"/>
                    </w:rPr>
                    <w:t>车间</w:t>
                  </w:r>
                </w:p>
              </w:tc>
              <w:tc>
                <w:tcPr>
                  <w:tcW w:w="3049" w:type="pct"/>
                  <w:vAlign w:val="center"/>
                </w:tcPr>
                <w:p w14:paraId="418592EB">
                  <w:pPr>
                    <w:jc w:val="left"/>
                    <w:rPr>
                      <w:szCs w:val="21"/>
                    </w:rPr>
                  </w:pPr>
                  <w:r>
                    <w:rPr>
                      <w:szCs w:val="21"/>
                    </w:rPr>
                    <w:t>占地面积</w:t>
                  </w:r>
                  <w:r>
                    <w:rPr>
                      <w:rFonts w:hint="eastAsia"/>
                      <w:szCs w:val="21"/>
                    </w:rPr>
                    <w:t>12954.4</w:t>
                  </w:r>
                  <w:r>
                    <w:rPr>
                      <w:szCs w:val="21"/>
                    </w:rPr>
                    <w:t>m</w:t>
                  </w:r>
                  <w:r>
                    <w:rPr>
                      <w:szCs w:val="21"/>
                      <w:vertAlign w:val="superscript"/>
                    </w:rPr>
                    <w:t>2</w:t>
                  </w:r>
                  <w:r>
                    <w:rPr>
                      <w:szCs w:val="21"/>
                    </w:rPr>
                    <w:t>。建设内容：冷料仓、冷料输送系统、燃烧烘干系统、通风除尘系统、热料提升机、振动筛、热料仓、粉料输送系统、沥青输送系统、计量系统、搅拌缸、控制系统、成品料输送储存系统、沥青加热保温系统。</w:t>
                  </w:r>
                </w:p>
              </w:tc>
              <w:tc>
                <w:tcPr>
                  <w:tcW w:w="653" w:type="pct"/>
                  <w:vAlign w:val="center"/>
                </w:tcPr>
                <w:p w14:paraId="307D2711">
                  <w:pPr>
                    <w:jc w:val="center"/>
                    <w:rPr>
                      <w:szCs w:val="21"/>
                    </w:rPr>
                  </w:pPr>
                  <w:r>
                    <w:rPr>
                      <w:rFonts w:hint="eastAsia"/>
                      <w:szCs w:val="21"/>
                    </w:rPr>
                    <w:t>已建</w:t>
                  </w:r>
                </w:p>
              </w:tc>
            </w:tr>
            <w:tr w14:paraId="3E7FA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pct"/>
                  <w:vMerge w:val="continue"/>
                  <w:vAlign w:val="center"/>
                </w:tcPr>
                <w:p w14:paraId="317CF7B0">
                  <w:pPr>
                    <w:jc w:val="center"/>
                    <w:rPr>
                      <w:szCs w:val="21"/>
                    </w:rPr>
                  </w:pPr>
                </w:p>
              </w:tc>
              <w:tc>
                <w:tcPr>
                  <w:tcW w:w="926" w:type="pct"/>
                  <w:vAlign w:val="center"/>
                </w:tcPr>
                <w:p w14:paraId="64DC74F5">
                  <w:pPr>
                    <w:jc w:val="center"/>
                    <w:rPr>
                      <w:color w:val="auto"/>
                      <w:szCs w:val="21"/>
                    </w:rPr>
                  </w:pPr>
                  <w:r>
                    <w:rPr>
                      <w:color w:val="auto"/>
                      <w:szCs w:val="21"/>
                    </w:rPr>
                    <w:t>水泥稳定土拌合</w:t>
                  </w:r>
                  <w:r>
                    <w:rPr>
                      <w:rFonts w:hint="eastAsia"/>
                      <w:color w:val="auto"/>
                      <w:szCs w:val="21"/>
                    </w:rPr>
                    <w:t>车间</w:t>
                  </w:r>
                </w:p>
              </w:tc>
              <w:tc>
                <w:tcPr>
                  <w:tcW w:w="3049" w:type="pct"/>
                  <w:vAlign w:val="center"/>
                </w:tcPr>
                <w:p w14:paraId="46A88F98">
                  <w:pPr>
                    <w:jc w:val="center"/>
                    <w:rPr>
                      <w:color w:val="auto"/>
                      <w:szCs w:val="21"/>
                    </w:rPr>
                  </w:pPr>
                  <w:r>
                    <w:rPr>
                      <w:color w:val="auto"/>
                      <w:szCs w:val="21"/>
                    </w:rPr>
                    <w:t>占地面积</w:t>
                  </w:r>
                  <w:r>
                    <w:rPr>
                      <w:rFonts w:hint="eastAsia"/>
                      <w:color w:val="auto"/>
                      <w:szCs w:val="21"/>
                    </w:rPr>
                    <w:t>1741.8</w:t>
                  </w:r>
                  <w:r>
                    <w:rPr>
                      <w:color w:val="auto"/>
                      <w:szCs w:val="21"/>
                    </w:rPr>
                    <w:t>m</w:t>
                  </w:r>
                  <w:r>
                    <w:rPr>
                      <w:color w:val="auto"/>
                      <w:szCs w:val="21"/>
                      <w:vertAlign w:val="superscript"/>
                    </w:rPr>
                    <w:t>2</w:t>
                  </w:r>
                  <w:r>
                    <w:rPr>
                      <w:color w:val="auto"/>
                      <w:szCs w:val="21"/>
                    </w:rPr>
                    <w:t>。建设内容：骨料配料机、粉料配料系统、物料输送系统、供水系统、搅拌主机、控制室。</w:t>
                  </w:r>
                </w:p>
              </w:tc>
              <w:tc>
                <w:tcPr>
                  <w:tcW w:w="653" w:type="pct"/>
                  <w:vAlign w:val="center"/>
                </w:tcPr>
                <w:p w14:paraId="6E1CF389">
                  <w:pPr>
                    <w:jc w:val="center"/>
                    <w:rPr>
                      <w:szCs w:val="21"/>
                    </w:rPr>
                  </w:pPr>
                  <w:r>
                    <w:rPr>
                      <w:rFonts w:hint="eastAsia"/>
                      <w:szCs w:val="21"/>
                    </w:rPr>
                    <w:t>已建</w:t>
                  </w:r>
                </w:p>
              </w:tc>
            </w:tr>
            <w:tr w14:paraId="2CD6C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71" w:type="pct"/>
                  <w:vMerge w:val="restart"/>
                  <w:vAlign w:val="center"/>
                </w:tcPr>
                <w:p w14:paraId="73663E68">
                  <w:pPr>
                    <w:jc w:val="center"/>
                    <w:rPr>
                      <w:szCs w:val="21"/>
                    </w:rPr>
                  </w:pPr>
                  <w:r>
                    <w:rPr>
                      <w:szCs w:val="21"/>
                    </w:rPr>
                    <w:t>辅助工程</w:t>
                  </w:r>
                </w:p>
              </w:tc>
              <w:tc>
                <w:tcPr>
                  <w:tcW w:w="926" w:type="pct"/>
                  <w:vAlign w:val="center"/>
                </w:tcPr>
                <w:p w14:paraId="5A397C55">
                  <w:pPr>
                    <w:jc w:val="center"/>
                    <w:rPr>
                      <w:color w:val="auto"/>
                      <w:szCs w:val="21"/>
                    </w:rPr>
                  </w:pPr>
                  <w:r>
                    <w:rPr>
                      <w:color w:val="auto"/>
                      <w:szCs w:val="21"/>
                    </w:rPr>
                    <w:t>地磅房</w:t>
                  </w:r>
                </w:p>
              </w:tc>
              <w:tc>
                <w:tcPr>
                  <w:tcW w:w="3049" w:type="pct"/>
                  <w:vAlign w:val="center"/>
                </w:tcPr>
                <w:p w14:paraId="4D15C667">
                  <w:pPr>
                    <w:jc w:val="center"/>
                    <w:rPr>
                      <w:color w:val="auto"/>
                      <w:szCs w:val="21"/>
                    </w:rPr>
                  </w:pPr>
                  <w:r>
                    <w:rPr>
                      <w:rFonts w:hint="eastAsia"/>
                      <w:color w:val="auto"/>
                      <w:szCs w:val="21"/>
                    </w:rPr>
                    <w:t>拆除在项目区东北角原有地磅房并在项目区项目区西侧新建地磅房一座，占地面积18.8m</w:t>
                  </w:r>
                  <w:r>
                    <w:rPr>
                      <w:rFonts w:hint="eastAsia"/>
                      <w:color w:val="auto"/>
                      <w:szCs w:val="21"/>
                      <w:vertAlign w:val="superscript"/>
                    </w:rPr>
                    <w:t>2</w:t>
                  </w:r>
                  <w:r>
                    <w:rPr>
                      <w:rFonts w:hint="eastAsia"/>
                      <w:color w:val="auto"/>
                      <w:szCs w:val="21"/>
                    </w:rPr>
                    <w:t>。</w:t>
                  </w:r>
                </w:p>
              </w:tc>
              <w:tc>
                <w:tcPr>
                  <w:tcW w:w="653" w:type="pct"/>
                  <w:vAlign w:val="center"/>
                </w:tcPr>
                <w:p w14:paraId="3C02EFE1">
                  <w:pPr>
                    <w:jc w:val="center"/>
                    <w:rPr>
                      <w:szCs w:val="21"/>
                    </w:rPr>
                  </w:pPr>
                  <w:r>
                    <w:rPr>
                      <w:rFonts w:hint="eastAsia"/>
                      <w:szCs w:val="21"/>
                    </w:rPr>
                    <w:t>新建</w:t>
                  </w:r>
                </w:p>
              </w:tc>
            </w:tr>
            <w:tr w14:paraId="62366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71" w:type="pct"/>
                  <w:vMerge w:val="continue"/>
                  <w:vAlign w:val="center"/>
                </w:tcPr>
                <w:p w14:paraId="4316374D">
                  <w:pPr>
                    <w:jc w:val="center"/>
                    <w:rPr>
                      <w:szCs w:val="21"/>
                    </w:rPr>
                  </w:pPr>
                </w:p>
              </w:tc>
              <w:tc>
                <w:tcPr>
                  <w:tcW w:w="926" w:type="pct"/>
                  <w:vAlign w:val="center"/>
                </w:tcPr>
                <w:p w14:paraId="2420BF92">
                  <w:pPr>
                    <w:jc w:val="center"/>
                    <w:rPr>
                      <w:color w:val="auto"/>
                      <w:szCs w:val="21"/>
                    </w:rPr>
                  </w:pPr>
                  <w:r>
                    <w:rPr>
                      <w:rFonts w:hint="eastAsia"/>
                      <w:color w:val="auto"/>
                      <w:szCs w:val="21"/>
                    </w:rPr>
                    <w:t>办公用房</w:t>
                  </w:r>
                </w:p>
              </w:tc>
              <w:tc>
                <w:tcPr>
                  <w:tcW w:w="3049" w:type="pct"/>
                  <w:vAlign w:val="center"/>
                </w:tcPr>
                <w:p w14:paraId="6DCE8E17">
                  <w:pPr>
                    <w:jc w:val="center"/>
                    <w:rPr>
                      <w:color w:val="auto"/>
                      <w:szCs w:val="21"/>
                    </w:rPr>
                  </w:pPr>
                  <w:r>
                    <w:rPr>
                      <w:rFonts w:hint="eastAsia"/>
                      <w:color w:val="auto"/>
                      <w:szCs w:val="21"/>
                    </w:rPr>
                    <w:t>拆除原有办公用房，新建办公用房，作为办公生活用房。占地面积1164.32m</w:t>
                  </w:r>
                  <w:r>
                    <w:rPr>
                      <w:rFonts w:hint="eastAsia"/>
                      <w:color w:val="auto"/>
                      <w:szCs w:val="21"/>
                      <w:vertAlign w:val="superscript"/>
                    </w:rPr>
                    <w:t>2</w:t>
                  </w:r>
                  <w:r>
                    <w:rPr>
                      <w:rFonts w:hint="eastAsia"/>
                      <w:color w:val="auto"/>
                      <w:szCs w:val="21"/>
                    </w:rPr>
                    <w:t>，地上二层。</w:t>
                  </w:r>
                </w:p>
              </w:tc>
              <w:tc>
                <w:tcPr>
                  <w:tcW w:w="653" w:type="pct"/>
                  <w:vAlign w:val="center"/>
                </w:tcPr>
                <w:p w14:paraId="19692690">
                  <w:pPr>
                    <w:jc w:val="center"/>
                    <w:rPr>
                      <w:szCs w:val="21"/>
                    </w:rPr>
                  </w:pPr>
                  <w:r>
                    <w:rPr>
                      <w:rFonts w:hint="eastAsia"/>
                      <w:szCs w:val="21"/>
                    </w:rPr>
                    <w:t>新建</w:t>
                  </w:r>
                </w:p>
              </w:tc>
            </w:tr>
            <w:tr w14:paraId="1CAFB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pct"/>
                  <w:vMerge w:val="continue"/>
                  <w:vAlign w:val="center"/>
                </w:tcPr>
                <w:p w14:paraId="390C5249">
                  <w:pPr>
                    <w:jc w:val="center"/>
                    <w:rPr>
                      <w:szCs w:val="21"/>
                    </w:rPr>
                  </w:pPr>
                </w:p>
              </w:tc>
              <w:tc>
                <w:tcPr>
                  <w:tcW w:w="926" w:type="pct"/>
                  <w:vAlign w:val="center"/>
                </w:tcPr>
                <w:p w14:paraId="7381D230">
                  <w:pPr>
                    <w:jc w:val="center"/>
                    <w:rPr>
                      <w:color w:val="auto"/>
                      <w:szCs w:val="21"/>
                    </w:rPr>
                  </w:pPr>
                  <w:r>
                    <w:rPr>
                      <w:rFonts w:hint="eastAsia"/>
                      <w:color w:val="auto"/>
                      <w:szCs w:val="21"/>
                    </w:rPr>
                    <w:t>库房</w:t>
                  </w:r>
                </w:p>
              </w:tc>
              <w:tc>
                <w:tcPr>
                  <w:tcW w:w="3049" w:type="pct"/>
                  <w:vAlign w:val="center"/>
                </w:tcPr>
                <w:p w14:paraId="27036291">
                  <w:pPr>
                    <w:jc w:val="center"/>
                    <w:rPr>
                      <w:color w:val="auto"/>
                      <w:szCs w:val="21"/>
                    </w:rPr>
                  </w:pPr>
                  <w:r>
                    <w:rPr>
                      <w:rFonts w:hint="eastAsia"/>
                      <w:color w:val="auto"/>
                      <w:szCs w:val="21"/>
                    </w:rPr>
                    <w:t>新建一座库房，占地面积121.03m</w:t>
                  </w:r>
                  <w:r>
                    <w:rPr>
                      <w:rFonts w:hint="eastAsia"/>
                      <w:color w:val="auto"/>
                      <w:szCs w:val="21"/>
                      <w:vertAlign w:val="superscript"/>
                    </w:rPr>
                    <w:t>2</w:t>
                  </w:r>
                  <w:r>
                    <w:rPr>
                      <w:rFonts w:hint="eastAsia"/>
                      <w:color w:val="auto"/>
                      <w:szCs w:val="21"/>
                    </w:rPr>
                    <w:t>。</w:t>
                  </w:r>
                </w:p>
              </w:tc>
              <w:tc>
                <w:tcPr>
                  <w:tcW w:w="653" w:type="pct"/>
                  <w:vAlign w:val="center"/>
                </w:tcPr>
                <w:p w14:paraId="09661297">
                  <w:pPr>
                    <w:jc w:val="center"/>
                    <w:rPr>
                      <w:szCs w:val="21"/>
                    </w:rPr>
                  </w:pPr>
                  <w:r>
                    <w:rPr>
                      <w:rFonts w:hint="eastAsia"/>
                      <w:szCs w:val="21"/>
                    </w:rPr>
                    <w:t>新建</w:t>
                  </w:r>
                </w:p>
              </w:tc>
            </w:tr>
            <w:tr w14:paraId="60FFD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pct"/>
                  <w:vMerge w:val="continue"/>
                  <w:vAlign w:val="center"/>
                </w:tcPr>
                <w:p w14:paraId="01044264">
                  <w:pPr>
                    <w:jc w:val="center"/>
                    <w:rPr>
                      <w:szCs w:val="21"/>
                    </w:rPr>
                  </w:pPr>
                </w:p>
              </w:tc>
              <w:tc>
                <w:tcPr>
                  <w:tcW w:w="926" w:type="pct"/>
                  <w:vAlign w:val="center"/>
                </w:tcPr>
                <w:p w14:paraId="0B4814E2">
                  <w:pPr>
                    <w:jc w:val="center"/>
                    <w:rPr>
                      <w:color w:val="auto"/>
                      <w:szCs w:val="21"/>
                    </w:rPr>
                  </w:pPr>
                  <w:r>
                    <w:rPr>
                      <w:rFonts w:hint="eastAsia"/>
                      <w:color w:val="auto"/>
                      <w:szCs w:val="21"/>
                    </w:rPr>
                    <w:t>警卫室</w:t>
                  </w:r>
                </w:p>
              </w:tc>
              <w:tc>
                <w:tcPr>
                  <w:tcW w:w="3049" w:type="pct"/>
                  <w:vAlign w:val="center"/>
                </w:tcPr>
                <w:p w14:paraId="2D735FFD">
                  <w:pPr>
                    <w:jc w:val="center"/>
                    <w:rPr>
                      <w:color w:val="auto"/>
                      <w:szCs w:val="21"/>
                    </w:rPr>
                  </w:pPr>
                  <w:r>
                    <w:rPr>
                      <w:rFonts w:hint="eastAsia"/>
                      <w:color w:val="auto"/>
                      <w:szCs w:val="21"/>
                    </w:rPr>
                    <w:t>新建一座警卫室，占地面积18.8m</w:t>
                  </w:r>
                  <w:r>
                    <w:rPr>
                      <w:rFonts w:hint="eastAsia"/>
                      <w:color w:val="auto"/>
                      <w:szCs w:val="21"/>
                      <w:vertAlign w:val="superscript"/>
                    </w:rPr>
                    <w:t>2</w:t>
                  </w:r>
                  <w:r>
                    <w:rPr>
                      <w:rFonts w:hint="eastAsia"/>
                      <w:color w:val="auto"/>
                      <w:szCs w:val="21"/>
                    </w:rPr>
                    <w:t>。</w:t>
                  </w:r>
                </w:p>
              </w:tc>
              <w:tc>
                <w:tcPr>
                  <w:tcW w:w="653" w:type="pct"/>
                  <w:vAlign w:val="center"/>
                </w:tcPr>
                <w:p w14:paraId="11EDF92A">
                  <w:pPr>
                    <w:jc w:val="center"/>
                    <w:rPr>
                      <w:szCs w:val="21"/>
                    </w:rPr>
                  </w:pPr>
                </w:p>
              </w:tc>
            </w:tr>
            <w:tr w14:paraId="16A10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71" w:type="pct"/>
                  <w:vMerge w:val="continue"/>
                  <w:vAlign w:val="center"/>
                </w:tcPr>
                <w:p w14:paraId="16EC0CEE">
                  <w:pPr>
                    <w:jc w:val="center"/>
                    <w:rPr>
                      <w:szCs w:val="21"/>
                    </w:rPr>
                  </w:pPr>
                </w:p>
              </w:tc>
              <w:tc>
                <w:tcPr>
                  <w:tcW w:w="926" w:type="pct"/>
                  <w:vAlign w:val="center"/>
                </w:tcPr>
                <w:p w14:paraId="4F89A356">
                  <w:pPr>
                    <w:jc w:val="center"/>
                    <w:rPr>
                      <w:color w:val="auto"/>
                      <w:szCs w:val="21"/>
                    </w:rPr>
                  </w:pPr>
                  <w:r>
                    <w:rPr>
                      <w:rFonts w:hint="eastAsia"/>
                      <w:color w:val="auto"/>
                      <w:szCs w:val="21"/>
                    </w:rPr>
                    <w:t>导热油炉</w:t>
                  </w:r>
                </w:p>
              </w:tc>
              <w:tc>
                <w:tcPr>
                  <w:tcW w:w="3049" w:type="pct"/>
                  <w:vAlign w:val="center"/>
                </w:tcPr>
                <w:p w14:paraId="38BDA58E">
                  <w:pPr>
                    <w:jc w:val="center"/>
                    <w:rPr>
                      <w:color w:val="auto"/>
                      <w:szCs w:val="21"/>
                    </w:rPr>
                  </w:pPr>
                  <w:r>
                    <w:rPr>
                      <w:rFonts w:hint="eastAsia"/>
                      <w:color w:val="auto"/>
                      <w:szCs w:val="21"/>
                    </w:rPr>
                    <w:t>本项目原有一台燃煤导热油炉，根据环保要求已拆除，新建一座电加热导热油炉，用于加热沥青储罐</w:t>
                  </w:r>
                </w:p>
              </w:tc>
              <w:tc>
                <w:tcPr>
                  <w:tcW w:w="653" w:type="pct"/>
                  <w:vAlign w:val="center"/>
                </w:tcPr>
                <w:p w14:paraId="726702A6">
                  <w:pPr>
                    <w:jc w:val="center"/>
                    <w:rPr>
                      <w:szCs w:val="21"/>
                    </w:rPr>
                  </w:pPr>
                  <w:r>
                    <w:rPr>
                      <w:rFonts w:hint="eastAsia"/>
                      <w:szCs w:val="21"/>
                    </w:rPr>
                    <w:t>新建</w:t>
                  </w:r>
                </w:p>
              </w:tc>
            </w:tr>
            <w:tr w14:paraId="7062F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371" w:type="pct"/>
                  <w:vMerge w:val="restart"/>
                  <w:vAlign w:val="center"/>
                </w:tcPr>
                <w:p w14:paraId="3EE8FC59">
                  <w:pPr>
                    <w:jc w:val="center"/>
                    <w:rPr>
                      <w:szCs w:val="21"/>
                    </w:rPr>
                  </w:pPr>
                  <w:r>
                    <w:rPr>
                      <w:szCs w:val="21"/>
                    </w:rPr>
                    <w:t>储运工程</w:t>
                  </w:r>
                </w:p>
              </w:tc>
              <w:tc>
                <w:tcPr>
                  <w:tcW w:w="926" w:type="pct"/>
                  <w:vAlign w:val="center"/>
                </w:tcPr>
                <w:p w14:paraId="486FCB81">
                  <w:pPr>
                    <w:jc w:val="center"/>
                    <w:rPr>
                      <w:color w:val="auto"/>
                      <w:szCs w:val="21"/>
                    </w:rPr>
                  </w:pPr>
                  <w:r>
                    <w:rPr>
                      <w:rFonts w:hint="eastAsia"/>
                      <w:color w:val="auto"/>
                      <w:szCs w:val="21"/>
                    </w:rPr>
                    <w:t>待检区（料棚）</w:t>
                  </w:r>
                </w:p>
              </w:tc>
              <w:tc>
                <w:tcPr>
                  <w:tcW w:w="3049" w:type="pct"/>
                  <w:vAlign w:val="center"/>
                </w:tcPr>
                <w:p w14:paraId="47734DAD">
                  <w:pPr>
                    <w:jc w:val="center"/>
                    <w:rPr>
                      <w:color w:val="auto"/>
                      <w:szCs w:val="21"/>
                    </w:rPr>
                  </w:pPr>
                  <w:r>
                    <w:rPr>
                      <w:rFonts w:hint="eastAsia"/>
                      <w:color w:val="auto"/>
                      <w:szCs w:val="21"/>
                    </w:rPr>
                    <w:t>一座，</w:t>
                  </w:r>
                  <w:r>
                    <w:rPr>
                      <w:color w:val="auto"/>
                      <w:szCs w:val="21"/>
                    </w:rPr>
                    <w:t>占地面积</w:t>
                  </w:r>
                  <w:r>
                    <w:rPr>
                      <w:rFonts w:hint="eastAsia"/>
                      <w:color w:val="auto"/>
                      <w:szCs w:val="21"/>
                    </w:rPr>
                    <w:t>2297.75</w:t>
                  </w:r>
                  <w:r>
                    <w:rPr>
                      <w:color w:val="auto"/>
                      <w:szCs w:val="21"/>
                    </w:rPr>
                    <w:t>m</w:t>
                  </w:r>
                  <w:r>
                    <w:rPr>
                      <w:color w:val="auto"/>
                      <w:szCs w:val="21"/>
                      <w:vertAlign w:val="superscript"/>
                    </w:rPr>
                    <w:t>2</w:t>
                  </w:r>
                  <w:r>
                    <w:rPr>
                      <w:rFonts w:hint="eastAsia"/>
                      <w:color w:val="auto"/>
                      <w:szCs w:val="21"/>
                    </w:rPr>
                    <w:t>，存放进场后未分类称重的原料及</w:t>
                  </w:r>
                  <w:r>
                    <w:rPr>
                      <w:rFonts w:hint="eastAsia"/>
                      <w:color w:val="auto"/>
                      <w:szCs w:val="21"/>
                      <w:lang w:val="en-US" w:eastAsia="zh-CN"/>
                    </w:rPr>
                    <w:t>沥青</w:t>
                  </w:r>
                  <w:r>
                    <w:rPr>
                      <w:rFonts w:hint="eastAsia"/>
                      <w:color w:val="auto"/>
                      <w:szCs w:val="21"/>
                    </w:rPr>
                    <w:t>储罐。</w:t>
                  </w:r>
                </w:p>
              </w:tc>
              <w:tc>
                <w:tcPr>
                  <w:tcW w:w="653" w:type="pct"/>
                  <w:vAlign w:val="center"/>
                </w:tcPr>
                <w:p w14:paraId="36B57B20">
                  <w:pPr>
                    <w:jc w:val="center"/>
                    <w:rPr>
                      <w:szCs w:val="21"/>
                    </w:rPr>
                  </w:pPr>
                  <w:r>
                    <w:rPr>
                      <w:rFonts w:hint="eastAsia"/>
                      <w:szCs w:val="21"/>
                    </w:rPr>
                    <w:t>新建</w:t>
                  </w:r>
                </w:p>
              </w:tc>
            </w:tr>
            <w:tr w14:paraId="63A00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371" w:type="pct"/>
                  <w:vMerge w:val="continue"/>
                  <w:vAlign w:val="center"/>
                </w:tcPr>
                <w:p w14:paraId="6B085117">
                  <w:pPr>
                    <w:jc w:val="center"/>
                    <w:rPr>
                      <w:szCs w:val="21"/>
                    </w:rPr>
                  </w:pPr>
                </w:p>
              </w:tc>
              <w:tc>
                <w:tcPr>
                  <w:tcW w:w="926" w:type="pct"/>
                  <w:vAlign w:val="center"/>
                </w:tcPr>
                <w:p w14:paraId="34BB814C">
                  <w:pPr>
                    <w:jc w:val="center"/>
                    <w:rPr>
                      <w:color w:val="auto"/>
                      <w:szCs w:val="21"/>
                    </w:rPr>
                  </w:pPr>
                  <w:r>
                    <w:rPr>
                      <w:color w:val="auto"/>
                      <w:szCs w:val="21"/>
                    </w:rPr>
                    <w:t>沥青储罐</w:t>
                  </w:r>
                </w:p>
              </w:tc>
              <w:tc>
                <w:tcPr>
                  <w:tcW w:w="3049" w:type="pct"/>
                  <w:vAlign w:val="center"/>
                </w:tcPr>
                <w:p w14:paraId="1831B136">
                  <w:pPr>
                    <w:jc w:val="center"/>
                    <w:rPr>
                      <w:color w:val="auto"/>
                      <w:szCs w:val="21"/>
                    </w:rPr>
                  </w:pPr>
                  <w:r>
                    <w:rPr>
                      <w:rFonts w:hint="eastAsia"/>
                      <w:color w:val="auto"/>
                    </w:rPr>
                    <w:t>固定顶</w:t>
                  </w:r>
                  <w:r>
                    <w:rPr>
                      <w:color w:val="auto"/>
                    </w:rPr>
                    <w:t>沥青储罐</w:t>
                  </w:r>
                  <w:r>
                    <w:rPr>
                      <w:color w:val="auto"/>
                      <w:szCs w:val="21"/>
                    </w:rPr>
                    <w:t>2000吨</w:t>
                  </w:r>
                  <w:r>
                    <w:rPr>
                      <w:rFonts w:hint="eastAsia"/>
                      <w:color w:val="auto"/>
                      <w:szCs w:val="21"/>
                    </w:rPr>
                    <w:t>1</w:t>
                  </w:r>
                  <w:r>
                    <w:rPr>
                      <w:color w:val="auto"/>
                      <w:szCs w:val="21"/>
                    </w:rPr>
                    <w:t>座</w:t>
                  </w:r>
                  <w:r>
                    <w:rPr>
                      <w:rFonts w:hint="eastAsia"/>
                      <w:color w:val="auto"/>
                      <w:szCs w:val="21"/>
                    </w:rPr>
                    <w:t>，</w:t>
                  </w:r>
                  <w:r>
                    <w:rPr>
                      <w:rFonts w:hint="eastAsia"/>
                      <w:color w:val="auto"/>
                    </w:rPr>
                    <w:t>50吨</w:t>
                  </w:r>
                  <w:r>
                    <w:rPr>
                      <w:rFonts w:hint="eastAsia"/>
                      <w:color w:val="auto"/>
                      <w:szCs w:val="21"/>
                    </w:rPr>
                    <w:t>沥青罐</w:t>
                  </w:r>
                  <w:r>
                    <w:rPr>
                      <w:rFonts w:hint="eastAsia"/>
                      <w:color w:val="auto"/>
                    </w:rPr>
                    <w:t>4座</w:t>
                  </w:r>
                </w:p>
              </w:tc>
              <w:tc>
                <w:tcPr>
                  <w:tcW w:w="653" w:type="pct"/>
                  <w:vAlign w:val="center"/>
                </w:tcPr>
                <w:p w14:paraId="3A2C5F80">
                  <w:pPr>
                    <w:jc w:val="center"/>
                    <w:rPr>
                      <w:szCs w:val="21"/>
                    </w:rPr>
                  </w:pPr>
                  <w:r>
                    <w:rPr>
                      <w:rFonts w:hint="eastAsia"/>
                      <w:szCs w:val="21"/>
                    </w:rPr>
                    <w:t>已建</w:t>
                  </w:r>
                </w:p>
              </w:tc>
            </w:tr>
            <w:tr w14:paraId="6E587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71" w:type="pct"/>
                  <w:vMerge w:val="continue"/>
                  <w:vAlign w:val="center"/>
                </w:tcPr>
                <w:p w14:paraId="03372023">
                  <w:pPr>
                    <w:jc w:val="center"/>
                    <w:rPr>
                      <w:szCs w:val="21"/>
                    </w:rPr>
                  </w:pPr>
                </w:p>
              </w:tc>
              <w:tc>
                <w:tcPr>
                  <w:tcW w:w="926" w:type="pct"/>
                  <w:vAlign w:val="center"/>
                </w:tcPr>
                <w:p w14:paraId="5485C288">
                  <w:pPr>
                    <w:jc w:val="center"/>
                    <w:rPr>
                      <w:color w:val="auto"/>
                      <w:szCs w:val="21"/>
                    </w:rPr>
                  </w:pPr>
                  <w:r>
                    <w:rPr>
                      <w:color w:val="auto"/>
                      <w:szCs w:val="21"/>
                    </w:rPr>
                    <w:t>矿粉罐</w:t>
                  </w:r>
                </w:p>
              </w:tc>
              <w:tc>
                <w:tcPr>
                  <w:tcW w:w="3049" w:type="pct"/>
                  <w:vAlign w:val="center"/>
                </w:tcPr>
                <w:p w14:paraId="4BC3AC8A">
                  <w:pPr>
                    <w:jc w:val="center"/>
                    <w:rPr>
                      <w:color w:val="auto"/>
                      <w:szCs w:val="21"/>
                    </w:rPr>
                  </w:pPr>
                  <w:r>
                    <w:rPr>
                      <w:rFonts w:hint="eastAsia"/>
                      <w:color w:val="auto"/>
                      <w:szCs w:val="21"/>
                    </w:rPr>
                    <w:t>60</w:t>
                  </w:r>
                  <w:r>
                    <w:rPr>
                      <w:color w:val="auto"/>
                      <w:szCs w:val="21"/>
                    </w:rPr>
                    <w:t>吨1座</w:t>
                  </w:r>
                  <w:r>
                    <w:rPr>
                      <w:rFonts w:hint="eastAsia"/>
                      <w:color w:val="auto"/>
                      <w:szCs w:val="21"/>
                    </w:rPr>
                    <w:t>；仓筒顶部都有仓顶除尘设施。</w:t>
                  </w:r>
                </w:p>
              </w:tc>
              <w:tc>
                <w:tcPr>
                  <w:tcW w:w="653" w:type="pct"/>
                  <w:vAlign w:val="center"/>
                </w:tcPr>
                <w:p w14:paraId="62883BEE">
                  <w:pPr>
                    <w:jc w:val="center"/>
                    <w:rPr>
                      <w:szCs w:val="21"/>
                    </w:rPr>
                  </w:pPr>
                  <w:r>
                    <w:rPr>
                      <w:rFonts w:hint="eastAsia"/>
                      <w:szCs w:val="21"/>
                    </w:rPr>
                    <w:t>已建</w:t>
                  </w:r>
                </w:p>
              </w:tc>
            </w:tr>
            <w:tr w14:paraId="307EE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1" w:type="pct"/>
                  <w:vMerge w:val="continue"/>
                  <w:vAlign w:val="center"/>
                </w:tcPr>
                <w:p w14:paraId="766CF6D2">
                  <w:pPr>
                    <w:jc w:val="center"/>
                    <w:rPr>
                      <w:szCs w:val="21"/>
                    </w:rPr>
                  </w:pPr>
                </w:p>
              </w:tc>
              <w:tc>
                <w:tcPr>
                  <w:tcW w:w="926" w:type="pct"/>
                  <w:vAlign w:val="center"/>
                </w:tcPr>
                <w:p w14:paraId="303849AB">
                  <w:pPr>
                    <w:jc w:val="center"/>
                    <w:rPr>
                      <w:color w:val="auto"/>
                      <w:szCs w:val="21"/>
                    </w:rPr>
                  </w:pPr>
                  <w:r>
                    <w:rPr>
                      <w:color w:val="auto"/>
                      <w:szCs w:val="21"/>
                    </w:rPr>
                    <w:t>水泥罐</w:t>
                  </w:r>
                </w:p>
              </w:tc>
              <w:tc>
                <w:tcPr>
                  <w:tcW w:w="3049" w:type="pct"/>
                  <w:vAlign w:val="center"/>
                </w:tcPr>
                <w:p w14:paraId="41788F9C">
                  <w:pPr>
                    <w:jc w:val="center"/>
                    <w:rPr>
                      <w:color w:val="auto"/>
                      <w:szCs w:val="21"/>
                    </w:rPr>
                  </w:pPr>
                  <w:r>
                    <w:rPr>
                      <w:rFonts w:hint="eastAsia"/>
                      <w:color w:val="auto"/>
                      <w:szCs w:val="21"/>
                    </w:rPr>
                    <w:t>100</w:t>
                  </w:r>
                  <w:r>
                    <w:rPr>
                      <w:color w:val="auto"/>
                      <w:szCs w:val="21"/>
                    </w:rPr>
                    <w:t>吨</w:t>
                  </w:r>
                  <w:r>
                    <w:rPr>
                      <w:rFonts w:hint="eastAsia"/>
                      <w:color w:val="auto"/>
                      <w:szCs w:val="21"/>
                    </w:rPr>
                    <w:t>1</w:t>
                  </w:r>
                  <w:r>
                    <w:rPr>
                      <w:color w:val="auto"/>
                      <w:szCs w:val="21"/>
                    </w:rPr>
                    <w:t>座、200吨1座</w:t>
                  </w:r>
                  <w:r>
                    <w:rPr>
                      <w:rFonts w:hint="eastAsia"/>
                      <w:color w:val="auto"/>
                      <w:szCs w:val="21"/>
                    </w:rPr>
                    <w:t>；每个</w:t>
                  </w:r>
                  <w:r>
                    <w:rPr>
                      <w:rFonts w:hint="eastAsia"/>
                      <w:color w:val="auto"/>
                      <w:szCs w:val="21"/>
                      <w:lang w:val="en-US" w:eastAsia="zh-CN"/>
                    </w:rPr>
                    <w:t>罐</w:t>
                  </w:r>
                  <w:r>
                    <w:rPr>
                      <w:rFonts w:hint="eastAsia"/>
                      <w:color w:val="auto"/>
                      <w:szCs w:val="21"/>
                    </w:rPr>
                    <w:t>仓顶部都有仓顶除尘设施。</w:t>
                  </w:r>
                </w:p>
              </w:tc>
              <w:tc>
                <w:tcPr>
                  <w:tcW w:w="653" w:type="pct"/>
                  <w:vAlign w:val="center"/>
                </w:tcPr>
                <w:p w14:paraId="2EEBF983">
                  <w:pPr>
                    <w:jc w:val="center"/>
                    <w:rPr>
                      <w:szCs w:val="21"/>
                    </w:rPr>
                  </w:pPr>
                  <w:r>
                    <w:rPr>
                      <w:rFonts w:hint="eastAsia"/>
                      <w:szCs w:val="21"/>
                    </w:rPr>
                    <w:t>已建</w:t>
                  </w:r>
                </w:p>
              </w:tc>
            </w:tr>
            <w:tr w14:paraId="69193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371" w:type="pct"/>
                  <w:vMerge w:val="continue"/>
                  <w:vAlign w:val="center"/>
                </w:tcPr>
                <w:p w14:paraId="0125FF61">
                  <w:pPr>
                    <w:jc w:val="center"/>
                    <w:rPr>
                      <w:szCs w:val="21"/>
                    </w:rPr>
                  </w:pPr>
                </w:p>
              </w:tc>
              <w:tc>
                <w:tcPr>
                  <w:tcW w:w="926" w:type="pct"/>
                  <w:vAlign w:val="center"/>
                </w:tcPr>
                <w:p w14:paraId="7481850A">
                  <w:pPr>
                    <w:jc w:val="center"/>
                    <w:rPr>
                      <w:color w:val="auto"/>
                      <w:szCs w:val="21"/>
                    </w:rPr>
                  </w:pPr>
                  <w:r>
                    <w:rPr>
                      <w:rFonts w:hint="eastAsia"/>
                      <w:color w:val="auto"/>
                      <w:szCs w:val="21"/>
                    </w:rPr>
                    <w:t>天然气撬装站</w:t>
                  </w:r>
                </w:p>
              </w:tc>
              <w:tc>
                <w:tcPr>
                  <w:tcW w:w="3049" w:type="pct"/>
                  <w:vAlign w:val="center"/>
                </w:tcPr>
                <w:p w14:paraId="1DA8BB5A">
                  <w:pPr>
                    <w:jc w:val="center"/>
                    <w:rPr>
                      <w:color w:val="auto"/>
                      <w:szCs w:val="21"/>
                    </w:rPr>
                  </w:pPr>
                  <w:r>
                    <w:rPr>
                      <w:rFonts w:hint="eastAsia"/>
                      <w:color w:val="auto"/>
                      <w:szCs w:val="21"/>
                    </w:rPr>
                    <w:t>液化天然气撬装站一座</w:t>
                  </w:r>
                </w:p>
              </w:tc>
              <w:tc>
                <w:tcPr>
                  <w:tcW w:w="653" w:type="pct"/>
                  <w:vAlign w:val="center"/>
                </w:tcPr>
                <w:p w14:paraId="5F78729E">
                  <w:pPr>
                    <w:jc w:val="center"/>
                    <w:rPr>
                      <w:szCs w:val="21"/>
                    </w:rPr>
                  </w:pPr>
                  <w:r>
                    <w:rPr>
                      <w:rFonts w:hint="eastAsia"/>
                      <w:szCs w:val="21"/>
                    </w:rPr>
                    <w:t>新建</w:t>
                  </w:r>
                </w:p>
              </w:tc>
            </w:tr>
            <w:tr w14:paraId="3E452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pct"/>
                  <w:vMerge w:val="continue"/>
                  <w:vAlign w:val="center"/>
                </w:tcPr>
                <w:p w14:paraId="11FAC1A0">
                  <w:pPr>
                    <w:jc w:val="center"/>
                    <w:rPr>
                      <w:szCs w:val="21"/>
                    </w:rPr>
                  </w:pPr>
                </w:p>
              </w:tc>
              <w:tc>
                <w:tcPr>
                  <w:tcW w:w="926" w:type="pct"/>
                  <w:vAlign w:val="center"/>
                </w:tcPr>
                <w:p w14:paraId="380B3166">
                  <w:pPr>
                    <w:jc w:val="center"/>
                    <w:rPr>
                      <w:rFonts w:hint="eastAsia" w:eastAsia="宋体"/>
                      <w:color w:val="auto"/>
                      <w:szCs w:val="21"/>
                      <w:lang w:eastAsia="zh-CN"/>
                    </w:rPr>
                  </w:pPr>
                  <w:r>
                    <w:rPr>
                      <w:rFonts w:hint="eastAsia"/>
                      <w:color w:val="auto"/>
                      <w:szCs w:val="21"/>
                      <w:lang w:val="en-US" w:eastAsia="zh-CN"/>
                    </w:rPr>
                    <w:t>沥青料仓棚</w:t>
                  </w:r>
                </w:p>
              </w:tc>
              <w:tc>
                <w:tcPr>
                  <w:tcW w:w="3049" w:type="pct"/>
                  <w:vAlign w:val="center"/>
                </w:tcPr>
                <w:p w14:paraId="02E1C385">
                  <w:pPr>
                    <w:jc w:val="center"/>
                    <w:rPr>
                      <w:color w:val="auto"/>
                      <w:szCs w:val="21"/>
                    </w:rPr>
                  </w:pPr>
                  <w:r>
                    <w:rPr>
                      <w:rFonts w:hint="eastAsia"/>
                      <w:color w:val="auto"/>
                      <w:szCs w:val="21"/>
                    </w:rPr>
                    <w:t>一座，</w:t>
                  </w:r>
                  <w:r>
                    <w:rPr>
                      <w:color w:val="auto"/>
                      <w:szCs w:val="21"/>
                    </w:rPr>
                    <w:t>占地面积</w:t>
                  </w:r>
                  <w:r>
                    <w:rPr>
                      <w:rFonts w:hint="eastAsia"/>
                      <w:color w:val="auto"/>
                      <w:szCs w:val="21"/>
                      <w:lang w:val="en-US" w:eastAsia="zh-CN"/>
                    </w:rPr>
                    <w:t>4474.76</w:t>
                  </w:r>
                  <w:r>
                    <w:rPr>
                      <w:color w:val="auto"/>
                      <w:szCs w:val="21"/>
                    </w:rPr>
                    <w:t>m</w:t>
                  </w:r>
                  <w:r>
                    <w:rPr>
                      <w:color w:val="auto"/>
                      <w:szCs w:val="21"/>
                      <w:vertAlign w:val="superscript"/>
                    </w:rPr>
                    <w:t>2</w:t>
                  </w:r>
                  <w:r>
                    <w:rPr>
                      <w:rFonts w:hint="eastAsia"/>
                      <w:color w:val="auto"/>
                      <w:szCs w:val="21"/>
                    </w:rPr>
                    <w:t>，存放不同规格沥青砼生产线所需砂石料。</w:t>
                  </w:r>
                </w:p>
              </w:tc>
              <w:tc>
                <w:tcPr>
                  <w:tcW w:w="653" w:type="pct"/>
                  <w:vAlign w:val="center"/>
                </w:tcPr>
                <w:p w14:paraId="336C3149">
                  <w:pPr>
                    <w:jc w:val="center"/>
                    <w:rPr>
                      <w:szCs w:val="21"/>
                    </w:rPr>
                  </w:pPr>
                  <w:r>
                    <w:rPr>
                      <w:rFonts w:hint="eastAsia"/>
                      <w:szCs w:val="21"/>
                    </w:rPr>
                    <w:t>新建</w:t>
                  </w:r>
                </w:p>
              </w:tc>
            </w:tr>
            <w:tr w14:paraId="15A5B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pct"/>
                  <w:vMerge w:val="continue"/>
                  <w:vAlign w:val="center"/>
                </w:tcPr>
                <w:p w14:paraId="3D330AEE">
                  <w:pPr>
                    <w:jc w:val="center"/>
                    <w:rPr>
                      <w:szCs w:val="21"/>
                    </w:rPr>
                  </w:pPr>
                </w:p>
              </w:tc>
              <w:tc>
                <w:tcPr>
                  <w:tcW w:w="926" w:type="pct"/>
                  <w:vAlign w:val="center"/>
                </w:tcPr>
                <w:p w14:paraId="248E0C1B">
                  <w:pPr>
                    <w:jc w:val="center"/>
                    <w:rPr>
                      <w:rFonts w:hint="default"/>
                      <w:color w:val="auto"/>
                      <w:szCs w:val="21"/>
                      <w:lang w:val="en-US" w:eastAsia="zh-CN"/>
                    </w:rPr>
                  </w:pPr>
                  <w:r>
                    <w:rPr>
                      <w:rFonts w:hint="eastAsia"/>
                      <w:color w:val="auto"/>
                      <w:szCs w:val="21"/>
                      <w:lang w:val="en-US" w:eastAsia="zh-CN"/>
                    </w:rPr>
                    <w:t>水稳料仓棚</w:t>
                  </w:r>
                </w:p>
              </w:tc>
              <w:tc>
                <w:tcPr>
                  <w:tcW w:w="3049" w:type="pct"/>
                  <w:vAlign w:val="center"/>
                </w:tcPr>
                <w:p w14:paraId="1AB31A34">
                  <w:pPr>
                    <w:jc w:val="center"/>
                    <w:rPr>
                      <w:rFonts w:hint="eastAsia"/>
                      <w:color w:val="auto"/>
                      <w:szCs w:val="21"/>
                    </w:rPr>
                  </w:pPr>
                  <w:r>
                    <w:rPr>
                      <w:rFonts w:hint="eastAsia"/>
                      <w:color w:val="auto"/>
                      <w:szCs w:val="21"/>
                    </w:rPr>
                    <w:t>一座，</w:t>
                  </w:r>
                  <w:r>
                    <w:rPr>
                      <w:color w:val="auto"/>
                      <w:szCs w:val="21"/>
                    </w:rPr>
                    <w:t>占地面积</w:t>
                  </w:r>
                  <w:r>
                    <w:rPr>
                      <w:rFonts w:hint="eastAsia"/>
                      <w:color w:val="auto"/>
                      <w:szCs w:val="21"/>
                      <w:lang w:val="en-US" w:eastAsia="zh-CN"/>
                    </w:rPr>
                    <w:t>2409.49</w:t>
                  </w:r>
                  <w:r>
                    <w:rPr>
                      <w:color w:val="auto"/>
                      <w:szCs w:val="21"/>
                    </w:rPr>
                    <w:t>m</w:t>
                  </w:r>
                  <w:r>
                    <w:rPr>
                      <w:color w:val="auto"/>
                      <w:szCs w:val="21"/>
                      <w:vertAlign w:val="superscript"/>
                    </w:rPr>
                    <w:t>2</w:t>
                  </w:r>
                  <w:r>
                    <w:rPr>
                      <w:rFonts w:hint="eastAsia"/>
                      <w:color w:val="auto"/>
                      <w:szCs w:val="21"/>
                    </w:rPr>
                    <w:t>，存放不同规格水稳砼生产线所用砂石料。</w:t>
                  </w:r>
                </w:p>
              </w:tc>
              <w:tc>
                <w:tcPr>
                  <w:tcW w:w="653" w:type="pct"/>
                  <w:vAlign w:val="center"/>
                </w:tcPr>
                <w:p w14:paraId="4E6949AB">
                  <w:pPr>
                    <w:jc w:val="center"/>
                    <w:rPr>
                      <w:rFonts w:hint="eastAsia"/>
                      <w:szCs w:val="21"/>
                    </w:rPr>
                  </w:pPr>
                  <w:r>
                    <w:rPr>
                      <w:rFonts w:hint="eastAsia"/>
                      <w:szCs w:val="21"/>
                    </w:rPr>
                    <w:t>新建</w:t>
                  </w:r>
                </w:p>
              </w:tc>
            </w:tr>
            <w:tr w14:paraId="4493B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71" w:type="pct"/>
                  <w:vMerge w:val="restart"/>
                  <w:vAlign w:val="center"/>
                </w:tcPr>
                <w:p w14:paraId="408937DA">
                  <w:pPr>
                    <w:jc w:val="center"/>
                    <w:rPr>
                      <w:szCs w:val="21"/>
                    </w:rPr>
                  </w:pPr>
                  <w:r>
                    <w:rPr>
                      <w:szCs w:val="21"/>
                    </w:rPr>
                    <w:t>公用工程</w:t>
                  </w:r>
                </w:p>
              </w:tc>
              <w:tc>
                <w:tcPr>
                  <w:tcW w:w="926" w:type="pct"/>
                  <w:vAlign w:val="center"/>
                </w:tcPr>
                <w:p w14:paraId="54A32E62">
                  <w:pPr>
                    <w:pStyle w:val="67"/>
                    <w:rPr>
                      <w:rFonts w:ascii="Times New Roman" w:hAnsi="Times New Roman"/>
                      <w:color w:val="auto"/>
                      <w:szCs w:val="21"/>
                    </w:rPr>
                  </w:pPr>
                  <w:r>
                    <w:rPr>
                      <w:rFonts w:ascii="Times New Roman" w:hAnsi="Times New Roman"/>
                      <w:color w:val="auto"/>
                      <w:szCs w:val="21"/>
                    </w:rPr>
                    <w:t>供水</w:t>
                  </w:r>
                </w:p>
              </w:tc>
              <w:tc>
                <w:tcPr>
                  <w:tcW w:w="3049" w:type="pct"/>
                  <w:vAlign w:val="center"/>
                </w:tcPr>
                <w:p w14:paraId="45F6B309">
                  <w:pPr>
                    <w:pStyle w:val="67"/>
                    <w:rPr>
                      <w:rFonts w:ascii="Times New Roman" w:hAnsi="Times New Roman"/>
                      <w:color w:val="auto"/>
                      <w:szCs w:val="21"/>
                    </w:rPr>
                  </w:pPr>
                  <w:r>
                    <w:rPr>
                      <w:rFonts w:ascii="Times New Roman" w:hAnsi="Times New Roman"/>
                      <w:color w:val="auto"/>
                      <w:szCs w:val="21"/>
                    </w:rPr>
                    <w:t>给水</w:t>
                  </w:r>
                  <w:r>
                    <w:rPr>
                      <w:rFonts w:hint="eastAsia" w:ascii="Times New Roman" w:hAnsi="Times New Roman"/>
                      <w:color w:val="auto"/>
                      <w:szCs w:val="21"/>
                    </w:rPr>
                    <w:t>由130团6连通过水罐车拉运</w:t>
                  </w:r>
                </w:p>
              </w:tc>
              <w:tc>
                <w:tcPr>
                  <w:tcW w:w="653" w:type="pct"/>
                  <w:vAlign w:val="center"/>
                </w:tcPr>
                <w:p w14:paraId="360D1B81">
                  <w:pPr>
                    <w:jc w:val="center"/>
                    <w:rPr>
                      <w:szCs w:val="21"/>
                    </w:rPr>
                  </w:pPr>
                  <w:r>
                    <w:rPr>
                      <w:rFonts w:hint="eastAsia"/>
                      <w:szCs w:val="21"/>
                    </w:rPr>
                    <w:t>/</w:t>
                  </w:r>
                </w:p>
              </w:tc>
            </w:tr>
            <w:tr w14:paraId="52012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71" w:type="pct"/>
                  <w:vMerge w:val="continue"/>
                  <w:vAlign w:val="center"/>
                </w:tcPr>
                <w:p w14:paraId="475ED50E">
                  <w:pPr>
                    <w:jc w:val="center"/>
                    <w:rPr>
                      <w:szCs w:val="21"/>
                    </w:rPr>
                  </w:pPr>
                </w:p>
              </w:tc>
              <w:tc>
                <w:tcPr>
                  <w:tcW w:w="926" w:type="pct"/>
                  <w:vAlign w:val="center"/>
                </w:tcPr>
                <w:p w14:paraId="55E03B22">
                  <w:pPr>
                    <w:pStyle w:val="67"/>
                    <w:rPr>
                      <w:rFonts w:ascii="Times New Roman" w:hAnsi="Times New Roman"/>
                      <w:color w:val="auto"/>
                      <w:szCs w:val="21"/>
                    </w:rPr>
                  </w:pPr>
                  <w:r>
                    <w:rPr>
                      <w:rFonts w:ascii="Times New Roman" w:hAnsi="Times New Roman"/>
                      <w:color w:val="auto"/>
                      <w:szCs w:val="21"/>
                    </w:rPr>
                    <w:t>供电</w:t>
                  </w:r>
                </w:p>
              </w:tc>
              <w:tc>
                <w:tcPr>
                  <w:tcW w:w="3049" w:type="pct"/>
                  <w:vAlign w:val="center"/>
                </w:tcPr>
                <w:p w14:paraId="64D1061F">
                  <w:pPr>
                    <w:pStyle w:val="67"/>
                    <w:rPr>
                      <w:rFonts w:ascii="Times New Roman" w:hAnsi="Times New Roman"/>
                      <w:color w:val="auto"/>
                      <w:szCs w:val="21"/>
                    </w:rPr>
                  </w:pPr>
                  <w:r>
                    <w:rPr>
                      <w:rFonts w:ascii="Times New Roman" w:hAnsi="Times New Roman"/>
                      <w:color w:val="auto"/>
                      <w:szCs w:val="21"/>
                    </w:rPr>
                    <w:t>依托130团</w:t>
                  </w:r>
                  <w:r>
                    <w:rPr>
                      <w:rFonts w:hint="eastAsia" w:ascii="Times New Roman" w:hAnsi="Times New Roman"/>
                      <w:color w:val="auto"/>
                      <w:szCs w:val="21"/>
                    </w:rPr>
                    <w:t>区域</w:t>
                  </w:r>
                  <w:r>
                    <w:rPr>
                      <w:rFonts w:ascii="Times New Roman" w:hAnsi="Times New Roman"/>
                      <w:color w:val="auto"/>
                      <w:szCs w:val="21"/>
                    </w:rPr>
                    <w:t>电网</w:t>
                  </w:r>
                </w:p>
              </w:tc>
              <w:tc>
                <w:tcPr>
                  <w:tcW w:w="653" w:type="pct"/>
                  <w:vAlign w:val="center"/>
                </w:tcPr>
                <w:p w14:paraId="2912CCA0">
                  <w:pPr>
                    <w:jc w:val="center"/>
                    <w:rPr>
                      <w:szCs w:val="21"/>
                    </w:rPr>
                  </w:pPr>
                  <w:r>
                    <w:rPr>
                      <w:rFonts w:hint="eastAsia"/>
                      <w:szCs w:val="21"/>
                    </w:rPr>
                    <w:t>依托</w:t>
                  </w:r>
                </w:p>
              </w:tc>
            </w:tr>
            <w:tr w14:paraId="6DCCF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71" w:type="pct"/>
                  <w:vMerge w:val="continue"/>
                  <w:vAlign w:val="center"/>
                </w:tcPr>
                <w:p w14:paraId="5A9FBDE2">
                  <w:pPr>
                    <w:jc w:val="center"/>
                    <w:rPr>
                      <w:szCs w:val="21"/>
                    </w:rPr>
                  </w:pPr>
                </w:p>
              </w:tc>
              <w:tc>
                <w:tcPr>
                  <w:tcW w:w="926" w:type="pct"/>
                  <w:vAlign w:val="center"/>
                </w:tcPr>
                <w:p w14:paraId="50F0E5DD">
                  <w:pPr>
                    <w:pStyle w:val="67"/>
                    <w:rPr>
                      <w:rFonts w:ascii="Times New Roman" w:hAnsi="Times New Roman"/>
                      <w:color w:val="auto"/>
                      <w:szCs w:val="21"/>
                    </w:rPr>
                  </w:pPr>
                  <w:r>
                    <w:rPr>
                      <w:rFonts w:ascii="Times New Roman" w:hAnsi="Times New Roman"/>
                      <w:color w:val="auto"/>
                      <w:szCs w:val="21"/>
                    </w:rPr>
                    <w:t>供热</w:t>
                  </w:r>
                </w:p>
              </w:tc>
              <w:tc>
                <w:tcPr>
                  <w:tcW w:w="3049" w:type="pct"/>
                  <w:vAlign w:val="center"/>
                </w:tcPr>
                <w:p w14:paraId="64EAA90F">
                  <w:pPr>
                    <w:pStyle w:val="67"/>
                    <w:rPr>
                      <w:rFonts w:ascii="Times New Roman" w:hAnsi="Times New Roman"/>
                      <w:color w:val="auto"/>
                      <w:szCs w:val="21"/>
                    </w:rPr>
                  </w:pPr>
                  <w:r>
                    <w:rPr>
                      <w:rFonts w:hint="eastAsia"/>
                      <w:color w:val="auto"/>
                      <w:szCs w:val="21"/>
                    </w:rPr>
                    <w:t>项目区冬季不生产，员工供暖使用空调供暖</w:t>
                  </w:r>
                </w:p>
              </w:tc>
              <w:tc>
                <w:tcPr>
                  <w:tcW w:w="653" w:type="pct"/>
                  <w:vAlign w:val="center"/>
                </w:tcPr>
                <w:p w14:paraId="56CD4052">
                  <w:pPr>
                    <w:jc w:val="center"/>
                    <w:rPr>
                      <w:szCs w:val="21"/>
                    </w:rPr>
                  </w:pPr>
                  <w:r>
                    <w:rPr>
                      <w:rFonts w:hint="eastAsia"/>
                      <w:szCs w:val="21"/>
                    </w:rPr>
                    <w:t>新建</w:t>
                  </w:r>
                </w:p>
              </w:tc>
            </w:tr>
            <w:tr w14:paraId="71810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71" w:type="pct"/>
                  <w:vMerge w:val="continue"/>
                  <w:vAlign w:val="center"/>
                </w:tcPr>
                <w:p w14:paraId="1082A303">
                  <w:pPr>
                    <w:jc w:val="center"/>
                    <w:rPr>
                      <w:szCs w:val="21"/>
                    </w:rPr>
                  </w:pPr>
                </w:p>
              </w:tc>
              <w:tc>
                <w:tcPr>
                  <w:tcW w:w="926" w:type="pct"/>
                  <w:vAlign w:val="center"/>
                </w:tcPr>
                <w:p w14:paraId="3FB84C59">
                  <w:pPr>
                    <w:pStyle w:val="67"/>
                    <w:rPr>
                      <w:rFonts w:ascii="Times New Roman" w:hAnsi="Times New Roman"/>
                      <w:color w:val="auto"/>
                      <w:szCs w:val="21"/>
                    </w:rPr>
                  </w:pPr>
                  <w:r>
                    <w:rPr>
                      <w:rFonts w:ascii="Times New Roman" w:hAnsi="Times New Roman"/>
                      <w:color w:val="auto"/>
                      <w:szCs w:val="21"/>
                    </w:rPr>
                    <w:t>排水</w:t>
                  </w:r>
                </w:p>
              </w:tc>
              <w:tc>
                <w:tcPr>
                  <w:tcW w:w="3049" w:type="pct"/>
                  <w:vAlign w:val="center"/>
                </w:tcPr>
                <w:p w14:paraId="5A096A5C">
                  <w:pPr>
                    <w:pStyle w:val="67"/>
                    <w:rPr>
                      <w:rFonts w:ascii="Times New Roman" w:hAnsi="Times New Roman"/>
                      <w:color w:val="auto"/>
                      <w:szCs w:val="21"/>
                    </w:rPr>
                  </w:pPr>
                  <w:r>
                    <w:rPr>
                      <w:rFonts w:hint="eastAsia"/>
                      <w:color w:val="auto"/>
                      <w:szCs w:val="21"/>
                    </w:rPr>
                    <w:t>食堂废水经隔油池预处理后同生活污水一同</w:t>
                  </w:r>
                  <w:r>
                    <w:rPr>
                      <w:color w:val="auto"/>
                      <w:szCs w:val="21"/>
                    </w:rPr>
                    <w:t>排入</w:t>
                  </w:r>
                  <w:r>
                    <w:rPr>
                      <w:rFonts w:hint="eastAsia"/>
                      <w:color w:val="auto"/>
                      <w:szCs w:val="21"/>
                    </w:rPr>
                    <w:t>厂</w:t>
                  </w:r>
                  <w:r>
                    <w:rPr>
                      <w:color w:val="auto"/>
                      <w:szCs w:val="21"/>
                    </w:rPr>
                    <w:t>区内</w:t>
                  </w:r>
                  <w:r>
                    <w:rPr>
                      <w:rFonts w:ascii="Times New Roman" w:hAnsi="Times New Roman"/>
                      <w:color w:val="auto"/>
                      <w:szCs w:val="21"/>
                    </w:rPr>
                    <w:t>50m</w:t>
                  </w:r>
                  <w:r>
                    <w:rPr>
                      <w:rFonts w:ascii="Times New Roman" w:hAnsi="Times New Roman"/>
                      <w:color w:val="auto"/>
                      <w:szCs w:val="21"/>
                      <w:vertAlign w:val="superscript"/>
                    </w:rPr>
                    <w:t>3</w:t>
                  </w:r>
                  <w:r>
                    <w:rPr>
                      <w:rFonts w:hint="eastAsia"/>
                      <w:color w:val="auto"/>
                      <w:szCs w:val="21"/>
                    </w:rPr>
                    <w:t>化粪池</w:t>
                  </w:r>
                  <w:r>
                    <w:rPr>
                      <w:rFonts w:hint="eastAsia"/>
                      <w:color w:val="auto"/>
                    </w:rPr>
                    <w:t>（防渗等</w:t>
                  </w:r>
                  <w:r>
                    <w:rPr>
                      <w:rFonts w:ascii="Times New Roman" w:hAnsi="Times New Roman"/>
                      <w:color w:val="auto"/>
                    </w:rPr>
                    <w:t>级P8）</w:t>
                  </w:r>
                  <w:r>
                    <w:rPr>
                      <w:rFonts w:hint="eastAsia"/>
                      <w:color w:val="auto"/>
                      <w:szCs w:val="21"/>
                    </w:rPr>
                    <w:t>，定期由吸污车清运至</w:t>
                  </w:r>
                  <w:r>
                    <w:rPr>
                      <w:rFonts w:hint="eastAsia"/>
                      <w:color w:val="auto"/>
                      <w:szCs w:val="21"/>
                      <w:lang w:eastAsia="zh-CN"/>
                    </w:rPr>
                    <w:t>七师胡杨河市污水处理厂（一期）</w:t>
                  </w:r>
                  <w:r>
                    <w:rPr>
                      <w:rFonts w:hint="eastAsia"/>
                      <w:color w:val="auto"/>
                    </w:rPr>
                    <w:t>。</w:t>
                  </w:r>
                </w:p>
              </w:tc>
              <w:tc>
                <w:tcPr>
                  <w:tcW w:w="653" w:type="pct"/>
                  <w:vAlign w:val="center"/>
                </w:tcPr>
                <w:p w14:paraId="5366144D">
                  <w:pPr>
                    <w:jc w:val="center"/>
                    <w:rPr>
                      <w:szCs w:val="21"/>
                    </w:rPr>
                  </w:pPr>
                </w:p>
              </w:tc>
            </w:tr>
            <w:tr w14:paraId="4EDFD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71" w:type="pct"/>
                  <w:vMerge w:val="restart"/>
                  <w:vAlign w:val="center"/>
                </w:tcPr>
                <w:p w14:paraId="2707A723">
                  <w:pPr>
                    <w:jc w:val="center"/>
                    <w:rPr>
                      <w:szCs w:val="21"/>
                    </w:rPr>
                  </w:pPr>
                  <w:r>
                    <w:rPr>
                      <w:szCs w:val="21"/>
                    </w:rPr>
                    <w:t>环保工程</w:t>
                  </w:r>
                </w:p>
              </w:tc>
              <w:tc>
                <w:tcPr>
                  <w:tcW w:w="926" w:type="pct"/>
                  <w:vAlign w:val="center"/>
                </w:tcPr>
                <w:p w14:paraId="65F2C5C1">
                  <w:pPr>
                    <w:jc w:val="center"/>
                    <w:rPr>
                      <w:bCs/>
                      <w:color w:val="auto"/>
                      <w:szCs w:val="21"/>
                      <w:lang w:val="zh-CN"/>
                    </w:rPr>
                  </w:pPr>
                  <w:r>
                    <w:rPr>
                      <w:bCs/>
                      <w:color w:val="auto"/>
                      <w:szCs w:val="21"/>
                      <w:lang w:val="zh-CN"/>
                    </w:rPr>
                    <w:t>废气治理</w:t>
                  </w:r>
                </w:p>
              </w:tc>
              <w:tc>
                <w:tcPr>
                  <w:tcW w:w="3049" w:type="pct"/>
                  <w:vAlign w:val="center"/>
                </w:tcPr>
                <w:p w14:paraId="3299A1EA">
                  <w:pPr>
                    <w:rPr>
                      <w:color w:val="auto"/>
                      <w:highlight w:val="none"/>
                    </w:rPr>
                  </w:pPr>
                  <w:r>
                    <w:rPr>
                      <w:color w:val="auto"/>
                      <w:highlight w:val="none"/>
                    </w:rPr>
                    <w:t>（1）沥青混凝土生产过程中加入骨料、矿粉时产生的粉尘经布袋除尘器处理后，由15m高排气筒（DA001）排放；</w:t>
                  </w:r>
                </w:p>
                <w:p w14:paraId="26330DC7">
                  <w:pPr>
                    <w:rPr>
                      <w:color w:val="auto"/>
                      <w:highlight w:val="none"/>
                    </w:rPr>
                  </w:pPr>
                  <w:r>
                    <w:rPr>
                      <w:color w:val="auto"/>
                      <w:highlight w:val="none"/>
                    </w:rPr>
                    <w:t>（2）</w:t>
                  </w:r>
                  <w:r>
                    <w:rPr>
                      <w:rFonts w:hint="eastAsia"/>
                      <w:color w:val="auto"/>
                      <w:highlight w:val="none"/>
                      <w:lang w:val="en-US" w:eastAsia="zh-CN"/>
                    </w:rPr>
                    <w:t>沥青混凝土生产过程中骨料进入烘干筒后，以天然气作为热源加热烘干筒时产生的燃气废气与骨料进入烘干筒、粉料提升工序和振动筛分工序产生的粉尘，在采取封闭措施的沥青混凝土生产线中，一同</w:t>
                  </w:r>
                  <w:r>
                    <w:rPr>
                      <w:color w:val="auto"/>
                      <w:highlight w:val="none"/>
                    </w:rPr>
                    <w:t>经“布袋除尘器+</w:t>
                  </w:r>
                  <w:r>
                    <w:rPr>
                      <w:rFonts w:hint="eastAsia"/>
                      <w:color w:val="auto"/>
                      <w:highlight w:val="none"/>
                      <w:lang w:val="en-US" w:eastAsia="zh-CN"/>
                    </w:rPr>
                    <w:t>二级</w:t>
                  </w:r>
                  <w:r>
                    <w:rPr>
                      <w:color w:val="auto"/>
                      <w:highlight w:val="none"/>
                    </w:rPr>
                    <w:t>活性炭吸附装置”进行处理后，由15m高排气筒（DA002）排放；</w:t>
                  </w:r>
                  <w:r>
                    <w:rPr>
                      <w:rFonts w:hint="eastAsia"/>
                      <w:color w:val="auto"/>
                      <w:highlight w:val="none"/>
                      <w:lang w:val="en-US" w:eastAsia="zh-CN"/>
                    </w:rPr>
                    <w:t>在采取封闭措施的沥青混凝土生产线中，</w:t>
                  </w:r>
                  <w:r>
                    <w:rPr>
                      <w:color w:val="auto"/>
                      <w:highlight w:val="none"/>
                    </w:rPr>
                    <w:t>搅拌设备产生的沥青烟气通过管道收集后利用负压风机引至</w:t>
                  </w:r>
                  <w:r>
                    <w:rPr>
                      <w:rFonts w:hint="eastAsia"/>
                      <w:color w:val="auto"/>
                      <w:highlight w:val="none"/>
                    </w:rPr>
                    <w:t>天然气烘干筒</w:t>
                  </w:r>
                  <w:r>
                    <w:rPr>
                      <w:rFonts w:hint="eastAsia"/>
                      <w:color w:val="auto"/>
                      <w:highlight w:val="none"/>
                      <w:lang w:val="en-US" w:eastAsia="zh-CN"/>
                    </w:rPr>
                    <w:t>焚烧</w:t>
                  </w:r>
                  <w:r>
                    <w:rPr>
                      <w:color w:val="auto"/>
                      <w:highlight w:val="none"/>
                    </w:rPr>
                    <w:t>处理，与烘干</w:t>
                  </w:r>
                  <w:r>
                    <w:rPr>
                      <w:rFonts w:hint="eastAsia"/>
                      <w:color w:val="auto"/>
                      <w:highlight w:val="none"/>
                      <w:lang w:val="en-US" w:eastAsia="zh-CN"/>
                    </w:rPr>
                    <w:t>废气</w:t>
                  </w:r>
                  <w:r>
                    <w:rPr>
                      <w:rFonts w:hint="eastAsia"/>
                      <w:color w:val="auto"/>
                      <w:highlight w:val="none"/>
                      <w:lang w:eastAsia="zh-CN"/>
                    </w:rPr>
                    <w:t>、</w:t>
                  </w:r>
                  <w:r>
                    <w:rPr>
                      <w:color w:val="auto"/>
                      <w:highlight w:val="none"/>
                    </w:rPr>
                    <w:t>筛分废气、</w:t>
                  </w:r>
                  <w:r>
                    <w:rPr>
                      <w:rFonts w:hint="eastAsia"/>
                      <w:color w:val="auto"/>
                      <w:highlight w:val="none"/>
                    </w:rPr>
                    <w:t>燃气废气</w:t>
                  </w:r>
                  <w:r>
                    <w:rPr>
                      <w:color w:val="auto"/>
                      <w:highlight w:val="none"/>
                    </w:rPr>
                    <w:t>一起经“布袋除尘器+</w:t>
                  </w:r>
                  <w:r>
                    <w:rPr>
                      <w:rFonts w:hint="eastAsia"/>
                      <w:color w:val="auto"/>
                      <w:highlight w:val="none"/>
                      <w:lang w:val="en-US" w:eastAsia="zh-CN"/>
                    </w:rPr>
                    <w:t>二级</w:t>
                  </w:r>
                  <w:r>
                    <w:rPr>
                      <w:color w:val="auto"/>
                      <w:highlight w:val="none"/>
                    </w:rPr>
                    <w:t>活性炭吸附装置”进行处理后，由15m高排气筒（DA002）排放；</w:t>
                  </w:r>
                </w:p>
                <w:p w14:paraId="7E2F702B">
                  <w:pPr>
                    <w:rPr>
                      <w:color w:val="auto"/>
                      <w:highlight w:val="none"/>
                    </w:rPr>
                  </w:pPr>
                  <w:r>
                    <w:rPr>
                      <w:color w:val="auto"/>
                      <w:highlight w:val="none"/>
                    </w:rPr>
                    <w:t>（3）水稳料生产过程中：上料、搅拌、卸料时产生的粉尘经布袋除尘收集后由15m高排气筒（DA003）排放；</w:t>
                  </w:r>
                </w:p>
                <w:p w14:paraId="515DD183">
                  <w:pPr>
                    <w:rPr>
                      <w:color w:val="auto"/>
                      <w:szCs w:val="21"/>
                      <w:highlight w:val="yellow"/>
                    </w:rPr>
                  </w:pPr>
                  <w:r>
                    <w:rPr>
                      <w:color w:val="auto"/>
                      <w:highlight w:val="none"/>
                    </w:rPr>
                    <w:t>（4）员工食堂产生的食堂油烟经油烟净化器处理后排放。</w:t>
                  </w:r>
                </w:p>
              </w:tc>
              <w:tc>
                <w:tcPr>
                  <w:tcW w:w="653" w:type="pct"/>
                  <w:vAlign w:val="center"/>
                </w:tcPr>
                <w:p w14:paraId="4167BB70">
                  <w:pPr>
                    <w:jc w:val="center"/>
                    <w:rPr>
                      <w:bCs/>
                      <w:szCs w:val="21"/>
                    </w:rPr>
                  </w:pPr>
                  <w:r>
                    <w:rPr>
                      <w:rFonts w:hint="eastAsia"/>
                      <w:bCs/>
                      <w:szCs w:val="21"/>
                    </w:rPr>
                    <w:t>新建</w:t>
                  </w:r>
                </w:p>
              </w:tc>
            </w:tr>
            <w:tr w14:paraId="0BCB9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71" w:type="pct"/>
                  <w:vMerge w:val="continue"/>
                  <w:vAlign w:val="center"/>
                </w:tcPr>
                <w:p w14:paraId="13A40AD8">
                  <w:pPr>
                    <w:jc w:val="center"/>
                    <w:rPr>
                      <w:szCs w:val="21"/>
                    </w:rPr>
                  </w:pPr>
                </w:p>
              </w:tc>
              <w:tc>
                <w:tcPr>
                  <w:tcW w:w="926" w:type="pct"/>
                  <w:vAlign w:val="center"/>
                </w:tcPr>
                <w:p w14:paraId="3255B054">
                  <w:pPr>
                    <w:jc w:val="center"/>
                    <w:rPr>
                      <w:bCs/>
                      <w:szCs w:val="21"/>
                      <w:lang w:val="zh-CN"/>
                    </w:rPr>
                  </w:pPr>
                  <w:r>
                    <w:rPr>
                      <w:bCs/>
                      <w:szCs w:val="21"/>
                      <w:lang w:val="zh-CN"/>
                    </w:rPr>
                    <w:t>废水治理</w:t>
                  </w:r>
                </w:p>
              </w:tc>
              <w:tc>
                <w:tcPr>
                  <w:tcW w:w="3049" w:type="pct"/>
                  <w:vAlign w:val="center"/>
                </w:tcPr>
                <w:p w14:paraId="2D5925B8">
                  <w:pPr>
                    <w:rPr>
                      <w:szCs w:val="21"/>
                      <w:highlight w:val="yellow"/>
                    </w:rPr>
                  </w:pPr>
                  <w:r>
                    <w:rPr>
                      <w:rFonts w:hint="eastAsia"/>
                      <w:szCs w:val="21"/>
                      <w:highlight w:val="none"/>
                    </w:rPr>
                    <w:t>食堂废水经隔油池预处理后同生活污水一同</w:t>
                  </w:r>
                  <w:r>
                    <w:rPr>
                      <w:szCs w:val="21"/>
                      <w:highlight w:val="none"/>
                    </w:rPr>
                    <w:t>排入</w:t>
                  </w:r>
                  <w:r>
                    <w:rPr>
                      <w:rFonts w:hint="eastAsia"/>
                      <w:szCs w:val="21"/>
                      <w:highlight w:val="none"/>
                    </w:rPr>
                    <w:t>厂区</w:t>
                  </w:r>
                  <w:r>
                    <w:rPr>
                      <w:szCs w:val="21"/>
                      <w:highlight w:val="none"/>
                    </w:rPr>
                    <w:t>内</w:t>
                  </w:r>
                  <w:r>
                    <w:rPr>
                      <w:rFonts w:hint="eastAsia"/>
                      <w:szCs w:val="21"/>
                      <w:highlight w:val="none"/>
                    </w:rPr>
                    <w:t>50m</w:t>
                  </w:r>
                  <w:r>
                    <w:rPr>
                      <w:rFonts w:hint="eastAsia"/>
                      <w:szCs w:val="21"/>
                      <w:highlight w:val="none"/>
                      <w:vertAlign w:val="superscript"/>
                    </w:rPr>
                    <w:t>3</w:t>
                  </w:r>
                  <w:r>
                    <w:rPr>
                      <w:rFonts w:hint="eastAsia"/>
                      <w:szCs w:val="21"/>
                      <w:highlight w:val="none"/>
                    </w:rPr>
                    <w:t>化粪池</w:t>
                  </w:r>
                  <w:r>
                    <w:rPr>
                      <w:rFonts w:hint="eastAsia"/>
                      <w:highlight w:val="none"/>
                    </w:rPr>
                    <w:t>（防渗等级P8）</w:t>
                  </w:r>
                  <w:r>
                    <w:rPr>
                      <w:rFonts w:hint="eastAsia"/>
                      <w:szCs w:val="21"/>
                      <w:highlight w:val="none"/>
                    </w:rPr>
                    <w:t>，定期由吸污车清运至</w:t>
                  </w:r>
                  <w:r>
                    <w:rPr>
                      <w:rFonts w:hint="eastAsia"/>
                      <w:szCs w:val="21"/>
                      <w:highlight w:val="none"/>
                      <w:lang w:eastAsia="zh-CN"/>
                    </w:rPr>
                    <w:t>七师胡杨河市污水处理厂（一期）</w:t>
                  </w:r>
                  <w:r>
                    <w:rPr>
                      <w:rFonts w:hint="eastAsia"/>
                      <w:highlight w:val="none"/>
                    </w:rPr>
                    <w:t>。</w:t>
                  </w:r>
                </w:p>
              </w:tc>
              <w:tc>
                <w:tcPr>
                  <w:tcW w:w="653" w:type="pct"/>
                  <w:vAlign w:val="center"/>
                </w:tcPr>
                <w:p w14:paraId="28AD365A">
                  <w:pPr>
                    <w:jc w:val="center"/>
                    <w:rPr>
                      <w:szCs w:val="21"/>
                    </w:rPr>
                  </w:pPr>
                  <w:r>
                    <w:rPr>
                      <w:rFonts w:hint="eastAsia"/>
                      <w:szCs w:val="21"/>
                    </w:rPr>
                    <w:t>新建</w:t>
                  </w:r>
                </w:p>
              </w:tc>
            </w:tr>
            <w:tr w14:paraId="1D615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pct"/>
                  <w:vMerge w:val="continue"/>
                  <w:vAlign w:val="center"/>
                </w:tcPr>
                <w:p w14:paraId="2754CB99">
                  <w:pPr>
                    <w:jc w:val="center"/>
                    <w:rPr>
                      <w:szCs w:val="21"/>
                    </w:rPr>
                  </w:pPr>
                </w:p>
              </w:tc>
              <w:tc>
                <w:tcPr>
                  <w:tcW w:w="926" w:type="pct"/>
                  <w:vMerge w:val="restart"/>
                  <w:vAlign w:val="center"/>
                </w:tcPr>
                <w:p w14:paraId="14DCC511">
                  <w:pPr>
                    <w:jc w:val="center"/>
                    <w:rPr>
                      <w:bCs/>
                      <w:szCs w:val="21"/>
                      <w:lang w:val="zh-CN"/>
                    </w:rPr>
                  </w:pPr>
                  <w:r>
                    <w:rPr>
                      <w:bCs/>
                      <w:szCs w:val="21"/>
                      <w:lang w:val="zh-CN"/>
                    </w:rPr>
                    <w:t>固废治理</w:t>
                  </w:r>
                </w:p>
              </w:tc>
              <w:tc>
                <w:tcPr>
                  <w:tcW w:w="3049" w:type="pct"/>
                  <w:vAlign w:val="center"/>
                </w:tcPr>
                <w:p w14:paraId="0E6CD937">
                  <w:pPr>
                    <w:rPr>
                      <w:color w:val="auto"/>
                      <w:szCs w:val="21"/>
                      <w:highlight w:val="yellow"/>
                    </w:rPr>
                  </w:pPr>
                  <w:r>
                    <w:rPr>
                      <w:color w:val="auto"/>
                      <w:szCs w:val="21"/>
                      <w:highlight w:val="none"/>
                    </w:rPr>
                    <w:t>一般固废：</w:t>
                  </w:r>
                  <w:r>
                    <w:rPr>
                      <w:rFonts w:hint="eastAsia"/>
                      <w:color w:val="auto"/>
                      <w:szCs w:val="21"/>
                      <w:highlight w:val="none"/>
                    </w:rPr>
                    <w:t>布</w:t>
                  </w:r>
                  <w:r>
                    <w:rPr>
                      <w:color w:val="auto"/>
                      <w:szCs w:val="21"/>
                      <w:highlight w:val="none"/>
                    </w:rPr>
                    <w:t>袋除尘器收集的粉尘</w:t>
                  </w:r>
                  <w:r>
                    <w:rPr>
                      <w:rFonts w:hint="eastAsia"/>
                      <w:color w:val="auto"/>
                      <w:szCs w:val="21"/>
                      <w:highlight w:val="none"/>
                    </w:rPr>
                    <w:t>（302-001-66））</w:t>
                  </w:r>
                  <w:r>
                    <w:rPr>
                      <w:color w:val="auto"/>
                      <w:szCs w:val="21"/>
                      <w:highlight w:val="none"/>
                    </w:rPr>
                    <w:t>收集后回用于生产</w:t>
                  </w:r>
                  <w:r>
                    <w:rPr>
                      <w:rFonts w:hint="eastAsia"/>
                      <w:color w:val="auto"/>
                      <w:szCs w:val="21"/>
                      <w:highlight w:val="none"/>
                    </w:rPr>
                    <w:t>；车辆经过洗车槽时沉淀的少量原料</w:t>
                  </w:r>
                  <w:r>
                    <w:rPr>
                      <w:color w:val="auto"/>
                      <w:szCs w:val="21"/>
                      <w:highlight w:val="none"/>
                    </w:rPr>
                    <w:t>（</w:t>
                  </w:r>
                  <w:r>
                    <w:rPr>
                      <w:rFonts w:hint="eastAsia"/>
                      <w:color w:val="auto"/>
                      <w:szCs w:val="21"/>
                      <w:highlight w:val="none"/>
                    </w:rPr>
                    <w:t>302-001-4</w:t>
                  </w:r>
                  <w:r>
                    <w:rPr>
                      <w:color w:val="auto"/>
                      <w:szCs w:val="21"/>
                      <w:highlight w:val="none"/>
                    </w:rPr>
                    <w:t>4）</w:t>
                  </w:r>
                  <w:r>
                    <w:rPr>
                      <w:rFonts w:hint="eastAsia"/>
                      <w:color w:val="auto"/>
                      <w:szCs w:val="21"/>
                      <w:highlight w:val="none"/>
                    </w:rPr>
                    <w:t>收集后回用于生产；</w:t>
                  </w:r>
                  <w:r>
                    <w:rPr>
                      <w:color w:val="auto"/>
                      <w:szCs w:val="21"/>
                      <w:highlight w:val="none"/>
                    </w:rPr>
                    <w:t>滴漏沥青</w:t>
                  </w:r>
                  <w:r>
                    <w:rPr>
                      <w:rFonts w:hint="eastAsia"/>
                      <w:color w:val="auto"/>
                      <w:szCs w:val="21"/>
                      <w:highlight w:val="none"/>
                    </w:rPr>
                    <w:t>（302-999-99）</w:t>
                  </w:r>
                  <w:r>
                    <w:rPr>
                      <w:color w:val="auto"/>
                      <w:szCs w:val="21"/>
                      <w:highlight w:val="none"/>
                    </w:rPr>
                    <w:t>经收集后回用于搅拌工序，生活垃圾</w:t>
                  </w:r>
                  <w:r>
                    <w:rPr>
                      <w:rFonts w:hint="eastAsia"/>
                      <w:color w:val="auto"/>
                      <w:szCs w:val="21"/>
                      <w:highlight w:val="none"/>
                    </w:rPr>
                    <w:t>（900-999-99）</w:t>
                  </w:r>
                  <w:r>
                    <w:rPr>
                      <w:color w:val="auto"/>
                      <w:szCs w:val="21"/>
                      <w:highlight w:val="none"/>
                    </w:rPr>
                    <w:t>由环卫部门</w:t>
                  </w:r>
                  <w:r>
                    <w:rPr>
                      <w:color w:val="auto"/>
                      <w:highlight w:val="none"/>
                    </w:rPr>
                    <w:t>定期清运</w:t>
                  </w:r>
                  <w:r>
                    <w:rPr>
                      <w:rFonts w:hint="eastAsia"/>
                      <w:color w:val="auto"/>
                      <w:szCs w:val="21"/>
                      <w:highlight w:val="none"/>
                    </w:rPr>
                    <w:t>至</w:t>
                  </w:r>
                  <w:r>
                    <w:rPr>
                      <w:rFonts w:hint="eastAsia"/>
                      <w:color w:val="auto"/>
                      <w:lang w:val="en-US" w:eastAsia="zh-CN"/>
                    </w:rPr>
                    <w:t>运距约为5km的</w:t>
                  </w:r>
                  <w:r>
                    <w:rPr>
                      <w:rFonts w:hint="eastAsia"/>
                      <w:color w:val="auto"/>
                      <w:szCs w:val="21"/>
                      <w:lang w:val="en-US" w:eastAsia="zh-CN"/>
                    </w:rPr>
                    <w:t>胡杨河市第七师130团11连</w:t>
                  </w:r>
                  <w:r>
                    <w:rPr>
                      <w:rFonts w:hint="eastAsia"/>
                      <w:color w:val="auto"/>
                      <w:highlight w:val="none"/>
                    </w:rPr>
                    <w:t>垃圾填埋场</w:t>
                  </w:r>
                  <w:r>
                    <w:rPr>
                      <w:rFonts w:hint="eastAsia"/>
                      <w:color w:val="auto"/>
                      <w:szCs w:val="21"/>
                      <w:highlight w:val="none"/>
                    </w:rPr>
                    <w:t>。</w:t>
                  </w:r>
                </w:p>
              </w:tc>
              <w:tc>
                <w:tcPr>
                  <w:tcW w:w="653" w:type="pct"/>
                  <w:vMerge w:val="restart"/>
                  <w:vAlign w:val="center"/>
                </w:tcPr>
                <w:p w14:paraId="6865A016">
                  <w:pPr>
                    <w:jc w:val="center"/>
                  </w:pPr>
                  <w:r>
                    <w:rPr>
                      <w:rFonts w:hint="eastAsia"/>
                      <w:szCs w:val="21"/>
                    </w:rPr>
                    <w:t>新建</w:t>
                  </w:r>
                </w:p>
              </w:tc>
            </w:tr>
            <w:tr w14:paraId="716A9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1" w:type="pct"/>
                  <w:vMerge w:val="continue"/>
                  <w:vAlign w:val="center"/>
                </w:tcPr>
                <w:p w14:paraId="288A5148">
                  <w:pPr>
                    <w:jc w:val="left"/>
                    <w:rPr>
                      <w:szCs w:val="21"/>
                    </w:rPr>
                  </w:pPr>
                </w:p>
              </w:tc>
              <w:tc>
                <w:tcPr>
                  <w:tcW w:w="926" w:type="pct"/>
                  <w:vMerge w:val="continue"/>
                  <w:vAlign w:val="center"/>
                </w:tcPr>
                <w:p w14:paraId="782D1FC5">
                  <w:pPr>
                    <w:jc w:val="left"/>
                    <w:rPr>
                      <w:szCs w:val="21"/>
                    </w:rPr>
                  </w:pPr>
                </w:p>
              </w:tc>
              <w:tc>
                <w:tcPr>
                  <w:tcW w:w="3049" w:type="pct"/>
                  <w:vAlign w:val="center"/>
                </w:tcPr>
                <w:p w14:paraId="4569D0B0">
                  <w:pPr>
                    <w:rPr>
                      <w:color w:val="auto"/>
                      <w:szCs w:val="21"/>
                      <w:highlight w:val="none"/>
                    </w:rPr>
                  </w:pPr>
                  <w:r>
                    <w:rPr>
                      <w:color w:val="auto"/>
                      <w:szCs w:val="21"/>
                      <w:highlight w:val="none"/>
                    </w:rPr>
                    <w:t>危险废物：</w:t>
                  </w:r>
                  <w:r>
                    <w:rPr>
                      <w:rFonts w:hint="eastAsia"/>
                      <w:color w:val="auto"/>
                      <w:szCs w:val="21"/>
                      <w:highlight w:val="none"/>
                    </w:rPr>
                    <w:t>本项目产生的危险废物有废导热油</w:t>
                  </w:r>
                  <w:r>
                    <w:rPr>
                      <w:bCs/>
                      <w:color w:val="auto"/>
                      <w:szCs w:val="21"/>
                      <w:highlight w:val="none"/>
                    </w:rPr>
                    <w:t>HW08</w:t>
                  </w:r>
                  <w:r>
                    <w:rPr>
                      <w:rFonts w:hint="eastAsia"/>
                      <w:bCs/>
                      <w:color w:val="auto"/>
                      <w:szCs w:val="21"/>
                      <w:highlight w:val="none"/>
                    </w:rPr>
                    <w:t>（</w:t>
                  </w:r>
                  <w:r>
                    <w:rPr>
                      <w:color w:val="auto"/>
                      <w:szCs w:val="21"/>
                      <w:highlight w:val="none"/>
                    </w:rPr>
                    <w:t>900-249-08</w:t>
                  </w:r>
                  <w:r>
                    <w:rPr>
                      <w:rFonts w:hint="eastAsia"/>
                      <w:bCs/>
                      <w:color w:val="auto"/>
                      <w:szCs w:val="21"/>
                      <w:highlight w:val="none"/>
                    </w:rPr>
                    <w:t>）</w:t>
                  </w:r>
                  <w:r>
                    <w:rPr>
                      <w:rFonts w:hint="eastAsia"/>
                      <w:color w:val="auto"/>
                      <w:szCs w:val="21"/>
                      <w:highlight w:val="none"/>
                    </w:rPr>
                    <w:t>、废机油</w:t>
                  </w:r>
                  <w:r>
                    <w:rPr>
                      <w:bCs/>
                      <w:color w:val="auto"/>
                      <w:szCs w:val="21"/>
                      <w:highlight w:val="none"/>
                    </w:rPr>
                    <w:t>HW08</w:t>
                  </w:r>
                  <w:r>
                    <w:rPr>
                      <w:rFonts w:hint="eastAsia"/>
                      <w:bCs/>
                      <w:color w:val="auto"/>
                      <w:szCs w:val="21"/>
                      <w:highlight w:val="none"/>
                    </w:rPr>
                    <w:t>（</w:t>
                  </w:r>
                  <w:r>
                    <w:rPr>
                      <w:color w:val="auto"/>
                      <w:szCs w:val="21"/>
                      <w:highlight w:val="none"/>
                    </w:rPr>
                    <w:t>900-249-08</w:t>
                  </w:r>
                  <w:r>
                    <w:rPr>
                      <w:rFonts w:hint="eastAsia"/>
                      <w:bCs/>
                      <w:color w:val="auto"/>
                      <w:szCs w:val="21"/>
                      <w:highlight w:val="none"/>
                    </w:rPr>
                    <w:t>）</w:t>
                  </w:r>
                  <w:r>
                    <w:rPr>
                      <w:rFonts w:hint="eastAsia"/>
                      <w:color w:val="auto"/>
                      <w:szCs w:val="21"/>
                      <w:highlight w:val="none"/>
                    </w:rPr>
                    <w:t>和废活性炭</w:t>
                  </w:r>
                  <w:r>
                    <w:rPr>
                      <w:color w:val="auto"/>
                      <w:szCs w:val="21"/>
                      <w:highlight w:val="none"/>
                    </w:rPr>
                    <w:t>HW</w:t>
                  </w:r>
                  <w:r>
                    <w:rPr>
                      <w:rFonts w:hint="eastAsia"/>
                      <w:color w:val="auto"/>
                      <w:szCs w:val="21"/>
                      <w:highlight w:val="none"/>
                    </w:rPr>
                    <w:t>49（900-039-49），设置危废暂存间，</w:t>
                  </w:r>
                  <w:r>
                    <w:rPr>
                      <w:rFonts w:hint="eastAsia"/>
                      <w:color w:val="auto"/>
                      <w:highlight w:val="none"/>
                    </w:rPr>
                    <w:t>危险废物分区</w:t>
                  </w:r>
                  <w:r>
                    <w:rPr>
                      <w:color w:val="auto"/>
                      <w:highlight w:val="none"/>
                    </w:rPr>
                    <w:t>暂存于危废暂存间，</w:t>
                  </w:r>
                  <w:r>
                    <w:rPr>
                      <w:rFonts w:hint="eastAsia"/>
                      <w:color w:val="auto"/>
                      <w:highlight w:val="none"/>
                    </w:rPr>
                    <w:t>委托</w:t>
                  </w:r>
                  <w:r>
                    <w:rPr>
                      <w:color w:val="auto"/>
                      <w:highlight w:val="none"/>
                    </w:rPr>
                    <w:t>具有危废处置资质的危废处理单位处置</w:t>
                  </w:r>
                  <w:r>
                    <w:rPr>
                      <w:color w:val="auto"/>
                      <w:szCs w:val="21"/>
                      <w:highlight w:val="none"/>
                    </w:rPr>
                    <w:t>。</w:t>
                  </w:r>
                </w:p>
              </w:tc>
              <w:tc>
                <w:tcPr>
                  <w:tcW w:w="653" w:type="pct"/>
                  <w:vMerge w:val="continue"/>
                  <w:vAlign w:val="center"/>
                </w:tcPr>
                <w:p w14:paraId="3A542DC0">
                  <w:pPr>
                    <w:jc w:val="left"/>
                    <w:rPr>
                      <w:szCs w:val="21"/>
                    </w:rPr>
                  </w:pPr>
                </w:p>
              </w:tc>
            </w:tr>
            <w:tr w14:paraId="1CDB2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371" w:type="pct"/>
                  <w:vMerge w:val="continue"/>
                  <w:vAlign w:val="center"/>
                </w:tcPr>
                <w:p w14:paraId="6688BDD5">
                  <w:pPr>
                    <w:jc w:val="center"/>
                    <w:rPr>
                      <w:szCs w:val="21"/>
                    </w:rPr>
                  </w:pPr>
                </w:p>
              </w:tc>
              <w:tc>
                <w:tcPr>
                  <w:tcW w:w="926" w:type="pct"/>
                  <w:vAlign w:val="center"/>
                </w:tcPr>
                <w:p w14:paraId="38BAECDD">
                  <w:pPr>
                    <w:jc w:val="center"/>
                    <w:rPr>
                      <w:bCs/>
                      <w:szCs w:val="21"/>
                    </w:rPr>
                  </w:pPr>
                  <w:r>
                    <w:rPr>
                      <w:bCs/>
                      <w:szCs w:val="21"/>
                      <w:lang w:val="zh-CN"/>
                    </w:rPr>
                    <w:t>噪声</w:t>
                  </w:r>
                  <w:r>
                    <w:rPr>
                      <w:bCs/>
                      <w:szCs w:val="21"/>
                    </w:rPr>
                    <w:t>治理</w:t>
                  </w:r>
                </w:p>
              </w:tc>
              <w:tc>
                <w:tcPr>
                  <w:tcW w:w="3049" w:type="pct"/>
                  <w:vAlign w:val="center"/>
                </w:tcPr>
                <w:p w14:paraId="011BFD6F">
                  <w:pPr>
                    <w:jc w:val="center"/>
                    <w:rPr>
                      <w:color w:val="auto"/>
                      <w:szCs w:val="21"/>
                      <w:highlight w:val="none"/>
                    </w:rPr>
                  </w:pPr>
                  <w:r>
                    <w:rPr>
                      <w:color w:val="auto"/>
                      <w:szCs w:val="21"/>
                      <w:highlight w:val="none"/>
                    </w:rPr>
                    <w:t>采取低噪音设备、厂区内车辆低速运行、禁止鸣笛、合理布局、周边绿化等措施减少噪声影响</w:t>
                  </w:r>
                </w:p>
              </w:tc>
              <w:tc>
                <w:tcPr>
                  <w:tcW w:w="653" w:type="pct"/>
                  <w:vAlign w:val="center"/>
                </w:tcPr>
                <w:p w14:paraId="77550852">
                  <w:pPr>
                    <w:jc w:val="center"/>
                    <w:rPr>
                      <w:szCs w:val="21"/>
                    </w:rPr>
                  </w:pPr>
                  <w:r>
                    <w:rPr>
                      <w:rFonts w:hint="eastAsia"/>
                      <w:szCs w:val="21"/>
                    </w:rPr>
                    <w:t>新建</w:t>
                  </w:r>
                </w:p>
              </w:tc>
            </w:tr>
            <w:bookmarkEnd w:id="0"/>
          </w:tbl>
          <w:p w14:paraId="16D667F9">
            <w:pPr>
              <w:adjustRightInd w:val="0"/>
              <w:snapToGrid w:val="0"/>
              <w:spacing w:line="360" w:lineRule="auto"/>
              <w:rPr>
                <w:b/>
                <w:bCs/>
                <w:color w:val="000000"/>
                <w:szCs w:val="21"/>
              </w:rPr>
            </w:pPr>
            <w:r>
              <w:rPr>
                <w:rFonts w:hint="eastAsia"/>
                <w:b/>
                <w:szCs w:val="21"/>
              </w:rPr>
              <w:t>2</w:t>
            </w:r>
            <w:r>
              <w:rPr>
                <w:b/>
                <w:bCs/>
                <w:color w:val="000000"/>
                <w:szCs w:val="21"/>
              </w:rPr>
              <w:t>主要产品及产能</w:t>
            </w:r>
          </w:p>
          <w:p w14:paraId="0A388EBA">
            <w:pPr>
              <w:widowControl/>
              <w:spacing w:line="360" w:lineRule="auto"/>
              <w:ind w:firstLine="420" w:firstLineChars="200"/>
              <w:jc w:val="left"/>
              <w:rPr>
                <w:bCs/>
                <w:szCs w:val="21"/>
              </w:rPr>
            </w:pPr>
            <w:r>
              <w:rPr>
                <w:rFonts w:hint="eastAsia"/>
                <w:bCs/>
                <w:szCs w:val="21"/>
              </w:rPr>
              <w:t>本项目主要生产沥青砼和水稳砼，设</w:t>
            </w:r>
            <w:r>
              <w:rPr>
                <w:rFonts w:hint="eastAsia"/>
              </w:rPr>
              <w:t>计一条</w:t>
            </w:r>
            <w:r>
              <w:rPr>
                <w:rFonts w:hint="eastAsia"/>
                <w:bCs/>
                <w:szCs w:val="21"/>
              </w:rPr>
              <w:t>生产能力为年产沥青砼12万吨的沥青砼生产线和一条年产水稳砼20万吨的水稳砼生产线。主要生产规模见表2-2。</w:t>
            </w:r>
          </w:p>
          <w:p w14:paraId="15B177C0">
            <w:pPr>
              <w:ind w:firstLine="422" w:firstLineChars="200"/>
              <w:jc w:val="center"/>
            </w:pPr>
            <w:r>
              <w:rPr>
                <w:b/>
                <w:szCs w:val="21"/>
              </w:rPr>
              <w:t>表</w:t>
            </w:r>
            <w:r>
              <w:rPr>
                <w:rFonts w:hint="eastAsia"/>
                <w:b/>
                <w:szCs w:val="21"/>
              </w:rPr>
              <w:t>2-2</w:t>
            </w:r>
            <w:r>
              <w:rPr>
                <w:b/>
                <w:szCs w:val="21"/>
              </w:rPr>
              <w:t>项目</w:t>
            </w:r>
            <w:r>
              <w:rPr>
                <w:b/>
                <w:bCs/>
                <w:color w:val="000000"/>
                <w:szCs w:val="21"/>
                <w:lang w:bidi="ar"/>
              </w:rPr>
              <w:t>产品方案表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3120"/>
              <w:gridCol w:w="2075"/>
              <w:gridCol w:w="2075"/>
            </w:tblGrid>
            <w:tr w14:paraId="68296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1" w:type="dxa"/>
                </w:tcPr>
                <w:p w14:paraId="7F516C4F">
                  <w:pPr>
                    <w:jc w:val="center"/>
                    <w:rPr>
                      <w:b/>
                      <w:bCs/>
                    </w:rPr>
                  </w:pPr>
                  <w:r>
                    <w:rPr>
                      <w:rFonts w:hint="eastAsia"/>
                      <w:b/>
                      <w:bCs/>
                    </w:rPr>
                    <w:t>序号</w:t>
                  </w:r>
                </w:p>
              </w:tc>
              <w:tc>
                <w:tcPr>
                  <w:tcW w:w="3171" w:type="dxa"/>
                </w:tcPr>
                <w:p w14:paraId="51887F45">
                  <w:pPr>
                    <w:jc w:val="center"/>
                    <w:rPr>
                      <w:b/>
                      <w:bCs/>
                    </w:rPr>
                  </w:pPr>
                  <w:r>
                    <w:rPr>
                      <w:rFonts w:hint="eastAsia"/>
                      <w:b/>
                      <w:bCs/>
                    </w:rPr>
                    <w:t>产品名称</w:t>
                  </w:r>
                </w:p>
              </w:tc>
              <w:tc>
                <w:tcPr>
                  <w:tcW w:w="2106" w:type="dxa"/>
                </w:tcPr>
                <w:p w14:paraId="4ADAC9A2">
                  <w:pPr>
                    <w:jc w:val="center"/>
                    <w:rPr>
                      <w:b/>
                      <w:bCs/>
                    </w:rPr>
                  </w:pPr>
                  <w:r>
                    <w:rPr>
                      <w:rFonts w:hint="eastAsia"/>
                      <w:b/>
                      <w:bCs/>
                    </w:rPr>
                    <w:t>年产量</w:t>
                  </w:r>
                </w:p>
              </w:tc>
              <w:tc>
                <w:tcPr>
                  <w:tcW w:w="2106" w:type="dxa"/>
                </w:tcPr>
                <w:p w14:paraId="2F48F5DC">
                  <w:pPr>
                    <w:jc w:val="center"/>
                    <w:rPr>
                      <w:b/>
                      <w:bCs/>
                    </w:rPr>
                  </w:pPr>
                  <w:r>
                    <w:rPr>
                      <w:rFonts w:hint="eastAsia"/>
                      <w:b/>
                      <w:bCs/>
                    </w:rPr>
                    <w:t>用途</w:t>
                  </w:r>
                </w:p>
              </w:tc>
            </w:tr>
            <w:tr w14:paraId="7318E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dxa"/>
                </w:tcPr>
                <w:p w14:paraId="36F414DF">
                  <w:pPr>
                    <w:pStyle w:val="37"/>
                    <w:spacing w:line="240" w:lineRule="atLeast"/>
                    <w:ind w:firstLine="0" w:firstLineChars="0"/>
                    <w:jc w:val="center"/>
                    <w:rPr>
                      <w:rFonts w:cs="Times New Roman"/>
                      <w:bCs/>
                      <w:sz w:val="21"/>
                      <w:szCs w:val="21"/>
                    </w:rPr>
                  </w:pPr>
                  <w:r>
                    <w:rPr>
                      <w:rFonts w:hint="eastAsia" w:cs="Times New Roman"/>
                      <w:bCs/>
                      <w:sz w:val="21"/>
                      <w:szCs w:val="21"/>
                    </w:rPr>
                    <w:t>1</w:t>
                  </w:r>
                </w:p>
              </w:tc>
              <w:tc>
                <w:tcPr>
                  <w:tcW w:w="3171" w:type="dxa"/>
                </w:tcPr>
                <w:p w14:paraId="35ABF58C">
                  <w:pPr>
                    <w:pStyle w:val="37"/>
                    <w:spacing w:line="240" w:lineRule="atLeast"/>
                    <w:ind w:firstLine="0" w:firstLineChars="0"/>
                    <w:jc w:val="center"/>
                    <w:rPr>
                      <w:rFonts w:cs="Times New Roman"/>
                      <w:bCs/>
                      <w:sz w:val="21"/>
                      <w:szCs w:val="21"/>
                    </w:rPr>
                  </w:pPr>
                  <w:r>
                    <w:rPr>
                      <w:rFonts w:hint="eastAsia" w:cs="Times New Roman"/>
                      <w:bCs/>
                      <w:sz w:val="21"/>
                      <w:szCs w:val="21"/>
                    </w:rPr>
                    <w:t>沥青混凝土</w:t>
                  </w:r>
                </w:p>
              </w:tc>
              <w:tc>
                <w:tcPr>
                  <w:tcW w:w="2106" w:type="dxa"/>
                </w:tcPr>
                <w:p w14:paraId="665BB169">
                  <w:pPr>
                    <w:pStyle w:val="37"/>
                    <w:spacing w:line="240" w:lineRule="atLeast"/>
                    <w:ind w:firstLine="0" w:firstLineChars="0"/>
                    <w:jc w:val="center"/>
                    <w:rPr>
                      <w:rFonts w:cs="Times New Roman"/>
                      <w:bCs/>
                      <w:sz w:val="21"/>
                      <w:szCs w:val="21"/>
                    </w:rPr>
                  </w:pPr>
                  <w:r>
                    <w:rPr>
                      <w:rFonts w:hint="eastAsia" w:cs="Times New Roman"/>
                      <w:bCs/>
                      <w:sz w:val="21"/>
                      <w:szCs w:val="21"/>
                    </w:rPr>
                    <w:t>12万吨</w:t>
                  </w:r>
                </w:p>
              </w:tc>
              <w:tc>
                <w:tcPr>
                  <w:tcW w:w="2106" w:type="dxa"/>
                </w:tcPr>
                <w:p w14:paraId="2D4F9AF0">
                  <w:pPr>
                    <w:pStyle w:val="37"/>
                    <w:spacing w:line="240" w:lineRule="atLeast"/>
                    <w:ind w:firstLine="0" w:firstLineChars="0"/>
                    <w:jc w:val="center"/>
                    <w:rPr>
                      <w:rFonts w:cs="Times New Roman"/>
                      <w:bCs/>
                      <w:sz w:val="21"/>
                      <w:szCs w:val="21"/>
                    </w:rPr>
                  </w:pPr>
                  <w:r>
                    <w:rPr>
                      <w:rFonts w:hint="eastAsia" w:cs="Times New Roman"/>
                      <w:bCs/>
                      <w:sz w:val="21"/>
                      <w:szCs w:val="21"/>
                    </w:rPr>
                    <w:t>道路面层</w:t>
                  </w:r>
                </w:p>
              </w:tc>
            </w:tr>
            <w:tr w14:paraId="25C30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dxa"/>
                </w:tcPr>
                <w:p w14:paraId="5D3DBF79">
                  <w:pPr>
                    <w:pStyle w:val="37"/>
                    <w:spacing w:line="240" w:lineRule="atLeast"/>
                    <w:ind w:firstLine="0" w:firstLineChars="0"/>
                    <w:jc w:val="center"/>
                    <w:rPr>
                      <w:rFonts w:cs="Times New Roman"/>
                      <w:bCs/>
                      <w:sz w:val="21"/>
                      <w:szCs w:val="21"/>
                    </w:rPr>
                  </w:pPr>
                  <w:r>
                    <w:rPr>
                      <w:rFonts w:hint="eastAsia" w:cs="Times New Roman"/>
                      <w:bCs/>
                      <w:sz w:val="21"/>
                      <w:szCs w:val="21"/>
                    </w:rPr>
                    <w:t>2</w:t>
                  </w:r>
                </w:p>
              </w:tc>
              <w:tc>
                <w:tcPr>
                  <w:tcW w:w="3171" w:type="dxa"/>
                </w:tcPr>
                <w:p w14:paraId="3BEE27AA">
                  <w:pPr>
                    <w:pStyle w:val="37"/>
                    <w:spacing w:line="240" w:lineRule="atLeast"/>
                    <w:ind w:firstLine="0" w:firstLineChars="0"/>
                    <w:jc w:val="center"/>
                    <w:rPr>
                      <w:rFonts w:cs="Times New Roman"/>
                      <w:bCs/>
                      <w:sz w:val="21"/>
                      <w:szCs w:val="21"/>
                    </w:rPr>
                  </w:pPr>
                  <w:r>
                    <w:rPr>
                      <w:rFonts w:hint="eastAsia" w:cs="Times New Roman"/>
                      <w:bCs/>
                      <w:sz w:val="21"/>
                      <w:szCs w:val="21"/>
                    </w:rPr>
                    <w:t>水泥稳定土</w:t>
                  </w:r>
                </w:p>
              </w:tc>
              <w:tc>
                <w:tcPr>
                  <w:tcW w:w="2106" w:type="dxa"/>
                </w:tcPr>
                <w:p w14:paraId="096CE78B">
                  <w:pPr>
                    <w:pStyle w:val="37"/>
                    <w:spacing w:line="240" w:lineRule="atLeast"/>
                    <w:ind w:firstLine="0" w:firstLineChars="0"/>
                    <w:jc w:val="center"/>
                    <w:rPr>
                      <w:rFonts w:cs="Times New Roman"/>
                      <w:bCs/>
                      <w:sz w:val="21"/>
                      <w:szCs w:val="21"/>
                    </w:rPr>
                  </w:pPr>
                  <w:r>
                    <w:rPr>
                      <w:rFonts w:hint="eastAsia" w:cs="Times New Roman"/>
                      <w:bCs/>
                      <w:sz w:val="21"/>
                      <w:szCs w:val="21"/>
                    </w:rPr>
                    <w:t>20万吨</w:t>
                  </w:r>
                </w:p>
              </w:tc>
              <w:tc>
                <w:tcPr>
                  <w:tcW w:w="2106" w:type="dxa"/>
                </w:tcPr>
                <w:p w14:paraId="5098D760">
                  <w:pPr>
                    <w:pStyle w:val="37"/>
                    <w:spacing w:line="240" w:lineRule="atLeast"/>
                    <w:ind w:firstLine="0" w:firstLineChars="0"/>
                    <w:jc w:val="center"/>
                    <w:rPr>
                      <w:rFonts w:cs="Times New Roman"/>
                      <w:bCs/>
                      <w:sz w:val="21"/>
                      <w:szCs w:val="21"/>
                    </w:rPr>
                  </w:pPr>
                  <w:r>
                    <w:rPr>
                      <w:rFonts w:hint="eastAsia" w:cs="Times New Roman"/>
                      <w:bCs/>
                      <w:sz w:val="21"/>
                      <w:szCs w:val="21"/>
                    </w:rPr>
                    <w:t>道路基层</w:t>
                  </w:r>
                </w:p>
              </w:tc>
            </w:tr>
          </w:tbl>
          <w:p w14:paraId="46C667C7">
            <w:pPr>
              <w:widowControl/>
              <w:spacing w:line="360" w:lineRule="auto"/>
              <w:jc w:val="left"/>
              <w:rPr>
                <w:b/>
                <w:szCs w:val="21"/>
              </w:rPr>
            </w:pPr>
            <w:r>
              <w:rPr>
                <w:rFonts w:hint="eastAsia"/>
                <w:b/>
                <w:szCs w:val="21"/>
              </w:rPr>
              <w:t>3、</w:t>
            </w:r>
            <w:r>
              <w:rPr>
                <w:b/>
                <w:szCs w:val="21"/>
              </w:rPr>
              <w:t>原辅材料消耗</w:t>
            </w:r>
          </w:p>
          <w:p w14:paraId="0E585A72">
            <w:pPr>
              <w:autoSpaceDE w:val="0"/>
              <w:autoSpaceDN w:val="0"/>
              <w:spacing w:line="360" w:lineRule="auto"/>
              <w:ind w:firstLine="420" w:firstLineChars="200"/>
              <w:rPr>
                <w:color w:val="auto"/>
                <w:szCs w:val="21"/>
                <w:lang w:bidi="ar"/>
              </w:rPr>
            </w:pPr>
            <w:r>
              <w:rPr>
                <w:rFonts w:hint="eastAsia"/>
                <w:color w:val="000000"/>
                <w:szCs w:val="21"/>
                <w:lang w:bidi="ar"/>
              </w:rPr>
              <w:t>本项目主要原辅材料为砂石料、沥青、砾石、水泥等，项目所需原材料均外购。此外，加热骨料烘干筒的燃烧器</w:t>
            </w:r>
            <w:r>
              <w:rPr>
                <w:rFonts w:hint="eastAsia"/>
                <w:szCs w:val="21"/>
                <w:lang w:bidi="ar"/>
              </w:rPr>
              <w:t>燃</w:t>
            </w:r>
            <w:r>
              <w:rPr>
                <w:rFonts w:hint="eastAsia"/>
                <w:color w:val="auto"/>
                <w:szCs w:val="21"/>
                <w:lang w:bidi="ar"/>
              </w:rPr>
              <w:t>料为天然气。项目运营期间原辅料用量详</w:t>
            </w:r>
            <w:r>
              <w:rPr>
                <w:color w:val="auto"/>
                <w:szCs w:val="21"/>
                <w:lang w:bidi="ar"/>
              </w:rPr>
              <w:t>见表2-</w:t>
            </w:r>
            <w:r>
              <w:rPr>
                <w:rFonts w:hint="eastAsia"/>
                <w:color w:val="auto"/>
                <w:szCs w:val="21"/>
                <w:lang w:bidi="ar"/>
              </w:rPr>
              <w:t>3</w:t>
            </w:r>
            <w:r>
              <w:rPr>
                <w:rFonts w:hint="eastAsia"/>
                <w:color w:val="auto"/>
                <w:szCs w:val="21"/>
                <w:highlight w:val="none"/>
                <w:lang w:bidi="ar"/>
              </w:rPr>
              <w:t>。</w:t>
            </w:r>
          </w:p>
          <w:p w14:paraId="0D9801E7">
            <w:pPr>
              <w:ind w:firstLine="422" w:firstLineChars="200"/>
              <w:jc w:val="center"/>
              <w:rPr>
                <w:b/>
                <w:color w:val="auto"/>
                <w:szCs w:val="21"/>
              </w:rPr>
            </w:pPr>
            <w:r>
              <w:rPr>
                <w:b/>
                <w:color w:val="auto"/>
                <w:szCs w:val="21"/>
              </w:rPr>
              <w:t>表</w:t>
            </w:r>
            <w:r>
              <w:rPr>
                <w:rFonts w:hint="eastAsia"/>
                <w:b/>
                <w:color w:val="auto"/>
                <w:szCs w:val="21"/>
              </w:rPr>
              <w:t>2-3</w:t>
            </w:r>
            <w:r>
              <w:rPr>
                <w:b/>
                <w:color w:val="auto"/>
                <w:szCs w:val="21"/>
              </w:rPr>
              <w:t>项目主要原辅材料及用量</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3"/>
              <w:gridCol w:w="610"/>
              <w:gridCol w:w="426"/>
              <w:gridCol w:w="1348"/>
              <w:gridCol w:w="1263"/>
              <w:gridCol w:w="1990"/>
              <w:gridCol w:w="1539"/>
            </w:tblGrid>
            <w:tr w14:paraId="3CC86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tcBorders>
                    <w:top w:val="single" w:color="auto" w:sz="4" w:space="0"/>
                    <w:left w:val="single" w:color="auto" w:sz="0" w:space="0"/>
                    <w:bottom w:val="single" w:color="auto" w:sz="4" w:space="0"/>
                    <w:right w:val="single" w:color="auto" w:sz="4" w:space="0"/>
                  </w:tcBorders>
                  <w:vAlign w:val="center"/>
                </w:tcPr>
                <w:p w14:paraId="69A08EBC">
                  <w:pPr>
                    <w:pStyle w:val="25"/>
                    <w:widowControl w:val="0"/>
                    <w:snapToGrid w:val="0"/>
                    <w:spacing w:before="0" w:beforeAutospacing="0" w:after="0" w:afterAutospacing="0"/>
                    <w:jc w:val="center"/>
                    <w:rPr>
                      <w:rFonts w:ascii="Times New Roman" w:hAnsi="Times New Roman"/>
                      <w:b/>
                      <w:bCs/>
                      <w:color w:val="auto"/>
                      <w:kern w:val="2"/>
                      <w:sz w:val="21"/>
                      <w:szCs w:val="21"/>
                    </w:rPr>
                  </w:pPr>
                  <w:r>
                    <w:rPr>
                      <w:rFonts w:ascii="Times New Roman" w:hAnsi="Times New Roman"/>
                      <w:b/>
                      <w:bCs/>
                      <w:color w:val="auto"/>
                      <w:kern w:val="2"/>
                      <w:sz w:val="21"/>
                      <w:szCs w:val="21"/>
                      <w:lang w:bidi="ar"/>
                    </w:rPr>
                    <w:t>项目</w:t>
                  </w:r>
                </w:p>
              </w:tc>
              <w:tc>
                <w:tcPr>
                  <w:tcW w:w="0" w:type="auto"/>
                  <w:gridSpan w:val="2"/>
                  <w:tcBorders>
                    <w:top w:val="single" w:color="auto" w:sz="4" w:space="0"/>
                    <w:left w:val="single" w:color="auto" w:sz="4" w:space="0"/>
                    <w:bottom w:val="single" w:color="auto" w:sz="4" w:space="0"/>
                    <w:right w:val="single" w:color="auto" w:sz="4" w:space="0"/>
                  </w:tcBorders>
                  <w:vAlign w:val="center"/>
                </w:tcPr>
                <w:p w14:paraId="4EE9AFED">
                  <w:pPr>
                    <w:pStyle w:val="25"/>
                    <w:widowControl w:val="0"/>
                    <w:snapToGrid w:val="0"/>
                    <w:spacing w:before="0" w:beforeAutospacing="0" w:after="0" w:afterAutospacing="0"/>
                    <w:jc w:val="center"/>
                    <w:rPr>
                      <w:rFonts w:ascii="Times New Roman" w:hAnsi="Times New Roman"/>
                      <w:b/>
                      <w:bCs/>
                      <w:color w:val="auto"/>
                      <w:kern w:val="2"/>
                      <w:sz w:val="21"/>
                      <w:szCs w:val="21"/>
                    </w:rPr>
                  </w:pPr>
                  <w:r>
                    <w:rPr>
                      <w:rFonts w:ascii="Times New Roman" w:hAnsi="Times New Roman"/>
                      <w:b/>
                      <w:bCs/>
                      <w:color w:val="auto"/>
                      <w:kern w:val="2"/>
                      <w:sz w:val="21"/>
                      <w:szCs w:val="21"/>
                      <w:lang w:bidi="ar"/>
                    </w:rPr>
                    <w:t>名称</w:t>
                  </w:r>
                </w:p>
              </w:tc>
              <w:tc>
                <w:tcPr>
                  <w:tcW w:w="1348" w:type="dxa"/>
                  <w:tcBorders>
                    <w:top w:val="single" w:color="auto" w:sz="4" w:space="0"/>
                    <w:left w:val="single" w:color="auto" w:sz="4" w:space="0"/>
                    <w:bottom w:val="single" w:color="auto" w:sz="4" w:space="0"/>
                    <w:right w:val="single" w:color="auto" w:sz="4" w:space="0"/>
                  </w:tcBorders>
                  <w:vAlign w:val="center"/>
                </w:tcPr>
                <w:p w14:paraId="0512E03F">
                  <w:pPr>
                    <w:pStyle w:val="25"/>
                    <w:widowControl w:val="0"/>
                    <w:snapToGrid w:val="0"/>
                    <w:spacing w:before="0" w:beforeAutospacing="0" w:after="0" w:afterAutospacing="0"/>
                    <w:jc w:val="center"/>
                    <w:rPr>
                      <w:rFonts w:ascii="Times New Roman" w:hAnsi="Times New Roman"/>
                      <w:b/>
                      <w:bCs/>
                      <w:color w:val="auto"/>
                      <w:kern w:val="2"/>
                      <w:sz w:val="21"/>
                      <w:szCs w:val="21"/>
                    </w:rPr>
                  </w:pPr>
                  <w:r>
                    <w:rPr>
                      <w:rFonts w:ascii="Times New Roman" w:hAnsi="Times New Roman"/>
                      <w:b/>
                      <w:bCs/>
                      <w:color w:val="auto"/>
                      <w:kern w:val="2"/>
                      <w:sz w:val="21"/>
                      <w:szCs w:val="21"/>
                      <w:lang w:bidi="ar"/>
                    </w:rPr>
                    <w:t>规格</w:t>
                  </w:r>
                </w:p>
              </w:tc>
              <w:tc>
                <w:tcPr>
                  <w:tcW w:w="1263" w:type="dxa"/>
                  <w:tcBorders>
                    <w:top w:val="single" w:color="auto" w:sz="4" w:space="0"/>
                    <w:left w:val="single" w:color="auto" w:sz="4" w:space="0"/>
                    <w:bottom w:val="single" w:color="auto" w:sz="4" w:space="0"/>
                    <w:right w:val="single" w:color="auto" w:sz="4" w:space="0"/>
                  </w:tcBorders>
                  <w:vAlign w:val="center"/>
                </w:tcPr>
                <w:p w14:paraId="4B2EE363">
                  <w:pPr>
                    <w:pStyle w:val="25"/>
                    <w:widowControl w:val="0"/>
                    <w:snapToGrid w:val="0"/>
                    <w:spacing w:before="0" w:beforeAutospacing="0" w:after="0" w:afterAutospacing="0"/>
                    <w:jc w:val="center"/>
                    <w:rPr>
                      <w:rFonts w:ascii="Times New Roman" w:hAnsi="Times New Roman"/>
                      <w:b/>
                      <w:bCs/>
                      <w:color w:val="auto"/>
                      <w:kern w:val="2"/>
                      <w:sz w:val="21"/>
                      <w:szCs w:val="21"/>
                    </w:rPr>
                  </w:pPr>
                  <w:r>
                    <w:rPr>
                      <w:rFonts w:ascii="Times New Roman" w:hAnsi="Times New Roman"/>
                      <w:b/>
                      <w:bCs/>
                      <w:color w:val="auto"/>
                      <w:kern w:val="2"/>
                      <w:sz w:val="21"/>
                      <w:szCs w:val="21"/>
                      <w:lang w:bidi="ar"/>
                    </w:rPr>
                    <w:t>年消耗量（t/a）</w:t>
                  </w:r>
                </w:p>
              </w:tc>
              <w:tc>
                <w:tcPr>
                  <w:tcW w:w="1990" w:type="dxa"/>
                  <w:tcBorders>
                    <w:top w:val="single" w:color="auto" w:sz="4" w:space="0"/>
                    <w:left w:val="single" w:color="auto" w:sz="4" w:space="0"/>
                    <w:bottom w:val="single" w:color="auto" w:sz="4" w:space="0"/>
                    <w:right w:val="nil"/>
                  </w:tcBorders>
                  <w:vAlign w:val="center"/>
                </w:tcPr>
                <w:p w14:paraId="502E612C">
                  <w:pPr>
                    <w:pStyle w:val="25"/>
                    <w:widowControl w:val="0"/>
                    <w:snapToGrid w:val="0"/>
                    <w:spacing w:before="0" w:beforeAutospacing="0" w:after="0" w:afterAutospacing="0"/>
                    <w:jc w:val="center"/>
                    <w:rPr>
                      <w:rFonts w:ascii="Times New Roman" w:hAnsi="Times New Roman"/>
                      <w:b/>
                      <w:bCs/>
                      <w:color w:val="auto"/>
                      <w:kern w:val="2"/>
                      <w:sz w:val="21"/>
                      <w:szCs w:val="21"/>
                    </w:rPr>
                  </w:pPr>
                  <w:r>
                    <w:rPr>
                      <w:rFonts w:ascii="Times New Roman" w:hAnsi="Times New Roman"/>
                      <w:b/>
                      <w:bCs/>
                      <w:color w:val="auto"/>
                      <w:kern w:val="2"/>
                      <w:sz w:val="21"/>
                      <w:szCs w:val="21"/>
                      <w:lang w:bidi="ar"/>
                    </w:rPr>
                    <w:t>储存方式</w:t>
                  </w:r>
                </w:p>
              </w:tc>
              <w:tc>
                <w:tcPr>
                  <w:tcW w:w="1539" w:type="dxa"/>
                  <w:tcBorders>
                    <w:top w:val="single" w:color="auto" w:sz="4" w:space="0"/>
                    <w:left w:val="single" w:color="auto" w:sz="4" w:space="0"/>
                    <w:bottom w:val="single" w:color="auto" w:sz="4" w:space="0"/>
                    <w:right w:val="single" w:color="auto" w:sz="4" w:space="0"/>
                  </w:tcBorders>
                  <w:vAlign w:val="center"/>
                </w:tcPr>
                <w:p w14:paraId="3415BBF7">
                  <w:pPr>
                    <w:pStyle w:val="25"/>
                    <w:widowControl w:val="0"/>
                    <w:snapToGrid w:val="0"/>
                    <w:spacing w:before="0" w:beforeAutospacing="0" w:after="0" w:afterAutospacing="0"/>
                    <w:jc w:val="center"/>
                    <w:rPr>
                      <w:rFonts w:ascii="Times New Roman" w:hAnsi="Times New Roman"/>
                      <w:b/>
                      <w:bCs/>
                      <w:color w:val="auto"/>
                      <w:kern w:val="2"/>
                      <w:sz w:val="21"/>
                      <w:szCs w:val="21"/>
                      <w:lang w:bidi="ar"/>
                    </w:rPr>
                  </w:pPr>
                  <w:r>
                    <w:rPr>
                      <w:rFonts w:ascii="Times New Roman" w:hAnsi="Times New Roman"/>
                      <w:b/>
                      <w:bCs/>
                      <w:color w:val="auto"/>
                      <w:kern w:val="2"/>
                      <w:sz w:val="21"/>
                      <w:szCs w:val="21"/>
                      <w:lang w:bidi="ar"/>
                    </w:rPr>
                    <w:t>备注</w:t>
                  </w:r>
                </w:p>
              </w:tc>
            </w:tr>
            <w:tr w14:paraId="62FAB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123" w:type="dxa"/>
                  <w:vMerge w:val="restart"/>
                  <w:tcBorders>
                    <w:top w:val="nil"/>
                    <w:left w:val="single" w:color="auto" w:sz="4" w:space="0"/>
                    <w:right w:val="single" w:color="auto" w:sz="4" w:space="0"/>
                  </w:tcBorders>
                  <w:vAlign w:val="center"/>
                </w:tcPr>
                <w:p w14:paraId="552408CC">
                  <w:pPr>
                    <w:pStyle w:val="25"/>
                    <w:widowControl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lang w:bidi="ar"/>
                    </w:rPr>
                    <w:t>沥青</w:t>
                  </w:r>
                </w:p>
                <w:p w14:paraId="2680BF6D">
                  <w:pPr>
                    <w:pStyle w:val="25"/>
                    <w:widowControl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lang w:bidi="ar"/>
                    </w:rPr>
                    <w:t>混凝土</w:t>
                  </w:r>
                </w:p>
              </w:tc>
              <w:tc>
                <w:tcPr>
                  <w:tcW w:w="610" w:type="dxa"/>
                  <w:vMerge w:val="restart"/>
                  <w:tcBorders>
                    <w:top w:val="nil"/>
                    <w:left w:val="single" w:color="auto" w:sz="4" w:space="0"/>
                    <w:right w:val="single" w:color="auto" w:sz="4" w:space="0"/>
                  </w:tcBorders>
                  <w:vAlign w:val="center"/>
                </w:tcPr>
                <w:p w14:paraId="396BB2C8">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砂石料</w:t>
                  </w:r>
                </w:p>
              </w:tc>
              <w:tc>
                <w:tcPr>
                  <w:tcW w:w="0" w:type="auto"/>
                  <w:tcBorders>
                    <w:top w:val="single" w:color="auto" w:sz="4" w:space="0"/>
                    <w:left w:val="single" w:color="auto" w:sz="4" w:space="0"/>
                    <w:right w:val="single" w:color="auto" w:sz="4" w:space="0"/>
                  </w:tcBorders>
                  <w:vAlign w:val="center"/>
                </w:tcPr>
                <w:p w14:paraId="2011B66F">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水洗砂</w:t>
                  </w:r>
                </w:p>
              </w:tc>
              <w:tc>
                <w:tcPr>
                  <w:tcW w:w="1348" w:type="dxa"/>
                  <w:tcBorders>
                    <w:top w:val="single" w:color="auto" w:sz="4" w:space="0"/>
                    <w:left w:val="single" w:color="auto" w:sz="4" w:space="0"/>
                    <w:right w:val="single" w:color="auto" w:sz="4" w:space="0"/>
                  </w:tcBorders>
                  <w:vAlign w:val="center"/>
                </w:tcPr>
                <w:p w14:paraId="3A73056C">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0-5</w:t>
                  </w:r>
                  <w:r>
                    <w:rPr>
                      <w:rFonts w:ascii="Times New Roman" w:hAnsi="Times New Roman"/>
                      <w:color w:val="auto"/>
                      <w:kern w:val="2"/>
                      <w:sz w:val="21"/>
                      <w:szCs w:val="21"/>
                      <w:lang w:bidi="ar"/>
                    </w:rPr>
                    <w:t>mm</w:t>
                  </w:r>
                </w:p>
              </w:tc>
              <w:tc>
                <w:tcPr>
                  <w:tcW w:w="1263" w:type="dxa"/>
                  <w:tcBorders>
                    <w:top w:val="single" w:color="auto" w:sz="4" w:space="0"/>
                    <w:left w:val="single" w:color="auto" w:sz="4" w:space="0"/>
                    <w:right w:val="single" w:color="auto" w:sz="4" w:space="0"/>
                  </w:tcBorders>
                  <w:vAlign w:val="center"/>
                </w:tcPr>
                <w:p w14:paraId="7E0F9AA1">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40000</w:t>
                  </w:r>
                </w:p>
              </w:tc>
              <w:tc>
                <w:tcPr>
                  <w:tcW w:w="1990" w:type="dxa"/>
                  <w:vMerge w:val="restart"/>
                  <w:tcBorders>
                    <w:top w:val="single" w:color="auto" w:sz="4" w:space="0"/>
                    <w:left w:val="single" w:color="auto" w:sz="4" w:space="0"/>
                    <w:right w:val="nil"/>
                  </w:tcBorders>
                  <w:vAlign w:val="center"/>
                </w:tcPr>
                <w:p w14:paraId="0C17FE23">
                  <w:pPr>
                    <w:pStyle w:val="25"/>
                    <w:widowControl w:val="0"/>
                    <w:snapToGrid w:val="0"/>
                    <w:spacing w:before="0" w:beforeAutospacing="0" w:after="0" w:afterAutospacing="0"/>
                    <w:jc w:val="center"/>
                    <w:rPr>
                      <w:rFonts w:hint="default" w:ascii="Times New Roman" w:hAnsi="Times New Roman"/>
                      <w:color w:val="auto"/>
                      <w:kern w:val="2"/>
                      <w:sz w:val="21"/>
                      <w:szCs w:val="21"/>
                      <w:lang w:val="en-US" w:bidi="ar"/>
                    </w:rPr>
                  </w:pPr>
                  <w:r>
                    <w:rPr>
                      <w:rFonts w:hint="eastAsia" w:ascii="Times New Roman" w:hAnsi="Times New Roman"/>
                      <w:color w:val="auto"/>
                      <w:kern w:val="2"/>
                      <w:sz w:val="21"/>
                      <w:szCs w:val="21"/>
                      <w:lang w:val="en-US" w:eastAsia="zh-CN" w:bidi="ar"/>
                    </w:rPr>
                    <w:t>分类前储存于待检区（料棚），分类后储存于沥青料仓棚</w:t>
                  </w:r>
                </w:p>
              </w:tc>
              <w:tc>
                <w:tcPr>
                  <w:tcW w:w="1539" w:type="dxa"/>
                  <w:vMerge w:val="restart"/>
                  <w:tcBorders>
                    <w:top w:val="single" w:color="auto" w:sz="4" w:space="0"/>
                    <w:left w:val="single" w:color="auto" w:sz="4" w:space="0"/>
                    <w:right w:val="single" w:color="auto" w:sz="4" w:space="0"/>
                  </w:tcBorders>
                  <w:vAlign w:val="center"/>
                </w:tcPr>
                <w:p w14:paraId="596974F9">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外购</w:t>
                  </w:r>
                </w:p>
              </w:tc>
            </w:tr>
            <w:tr w14:paraId="327A1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123" w:type="dxa"/>
                  <w:vMerge w:val="continue"/>
                  <w:tcBorders>
                    <w:left w:val="single" w:color="auto" w:sz="4" w:space="0"/>
                    <w:right w:val="single" w:color="auto" w:sz="4" w:space="0"/>
                  </w:tcBorders>
                  <w:vAlign w:val="center"/>
                </w:tcPr>
                <w:p w14:paraId="5464271B">
                  <w:pPr>
                    <w:pStyle w:val="25"/>
                    <w:widowControl w:val="0"/>
                    <w:snapToGrid w:val="0"/>
                    <w:spacing w:before="0" w:beforeAutospacing="0" w:after="0" w:afterAutospacing="0"/>
                    <w:jc w:val="center"/>
                    <w:rPr>
                      <w:rFonts w:ascii="Times New Roman" w:hAnsi="Times New Roman"/>
                      <w:color w:val="auto"/>
                      <w:kern w:val="2"/>
                      <w:sz w:val="21"/>
                      <w:szCs w:val="21"/>
                    </w:rPr>
                  </w:pPr>
                </w:p>
              </w:tc>
              <w:tc>
                <w:tcPr>
                  <w:tcW w:w="610" w:type="dxa"/>
                  <w:vMerge w:val="continue"/>
                  <w:tcBorders>
                    <w:left w:val="single" w:color="auto" w:sz="4" w:space="0"/>
                    <w:right w:val="single" w:color="auto" w:sz="4" w:space="0"/>
                  </w:tcBorders>
                  <w:vAlign w:val="center"/>
                </w:tcPr>
                <w:p w14:paraId="5A039286">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c>
                <w:tcPr>
                  <w:tcW w:w="0" w:type="auto"/>
                  <w:tcBorders>
                    <w:top w:val="single" w:color="auto" w:sz="4" w:space="0"/>
                    <w:left w:val="single" w:color="auto" w:sz="4" w:space="0"/>
                    <w:right w:val="single" w:color="auto" w:sz="4" w:space="0"/>
                  </w:tcBorders>
                  <w:vAlign w:val="center"/>
                </w:tcPr>
                <w:p w14:paraId="0474F2FE">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碎石</w:t>
                  </w:r>
                </w:p>
              </w:tc>
              <w:tc>
                <w:tcPr>
                  <w:tcW w:w="1348" w:type="dxa"/>
                  <w:tcBorders>
                    <w:top w:val="single" w:color="auto" w:sz="4" w:space="0"/>
                    <w:left w:val="single" w:color="auto" w:sz="4" w:space="0"/>
                    <w:right w:val="single" w:color="auto" w:sz="4" w:space="0"/>
                  </w:tcBorders>
                  <w:vAlign w:val="center"/>
                </w:tcPr>
                <w:p w14:paraId="4F845522">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5-10</w:t>
                  </w:r>
                  <w:r>
                    <w:rPr>
                      <w:rFonts w:ascii="Times New Roman" w:hAnsi="Times New Roman"/>
                      <w:color w:val="auto"/>
                      <w:kern w:val="2"/>
                      <w:sz w:val="21"/>
                      <w:szCs w:val="21"/>
                      <w:lang w:bidi="ar"/>
                    </w:rPr>
                    <w:t>mm</w:t>
                  </w:r>
                </w:p>
              </w:tc>
              <w:tc>
                <w:tcPr>
                  <w:tcW w:w="1263" w:type="dxa"/>
                  <w:tcBorders>
                    <w:top w:val="single" w:color="auto" w:sz="4" w:space="0"/>
                    <w:left w:val="single" w:color="auto" w:sz="4" w:space="0"/>
                    <w:right w:val="single" w:color="auto" w:sz="4" w:space="0"/>
                  </w:tcBorders>
                  <w:vAlign w:val="center"/>
                </w:tcPr>
                <w:p w14:paraId="09CB4B7F">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10000</w:t>
                  </w:r>
                </w:p>
              </w:tc>
              <w:tc>
                <w:tcPr>
                  <w:tcW w:w="1990" w:type="dxa"/>
                  <w:vMerge w:val="continue"/>
                  <w:tcBorders>
                    <w:left w:val="single" w:color="auto" w:sz="4" w:space="0"/>
                    <w:right w:val="nil"/>
                  </w:tcBorders>
                  <w:vAlign w:val="center"/>
                </w:tcPr>
                <w:p w14:paraId="3EEB0B2A">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c>
                <w:tcPr>
                  <w:tcW w:w="1539" w:type="dxa"/>
                  <w:vMerge w:val="continue"/>
                  <w:tcBorders>
                    <w:left w:val="single" w:color="auto" w:sz="4" w:space="0"/>
                    <w:right w:val="single" w:color="auto" w:sz="4" w:space="0"/>
                  </w:tcBorders>
                  <w:vAlign w:val="center"/>
                </w:tcPr>
                <w:p w14:paraId="66EE351B">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r>
            <w:tr w14:paraId="15DD5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tcBorders>
                    <w:left w:val="single" w:color="auto" w:sz="4" w:space="0"/>
                    <w:right w:val="single" w:color="auto" w:sz="4" w:space="0"/>
                  </w:tcBorders>
                  <w:vAlign w:val="center"/>
                </w:tcPr>
                <w:p w14:paraId="0E6CF8AF">
                  <w:pPr>
                    <w:snapToGrid w:val="0"/>
                    <w:ind w:firstLine="420"/>
                    <w:jc w:val="center"/>
                    <w:rPr>
                      <w:color w:val="auto"/>
                      <w:szCs w:val="21"/>
                    </w:rPr>
                  </w:pPr>
                </w:p>
              </w:tc>
              <w:tc>
                <w:tcPr>
                  <w:tcW w:w="610" w:type="dxa"/>
                  <w:vMerge w:val="continue"/>
                  <w:tcBorders>
                    <w:left w:val="single" w:color="auto" w:sz="4" w:space="0"/>
                    <w:right w:val="single" w:color="auto" w:sz="4" w:space="0"/>
                  </w:tcBorders>
                  <w:vAlign w:val="center"/>
                </w:tcPr>
                <w:p w14:paraId="24812CDE">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c>
                <w:tcPr>
                  <w:tcW w:w="0" w:type="auto"/>
                  <w:tcBorders>
                    <w:top w:val="single" w:color="auto" w:sz="4" w:space="0"/>
                    <w:left w:val="single" w:color="auto" w:sz="4" w:space="0"/>
                    <w:bottom w:val="single" w:color="auto" w:sz="4" w:space="0"/>
                    <w:right w:val="single" w:color="auto" w:sz="4" w:space="0"/>
                  </w:tcBorders>
                  <w:vAlign w:val="center"/>
                </w:tcPr>
                <w:p w14:paraId="13C0BF4B">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碎石</w:t>
                  </w:r>
                </w:p>
              </w:tc>
              <w:tc>
                <w:tcPr>
                  <w:tcW w:w="1348" w:type="dxa"/>
                  <w:tcBorders>
                    <w:top w:val="single" w:color="auto" w:sz="4" w:space="0"/>
                    <w:left w:val="single" w:color="auto" w:sz="4" w:space="0"/>
                    <w:bottom w:val="single" w:color="auto" w:sz="4" w:space="0"/>
                    <w:right w:val="single" w:color="auto" w:sz="4" w:space="0"/>
                  </w:tcBorders>
                  <w:vAlign w:val="center"/>
                </w:tcPr>
                <w:p w14:paraId="101479BD">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10-15mm</w:t>
                  </w:r>
                </w:p>
              </w:tc>
              <w:tc>
                <w:tcPr>
                  <w:tcW w:w="1263" w:type="dxa"/>
                  <w:tcBorders>
                    <w:top w:val="single" w:color="auto" w:sz="4" w:space="0"/>
                    <w:left w:val="single" w:color="auto" w:sz="4" w:space="0"/>
                    <w:bottom w:val="single" w:color="auto" w:sz="4" w:space="0"/>
                    <w:right w:val="single" w:color="auto" w:sz="4" w:space="0"/>
                  </w:tcBorders>
                  <w:vAlign w:val="center"/>
                </w:tcPr>
                <w:p w14:paraId="410CFF24">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20000</w:t>
                  </w:r>
                </w:p>
              </w:tc>
              <w:tc>
                <w:tcPr>
                  <w:tcW w:w="1990" w:type="dxa"/>
                  <w:vMerge w:val="continue"/>
                  <w:tcBorders>
                    <w:left w:val="single" w:color="auto" w:sz="4" w:space="0"/>
                    <w:right w:val="nil"/>
                  </w:tcBorders>
                  <w:vAlign w:val="center"/>
                </w:tcPr>
                <w:p w14:paraId="1C9F715D">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c>
                <w:tcPr>
                  <w:tcW w:w="1539" w:type="dxa"/>
                  <w:vMerge w:val="continue"/>
                  <w:tcBorders>
                    <w:left w:val="single" w:color="auto" w:sz="4" w:space="0"/>
                    <w:right w:val="single" w:color="auto" w:sz="4" w:space="0"/>
                  </w:tcBorders>
                  <w:vAlign w:val="center"/>
                </w:tcPr>
                <w:p w14:paraId="1EEB7B77">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r>
            <w:tr w14:paraId="0CBEE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23" w:type="dxa"/>
                  <w:vMerge w:val="continue"/>
                  <w:tcBorders>
                    <w:left w:val="single" w:color="auto" w:sz="4" w:space="0"/>
                    <w:right w:val="single" w:color="auto" w:sz="4" w:space="0"/>
                  </w:tcBorders>
                  <w:vAlign w:val="center"/>
                </w:tcPr>
                <w:p w14:paraId="45A8F4C8">
                  <w:pPr>
                    <w:snapToGrid w:val="0"/>
                    <w:ind w:firstLine="420"/>
                    <w:jc w:val="center"/>
                    <w:rPr>
                      <w:color w:val="auto"/>
                      <w:szCs w:val="21"/>
                    </w:rPr>
                  </w:pPr>
                </w:p>
              </w:tc>
              <w:tc>
                <w:tcPr>
                  <w:tcW w:w="610" w:type="dxa"/>
                  <w:vMerge w:val="continue"/>
                  <w:tcBorders>
                    <w:left w:val="single" w:color="auto" w:sz="4" w:space="0"/>
                    <w:right w:val="single" w:color="auto" w:sz="4" w:space="0"/>
                  </w:tcBorders>
                  <w:vAlign w:val="center"/>
                </w:tcPr>
                <w:p w14:paraId="72E7585C">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c>
                <w:tcPr>
                  <w:tcW w:w="0" w:type="auto"/>
                  <w:tcBorders>
                    <w:top w:val="single" w:color="auto" w:sz="4" w:space="0"/>
                    <w:left w:val="single" w:color="auto" w:sz="4" w:space="0"/>
                    <w:right w:val="single" w:color="auto" w:sz="4" w:space="0"/>
                  </w:tcBorders>
                  <w:vAlign w:val="center"/>
                </w:tcPr>
                <w:p w14:paraId="2355B374">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碎石</w:t>
                  </w:r>
                </w:p>
              </w:tc>
              <w:tc>
                <w:tcPr>
                  <w:tcW w:w="1348" w:type="dxa"/>
                  <w:tcBorders>
                    <w:top w:val="single" w:color="auto" w:sz="4" w:space="0"/>
                    <w:left w:val="single" w:color="auto" w:sz="4" w:space="0"/>
                    <w:right w:val="single" w:color="auto" w:sz="4" w:space="0"/>
                  </w:tcBorders>
                  <w:vAlign w:val="center"/>
                </w:tcPr>
                <w:p w14:paraId="32982DBF">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15-20</w:t>
                  </w:r>
                  <w:r>
                    <w:rPr>
                      <w:rFonts w:ascii="Times New Roman" w:hAnsi="Times New Roman"/>
                      <w:color w:val="auto"/>
                      <w:kern w:val="2"/>
                      <w:sz w:val="21"/>
                      <w:szCs w:val="21"/>
                      <w:lang w:bidi="ar"/>
                    </w:rPr>
                    <w:t>mm</w:t>
                  </w:r>
                </w:p>
              </w:tc>
              <w:tc>
                <w:tcPr>
                  <w:tcW w:w="1263" w:type="dxa"/>
                  <w:tcBorders>
                    <w:top w:val="single" w:color="auto" w:sz="4" w:space="0"/>
                    <w:left w:val="single" w:color="auto" w:sz="4" w:space="0"/>
                    <w:right w:val="single" w:color="auto" w:sz="4" w:space="0"/>
                  </w:tcBorders>
                  <w:vAlign w:val="center"/>
                </w:tcPr>
                <w:p w14:paraId="34BD0ACC">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26000</w:t>
                  </w:r>
                </w:p>
              </w:tc>
              <w:tc>
                <w:tcPr>
                  <w:tcW w:w="1990" w:type="dxa"/>
                  <w:vMerge w:val="continue"/>
                  <w:tcBorders>
                    <w:left w:val="single" w:color="auto" w:sz="4" w:space="0"/>
                    <w:right w:val="nil"/>
                  </w:tcBorders>
                  <w:vAlign w:val="center"/>
                </w:tcPr>
                <w:p w14:paraId="1BBB049A">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c>
                <w:tcPr>
                  <w:tcW w:w="1539" w:type="dxa"/>
                  <w:vMerge w:val="continue"/>
                  <w:tcBorders>
                    <w:left w:val="single" w:color="auto" w:sz="4" w:space="0"/>
                    <w:right w:val="single" w:color="auto" w:sz="4" w:space="0"/>
                  </w:tcBorders>
                  <w:vAlign w:val="center"/>
                </w:tcPr>
                <w:p w14:paraId="722B41B6">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r>
            <w:tr w14:paraId="09DBF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23" w:type="dxa"/>
                  <w:vMerge w:val="continue"/>
                  <w:tcBorders>
                    <w:left w:val="single" w:color="auto" w:sz="4" w:space="0"/>
                    <w:right w:val="single" w:color="auto" w:sz="4" w:space="0"/>
                  </w:tcBorders>
                  <w:vAlign w:val="center"/>
                </w:tcPr>
                <w:p w14:paraId="16516B3A">
                  <w:pPr>
                    <w:snapToGrid w:val="0"/>
                    <w:ind w:firstLine="420"/>
                    <w:jc w:val="center"/>
                    <w:rPr>
                      <w:color w:val="auto"/>
                      <w:szCs w:val="21"/>
                    </w:rPr>
                  </w:pPr>
                </w:p>
              </w:tc>
              <w:tc>
                <w:tcPr>
                  <w:tcW w:w="610" w:type="dxa"/>
                  <w:vMerge w:val="continue"/>
                  <w:tcBorders>
                    <w:left w:val="single" w:color="auto" w:sz="4" w:space="0"/>
                    <w:bottom w:val="single" w:color="auto" w:sz="4" w:space="0"/>
                    <w:right w:val="single" w:color="auto" w:sz="4" w:space="0"/>
                  </w:tcBorders>
                  <w:vAlign w:val="center"/>
                </w:tcPr>
                <w:p w14:paraId="4F5A2567">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c>
                <w:tcPr>
                  <w:tcW w:w="0" w:type="auto"/>
                  <w:tcBorders>
                    <w:top w:val="single" w:color="auto" w:sz="4" w:space="0"/>
                    <w:left w:val="single" w:color="auto" w:sz="4" w:space="0"/>
                    <w:right w:val="single" w:color="auto" w:sz="4" w:space="0"/>
                  </w:tcBorders>
                  <w:vAlign w:val="center"/>
                </w:tcPr>
                <w:p w14:paraId="5A004643">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碎石</w:t>
                  </w:r>
                </w:p>
              </w:tc>
              <w:tc>
                <w:tcPr>
                  <w:tcW w:w="1348" w:type="dxa"/>
                  <w:tcBorders>
                    <w:top w:val="single" w:color="auto" w:sz="4" w:space="0"/>
                    <w:left w:val="single" w:color="auto" w:sz="4" w:space="0"/>
                    <w:right w:val="single" w:color="auto" w:sz="4" w:space="0"/>
                  </w:tcBorders>
                  <w:vAlign w:val="center"/>
                </w:tcPr>
                <w:p w14:paraId="76C4BB3B">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20-30</w:t>
                  </w:r>
                  <w:r>
                    <w:rPr>
                      <w:rFonts w:ascii="Times New Roman" w:hAnsi="Times New Roman"/>
                      <w:color w:val="auto"/>
                      <w:kern w:val="2"/>
                      <w:sz w:val="21"/>
                      <w:szCs w:val="21"/>
                      <w:lang w:bidi="ar"/>
                    </w:rPr>
                    <w:t>mm</w:t>
                  </w:r>
                </w:p>
              </w:tc>
              <w:tc>
                <w:tcPr>
                  <w:tcW w:w="1263" w:type="dxa"/>
                  <w:tcBorders>
                    <w:top w:val="single" w:color="auto" w:sz="4" w:space="0"/>
                    <w:left w:val="single" w:color="auto" w:sz="4" w:space="0"/>
                    <w:right w:val="single" w:color="auto" w:sz="4" w:space="0"/>
                  </w:tcBorders>
                  <w:vAlign w:val="center"/>
                </w:tcPr>
                <w:p w14:paraId="7D7FB7CD">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16000</w:t>
                  </w:r>
                </w:p>
              </w:tc>
              <w:tc>
                <w:tcPr>
                  <w:tcW w:w="1990" w:type="dxa"/>
                  <w:vMerge w:val="continue"/>
                  <w:tcBorders>
                    <w:left w:val="single" w:color="auto" w:sz="4" w:space="0"/>
                    <w:right w:val="nil"/>
                  </w:tcBorders>
                  <w:vAlign w:val="center"/>
                </w:tcPr>
                <w:p w14:paraId="614CFF3E">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c>
                <w:tcPr>
                  <w:tcW w:w="1539" w:type="dxa"/>
                  <w:vMerge w:val="continue"/>
                  <w:tcBorders>
                    <w:left w:val="single" w:color="auto" w:sz="4" w:space="0"/>
                    <w:right w:val="single" w:color="auto" w:sz="4" w:space="0"/>
                  </w:tcBorders>
                  <w:vAlign w:val="center"/>
                </w:tcPr>
                <w:p w14:paraId="7A77BE4B">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r>
            <w:tr w14:paraId="1D64D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tcBorders>
                    <w:left w:val="single" w:color="auto" w:sz="4" w:space="0"/>
                    <w:right w:val="single" w:color="auto" w:sz="4" w:space="0"/>
                  </w:tcBorders>
                  <w:vAlign w:val="center"/>
                </w:tcPr>
                <w:p w14:paraId="723C95E0">
                  <w:pPr>
                    <w:snapToGrid w:val="0"/>
                    <w:ind w:firstLine="420"/>
                    <w:jc w:val="center"/>
                    <w:rPr>
                      <w:color w:val="auto"/>
                      <w:szCs w:val="21"/>
                    </w:rPr>
                  </w:pPr>
                </w:p>
              </w:tc>
              <w:tc>
                <w:tcPr>
                  <w:tcW w:w="0" w:type="auto"/>
                  <w:gridSpan w:val="2"/>
                  <w:tcBorders>
                    <w:top w:val="single" w:color="auto" w:sz="4" w:space="0"/>
                    <w:left w:val="single" w:color="auto" w:sz="4" w:space="0"/>
                    <w:bottom w:val="single" w:color="auto" w:sz="4" w:space="0"/>
                    <w:right w:val="single" w:color="auto" w:sz="4" w:space="0"/>
                  </w:tcBorders>
                  <w:vAlign w:val="center"/>
                </w:tcPr>
                <w:p w14:paraId="20C4558D">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石粉</w:t>
                  </w:r>
                </w:p>
              </w:tc>
              <w:tc>
                <w:tcPr>
                  <w:tcW w:w="1348" w:type="dxa"/>
                  <w:tcBorders>
                    <w:top w:val="single" w:color="auto" w:sz="4" w:space="0"/>
                    <w:left w:val="single" w:color="auto" w:sz="4" w:space="0"/>
                    <w:bottom w:val="single" w:color="auto" w:sz="4" w:space="0"/>
                    <w:right w:val="single" w:color="auto" w:sz="4" w:space="0"/>
                  </w:tcBorders>
                  <w:vAlign w:val="center"/>
                </w:tcPr>
                <w:p w14:paraId="6F8697D8">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0.075-2.5mm</w:t>
                  </w:r>
                </w:p>
              </w:tc>
              <w:tc>
                <w:tcPr>
                  <w:tcW w:w="1263" w:type="dxa"/>
                  <w:tcBorders>
                    <w:top w:val="single" w:color="auto" w:sz="4" w:space="0"/>
                    <w:left w:val="single" w:color="auto" w:sz="4" w:space="0"/>
                    <w:bottom w:val="single" w:color="auto" w:sz="4" w:space="0"/>
                    <w:right w:val="single" w:color="auto" w:sz="4" w:space="0"/>
                  </w:tcBorders>
                  <w:vAlign w:val="center"/>
                </w:tcPr>
                <w:p w14:paraId="7C175D1C">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6000</w:t>
                  </w:r>
                </w:p>
              </w:tc>
              <w:tc>
                <w:tcPr>
                  <w:tcW w:w="1990" w:type="dxa"/>
                  <w:tcBorders>
                    <w:left w:val="single" w:color="auto" w:sz="4" w:space="0"/>
                    <w:bottom w:val="single" w:color="auto" w:sz="4" w:space="0"/>
                    <w:right w:val="nil"/>
                  </w:tcBorders>
                  <w:vAlign w:val="center"/>
                </w:tcPr>
                <w:p w14:paraId="42B053EF">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eastAsia="zh-CN" w:bidi="ar"/>
                    </w:rPr>
                    <w:t>矿粉储存罐</w:t>
                  </w:r>
                </w:p>
              </w:tc>
              <w:tc>
                <w:tcPr>
                  <w:tcW w:w="1539" w:type="dxa"/>
                  <w:tcBorders>
                    <w:top w:val="single" w:color="auto" w:sz="4" w:space="0"/>
                    <w:left w:val="single" w:color="auto" w:sz="4" w:space="0"/>
                    <w:bottom w:val="single" w:color="auto" w:sz="4" w:space="0"/>
                    <w:right w:val="single" w:color="auto" w:sz="4" w:space="0"/>
                  </w:tcBorders>
                  <w:vAlign w:val="center"/>
                </w:tcPr>
                <w:p w14:paraId="7E1C4392">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外购</w:t>
                  </w:r>
                </w:p>
              </w:tc>
            </w:tr>
            <w:tr w14:paraId="533A4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tcBorders>
                    <w:left w:val="single" w:color="auto" w:sz="4" w:space="0"/>
                    <w:bottom w:val="single" w:color="auto" w:sz="4" w:space="0"/>
                    <w:right w:val="single" w:color="auto" w:sz="4" w:space="0"/>
                  </w:tcBorders>
                  <w:vAlign w:val="center"/>
                </w:tcPr>
                <w:p w14:paraId="22E922F2">
                  <w:pPr>
                    <w:snapToGrid w:val="0"/>
                    <w:ind w:firstLine="420"/>
                    <w:jc w:val="center"/>
                    <w:rPr>
                      <w:color w:val="auto"/>
                      <w:szCs w:val="21"/>
                    </w:rPr>
                  </w:pPr>
                </w:p>
              </w:tc>
              <w:tc>
                <w:tcPr>
                  <w:tcW w:w="0" w:type="auto"/>
                  <w:gridSpan w:val="2"/>
                  <w:tcBorders>
                    <w:top w:val="single" w:color="auto" w:sz="4" w:space="0"/>
                    <w:left w:val="single" w:color="auto" w:sz="4" w:space="0"/>
                    <w:bottom w:val="single" w:color="auto" w:sz="4" w:space="0"/>
                    <w:right w:val="single" w:color="auto" w:sz="4" w:space="0"/>
                  </w:tcBorders>
                  <w:vAlign w:val="center"/>
                </w:tcPr>
                <w:p w14:paraId="789523F1">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沥青</w:t>
                  </w:r>
                </w:p>
              </w:tc>
              <w:tc>
                <w:tcPr>
                  <w:tcW w:w="1348" w:type="dxa"/>
                  <w:tcBorders>
                    <w:top w:val="single" w:color="auto" w:sz="4" w:space="0"/>
                    <w:left w:val="single" w:color="auto" w:sz="4" w:space="0"/>
                    <w:bottom w:val="single" w:color="auto" w:sz="4" w:space="0"/>
                    <w:right w:val="single" w:color="auto" w:sz="4" w:space="0"/>
                  </w:tcBorders>
                  <w:vAlign w:val="center"/>
                </w:tcPr>
                <w:p w14:paraId="4EAC1B63">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w:t>
                  </w:r>
                </w:p>
              </w:tc>
              <w:tc>
                <w:tcPr>
                  <w:tcW w:w="1263" w:type="dxa"/>
                  <w:tcBorders>
                    <w:top w:val="single" w:color="auto" w:sz="4" w:space="0"/>
                    <w:left w:val="single" w:color="auto" w:sz="4" w:space="0"/>
                    <w:bottom w:val="single" w:color="auto" w:sz="4" w:space="0"/>
                    <w:right w:val="single" w:color="auto" w:sz="4" w:space="0"/>
                  </w:tcBorders>
                  <w:vAlign w:val="center"/>
                </w:tcPr>
                <w:p w14:paraId="656AE046">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2000</w:t>
                  </w:r>
                </w:p>
              </w:tc>
              <w:tc>
                <w:tcPr>
                  <w:tcW w:w="1990" w:type="dxa"/>
                  <w:tcBorders>
                    <w:top w:val="single" w:color="auto" w:sz="4" w:space="0"/>
                    <w:left w:val="single" w:color="auto" w:sz="4" w:space="0"/>
                    <w:bottom w:val="single" w:color="auto" w:sz="4" w:space="0"/>
                    <w:right w:val="nil"/>
                  </w:tcBorders>
                  <w:vAlign w:val="center"/>
                </w:tcPr>
                <w:p w14:paraId="5134116F">
                  <w:pPr>
                    <w:pStyle w:val="25"/>
                    <w:widowControl w:val="0"/>
                    <w:snapToGrid w:val="0"/>
                    <w:spacing w:before="0" w:beforeAutospacing="0" w:after="0" w:afterAutospacing="0"/>
                    <w:jc w:val="center"/>
                    <w:rPr>
                      <w:rFonts w:hint="eastAsia" w:ascii="Times New Roman" w:hAnsi="Times New Roman" w:eastAsia="宋体"/>
                      <w:color w:val="auto"/>
                      <w:kern w:val="2"/>
                      <w:sz w:val="21"/>
                      <w:szCs w:val="21"/>
                      <w:lang w:eastAsia="zh-CN" w:bidi="ar"/>
                    </w:rPr>
                  </w:pPr>
                  <w:r>
                    <w:rPr>
                      <w:rFonts w:hint="eastAsia" w:ascii="Times New Roman" w:hAnsi="Times New Roman"/>
                      <w:color w:val="auto"/>
                      <w:kern w:val="2"/>
                      <w:sz w:val="21"/>
                      <w:szCs w:val="21"/>
                      <w:lang w:bidi="ar"/>
                    </w:rPr>
                    <w:t>沥青储备罐</w:t>
                  </w:r>
                </w:p>
              </w:tc>
              <w:tc>
                <w:tcPr>
                  <w:tcW w:w="1539" w:type="dxa"/>
                  <w:tcBorders>
                    <w:top w:val="single" w:color="auto" w:sz="4" w:space="0"/>
                    <w:left w:val="single" w:color="auto" w:sz="4" w:space="0"/>
                    <w:bottom w:val="single" w:color="auto" w:sz="4" w:space="0"/>
                    <w:right w:val="single" w:color="auto" w:sz="4" w:space="0"/>
                  </w:tcBorders>
                  <w:vAlign w:val="center"/>
                </w:tcPr>
                <w:p w14:paraId="64F3E9EB">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外购</w:t>
                  </w:r>
                </w:p>
              </w:tc>
            </w:tr>
            <w:tr w14:paraId="5F3A4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0" w:type="auto"/>
                  <w:vMerge w:val="restart"/>
                  <w:tcBorders>
                    <w:top w:val="nil"/>
                    <w:left w:val="single" w:color="auto" w:sz="4" w:space="0"/>
                    <w:bottom w:val="single" w:color="auto" w:sz="4" w:space="0"/>
                    <w:right w:val="single" w:color="auto" w:sz="4" w:space="0"/>
                  </w:tcBorders>
                  <w:vAlign w:val="center"/>
                </w:tcPr>
                <w:p w14:paraId="783917A5">
                  <w:pPr>
                    <w:pStyle w:val="25"/>
                    <w:widowControl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lang w:bidi="ar"/>
                    </w:rPr>
                    <w:t>水泥</w:t>
                  </w:r>
                </w:p>
                <w:p w14:paraId="2219BB1C">
                  <w:pPr>
                    <w:pStyle w:val="25"/>
                    <w:widowControl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lang w:bidi="ar"/>
                    </w:rPr>
                    <w:t>稳定土</w:t>
                  </w:r>
                </w:p>
              </w:tc>
              <w:tc>
                <w:tcPr>
                  <w:tcW w:w="0" w:type="auto"/>
                  <w:gridSpan w:val="2"/>
                  <w:tcBorders>
                    <w:top w:val="single" w:color="auto" w:sz="4" w:space="0"/>
                    <w:left w:val="single" w:color="auto" w:sz="4" w:space="0"/>
                    <w:bottom w:val="single" w:color="auto" w:sz="4" w:space="0"/>
                    <w:right w:val="single" w:color="auto" w:sz="4" w:space="0"/>
                  </w:tcBorders>
                  <w:vAlign w:val="center"/>
                </w:tcPr>
                <w:p w14:paraId="4288E080">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中砂</w:t>
                  </w:r>
                </w:p>
              </w:tc>
              <w:tc>
                <w:tcPr>
                  <w:tcW w:w="1348" w:type="dxa"/>
                  <w:tcBorders>
                    <w:top w:val="single" w:color="auto" w:sz="4" w:space="0"/>
                    <w:left w:val="single" w:color="auto" w:sz="4" w:space="0"/>
                    <w:bottom w:val="single" w:color="auto" w:sz="4" w:space="0"/>
                    <w:right w:val="single" w:color="auto" w:sz="4" w:space="0"/>
                  </w:tcBorders>
                  <w:vAlign w:val="center"/>
                </w:tcPr>
                <w:p w14:paraId="0D619981">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2.3-</w:t>
                  </w:r>
                  <w:r>
                    <w:rPr>
                      <w:rFonts w:hint="eastAsia" w:ascii="Times New Roman" w:hAnsi="Times New Roman"/>
                      <w:color w:val="auto"/>
                      <w:kern w:val="2"/>
                      <w:sz w:val="21"/>
                      <w:szCs w:val="21"/>
                      <w:lang w:bidi="ar"/>
                    </w:rPr>
                    <w:t>5</w:t>
                  </w:r>
                  <w:r>
                    <w:rPr>
                      <w:rFonts w:ascii="Times New Roman" w:hAnsi="Times New Roman"/>
                      <w:color w:val="auto"/>
                      <w:kern w:val="2"/>
                      <w:sz w:val="21"/>
                      <w:szCs w:val="21"/>
                      <w:lang w:bidi="ar"/>
                    </w:rPr>
                    <w:t>mm</w:t>
                  </w:r>
                </w:p>
              </w:tc>
              <w:tc>
                <w:tcPr>
                  <w:tcW w:w="1263" w:type="dxa"/>
                  <w:tcBorders>
                    <w:top w:val="single" w:color="auto" w:sz="4" w:space="0"/>
                    <w:left w:val="single" w:color="auto" w:sz="4" w:space="0"/>
                    <w:bottom w:val="single" w:color="auto" w:sz="4" w:space="0"/>
                    <w:right w:val="single" w:color="auto" w:sz="4" w:space="0"/>
                  </w:tcBorders>
                  <w:vAlign w:val="center"/>
                </w:tcPr>
                <w:p w14:paraId="6DA9C85A">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12000</w:t>
                  </w:r>
                </w:p>
              </w:tc>
              <w:tc>
                <w:tcPr>
                  <w:tcW w:w="1990" w:type="dxa"/>
                  <w:vMerge w:val="restart"/>
                  <w:tcBorders>
                    <w:top w:val="nil"/>
                    <w:left w:val="single" w:color="auto" w:sz="4" w:space="0"/>
                    <w:right w:val="nil"/>
                  </w:tcBorders>
                  <w:vAlign w:val="center"/>
                </w:tcPr>
                <w:p w14:paraId="202702C1">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val="en-US" w:eastAsia="zh-CN" w:bidi="ar"/>
                    </w:rPr>
                    <w:t>分类前储存于待检区（料棚），分类后储存于水稳料仓棚</w:t>
                  </w:r>
                </w:p>
              </w:tc>
              <w:tc>
                <w:tcPr>
                  <w:tcW w:w="1539" w:type="dxa"/>
                  <w:vMerge w:val="restart"/>
                  <w:tcBorders>
                    <w:top w:val="nil"/>
                    <w:left w:val="single" w:color="auto" w:sz="4" w:space="0"/>
                    <w:right w:val="single" w:color="auto" w:sz="4" w:space="0"/>
                  </w:tcBorders>
                  <w:vAlign w:val="center"/>
                </w:tcPr>
                <w:p w14:paraId="288A31D4">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外购</w:t>
                  </w:r>
                </w:p>
                <w:p w14:paraId="2AE5A982">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r>
            <w:tr w14:paraId="08EAC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0" w:type="auto"/>
                  <w:vMerge w:val="continue"/>
                  <w:tcBorders>
                    <w:top w:val="nil"/>
                    <w:left w:val="single" w:color="auto" w:sz="4" w:space="0"/>
                    <w:bottom w:val="single" w:color="auto" w:sz="4" w:space="0"/>
                    <w:right w:val="single" w:color="auto" w:sz="4" w:space="0"/>
                  </w:tcBorders>
                  <w:vAlign w:val="center"/>
                </w:tcPr>
                <w:p w14:paraId="6D25A8EA">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c>
                <w:tcPr>
                  <w:tcW w:w="0" w:type="auto"/>
                  <w:gridSpan w:val="2"/>
                  <w:tcBorders>
                    <w:top w:val="single" w:color="auto" w:sz="4" w:space="0"/>
                    <w:left w:val="single" w:color="auto" w:sz="4" w:space="0"/>
                    <w:bottom w:val="single" w:color="auto" w:sz="4" w:space="0"/>
                    <w:right w:val="single" w:color="auto" w:sz="4" w:space="0"/>
                  </w:tcBorders>
                  <w:vAlign w:val="center"/>
                </w:tcPr>
                <w:p w14:paraId="3C6A5BD8">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砾石</w:t>
                  </w:r>
                </w:p>
              </w:tc>
              <w:tc>
                <w:tcPr>
                  <w:tcW w:w="1348" w:type="dxa"/>
                  <w:tcBorders>
                    <w:top w:val="single" w:color="auto" w:sz="4" w:space="0"/>
                    <w:left w:val="single" w:color="auto" w:sz="4" w:space="0"/>
                    <w:bottom w:val="single" w:color="auto" w:sz="4" w:space="0"/>
                    <w:right w:val="single" w:color="auto" w:sz="4" w:space="0"/>
                  </w:tcBorders>
                  <w:vAlign w:val="center"/>
                </w:tcPr>
                <w:p w14:paraId="5DDE74C6">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5-10</w:t>
                  </w:r>
                  <w:r>
                    <w:rPr>
                      <w:rFonts w:ascii="Times New Roman" w:hAnsi="Times New Roman"/>
                      <w:color w:val="auto"/>
                      <w:kern w:val="2"/>
                      <w:sz w:val="21"/>
                      <w:szCs w:val="21"/>
                      <w:lang w:bidi="ar"/>
                    </w:rPr>
                    <w:t>mm</w:t>
                  </w:r>
                </w:p>
              </w:tc>
              <w:tc>
                <w:tcPr>
                  <w:tcW w:w="1263" w:type="dxa"/>
                  <w:tcBorders>
                    <w:top w:val="single" w:color="auto" w:sz="4" w:space="0"/>
                    <w:left w:val="single" w:color="auto" w:sz="4" w:space="0"/>
                    <w:bottom w:val="single" w:color="auto" w:sz="4" w:space="0"/>
                    <w:right w:val="single" w:color="auto" w:sz="4" w:space="0"/>
                  </w:tcBorders>
                  <w:vAlign w:val="center"/>
                </w:tcPr>
                <w:p w14:paraId="7C01BBFA">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24000</w:t>
                  </w:r>
                </w:p>
              </w:tc>
              <w:tc>
                <w:tcPr>
                  <w:tcW w:w="1990" w:type="dxa"/>
                  <w:vMerge w:val="continue"/>
                  <w:tcBorders>
                    <w:left w:val="single" w:color="auto" w:sz="4" w:space="0"/>
                    <w:right w:val="nil"/>
                  </w:tcBorders>
                  <w:vAlign w:val="center"/>
                </w:tcPr>
                <w:p w14:paraId="024D690D">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c>
                <w:tcPr>
                  <w:tcW w:w="1539" w:type="dxa"/>
                  <w:vMerge w:val="continue"/>
                  <w:tcBorders>
                    <w:top w:val="nil"/>
                    <w:left w:val="single" w:color="auto" w:sz="4" w:space="0"/>
                    <w:right w:val="single" w:color="auto" w:sz="4" w:space="0"/>
                  </w:tcBorders>
                  <w:vAlign w:val="center"/>
                </w:tcPr>
                <w:p w14:paraId="19969D3C">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r>
            <w:tr w14:paraId="6BB73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0" w:type="auto"/>
                  <w:vMerge w:val="continue"/>
                  <w:tcBorders>
                    <w:top w:val="nil"/>
                    <w:left w:val="single" w:color="auto" w:sz="4" w:space="0"/>
                    <w:bottom w:val="single" w:color="auto" w:sz="4" w:space="0"/>
                    <w:right w:val="single" w:color="auto" w:sz="4" w:space="0"/>
                  </w:tcBorders>
                  <w:vAlign w:val="center"/>
                </w:tcPr>
                <w:p w14:paraId="1BEBAFC5">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c>
                <w:tcPr>
                  <w:tcW w:w="0" w:type="auto"/>
                  <w:gridSpan w:val="2"/>
                  <w:tcBorders>
                    <w:top w:val="single" w:color="auto" w:sz="4" w:space="0"/>
                    <w:left w:val="single" w:color="auto" w:sz="4" w:space="0"/>
                    <w:bottom w:val="single" w:color="auto" w:sz="4" w:space="0"/>
                    <w:right w:val="single" w:color="auto" w:sz="4" w:space="0"/>
                  </w:tcBorders>
                  <w:vAlign w:val="center"/>
                </w:tcPr>
                <w:p w14:paraId="00371D6F">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砾石</w:t>
                  </w:r>
                </w:p>
              </w:tc>
              <w:tc>
                <w:tcPr>
                  <w:tcW w:w="1348" w:type="dxa"/>
                  <w:tcBorders>
                    <w:top w:val="single" w:color="auto" w:sz="4" w:space="0"/>
                    <w:left w:val="single" w:color="auto" w:sz="4" w:space="0"/>
                    <w:bottom w:val="single" w:color="auto" w:sz="4" w:space="0"/>
                    <w:right w:val="single" w:color="auto" w:sz="4" w:space="0"/>
                  </w:tcBorders>
                  <w:vAlign w:val="center"/>
                </w:tcPr>
                <w:p w14:paraId="668D2998">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10-15</w:t>
                  </w:r>
                  <w:r>
                    <w:rPr>
                      <w:rFonts w:ascii="Times New Roman" w:hAnsi="Times New Roman"/>
                      <w:color w:val="auto"/>
                      <w:kern w:val="2"/>
                      <w:sz w:val="21"/>
                      <w:szCs w:val="21"/>
                      <w:lang w:bidi="ar"/>
                    </w:rPr>
                    <w:t>mm</w:t>
                  </w:r>
                </w:p>
              </w:tc>
              <w:tc>
                <w:tcPr>
                  <w:tcW w:w="1263" w:type="dxa"/>
                  <w:tcBorders>
                    <w:top w:val="single" w:color="auto" w:sz="4" w:space="0"/>
                    <w:left w:val="single" w:color="auto" w:sz="4" w:space="0"/>
                    <w:bottom w:val="single" w:color="auto" w:sz="4" w:space="0"/>
                    <w:right w:val="single" w:color="auto" w:sz="4" w:space="0"/>
                  </w:tcBorders>
                  <w:vAlign w:val="center"/>
                </w:tcPr>
                <w:p w14:paraId="50558A9B">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48000</w:t>
                  </w:r>
                </w:p>
              </w:tc>
              <w:tc>
                <w:tcPr>
                  <w:tcW w:w="1990" w:type="dxa"/>
                  <w:vMerge w:val="continue"/>
                  <w:tcBorders>
                    <w:left w:val="single" w:color="auto" w:sz="4" w:space="0"/>
                    <w:right w:val="nil"/>
                  </w:tcBorders>
                  <w:vAlign w:val="center"/>
                </w:tcPr>
                <w:p w14:paraId="444B04CE">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c>
                <w:tcPr>
                  <w:tcW w:w="1539" w:type="dxa"/>
                  <w:vMerge w:val="continue"/>
                  <w:tcBorders>
                    <w:left w:val="single" w:color="auto" w:sz="4" w:space="0"/>
                    <w:right w:val="single" w:color="auto" w:sz="4" w:space="0"/>
                  </w:tcBorders>
                  <w:vAlign w:val="center"/>
                </w:tcPr>
                <w:p w14:paraId="41B4E31C">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r>
            <w:tr w14:paraId="7DAC6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0" w:type="auto"/>
                  <w:vMerge w:val="continue"/>
                  <w:tcBorders>
                    <w:top w:val="nil"/>
                    <w:left w:val="single" w:color="auto" w:sz="4" w:space="0"/>
                    <w:bottom w:val="single" w:color="auto" w:sz="4" w:space="0"/>
                    <w:right w:val="single" w:color="auto" w:sz="4" w:space="0"/>
                  </w:tcBorders>
                  <w:vAlign w:val="center"/>
                </w:tcPr>
                <w:p w14:paraId="0EB074F2">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c>
                <w:tcPr>
                  <w:tcW w:w="0" w:type="auto"/>
                  <w:gridSpan w:val="2"/>
                  <w:tcBorders>
                    <w:top w:val="single" w:color="auto" w:sz="4" w:space="0"/>
                    <w:left w:val="single" w:color="auto" w:sz="4" w:space="0"/>
                    <w:bottom w:val="single" w:color="auto" w:sz="4" w:space="0"/>
                    <w:right w:val="single" w:color="auto" w:sz="4" w:space="0"/>
                  </w:tcBorders>
                  <w:vAlign w:val="center"/>
                </w:tcPr>
                <w:p w14:paraId="2C31C10E">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砾石</w:t>
                  </w:r>
                </w:p>
              </w:tc>
              <w:tc>
                <w:tcPr>
                  <w:tcW w:w="1348" w:type="dxa"/>
                  <w:tcBorders>
                    <w:top w:val="single" w:color="auto" w:sz="4" w:space="0"/>
                    <w:left w:val="single" w:color="auto" w:sz="4" w:space="0"/>
                    <w:bottom w:val="single" w:color="auto" w:sz="4" w:space="0"/>
                    <w:right w:val="single" w:color="auto" w:sz="4" w:space="0"/>
                  </w:tcBorders>
                  <w:vAlign w:val="center"/>
                </w:tcPr>
                <w:p w14:paraId="4E0E35F2">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15-20</w:t>
                  </w:r>
                  <w:r>
                    <w:rPr>
                      <w:rFonts w:ascii="Times New Roman" w:hAnsi="Times New Roman"/>
                      <w:color w:val="auto"/>
                      <w:kern w:val="2"/>
                      <w:sz w:val="21"/>
                      <w:szCs w:val="21"/>
                      <w:lang w:bidi="ar"/>
                    </w:rPr>
                    <w:t>mm</w:t>
                  </w:r>
                </w:p>
              </w:tc>
              <w:tc>
                <w:tcPr>
                  <w:tcW w:w="1263" w:type="dxa"/>
                  <w:tcBorders>
                    <w:top w:val="single" w:color="auto" w:sz="4" w:space="0"/>
                    <w:left w:val="single" w:color="auto" w:sz="4" w:space="0"/>
                    <w:bottom w:val="single" w:color="auto" w:sz="4" w:space="0"/>
                    <w:right w:val="single" w:color="auto" w:sz="4" w:space="0"/>
                  </w:tcBorders>
                  <w:vAlign w:val="center"/>
                </w:tcPr>
                <w:p w14:paraId="14FBCF02">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36000</w:t>
                  </w:r>
                </w:p>
              </w:tc>
              <w:tc>
                <w:tcPr>
                  <w:tcW w:w="1990" w:type="dxa"/>
                  <w:vMerge w:val="continue"/>
                  <w:tcBorders>
                    <w:left w:val="single" w:color="auto" w:sz="4" w:space="0"/>
                    <w:right w:val="nil"/>
                  </w:tcBorders>
                  <w:vAlign w:val="center"/>
                </w:tcPr>
                <w:p w14:paraId="1091DDDA">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c>
                <w:tcPr>
                  <w:tcW w:w="1539" w:type="dxa"/>
                  <w:vMerge w:val="continue"/>
                  <w:tcBorders>
                    <w:left w:val="single" w:color="auto" w:sz="4" w:space="0"/>
                    <w:right w:val="single" w:color="auto" w:sz="4" w:space="0"/>
                  </w:tcBorders>
                  <w:vAlign w:val="center"/>
                </w:tcPr>
                <w:p w14:paraId="6A48FA9B">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r>
            <w:tr w14:paraId="0694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0" w:type="auto"/>
                  <w:vMerge w:val="continue"/>
                  <w:tcBorders>
                    <w:top w:val="nil"/>
                    <w:left w:val="single" w:color="auto" w:sz="4" w:space="0"/>
                    <w:bottom w:val="single" w:color="auto" w:sz="4" w:space="0"/>
                    <w:right w:val="single" w:color="auto" w:sz="4" w:space="0"/>
                  </w:tcBorders>
                  <w:vAlign w:val="center"/>
                </w:tcPr>
                <w:p w14:paraId="1A164510">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c>
                <w:tcPr>
                  <w:tcW w:w="0" w:type="auto"/>
                  <w:gridSpan w:val="2"/>
                  <w:tcBorders>
                    <w:top w:val="single" w:color="auto" w:sz="4" w:space="0"/>
                    <w:left w:val="single" w:color="auto" w:sz="4" w:space="0"/>
                    <w:bottom w:val="single" w:color="auto" w:sz="4" w:space="0"/>
                    <w:right w:val="single" w:color="auto" w:sz="4" w:space="0"/>
                  </w:tcBorders>
                  <w:vAlign w:val="center"/>
                </w:tcPr>
                <w:p w14:paraId="3688D00F">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水泥</w:t>
                  </w:r>
                </w:p>
              </w:tc>
              <w:tc>
                <w:tcPr>
                  <w:tcW w:w="1348" w:type="dxa"/>
                  <w:tcBorders>
                    <w:top w:val="single" w:color="auto" w:sz="4" w:space="0"/>
                    <w:left w:val="single" w:color="auto" w:sz="4" w:space="0"/>
                    <w:bottom w:val="single" w:color="auto" w:sz="4" w:space="0"/>
                    <w:right w:val="single" w:color="auto" w:sz="4" w:space="0"/>
                  </w:tcBorders>
                  <w:vAlign w:val="center"/>
                </w:tcPr>
                <w:p w14:paraId="3304E059">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0.075-2.5mm</w:t>
                  </w:r>
                </w:p>
              </w:tc>
              <w:tc>
                <w:tcPr>
                  <w:tcW w:w="1263" w:type="dxa"/>
                  <w:tcBorders>
                    <w:top w:val="single" w:color="auto" w:sz="4" w:space="0"/>
                    <w:left w:val="single" w:color="auto" w:sz="4" w:space="0"/>
                    <w:bottom w:val="single" w:color="auto" w:sz="4" w:space="0"/>
                    <w:right w:val="single" w:color="auto" w:sz="4" w:space="0"/>
                  </w:tcBorders>
                  <w:vAlign w:val="center"/>
                </w:tcPr>
                <w:p w14:paraId="31BD03B1">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8000</w:t>
                  </w:r>
                </w:p>
              </w:tc>
              <w:tc>
                <w:tcPr>
                  <w:tcW w:w="1990" w:type="dxa"/>
                  <w:tcBorders>
                    <w:left w:val="single" w:color="auto" w:sz="4" w:space="0"/>
                    <w:right w:val="nil"/>
                  </w:tcBorders>
                  <w:vAlign w:val="center"/>
                </w:tcPr>
                <w:p w14:paraId="43D6DBEF">
                  <w:pPr>
                    <w:pStyle w:val="25"/>
                    <w:widowControl w:val="0"/>
                    <w:snapToGrid w:val="0"/>
                    <w:spacing w:before="0" w:beforeAutospacing="0" w:after="0" w:afterAutospacing="0"/>
                    <w:jc w:val="center"/>
                    <w:rPr>
                      <w:rFonts w:hint="eastAsia" w:ascii="Times New Roman" w:hAnsi="Times New Roman" w:eastAsia="宋体"/>
                      <w:color w:val="auto"/>
                      <w:kern w:val="2"/>
                      <w:sz w:val="21"/>
                      <w:szCs w:val="21"/>
                      <w:lang w:eastAsia="zh-CN" w:bidi="ar"/>
                    </w:rPr>
                  </w:pPr>
                  <w:r>
                    <w:rPr>
                      <w:rFonts w:hint="eastAsia" w:ascii="Times New Roman" w:hAnsi="Times New Roman"/>
                      <w:color w:val="auto"/>
                      <w:kern w:val="2"/>
                      <w:sz w:val="21"/>
                      <w:szCs w:val="21"/>
                      <w:lang w:bidi="ar"/>
                    </w:rPr>
                    <w:t>水泥罐</w:t>
                  </w:r>
                </w:p>
              </w:tc>
              <w:tc>
                <w:tcPr>
                  <w:tcW w:w="1539" w:type="dxa"/>
                  <w:vMerge w:val="continue"/>
                  <w:tcBorders>
                    <w:left w:val="single" w:color="auto" w:sz="4" w:space="0"/>
                    <w:right w:val="single" w:color="auto" w:sz="4" w:space="0"/>
                  </w:tcBorders>
                  <w:vAlign w:val="center"/>
                </w:tcPr>
                <w:p w14:paraId="53798B7B">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r>
            <w:tr w14:paraId="7E973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0" w:type="auto"/>
                  <w:vMerge w:val="continue"/>
                  <w:tcBorders>
                    <w:top w:val="nil"/>
                    <w:left w:val="single" w:color="auto" w:sz="4" w:space="0"/>
                    <w:bottom w:val="single" w:color="auto" w:sz="4" w:space="0"/>
                    <w:right w:val="single" w:color="auto" w:sz="4" w:space="0"/>
                  </w:tcBorders>
                  <w:vAlign w:val="center"/>
                </w:tcPr>
                <w:p w14:paraId="0C8ED0E9">
                  <w:pPr>
                    <w:snapToGrid w:val="0"/>
                    <w:ind w:firstLine="420"/>
                    <w:jc w:val="center"/>
                    <w:rPr>
                      <w:color w:val="auto"/>
                      <w:szCs w:val="21"/>
                    </w:rPr>
                  </w:pPr>
                </w:p>
              </w:tc>
              <w:tc>
                <w:tcPr>
                  <w:tcW w:w="0" w:type="auto"/>
                  <w:gridSpan w:val="2"/>
                  <w:tcBorders>
                    <w:top w:val="single" w:color="auto" w:sz="4" w:space="0"/>
                    <w:left w:val="single" w:color="auto" w:sz="4" w:space="0"/>
                    <w:bottom w:val="single" w:color="auto" w:sz="4" w:space="0"/>
                    <w:right w:val="single" w:color="auto" w:sz="4" w:space="0"/>
                  </w:tcBorders>
                  <w:vAlign w:val="center"/>
                </w:tcPr>
                <w:p w14:paraId="5F8036DB">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石粉</w:t>
                  </w:r>
                </w:p>
              </w:tc>
              <w:tc>
                <w:tcPr>
                  <w:tcW w:w="1348" w:type="dxa"/>
                  <w:tcBorders>
                    <w:top w:val="single" w:color="auto" w:sz="4" w:space="0"/>
                    <w:left w:val="single" w:color="auto" w:sz="4" w:space="0"/>
                    <w:bottom w:val="single" w:color="auto" w:sz="4" w:space="0"/>
                    <w:right w:val="single" w:color="auto" w:sz="4" w:space="0"/>
                  </w:tcBorders>
                  <w:vAlign w:val="center"/>
                </w:tcPr>
                <w:p w14:paraId="45AA6285">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0.075-2.5mm</w:t>
                  </w:r>
                </w:p>
              </w:tc>
              <w:tc>
                <w:tcPr>
                  <w:tcW w:w="1263" w:type="dxa"/>
                  <w:tcBorders>
                    <w:top w:val="single" w:color="auto" w:sz="4" w:space="0"/>
                    <w:left w:val="single" w:color="auto" w:sz="4" w:space="0"/>
                    <w:bottom w:val="single" w:color="auto" w:sz="4" w:space="0"/>
                    <w:right w:val="single" w:color="auto" w:sz="4" w:space="0"/>
                  </w:tcBorders>
                  <w:vAlign w:val="center"/>
                </w:tcPr>
                <w:p w14:paraId="0687DCB8">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66000</w:t>
                  </w:r>
                </w:p>
              </w:tc>
              <w:tc>
                <w:tcPr>
                  <w:tcW w:w="1990" w:type="dxa"/>
                  <w:tcBorders>
                    <w:left w:val="single" w:color="auto" w:sz="4" w:space="0"/>
                    <w:bottom w:val="single" w:color="auto" w:sz="4" w:space="0"/>
                    <w:right w:val="nil"/>
                  </w:tcBorders>
                  <w:vAlign w:val="center"/>
                </w:tcPr>
                <w:p w14:paraId="2D07B5E7">
                  <w:pPr>
                    <w:pStyle w:val="25"/>
                    <w:widowControl w:val="0"/>
                    <w:snapToGrid w:val="0"/>
                    <w:spacing w:before="0" w:beforeAutospacing="0" w:after="0" w:afterAutospacing="0"/>
                    <w:jc w:val="center"/>
                    <w:rPr>
                      <w:rFonts w:hint="eastAsia" w:ascii="Times New Roman" w:hAnsi="Times New Roman" w:eastAsia="宋体"/>
                      <w:color w:val="auto"/>
                      <w:kern w:val="2"/>
                      <w:sz w:val="21"/>
                      <w:szCs w:val="21"/>
                      <w:lang w:eastAsia="zh-CN" w:bidi="ar"/>
                    </w:rPr>
                  </w:pPr>
                  <w:r>
                    <w:rPr>
                      <w:rFonts w:hint="eastAsia" w:ascii="Times New Roman" w:hAnsi="Times New Roman"/>
                      <w:color w:val="auto"/>
                      <w:kern w:val="2"/>
                      <w:sz w:val="21"/>
                      <w:szCs w:val="21"/>
                      <w:lang w:bidi="ar"/>
                    </w:rPr>
                    <w:t>矿粉储</w:t>
                  </w:r>
                  <w:r>
                    <w:rPr>
                      <w:rFonts w:hint="eastAsia" w:ascii="Times New Roman" w:hAnsi="Times New Roman"/>
                      <w:color w:val="auto"/>
                      <w:kern w:val="2"/>
                      <w:sz w:val="21"/>
                      <w:szCs w:val="21"/>
                      <w:lang w:val="en-US" w:eastAsia="zh-CN" w:bidi="ar"/>
                    </w:rPr>
                    <w:t>备</w:t>
                  </w:r>
                  <w:r>
                    <w:rPr>
                      <w:rFonts w:hint="eastAsia" w:ascii="Times New Roman" w:hAnsi="Times New Roman"/>
                      <w:color w:val="auto"/>
                      <w:kern w:val="2"/>
                      <w:sz w:val="21"/>
                      <w:szCs w:val="21"/>
                      <w:lang w:bidi="ar"/>
                    </w:rPr>
                    <w:t>罐</w:t>
                  </w:r>
                </w:p>
              </w:tc>
              <w:tc>
                <w:tcPr>
                  <w:tcW w:w="1539" w:type="dxa"/>
                  <w:tcBorders>
                    <w:left w:val="single" w:color="auto" w:sz="4" w:space="0"/>
                    <w:bottom w:val="single" w:color="auto" w:sz="4" w:space="0"/>
                    <w:right w:val="single" w:color="auto" w:sz="4" w:space="0"/>
                  </w:tcBorders>
                  <w:vAlign w:val="center"/>
                </w:tcPr>
                <w:p w14:paraId="10599BBD">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外购</w:t>
                  </w:r>
                </w:p>
              </w:tc>
            </w:tr>
            <w:tr w14:paraId="433D5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3" w:type="dxa"/>
                  <w:vMerge w:val="restart"/>
                  <w:tcBorders>
                    <w:top w:val="single" w:color="auto" w:sz="4" w:space="0"/>
                    <w:left w:val="single" w:color="auto" w:sz="4" w:space="0"/>
                    <w:right w:val="single" w:color="auto" w:sz="4" w:space="0"/>
                  </w:tcBorders>
                  <w:vAlign w:val="center"/>
                </w:tcPr>
                <w:p w14:paraId="3D51E011">
                  <w:pPr>
                    <w:snapToGrid w:val="0"/>
                    <w:jc w:val="center"/>
                    <w:rPr>
                      <w:color w:val="auto"/>
                      <w:szCs w:val="21"/>
                    </w:rPr>
                  </w:pPr>
                  <w:r>
                    <w:rPr>
                      <w:color w:val="auto"/>
                      <w:szCs w:val="21"/>
                      <w:lang w:bidi="ar"/>
                    </w:rPr>
                    <w:t>能源、资源消耗</w:t>
                  </w:r>
                </w:p>
              </w:tc>
              <w:tc>
                <w:tcPr>
                  <w:tcW w:w="2384" w:type="dxa"/>
                  <w:gridSpan w:val="3"/>
                  <w:tcBorders>
                    <w:top w:val="single" w:color="auto" w:sz="4" w:space="0"/>
                    <w:left w:val="single" w:color="auto" w:sz="4" w:space="0"/>
                    <w:bottom w:val="single" w:color="auto" w:sz="4" w:space="0"/>
                    <w:right w:val="single" w:color="auto" w:sz="4" w:space="0"/>
                  </w:tcBorders>
                  <w:vAlign w:val="center"/>
                </w:tcPr>
                <w:p w14:paraId="52AC58C2">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水</w:t>
                  </w:r>
                </w:p>
              </w:tc>
              <w:tc>
                <w:tcPr>
                  <w:tcW w:w="1263" w:type="dxa"/>
                  <w:tcBorders>
                    <w:top w:val="single" w:color="auto" w:sz="4" w:space="0"/>
                    <w:left w:val="single" w:color="auto" w:sz="4" w:space="0"/>
                    <w:bottom w:val="single" w:color="auto" w:sz="4" w:space="0"/>
                    <w:right w:val="single" w:color="auto" w:sz="4" w:space="0"/>
                  </w:tcBorders>
                  <w:vAlign w:val="center"/>
                </w:tcPr>
                <w:p w14:paraId="0B3159AD">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12500</w:t>
                  </w:r>
                  <w:r>
                    <w:rPr>
                      <w:rFonts w:ascii="Times New Roman" w:hAnsi="Times New Roman"/>
                      <w:color w:val="auto"/>
                      <w:kern w:val="2"/>
                      <w:sz w:val="21"/>
                      <w:szCs w:val="21"/>
                      <w:lang w:bidi="ar"/>
                    </w:rPr>
                    <w:t>方</w:t>
                  </w:r>
                </w:p>
              </w:tc>
              <w:tc>
                <w:tcPr>
                  <w:tcW w:w="1990" w:type="dxa"/>
                  <w:tcBorders>
                    <w:top w:val="single" w:color="auto" w:sz="4" w:space="0"/>
                    <w:left w:val="single" w:color="auto" w:sz="4" w:space="0"/>
                    <w:bottom w:val="single" w:color="auto" w:sz="4" w:space="0"/>
                    <w:right w:val="nil"/>
                  </w:tcBorders>
                  <w:vAlign w:val="center"/>
                </w:tcPr>
                <w:p w14:paraId="75FB6841">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拉运</w:t>
                  </w:r>
                </w:p>
              </w:tc>
              <w:tc>
                <w:tcPr>
                  <w:tcW w:w="1539" w:type="dxa"/>
                  <w:tcBorders>
                    <w:top w:val="single" w:color="auto" w:sz="4" w:space="0"/>
                    <w:left w:val="single" w:color="auto" w:sz="4" w:space="0"/>
                    <w:bottom w:val="single" w:color="auto" w:sz="4" w:space="0"/>
                    <w:right w:val="single" w:color="auto" w:sz="4" w:space="0"/>
                  </w:tcBorders>
                  <w:vAlign w:val="center"/>
                </w:tcPr>
                <w:p w14:paraId="142BB733">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w:t>
                  </w:r>
                </w:p>
              </w:tc>
            </w:tr>
            <w:tr w14:paraId="194D3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123" w:type="dxa"/>
                  <w:vMerge w:val="continue"/>
                  <w:tcBorders>
                    <w:left w:val="single" w:color="auto" w:sz="4" w:space="0"/>
                    <w:right w:val="single" w:color="auto" w:sz="4" w:space="0"/>
                  </w:tcBorders>
                  <w:vAlign w:val="center"/>
                </w:tcPr>
                <w:p w14:paraId="48E7064E">
                  <w:pPr>
                    <w:snapToGrid w:val="0"/>
                    <w:ind w:firstLine="420"/>
                    <w:jc w:val="center"/>
                    <w:rPr>
                      <w:color w:val="auto"/>
                      <w:szCs w:val="21"/>
                    </w:rPr>
                  </w:pPr>
                </w:p>
              </w:tc>
              <w:tc>
                <w:tcPr>
                  <w:tcW w:w="2384" w:type="dxa"/>
                  <w:gridSpan w:val="3"/>
                  <w:tcBorders>
                    <w:top w:val="single" w:color="auto" w:sz="4" w:space="0"/>
                    <w:left w:val="single" w:color="auto" w:sz="4" w:space="0"/>
                    <w:bottom w:val="single" w:color="auto" w:sz="4" w:space="0"/>
                    <w:right w:val="single" w:color="auto" w:sz="4" w:space="0"/>
                  </w:tcBorders>
                  <w:vAlign w:val="center"/>
                </w:tcPr>
                <w:p w14:paraId="7A399A4A">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电</w:t>
                  </w:r>
                </w:p>
              </w:tc>
              <w:tc>
                <w:tcPr>
                  <w:tcW w:w="1263" w:type="dxa"/>
                  <w:tcBorders>
                    <w:top w:val="single" w:color="auto" w:sz="4" w:space="0"/>
                    <w:left w:val="single" w:color="auto" w:sz="4" w:space="0"/>
                    <w:bottom w:val="single" w:color="auto" w:sz="4" w:space="0"/>
                    <w:right w:val="single" w:color="auto" w:sz="4" w:space="0"/>
                  </w:tcBorders>
                  <w:vAlign w:val="center"/>
                </w:tcPr>
                <w:p w14:paraId="115773F8">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27万</w:t>
                  </w:r>
                  <w:r>
                    <w:rPr>
                      <w:rFonts w:ascii="Times New Roman" w:hAnsi="Times New Roman"/>
                      <w:color w:val="auto"/>
                      <w:kern w:val="2"/>
                      <w:sz w:val="21"/>
                      <w:szCs w:val="21"/>
                      <w:lang w:bidi="ar"/>
                    </w:rPr>
                    <w:t>度</w:t>
                  </w:r>
                </w:p>
              </w:tc>
              <w:tc>
                <w:tcPr>
                  <w:tcW w:w="1990" w:type="dxa"/>
                  <w:tcBorders>
                    <w:top w:val="single" w:color="auto" w:sz="4" w:space="0"/>
                    <w:left w:val="single" w:color="auto" w:sz="4" w:space="0"/>
                    <w:bottom w:val="single" w:color="auto" w:sz="4" w:space="0"/>
                    <w:right w:val="nil"/>
                  </w:tcBorders>
                  <w:vAlign w:val="center"/>
                </w:tcPr>
                <w:p w14:paraId="622D3030">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区域供电系统</w:t>
                  </w:r>
                </w:p>
              </w:tc>
              <w:tc>
                <w:tcPr>
                  <w:tcW w:w="1539" w:type="dxa"/>
                  <w:tcBorders>
                    <w:top w:val="single" w:color="auto" w:sz="4" w:space="0"/>
                    <w:left w:val="single" w:color="auto" w:sz="4" w:space="0"/>
                    <w:bottom w:val="single" w:color="auto" w:sz="4" w:space="0"/>
                    <w:right w:val="single" w:color="auto" w:sz="4" w:space="0"/>
                  </w:tcBorders>
                  <w:vAlign w:val="center"/>
                </w:tcPr>
                <w:p w14:paraId="614D683B">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w:t>
                  </w:r>
                </w:p>
              </w:tc>
            </w:tr>
            <w:tr w14:paraId="5E235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123" w:type="dxa"/>
                  <w:vMerge w:val="continue"/>
                  <w:tcBorders>
                    <w:left w:val="single" w:color="auto" w:sz="4" w:space="0"/>
                    <w:right w:val="single" w:color="auto" w:sz="4" w:space="0"/>
                  </w:tcBorders>
                  <w:vAlign w:val="center"/>
                </w:tcPr>
                <w:p w14:paraId="617F1764">
                  <w:pPr>
                    <w:snapToGrid w:val="0"/>
                    <w:ind w:firstLine="420"/>
                    <w:jc w:val="center"/>
                    <w:rPr>
                      <w:color w:val="auto"/>
                      <w:szCs w:val="21"/>
                    </w:rPr>
                  </w:pPr>
                </w:p>
              </w:tc>
              <w:tc>
                <w:tcPr>
                  <w:tcW w:w="2384" w:type="dxa"/>
                  <w:gridSpan w:val="3"/>
                  <w:tcBorders>
                    <w:top w:val="single" w:color="auto" w:sz="4" w:space="0"/>
                    <w:left w:val="single" w:color="auto" w:sz="4" w:space="0"/>
                    <w:bottom w:val="single" w:color="auto" w:sz="4" w:space="0"/>
                    <w:right w:val="single" w:color="auto" w:sz="4" w:space="0"/>
                  </w:tcBorders>
                  <w:vAlign w:val="center"/>
                </w:tcPr>
                <w:p w14:paraId="4C8B1570">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液化天然气</w:t>
                  </w:r>
                </w:p>
              </w:tc>
              <w:tc>
                <w:tcPr>
                  <w:tcW w:w="1263" w:type="dxa"/>
                  <w:tcBorders>
                    <w:top w:val="single" w:color="auto" w:sz="4" w:space="0"/>
                    <w:left w:val="single" w:color="auto" w:sz="4" w:space="0"/>
                    <w:bottom w:val="single" w:color="auto" w:sz="4" w:space="0"/>
                    <w:right w:val="single" w:color="auto" w:sz="4" w:space="0"/>
                  </w:tcBorders>
                  <w:vAlign w:val="center"/>
                </w:tcPr>
                <w:p w14:paraId="1507DE43">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16.32万m</w:t>
                  </w:r>
                  <w:r>
                    <w:rPr>
                      <w:rFonts w:hint="eastAsia" w:ascii="Times New Roman" w:hAnsi="Times New Roman"/>
                      <w:color w:val="auto"/>
                      <w:kern w:val="2"/>
                      <w:sz w:val="21"/>
                      <w:szCs w:val="21"/>
                      <w:vertAlign w:val="superscript"/>
                      <w:lang w:bidi="ar"/>
                    </w:rPr>
                    <w:t>3</w:t>
                  </w:r>
                </w:p>
              </w:tc>
              <w:tc>
                <w:tcPr>
                  <w:tcW w:w="1990" w:type="dxa"/>
                  <w:tcBorders>
                    <w:top w:val="single" w:color="auto" w:sz="4" w:space="0"/>
                    <w:left w:val="single" w:color="auto" w:sz="4" w:space="0"/>
                    <w:bottom w:val="single" w:color="auto" w:sz="4" w:space="0"/>
                    <w:right w:val="nil"/>
                  </w:tcBorders>
                  <w:vAlign w:val="center"/>
                </w:tcPr>
                <w:p w14:paraId="7F3629EE">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天然气槽车拉运至撬装站</w:t>
                  </w:r>
                </w:p>
              </w:tc>
              <w:tc>
                <w:tcPr>
                  <w:tcW w:w="1539" w:type="dxa"/>
                  <w:tcBorders>
                    <w:top w:val="single" w:color="auto" w:sz="4" w:space="0"/>
                    <w:left w:val="single" w:color="auto" w:sz="4" w:space="0"/>
                    <w:bottom w:val="single" w:color="auto" w:sz="4" w:space="0"/>
                    <w:right w:val="nil"/>
                  </w:tcBorders>
                  <w:vAlign w:val="center"/>
                </w:tcPr>
                <w:p w14:paraId="7CB39CA1">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外购</w:t>
                  </w:r>
                </w:p>
              </w:tc>
            </w:tr>
            <w:tr w14:paraId="3737D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123" w:type="dxa"/>
                  <w:vMerge w:val="continue"/>
                  <w:tcBorders>
                    <w:left w:val="single" w:color="auto" w:sz="4" w:space="0"/>
                    <w:bottom w:val="single" w:color="auto" w:sz="4" w:space="0"/>
                    <w:right w:val="single" w:color="auto" w:sz="4" w:space="0"/>
                  </w:tcBorders>
                  <w:vAlign w:val="center"/>
                </w:tcPr>
                <w:p w14:paraId="661F994F">
                  <w:pPr>
                    <w:snapToGrid w:val="0"/>
                    <w:ind w:firstLine="420"/>
                    <w:jc w:val="center"/>
                    <w:rPr>
                      <w:color w:val="auto"/>
                      <w:szCs w:val="21"/>
                    </w:rPr>
                  </w:pPr>
                </w:p>
              </w:tc>
              <w:tc>
                <w:tcPr>
                  <w:tcW w:w="2384" w:type="dxa"/>
                  <w:gridSpan w:val="3"/>
                  <w:tcBorders>
                    <w:top w:val="single" w:color="auto" w:sz="4" w:space="0"/>
                    <w:left w:val="single" w:color="auto" w:sz="4" w:space="0"/>
                    <w:bottom w:val="single" w:color="auto" w:sz="4" w:space="0"/>
                    <w:right w:val="single" w:color="auto" w:sz="4" w:space="0"/>
                  </w:tcBorders>
                  <w:vAlign w:val="center"/>
                </w:tcPr>
                <w:p w14:paraId="085022CB">
                  <w:pPr>
                    <w:pStyle w:val="25"/>
                    <w:widowControl w:val="0"/>
                    <w:snapToGrid w:val="0"/>
                    <w:spacing w:before="0" w:beforeAutospacing="0" w:after="0" w:afterAutospacing="0"/>
                    <w:jc w:val="center"/>
                    <w:rPr>
                      <w:rFonts w:hint="eastAsia" w:ascii="Times New Roman" w:hAnsi="Times New Roman"/>
                      <w:color w:val="auto"/>
                      <w:kern w:val="2"/>
                      <w:sz w:val="21"/>
                      <w:szCs w:val="21"/>
                      <w:lang w:bidi="ar"/>
                    </w:rPr>
                  </w:pPr>
                  <w:r>
                    <w:rPr>
                      <w:rFonts w:hint="eastAsia" w:ascii="Times New Roman" w:hAnsi="Times New Roman"/>
                      <w:color w:val="auto"/>
                      <w:kern w:val="2"/>
                      <w:sz w:val="21"/>
                      <w:szCs w:val="21"/>
                      <w:lang w:eastAsia="zh-CN" w:bidi="ar"/>
                    </w:rPr>
                    <w:t>导热油</w:t>
                  </w:r>
                </w:p>
              </w:tc>
              <w:tc>
                <w:tcPr>
                  <w:tcW w:w="1263" w:type="dxa"/>
                  <w:tcBorders>
                    <w:top w:val="single" w:color="auto" w:sz="4" w:space="0"/>
                    <w:left w:val="single" w:color="auto" w:sz="4" w:space="0"/>
                    <w:bottom w:val="single" w:color="auto" w:sz="4" w:space="0"/>
                    <w:right w:val="single" w:color="auto" w:sz="4" w:space="0"/>
                  </w:tcBorders>
                  <w:vAlign w:val="center"/>
                </w:tcPr>
                <w:p w14:paraId="24C8BB22">
                  <w:pPr>
                    <w:pStyle w:val="25"/>
                    <w:widowControl w:val="0"/>
                    <w:snapToGrid w:val="0"/>
                    <w:spacing w:before="0" w:beforeAutospacing="0" w:after="0" w:afterAutospacing="0"/>
                    <w:jc w:val="center"/>
                    <w:rPr>
                      <w:rFonts w:hint="default" w:ascii="Times New Roman" w:hAnsi="Times New Roman" w:eastAsia="宋体"/>
                      <w:color w:val="auto"/>
                      <w:kern w:val="2"/>
                      <w:sz w:val="21"/>
                      <w:szCs w:val="21"/>
                      <w:lang w:val="en-US" w:eastAsia="zh-CN" w:bidi="ar"/>
                    </w:rPr>
                  </w:pPr>
                  <w:r>
                    <w:rPr>
                      <w:rFonts w:hint="eastAsia" w:ascii="Times New Roman" w:hAnsi="Times New Roman"/>
                      <w:color w:val="auto"/>
                      <w:kern w:val="2"/>
                      <w:sz w:val="21"/>
                      <w:szCs w:val="21"/>
                      <w:lang w:val="en-US" w:eastAsia="zh-CN" w:bidi="ar"/>
                    </w:rPr>
                    <w:t>0.5t/a</w:t>
                  </w:r>
                </w:p>
              </w:tc>
              <w:tc>
                <w:tcPr>
                  <w:tcW w:w="1990" w:type="dxa"/>
                  <w:tcBorders>
                    <w:top w:val="single" w:color="auto" w:sz="4" w:space="0"/>
                    <w:left w:val="single" w:color="auto" w:sz="4" w:space="0"/>
                    <w:bottom w:val="single" w:color="auto" w:sz="4" w:space="0"/>
                    <w:right w:val="nil"/>
                  </w:tcBorders>
                  <w:vAlign w:val="center"/>
                </w:tcPr>
                <w:p w14:paraId="7D7F4D4A">
                  <w:pPr>
                    <w:pStyle w:val="25"/>
                    <w:widowControl w:val="0"/>
                    <w:snapToGrid w:val="0"/>
                    <w:spacing w:before="0" w:beforeAutospacing="0" w:after="0" w:afterAutospacing="0"/>
                    <w:jc w:val="center"/>
                    <w:rPr>
                      <w:rFonts w:hint="eastAsia" w:ascii="Times New Roman" w:hAnsi="Times New Roman" w:eastAsia="宋体"/>
                      <w:color w:val="auto"/>
                      <w:kern w:val="2"/>
                      <w:sz w:val="21"/>
                      <w:szCs w:val="21"/>
                      <w:lang w:eastAsia="zh-CN" w:bidi="ar"/>
                    </w:rPr>
                  </w:pPr>
                  <w:r>
                    <w:rPr>
                      <w:rFonts w:hint="eastAsia" w:ascii="Times New Roman" w:hAnsi="Times New Roman"/>
                      <w:color w:val="auto"/>
                      <w:kern w:val="2"/>
                      <w:sz w:val="21"/>
                      <w:szCs w:val="21"/>
                      <w:lang w:eastAsia="zh-CN" w:bidi="ar"/>
                    </w:rPr>
                    <w:t>导热油炉</w:t>
                  </w:r>
                </w:p>
              </w:tc>
              <w:tc>
                <w:tcPr>
                  <w:tcW w:w="1539" w:type="dxa"/>
                  <w:tcBorders>
                    <w:top w:val="single" w:color="auto" w:sz="4" w:space="0"/>
                    <w:left w:val="single" w:color="auto" w:sz="4" w:space="0"/>
                    <w:bottom w:val="single" w:color="auto" w:sz="4" w:space="0"/>
                    <w:right w:val="nil"/>
                  </w:tcBorders>
                  <w:vAlign w:val="center"/>
                </w:tcPr>
                <w:p w14:paraId="6470444A">
                  <w:pPr>
                    <w:pStyle w:val="25"/>
                    <w:widowControl w:val="0"/>
                    <w:snapToGrid w:val="0"/>
                    <w:spacing w:before="0" w:beforeAutospacing="0" w:after="0" w:afterAutospacing="0"/>
                    <w:jc w:val="center"/>
                    <w:rPr>
                      <w:rFonts w:hint="default" w:ascii="Times New Roman" w:hAnsi="Times New Roman" w:eastAsia="宋体"/>
                      <w:color w:val="auto"/>
                      <w:kern w:val="2"/>
                      <w:sz w:val="21"/>
                      <w:szCs w:val="21"/>
                      <w:lang w:val="en-US" w:eastAsia="zh-CN" w:bidi="ar"/>
                    </w:rPr>
                  </w:pPr>
                  <w:r>
                    <w:rPr>
                      <w:rFonts w:ascii="Times New Roman" w:hAnsi="Times New Roman"/>
                      <w:color w:val="auto"/>
                      <w:kern w:val="2"/>
                      <w:sz w:val="21"/>
                      <w:szCs w:val="21"/>
                      <w:lang w:bidi="ar"/>
                    </w:rPr>
                    <w:t>外购</w:t>
                  </w:r>
                  <w:r>
                    <w:rPr>
                      <w:rFonts w:hint="eastAsia" w:ascii="Times New Roman" w:hAnsi="Times New Roman"/>
                      <w:color w:val="auto"/>
                      <w:kern w:val="2"/>
                      <w:sz w:val="21"/>
                      <w:szCs w:val="21"/>
                      <w:lang w:eastAsia="zh-CN" w:bidi="ar"/>
                    </w:rPr>
                    <w:t>。</w:t>
                  </w:r>
                  <w:r>
                    <w:rPr>
                      <w:rFonts w:hint="eastAsia" w:ascii="Times New Roman" w:hAnsi="Times New Roman"/>
                      <w:color w:val="auto"/>
                      <w:kern w:val="2"/>
                      <w:sz w:val="21"/>
                      <w:szCs w:val="21"/>
                      <w:lang w:val="en-US" w:eastAsia="zh-CN" w:bidi="ar"/>
                    </w:rPr>
                    <w:t>导热油炉介质，循环使用，每年补充一次</w:t>
                  </w:r>
                </w:p>
              </w:tc>
            </w:tr>
          </w:tbl>
          <w:p w14:paraId="39CE1464">
            <w:pPr>
              <w:autoSpaceDE w:val="0"/>
              <w:autoSpaceDN w:val="0"/>
              <w:spacing w:line="360" w:lineRule="auto"/>
              <w:ind w:firstLine="420" w:firstLineChars="200"/>
              <w:rPr>
                <w:color w:val="auto"/>
                <w:szCs w:val="21"/>
                <w:lang w:bidi="ar"/>
              </w:rPr>
            </w:pPr>
            <w:r>
              <w:rPr>
                <w:rFonts w:hint="eastAsia"/>
                <w:color w:val="auto"/>
                <w:szCs w:val="21"/>
                <w:lang w:bidi="ar"/>
              </w:rPr>
              <w:t>项目物料净投入、产出平衡表见表2-4</w:t>
            </w:r>
            <w:r>
              <w:rPr>
                <w:rFonts w:hint="eastAsia"/>
                <w:color w:val="auto"/>
                <w:szCs w:val="21"/>
                <w:lang w:eastAsia="zh-CN" w:bidi="ar"/>
              </w:rPr>
              <w:t>、</w:t>
            </w:r>
            <w:r>
              <w:rPr>
                <w:rFonts w:hint="eastAsia"/>
                <w:color w:val="auto"/>
                <w:szCs w:val="21"/>
                <w:highlight w:val="none"/>
                <w:lang w:eastAsia="zh-CN" w:bidi="ar"/>
              </w:rPr>
              <w:t>原辅料物料平衡图见图</w:t>
            </w:r>
            <w:r>
              <w:rPr>
                <w:rFonts w:hint="eastAsia"/>
                <w:color w:val="auto"/>
                <w:szCs w:val="21"/>
                <w:highlight w:val="none"/>
                <w:lang w:val="en-US" w:eastAsia="zh-CN" w:bidi="ar"/>
              </w:rPr>
              <w:t>2-3.1、图2-3.2</w:t>
            </w:r>
            <w:r>
              <w:rPr>
                <w:color w:val="auto"/>
                <w:szCs w:val="21"/>
                <w:lang w:bidi="ar"/>
              </w:rPr>
              <w:t>。</w:t>
            </w:r>
          </w:p>
          <w:p w14:paraId="2A31C2E0">
            <w:pPr>
              <w:ind w:firstLine="422" w:firstLineChars="200"/>
              <w:jc w:val="center"/>
              <w:rPr>
                <w:color w:val="F79646" w:themeColor="accent6"/>
                <w14:textFill>
                  <w14:solidFill>
                    <w14:schemeClr w14:val="accent6"/>
                  </w14:solidFill>
                </w14:textFill>
              </w:rPr>
            </w:pPr>
            <w:r>
              <w:rPr>
                <w:b/>
                <w:szCs w:val="21"/>
              </w:rPr>
              <w:t>表</w:t>
            </w:r>
            <w:r>
              <w:rPr>
                <w:rFonts w:hint="eastAsia"/>
                <w:b/>
                <w:szCs w:val="21"/>
              </w:rPr>
              <w:t>2-4项目物料净投入、产出平衡表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1453"/>
              <w:gridCol w:w="2005"/>
              <w:gridCol w:w="2190"/>
              <w:gridCol w:w="1803"/>
            </w:tblGrid>
            <w:tr w14:paraId="1262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6" w:type="dxa"/>
                  <w:gridSpan w:val="3"/>
                  <w:vAlign w:val="center"/>
                </w:tcPr>
                <w:p w14:paraId="08D9153A">
                  <w:pPr>
                    <w:pStyle w:val="29"/>
                    <w:ind w:left="0" w:firstLine="0" w:firstLineChars="0"/>
                    <w:jc w:val="center"/>
                    <w:rPr>
                      <w:b/>
                      <w:bCs/>
                      <w:color w:val="auto"/>
                    </w:rPr>
                  </w:pPr>
                  <w:r>
                    <w:rPr>
                      <w:rFonts w:hint="eastAsia"/>
                      <w:b/>
                      <w:bCs/>
                      <w:color w:val="auto"/>
                    </w:rPr>
                    <w:t>净投入（t/a）</w:t>
                  </w:r>
                </w:p>
              </w:tc>
              <w:tc>
                <w:tcPr>
                  <w:tcW w:w="3993" w:type="dxa"/>
                  <w:gridSpan w:val="2"/>
                  <w:vAlign w:val="center"/>
                </w:tcPr>
                <w:p w14:paraId="045FAB95">
                  <w:pPr>
                    <w:pStyle w:val="29"/>
                    <w:ind w:left="0" w:firstLine="0" w:firstLineChars="0"/>
                    <w:jc w:val="center"/>
                    <w:rPr>
                      <w:b/>
                      <w:bCs/>
                      <w:color w:val="auto"/>
                    </w:rPr>
                  </w:pPr>
                  <w:r>
                    <w:rPr>
                      <w:rFonts w:hint="eastAsia"/>
                      <w:b/>
                      <w:bCs/>
                      <w:color w:val="auto"/>
                    </w:rPr>
                    <w:t>净产出（t/a）</w:t>
                  </w:r>
                </w:p>
              </w:tc>
            </w:tr>
            <w:tr w14:paraId="5DB1F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1" w:type="dxa"/>
                  <w:gridSpan w:val="2"/>
                  <w:vAlign w:val="center"/>
                </w:tcPr>
                <w:p w14:paraId="6B7BDC59">
                  <w:pPr>
                    <w:pStyle w:val="29"/>
                    <w:ind w:left="0" w:firstLine="0" w:firstLineChars="0"/>
                    <w:jc w:val="center"/>
                    <w:rPr>
                      <w:b/>
                      <w:bCs/>
                      <w:color w:val="auto"/>
                    </w:rPr>
                  </w:pPr>
                  <w:r>
                    <w:rPr>
                      <w:rFonts w:hint="eastAsia"/>
                      <w:b/>
                      <w:bCs/>
                      <w:color w:val="auto"/>
                    </w:rPr>
                    <w:t>品种</w:t>
                  </w:r>
                </w:p>
              </w:tc>
              <w:tc>
                <w:tcPr>
                  <w:tcW w:w="2005" w:type="dxa"/>
                  <w:vAlign w:val="center"/>
                </w:tcPr>
                <w:p w14:paraId="1B20BA7F">
                  <w:pPr>
                    <w:pStyle w:val="29"/>
                    <w:ind w:left="0" w:firstLine="0" w:firstLineChars="0"/>
                    <w:jc w:val="center"/>
                    <w:rPr>
                      <w:b/>
                      <w:bCs/>
                      <w:color w:val="auto"/>
                    </w:rPr>
                  </w:pPr>
                  <w:r>
                    <w:rPr>
                      <w:rFonts w:hint="eastAsia"/>
                      <w:b/>
                      <w:bCs/>
                      <w:color w:val="auto"/>
                    </w:rPr>
                    <w:t>数量</w:t>
                  </w:r>
                </w:p>
              </w:tc>
              <w:tc>
                <w:tcPr>
                  <w:tcW w:w="2190" w:type="dxa"/>
                  <w:vAlign w:val="center"/>
                </w:tcPr>
                <w:p w14:paraId="5DECED12">
                  <w:pPr>
                    <w:pStyle w:val="29"/>
                    <w:ind w:left="0" w:firstLine="0" w:firstLineChars="0"/>
                    <w:jc w:val="center"/>
                    <w:rPr>
                      <w:b/>
                      <w:bCs/>
                      <w:color w:val="auto"/>
                    </w:rPr>
                  </w:pPr>
                  <w:r>
                    <w:rPr>
                      <w:rFonts w:hint="eastAsia"/>
                      <w:b/>
                      <w:bCs/>
                      <w:color w:val="auto"/>
                    </w:rPr>
                    <w:t>品种</w:t>
                  </w:r>
                </w:p>
              </w:tc>
              <w:tc>
                <w:tcPr>
                  <w:tcW w:w="1803" w:type="dxa"/>
                  <w:vAlign w:val="center"/>
                </w:tcPr>
                <w:p w14:paraId="55DAFF84">
                  <w:pPr>
                    <w:pStyle w:val="29"/>
                    <w:ind w:left="0" w:firstLine="0" w:firstLineChars="0"/>
                    <w:jc w:val="center"/>
                    <w:rPr>
                      <w:b/>
                      <w:bCs/>
                      <w:color w:val="auto"/>
                    </w:rPr>
                  </w:pPr>
                  <w:r>
                    <w:rPr>
                      <w:rFonts w:hint="eastAsia"/>
                      <w:b/>
                      <w:bCs/>
                      <w:color w:val="auto"/>
                    </w:rPr>
                    <w:t>数量</w:t>
                  </w:r>
                </w:p>
              </w:tc>
            </w:tr>
            <w:tr w14:paraId="1E1BB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299" w:type="dxa"/>
                  <w:gridSpan w:val="5"/>
                  <w:vAlign w:val="center"/>
                </w:tcPr>
                <w:p w14:paraId="496AA5D1">
                  <w:pPr>
                    <w:pStyle w:val="25"/>
                    <w:widowControl w:val="0"/>
                    <w:snapToGrid w:val="0"/>
                    <w:spacing w:before="0" w:beforeAutospacing="0" w:after="0" w:afterAutospacing="0"/>
                    <w:jc w:val="center"/>
                    <w:rPr>
                      <w:color w:val="auto"/>
                    </w:rPr>
                  </w:pPr>
                  <w:r>
                    <w:rPr>
                      <w:rFonts w:ascii="Times New Roman" w:hAnsi="Times New Roman"/>
                      <w:b/>
                      <w:bCs/>
                      <w:color w:val="auto"/>
                      <w:kern w:val="2"/>
                      <w:sz w:val="21"/>
                      <w:szCs w:val="21"/>
                      <w:lang w:bidi="ar"/>
                    </w:rPr>
                    <w:t>沥青混凝土</w:t>
                  </w:r>
                </w:p>
              </w:tc>
            </w:tr>
            <w:tr w14:paraId="0706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848" w:type="dxa"/>
                  <w:vMerge w:val="restart"/>
                  <w:vAlign w:val="center"/>
                </w:tcPr>
                <w:p w14:paraId="58197D2F">
                  <w:pPr>
                    <w:pStyle w:val="29"/>
                    <w:ind w:left="0" w:firstLine="0" w:firstLineChars="0"/>
                    <w:jc w:val="center"/>
                    <w:rPr>
                      <w:color w:val="auto"/>
                    </w:rPr>
                  </w:pPr>
                  <w:r>
                    <w:rPr>
                      <w:color w:val="auto"/>
                      <w:szCs w:val="21"/>
                      <w:lang w:bidi="ar"/>
                    </w:rPr>
                    <w:t>砂石料</w:t>
                  </w:r>
                </w:p>
              </w:tc>
              <w:tc>
                <w:tcPr>
                  <w:tcW w:w="1453" w:type="dxa"/>
                  <w:vAlign w:val="center"/>
                </w:tcPr>
                <w:p w14:paraId="4D63E51E">
                  <w:pPr>
                    <w:jc w:val="center"/>
                    <w:rPr>
                      <w:color w:val="auto"/>
                      <w:szCs w:val="21"/>
                      <w:lang w:bidi="ar"/>
                    </w:rPr>
                  </w:pPr>
                  <w:r>
                    <w:rPr>
                      <w:rFonts w:hint="eastAsia"/>
                      <w:color w:val="auto"/>
                      <w:szCs w:val="21"/>
                      <w:lang w:bidi="ar"/>
                    </w:rPr>
                    <w:t>水洗砂</w:t>
                  </w:r>
                </w:p>
                <w:p w14:paraId="42402DAE">
                  <w:pPr>
                    <w:jc w:val="center"/>
                    <w:rPr>
                      <w:color w:val="auto"/>
                      <w:szCs w:val="21"/>
                      <w:lang w:bidi="ar"/>
                    </w:rPr>
                  </w:pPr>
                  <w:r>
                    <w:rPr>
                      <w:rFonts w:hint="eastAsia"/>
                      <w:color w:val="auto"/>
                      <w:szCs w:val="21"/>
                      <w:lang w:bidi="ar"/>
                    </w:rPr>
                    <w:t>（0-5mm）</w:t>
                  </w:r>
                </w:p>
              </w:tc>
              <w:tc>
                <w:tcPr>
                  <w:tcW w:w="2005" w:type="dxa"/>
                  <w:vAlign w:val="center"/>
                </w:tcPr>
                <w:p w14:paraId="45C8DD89">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40000</w:t>
                  </w:r>
                </w:p>
              </w:tc>
              <w:tc>
                <w:tcPr>
                  <w:tcW w:w="2190" w:type="dxa"/>
                  <w:vMerge w:val="restart"/>
                  <w:vAlign w:val="center"/>
                </w:tcPr>
                <w:p w14:paraId="0CDBAF77">
                  <w:pPr>
                    <w:pStyle w:val="29"/>
                    <w:ind w:left="0" w:firstLine="0" w:firstLineChars="0"/>
                    <w:jc w:val="center"/>
                    <w:rPr>
                      <w:color w:val="auto"/>
                    </w:rPr>
                  </w:pPr>
                  <w:r>
                    <w:rPr>
                      <w:rFonts w:hint="eastAsia"/>
                      <w:color w:val="auto"/>
                    </w:rPr>
                    <w:t>沥青混凝土</w:t>
                  </w:r>
                </w:p>
              </w:tc>
              <w:tc>
                <w:tcPr>
                  <w:tcW w:w="1803" w:type="dxa"/>
                  <w:vMerge w:val="restart"/>
                  <w:vAlign w:val="center"/>
                </w:tcPr>
                <w:p w14:paraId="5BB0ABAE">
                  <w:pPr>
                    <w:pStyle w:val="29"/>
                    <w:ind w:left="0" w:firstLine="0" w:firstLineChars="0"/>
                    <w:jc w:val="center"/>
                    <w:rPr>
                      <w:rFonts w:hint="eastAsia" w:eastAsia="宋体"/>
                      <w:color w:val="auto"/>
                      <w:lang w:eastAsia="zh-CN"/>
                    </w:rPr>
                  </w:pPr>
                  <w:r>
                    <w:rPr>
                      <w:rFonts w:hint="eastAsia"/>
                      <w:color w:val="auto"/>
                    </w:rPr>
                    <w:t>119999.</w:t>
                  </w:r>
                  <w:r>
                    <w:rPr>
                      <w:rFonts w:hint="eastAsia"/>
                      <w:color w:val="auto"/>
                      <w:lang w:val="en-US" w:eastAsia="zh-CN"/>
                    </w:rPr>
                    <w:t>622</w:t>
                  </w:r>
                </w:p>
              </w:tc>
            </w:tr>
            <w:tr w14:paraId="097D8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848" w:type="dxa"/>
                  <w:vMerge w:val="continue"/>
                  <w:vAlign w:val="center"/>
                </w:tcPr>
                <w:p w14:paraId="5621E609">
                  <w:pPr>
                    <w:pStyle w:val="29"/>
                    <w:ind w:left="0" w:firstLine="0" w:firstLineChars="0"/>
                    <w:jc w:val="center"/>
                    <w:rPr>
                      <w:color w:val="auto"/>
                    </w:rPr>
                  </w:pPr>
                </w:p>
              </w:tc>
              <w:tc>
                <w:tcPr>
                  <w:tcW w:w="1453" w:type="dxa"/>
                  <w:vAlign w:val="center"/>
                </w:tcPr>
                <w:p w14:paraId="0F0882FF">
                  <w:pPr>
                    <w:jc w:val="center"/>
                    <w:rPr>
                      <w:color w:val="auto"/>
                      <w:szCs w:val="21"/>
                      <w:lang w:bidi="ar"/>
                    </w:rPr>
                  </w:pPr>
                  <w:r>
                    <w:rPr>
                      <w:rFonts w:hint="eastAsia"/>
                      <w:color w:val="auto"/>
                      <w:szCs w:val="21"/>
                      <w:lang w:bidi="ar"/>
                    </w:rPr>
                    <w:t>碎石（5-10mm）</w:t>
                  </w:r>
                </w:p>
              </w:tc>
              <w:tc>
                <w:tcPr>
                  <w:tcW w:w="2005" w:type="dxa"/>
                  <w:vAlign w:val="center"/>
                </w:tcPr>
                <w:p w14:paraId="387F2DD5">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10000</w:t>
                  </w:r>
                </w:p>
              </w:tc>
              <w:tc>
                <w:tcPr>
                  <w:tcW w:w="2190" w:type="dxa"/>
                  <w:vMerge w:val="continue"/>
                  <w:vAlign w:val="center"/>
                </w:tcPr>
                <w:p w14:paraId="423E2625">
                  <w:pPr>
                    <w:pStyle w:val="29"/>
                    <w:ind w:left="0" w:firstLine="0" w:firstLineChars="0"/>
                    <w:jc w:val="center"/>
                    <w:rPr>
                      <w:color w:val="auto"/>
                    </w:rPr>
                  </w:pPr>
                </w:p>
              </w:tc>
              <w:tc>
                <w:tcPr>
                  <w:tcW w:w="1803" w:type="dxa"/>
                  <w:vMerge w:val="continue"/>
                  <w:vAlign w:val="center"/>
                </w:tcPr>
                <w:p w14:paraId="39BA8109">
                  <w:pPr>
                    <w:pStyle w:val="29"/>
                    <w:ind w:left="0" w:firstLine="0" w:firstLineChars="0"/>
                    <w:jc w:val="center"/>
                    <w:rPr>
                      <w:color w:val="auto"/>
                    </w:rPr>
                  </w:pPr>
                </w:p>
              </w:tc>
            </w:tr>
            <w:tr w14:paraId="59B72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848" w:type="dxa"/>
                  <w:vMerge w:val="continue"/>
                  <w:vAlign w:val="center"/>
                </w:tcPr>
                <w:p w14:paraId="0B62BDEB">
                  <w:pPr>
                    <w:pStyle w:val="29"/>
                    <w:ind w:left="0" w:firstLine="0" w:firstLineChars="0"/>
                    <w:jc w:val="center"/>
                    <w:rPr>
                      <w:color w:val="auto"/>
                      <w:szCs w:val="21"/>
                      <w:lang w:bidi="ar"/>
                    </w:rPr>
                  </w:pPr>
                </w:p>
              </w:tc>
              <w:tc>
                <w:tcPr>
                  <w:tcW w:w="1453" w:type="dxa"/>
                  <w:vAlign w:val="center"/>
                </w:tcPr>
                <w:p w14:paraId="360407B1">
                  <w:pPr>
                    <w:jc w:val="center"/>
                    <w:rPr>
                      <w:color w:val="auto"/>
                      <w:szCs w:val="21"/>
                      <w:lang w:bidi="ar"/>
                    </w:rPr>
                  </w:pPr>
                  <w:r>
                    <w:rPr>
                      <w:rFonts w:hint="eastAsia"/>
                      <w:color w:val="auto"/>
                      <w:szCs w:val="21"/>
                      <w:lang w:bidi="ar"/>
                    </w:rPr>
                    <w:t>碎石（10-15mm）</w:t>
                  </w:r>
                </w:p>
              </w:tc>
              <w:tc>
                <w:tcPr>
                  <w:tcW w:w="2005" w:type="dxa"/>
                  <w:vAlign w:val="center"/>
                </w:tcPr>
                <w:p w14:paraId="6C8FAB2E">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20000</w:t>
                  </w:r>
                </w:p>
              </w:tc>
              <w:tc>
                <w:tcPr>
                  <w:tcW w:w="2190" w:type="dxa"/>
                  <w:vMerge w:val="continue"/>
                  <w:vAlign w:val="center"/>
                </w:tcPr>
                <w:p w14:paraId="78D341FE">
                  <w:pPr>
                    <w:pStyle w:val="29"/>
                    <w:ind w:left="0" w:firstLine="0" w:firstLineChars="0"/>
                    <w:jc w:val="center"/>
                    <w:rPr>
                      <w:color w:val="auto"/>
                      <w:szCs w:val="21"/>
                      <w:lang w:bidi="ar"/>
                    </w:rPr>
                  </w:pPr>
                </w:p>
              </w:tc>
              <w:tc>
                <w:tcPr>
                  <w:tcW w:w="1803" w:type="dxa"/>
                  <w:vMerge w:val="continue"/>
                  <w:vAlign w:val="center"/>
                </w:tcPr>
                <w:p w14:paraId="599439E4">
                  <w:pPr>
                    <w:pStyle w:val="29"/>
                    <w:ind w:left="0" w:firstLine="0" w:firstLineChars="0"/>
                    <w:jc w:val="center"/>
                    <w:rPr>
                      <w:color w:val="auto"/>
                      <w:szCs w:val="21"/>
                      <w:lang w:bidi="ar"/>
                    </w:rPr>
                  </w:pPr>
                </w:p>
              </w:tc>
            </w:tr>
            <w:tr w14:paraId="1E76B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848" w:type="dxa"/>
                  <w:vMerge w:val="continue"/>
                  <w:vAlign w:val="center"/>
                </w:tcPr>
                <w:p w14:paraId="06999213">
                  <w:pPr>
                    <w:pStyle w:val="29"/>
                    <w:ind w:left="0" w:firstLine="0" w:firstLineChars="0"/>
                    <w:jc w:val="center"/>
                    <w:rPr>
                      <w:color w:val="auto"/>
                      <w:szCs w:val="21"/>
                      <w:lang w:bidi="ar"/>
                    </w:rPr>
                  </w:pPr>
                </w:p>
              </w:tc>
              <w:tc>
                <w:tcPr>
                  <w:tcW w:w="1453" w:type="dxa"/>
                  <w:vAlign w:val="center"/>
                </w:tcPr>
                <w:p w14:paraId="5899226D">
                  <w:pPr>
                    <w:jc w:val="center"/>
                    <w:rPr>
                      <w:color w:val="auto"/>
                      <w:szCs w:val="21"/>
                      <w:lang w:bidi="ar"/>
                    </w:rPr>
                  </w:pPr>
                  <w:r>
                    <w:rPr>
                      <w:rFonts w:hint="eastAsia"/>
                      <w:color w:val="auto"/>
                      <w:szCs w:val="21"/>
                      <w:lang w:bidi="ar"/>
                    </w:rPr>
                    <w:t>碎石（15-20mm）</w:t>
                  </w:r>
                </w:p>
              </w:tc>
              <w:tc>
                <w:tcPr>
                  <w:tcW w:w="2005" w:type="dxa"/>
                  <w:vAlign w:val="center"/>
                </w:tcPr>
                <w:p w14:paraId="0AA6CB09">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26000</w:t>
                  </w:r>
                </w:p>
              </w:tc>
              <w:tc>
                <w:tcPr>
                  <w:tcW w:w="2190" w:type="dxa"/>
                  <w:vMerge w:val="restart"/>
                  <w:vAlign w:val="center"/>
                </w:tcPr>
                <w:p w14:paraId="19F9A4DC">
                  <w:pPr>
                    <w:pStyle w:val="29"/>
                    <w:ind w:left="0" w:firstLine="0" w:firstLineChars="0"/>
                    <w:jc w:val="center"/>
                    <w:rPr>
                      <w:color w:val="auto"/>
                      <w:szCs w:val="21"/>
                      <w:highlight w:val="none"/>
                      <w:lang w:bidi="ar"/>
                    </w:rPr>
                  </w:pPr>
                  <w:r>
                    <w:rPr>
                      <w:rFonts w:hint="eastAsia"/>
                      <w:color w:val="auto"/>
                      <w:szCs w:val="21"/>
                      <w:highlight w:val="none"/>
                      <w:lang w:eastAsia="zh-CN" w:bidi="ar"/>
                    </w:rPr>
                    <w:t>有组织排放</w:t>
                  </w:r>
                </w:p>
              </w:tc>
              <w:tc>
                <w:tcPr>
                  <w:tcW w:w="1803" w:type="dxa"/>
                  <w:vMerge w:val="restart"/>
                  <w:vAlign w:val="center"/>
                </w:tcPr>
                <w:p w14:paraId="743D6985">
                  <w:pPr>
                    <w:pStyle w:val="29"/>
                    <w:ind w:left="0" w:firstLine="0" w:firstLineChars="0"/>
                    <w:jc w:val="center"/>
                    <w:rPr>
                      <w:rFonts w:hint="default" w:eastAsia="宋体"/>
                      <w:color w:val="auto"/>
                      <w:szCs w:val="21"/>
                      <w:highlight w:val="none"/>
                      <w:lang w:val="en-US" w:eastAsia="zh-CN" w:bidi="ar"/>
                    </w:rPr>
                  </w:pPr>
                  <w:r>
                    <w:rPr>
                      <w:rFonts w:hint="eastAsia"/>
                      <w:color w:val="auto"/>
                      <w:szCs w:val="21"/>
                      <w:highlight w:val="none"/>
                      <w:lang w:val="en-US" w:eastAsia="zh-CN" w:bidi="ar"/>
                    </w:rPr>
                    <w:t>0.2558</w:t>
                  </w:r>
                </w:p>
              </w:tc>
            </w:tr>
            <w:tr w14:paraId="3CDE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848" w:type="dxa"/>
                  <w:vMerge w:val="continue"/>
                  <w:vAlign w:val="center"/>
                </w:tcPr>
                <w:p w14:paraId="1B49E0FB">
                  <w:pPr>
                    <w:pStyle w:val="29"/>
                    <w:ind w:left="0" w:firstLine="0" w:firstLineChars="0"/>
                    <w:jc w:val="center"/>
                    <w:rPr>
                      <w:color w:val="auto"/>
                      <w:szCs w:val="21"/>
                      <w:lang w:bidi="ar"/>
                    </w:rPr>
                  </w:pPr>
                </w:p>
              </w:tc>
              <w:tc>
                <w:tcPr>
                  <w:tcW w:w="1453" w:type="dxa"/>
                  <w:vAlign w:val="center"/>
                </w:tcPr>
                <w:p w14:paraId="7A8B00CA">
                  <w:pPr>
                    <w:jc w:val="center"/>
                    <w:rPr>
                      <w:color w:val="auto"/>
                      <w:szCs w:val="21"/>
                      <w:lang w:bidi="ar"/>
                    </w:rPr>
                  </w:pPr>
                  <w:r>
                    <w:rPr>
                      <w:rFonts w:hint="eastAsia"/>
                      <w:color w:val="auto"/>
                      <w:szCs w:val="21"/>
                      <w:lang w:bidi="ar"/>
                    </w:rPr>
                    <w:t>碎石</w:t>
                  </w:r>
                </w:p>
                <w:p w14:paraId="1B9E97A1">
                  <w:pPr>
                    <w:jc w:val="center"/>
                    <w:rPr>
                      <w:color w:val="auto"/>
                      <w:szCs w:val="21"/>
                      <w:lang w:bidi="ar"/>
                    </w:rPr>
                  </w:pPr>
                  <w:r>
                    <w:rPr>
                      <w:rFonts w:hint="eastAsia"/>
                      <w:color w:val="auto"/>
                      <w:szCs w:val="21"/>
                      <w:lang w:bidi="ar"/>
                    </w:rPr>
                    <w:t>（20-30mm）</w:t>
                  </w:r>
                </w:p>
              </w:tc>
              <w:tc>
                <w:tcPr>
                  <w:tcW w:w="2005" w:type="dxa"/>
                  <w:vAlign w:val="center"/>
                </w:tcPr>
                <w:p w14:paraId="455C1007">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16000</w:t>
                  </w:r>
                </w:p>
              </w:tc>
              <w:tc>
                <w:tcPr>
                  <w:tcW w:w="2190" w:type="dxa"/>
                  <w:vMerge w:val="continue"/>
                  <w:vAlign w:val="center"/>
                </w:tcPr>
                <w:p w14:paraId="364C9442">
                  <w:pPr>
                    <w:pStyle w:val="29"/>
                    <w:ind w:left="0" w:firstLine="0" w:firstLineChars="0"/>
                    <w:jc w:val="center"/>
                    <w:rPr>
                      <w:color w:val="auto"/>
                      <w:szCs w:val="21"/>
                      <w:lang w:bidi="ar"/>
                    </w:rPr>
                  </w:pPr>
                </w:p>
              </w:tc>
              <w:tc>
                <w:tcPr>
                  <w:tcW w:w="1803" w:type="dxa"/>
                  <w:vMerge w:val="continue"/>
                  <w:vAlign w:val="center"/>
                </w:tcPr>
                <w:p w14:paraId="1AE295F3">
                  <w:pPr>
                    <w:pStyle w:val="29"/>
                    <w:ind w:left="0" w:firstLine="0" w:firstLineChars="0"/>
                    <w:jc w:val="center"/>
                    <w:rPr>
                      <w:color w:val="auto"/>
                      <w:szCs w:val="21"/>
                      <w:lang w:bidi="ar"/>
                    </w:rPr>
                  </w:pPr>
                </w:p>
              </w:tc>
            </w:tr>
            <w:tr w14:paraId="52F46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1" w:type="dxa"/>
                  <w:gridSpan w:val="2"/>
                  <w:vAlign w:val="center"/>
                </w:tcPr>
                <w:p w14:paraId="1F450679">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石粉</w:t>
                  </w:r>
                  <w:r>
                    <w:rPr>
                      <w:rFonts w:hint="eastAsia"/>
                      <w:color w:val="auto"/>
                      <w:kern w:val="2"/>
                      <w:sz w:val="21"/>
                      <w:szCs w:val="21"/>
                      <w:lang w:bidi="ar"/>
                    </w:rPr>
                    <w:t>（</w:t>
                  </w:r>
                  <w:r>
                    <w:rPr>
                      <w:rFonts w:ascii="Times New Roman" w:hAnsi="Times New Roman"/>
                      <w:color w:val="auto"/>
                      <w:kern w:val="2"/>
                      <w:sz w:val="21"/>
                      <w:szCs w:val="21"/>
                      <w:lang w:bidi="ar"/>
                    </w:rPr>
                    <w:t>0.075-2.5mm</w:t>
                  </w:r>
                  <w:r>
                    <w:rPr>
                      <w:rFonts w:hint="eastAsia"/>
                      <w:color w:val="auto"/>
                      <w:kern w:val="2"/>
                      <w:sz w:val="21"/>
                      <w:szCs w:val="21"/>
                      <w:lang w:bidi="ar"/>
                    </w:rPr>
                    <w:t>）</w:t>
                  </w:r>
                </w:p>
              </w:tc>
              <w:tc>
                <w:tcPr>
                  <w:tcW w:w="2005" w:type="dxa"/>
                  <w:vAlign w:val="center"/>
                </w:tcPr>
                <w:p w14:paraId="6F7ECF71">
                  <w:pPr>
                    <w:pStyle w:val="25"/>
                    <w:widowControl w:val="0"/>
                    <w:snapToGrid w:val="0"/>
                    <w:spacing w:before="0" w:beforeAutospacing="0" w:after="0" w:afterAutospacing="0"/>
                    <w:jc w:val="center"/>
                    <w:rPr>
                      <w:color w:val="auto"/>
                    </w:rPr>
                  </w:pPr>
                  <w:r>
                    <w:rPr>
                      <w:rFonts w:hint="eastAsia" w:ascii="Times New Roman" w:hAnsi="Times New Roman"/>
                      <w:color w:val="auto"/>
                      <w:kern w:val="2"/>
                      <w:sz w:val="21"/>
                      <w:szCs w:val="21"/>
                      <w:lang w:bidi="ar"/>
                    </w:rPr>
                    <w:t>6000</w:t>
                  </w:r>
                </w:p>
              </w:tc>
              <w:tc>
                <w:tcPr>
                  <w:tcW w:w="2190" w:type="dxa"/>
                  <w:vMerge w:val="restart"/>
                  <w:vAlign w:val="center"/>
                </w:tcPr>
                <w:p w14:paraId="69CC3337">
                  <w:pPr>
                    <w:pStyle w:val="29"/>
                    <w:ind w:left="0" w:firstLine="0" w:firstLineChars="0"/>
                    <w:jc w:val="center"/>
                    <w:rPr>
                      <w:color w:val="auto"/>
                    </w:rPr>
                  </w:pPr>
                  <w:r>
                    <w:rPr>
                      <w:rFonts w:hint="eastAsia"/>
                      <w:color w:val="auto"/>
                    </w:rPr>
                    <w:t>无组织排放</w:t>
                  </w:r>
                </w:p>
              </w:tc>
              <w:tc>
                <w:tcPr>
                  <w:tcW w:w="1803" w:type="dxa"/>
                  <w:vMerge w:val="restart"/>
                  <w:vAlign w:val="center"/>
                </w:tcPr>
                <w:p w14:paraId="149BD7AB">
                  <w:pPr>
                    <w:pStyle w:val="29"/>
                    <w:ind w:left="0" w:firstLine="0" w:firstLineChars="0"/>
                    <w:jc w:val="center"/>
                    <w:rPr>
                      <w:color w:val="auto"/>
                    </w:rPr>
                  </w:pPr>
                  <w:r>
                    <w:rPr>
                      <w:rFonts w:hint="eastAsia"/>
                      <w:color w:val="auto"/>
                    </w:rPr>
                    <w:t>0.122</w:t>
                  </w:r>
                </w:p>
              </w:tc>
            </w:tr>
            <w:tr w14:paraId="41C90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1" w:type="dxa"/>
                  <w:gridSpan w:val="2"/>
                  <w:vAlign w:val="center"/>
                </w:tcPr>
                <w:p w14:paraId="1F7D08E6">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沥青</w:t>
                  </w:r>
                </w:p>
              </w:tc>
              <w:tc>
                <w:tcPr>
                  <w:tcW w:w="2005" w:type="dxa"/>
                  <w:vAlign w:val="center"/>
                </w:tcPr>
                <w:p w14:paraId="03DE13FC">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2000</w:t>
                  </w:r>
                </w:p>
              </w:tc>
              <w:tc>
                <w:tcPr>
                  <w:tcW w:w="2190" w:type="dxa"/>
                  <w:vMerge w:val="continue"/>
                  <w:vAlign w:val="center"/>
                </w:tcPr>
                <w:p w14:paraId="450AFC62">
                  <w:pPr>
                    <w:pStyle w:val="29"/>
                    <w:ind w:left="0" w:firstLine="0" w:firstLineChars="0"/>
                    <w:jc w:val="center"/>
                    <w:rPr>
                      <w:color w:val="auto"/>
                    </w:rPr>
                  </w:pPr>
                </w:p>
              </w:tc>
              <w:tc>
                <w:tcPr>
                  <w:tcW w:w="1803" w:type="dxa"/>
                  <w:vMerge w:val="continue"/>
                  <w:vAlign w:val="center"/>
                </w:tcPr>
                <w:p w14:paraId="56F67723">
                  <w:pPr>
                    <w:pStyle w:val="29"/>
                    <w:ind w:left="0" w:firstLine="0" w:firstLineChars="0"/>
                    <w:jc w:val="center"/>
                    <w:rPr>
                      <w:color w:val="auto"/>
                    </w:rPr>
                  </w:pPr>
                </w:p>
              </w:tc>
            </w:tr>
            <w:tr w14:paraId="5163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301" w:type="dxa"/>
                  <w:gridSpan w:val="2"/>
                  <w:vAlign w:val="center"/>
                </w:tcPr>
                <w:p w14:paraId="494FBFBD">
                  <w:pPr>
                    <w:pStyle w:val="29"/>
                    <w:ind w:left="0" w:firstLine="0" w:firstLineChars="0"/>
                    <w:jc w:val="center"/>
                    <w:rPr>
                      <w:color w:val="auto"/>
                    </w:rPr>
                  </w:pPr>
                  <w:r>
                    <w:rPr>
                      <w:rFonts w:hint="eastAsia"/>
                      <w:color w:val="auto"/>
                    </w:rPr>
                    <w:t>合计</w:t>
                  </w:r>
                </w:p>
              </w:tc>
              <w:tc>
                <w:tcPr>
                  <w:tcW w:w="2005" w:type="dxa"/>
                  <w:vAlign w:val="center"/>
                </w:tcPr>
                <w:p w14:paraId="0224A628">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120000</w:t>
                  </w:r>
                </w:p>
              </w:tc>
              <w:tc>
                <w:tcPr>
                  <w:tcW w:w="2190" w:type="dxa"/>
                  <w:vAlign w:val="center"/>
                </w:tcPr>
                <w:p w14:paraId="697F310C">
                  <w:pPr>
                    <w:pStyle w:val="29"/>
                    <w:ind w:left="0" w:firstLine="0" w:firstLineChars="0"/>
                    <w:jc w:val="center"/>
                    <w:rPr>
                      <w:color w:val="auto"/>
                    </w:rPr>
                  </w:pPr>
                  <w:r>
                    <w:rPr>
                      <w:rFonts w:hint="eastAsia"/>
                      <w:color w:val="auto"/>
                    </w:rPr>
                    <w:t>合计</w:t>
                  </w:r>
                </w:p>
              </w:tc>
              <w:tc>
                <w:tcPr>
                  <w:tcW w:w="1803" w:type="dxa"/>
                  <w:vAlign w:val="center"/>
                </w:tcPr>
                <w:p w14:paraId="601F80C3">
                  <w:pPr>
                    <w:pStyle w:val="29"/>
                    <w:ind w:left="0" w:firstLine="0" w:firstLineChars="0"/>
                    <w:jc w:val="center"/>
                    <w:rPr>
                      <w:color w:val="auto"/>
                    </w:rPr>
                  </w:pPr>
                  <w:r>
                    <w:rPr>
                      <w:rFonts w:hint="eastAsia"/>
                      <w:color w:val="auto"/>
                    </w:rPr>
                    <w:t>120000</w:t>
                  </w:r>
                </w:p>
              </w:tc>
            </w:tr>
            <w:tr w14:paraId="6C037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9" w:type="dxa"/>
                  <w:gridSpan w:val="5"/>
                  <w:vAlign w:val="center"/>
                </w:tcPr>
                <w:p w14:paraId="2DA72C1D">
                  <w:pPr>
                    <w:pStyle w:val="25"/>
                    <w:widowControl w:val="0"/>
                    <w:snapToGrid w:val="0"/>
                    <w:spacing w:before="0" w:beforeAutospacing="0" w:after="0" w:afterAutospacing="0"/>
                    <w:jc w:val="center"/>
                    <w:rPr>
                      <w:color w:val="auto"/>
                    </w:rPr>
                  </w:pPr>
                  <w:r>
                    <w:rPr>
                      <w:rFonts w:ascii="Times New Roman" w:hAnsi="Times New Roman"/>
                      <w:b/>
                      <w:bCs/>
                      <w:color w:val="auto"/>
                      <w:kern w:val="2"/>
                      <w:sz w:val="21"/>
                      <w:szCs w:val="21"/>
                      <w:lang w:bidi="ar"/>
                    </w:rPr>
                    <w:t>水泥稳定土</w:t>
                  </w:r>
                </w:p>
              </w:tc>
            </w:tr>
            <w:tr w14:paraId="5A554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1" w:type="dxa"/>
                  <w:gridSpan w:val="2"/>
                  <w:vAlign w:val="center"/>
                </w:tcPr>
                <w:p w14:paraId="16DC1960">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中砂</w:t>
                  </w:r>
                  <w:r>
                    <w:rPr>
                      <w:rFonts w:hint="eastAsia"/>
                      <w:color w:val="auto"/>
                      <w:kern w:val="2"/>
                      <w:sz w:val="21"/>
                      <w:szCs w:val="21"/>
                      <w:lang w:bidi="ar"/>
                    </w:rPr>
                    <w:t>（</w:t>
                  </w:r>
                  <w:r>
                    <w:rPr>
                      <w:rFonts w:ascii="Times New Roman" w:hAnsi="Times New Roman"/>
                      <w:color w:val="auto"/>
                      <w:kern w:val="2"/>
                      <w:sz w:val="21"/>
                      <w:szCs w:val="21"/>
                      <w:lang w:bidi="ar"/>
                    </w:rPr>
                    <w:t>2.3-</w:t>
                  </w:r>
                  <w:r>
                    <w:rPr>
                      <w:rFonts w:hint="eastAsia" w:ascii="Times New Roman" w:hAnsi="Times New Roman"/>
                      <w:color w:val="auto"/>
                      <w:kern w:val="2"/>
                      <w:sz w:val="21"/>
                      <w:szCs w:val="21"/>
                      <w:lang w:bidi="ar"/>
                    </w:rPr>
                    <w:t>5</w:t>
                  </w:r>
                  <w:r>
                    <w:rPr>
                      <w:rFonts w:ascii="Times New Roman" w:hAnsi="Times New Roman"/>
                      <w:color w:val="auto"/>
                      <w:kern w:val="2"/>
                      <w:sz w:val="21"/>
                      <w:szCs w:val="21"/>
                      <w:lang w:bidi="ar"/>
                    </w:rPr>
                    <w:t>mm</w:t>
                  </w:r>
                  <w:r>
                    <w:rPr>
                      <w:rFonts w:hint="eastAsia"/>
                      <w:color w:val="auto"/>
                      <w:kern w:val="2"/>
                      <w:sz w:val="21"/>
                      <w:szCs w:val="21"/>
                      <w:lang w:bidi="ar"/>
                    </w:rPr>
                    <w:t>）</w:t>
                  </w:r>
                </w:p>
              </w:tc>
              <w:tc>
                <w:tcPr>
                  <w:tcW w:w="2005" w:type="dxa"/>
                  <w:vAlign w:val="center"/>
                </w:tcPr>
                <w:p w14:paraId="01AEBD97">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12000</w:t>
                  </w:r>
                </w:p>
              </w:tc>
              <w:tc>
                <w:tcPr>
                  <w:tcW w:w="2190" w:type="dxa"/>
                  <w:vMerge w:val="restart"/>
                  <w:vAlign w:val="center"/>
                </w:tcPr>
                <w:p w14:paraId="07F8BA49">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水泥稳定土</w:t>
                  </w:r>
                </w:p>
              </w:tc>
              <w:tc>
                <w:tcPr>
                  <w:tcW w:w="1803" w:type="dxa"/>
                  <w:vMerge w:val="restart"/>
                  <w:vAlign w:val="center"/>
                </w:tcPr>
                <w:p w14:paraId="1F349BE7">
                  <w:pPr>
                    <w:pStyle w:val="29"/>
                    <w:ind w:left="0" w:firstLine="0" w:firstLineChars="0"/>
                    <w:jc w:val="center"/>
                    <w:rPr>
                      <w:rFonts w:hint="default" w:eastAsia="宋体"/>
                      <w:color w:val="auto"/>
                      <w:lang w:val="en-US" w:eastAsia="zh-CN"/>
                    </w:rPr>
                  </w:pPr>
                  <w:r>
                    <w:rPr>
                      <w:rFonts w:hint="eastAsia"/>
                      <w:color w:val="auto"/>
                    </w:rPr>
                    <w:t>199998.</w:t>
                  </w:r>
                  <w:r>
                    <w:rPr>
                      <w:rFonts w:hint="eastAsia"/>
                      <w:color w:val="auto"/>
                      <w:lang w:val="en-US" w:eastAsia="zh-CN"/>
                    </w:rPr>
                    <w:t>702</w:t>
                  </w:r>
                </w:p>
              </w:tc>
            </w:tr>
            <w:tr w14:paraId="663C6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1" w:type="dxa"/>
                  <w:gridSpan w:val="2"/>
                  <w:vAlign w:val="center"/>
                </w:tcPr>
                <w:p w14:paraId="03F9AA5C">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砾石</w:t>
                  </w:r>
                  <w:r>
                    <w:rPr>
                      <w:rFonts w:hint="eastAsia"/>
                      <w:color w:val="auto"/>
                      <w:kern w:val="2"/>
                      <w:sz w:val="21"/>
                      <w:szCs w:val="21"/>
                      <w:lang w:bidi="ar"/>
                    </w:rPr>
                    <w:t>（</w:t>
                  </w:r>
                  <w:r>
                    <w:rPr>
                      <w:rFonts w:hint="eastAsia" w:ascii="Times New Roman" w:hAnsi="Times New Roman"/>
                      <w:color w:val="auto"/>
                      <w:kern w:val="2"/>
                      <w:sz w:val="21"/>
                      <w:szCs w:val="21"/>
                      <w:lang w:bidi="ar"/>
                    </w:rPr>
                    <w:t>5-10</w:t>
                  </w:r>
                  <w:r>
                    <w:rPr>
                      <w:rFonts w:ascii="Times New Roman" w:hAnsi="Times New Roman"/>
                      <w:color w:val="auto"/>
                      <w:kern w:val="2"/>
                      <w:sz w:val="21"/>
                      <w:szCs w:val="21"/>
                      <w:lang w:bidi="ar"/>
                    </w:rPr>
                    <w:t>mm</w:t>
                  </w:r>
                  <w:r>
                    <w:rPr>
                      <w:rFonts w:hint="eastAsia"/>
                      <w:color w:val="auto"/>
                      <w:kern w:val="2"/>
                      <w:sz w:val="21"/>
                      <w:szCs w:val="21"/>
                      <w:lang w:bidi="ar"/>
                    </w:rPr>
                    <w:t>）</w:t>
                  </w:r>
                </w:p>
              </w:tc>
              <w:tc>
                <w:tcPr>
                  <w:tcW w:w="2005" w:type="dxa"/>
                  <w:vAlign w:val="center"/>
                </w:tcPr>
                <w:p w14:paraId="4C8EEFDF">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24000</w:t>
                  </w:r>
                </w:p>
              </w:tc>
              <w:tc>
                <w:tcPr>
                  <w:tcW w:w="2190" w:type="dxa"/>
                  <w:vMerge w:val="continue"/>
                  <w:vAlign w:val="center"/>
                </w:tcPr>
                <w:p w14:paraId="0F8F1696">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c>
                <w:tcPr>
                  <w:tcW w:w="1803" w:type="dxa"/>
                  <w:vMerge w:val="continue"/>
                  <w:vAlign w:val="center"/>
                </w:tcPr>
                <w:p w14:paraId="3EDCF873">
                  <w:pPr>
                    <w:pStyle w:val="29"/>
                    <w:ind w:left="0" w:leftChars="0" w:firstLine="0" w:firstLineChars="0"/>
                    <w:jc w:val="center"/>
                    <w:rPr>
                      <w:color w:val="auto"/>
                    </w:rPr>
                  </w:pPr>
                </w:p>
              </w:tc>
            </w:tr>
            <w:tr w14:paraId="76648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1" w:type="dxa"/>
                  <w:gridSpan w:val="2"/>
                  <w:vAlign w:val="center"/>
                </w:tcPr>
                <w:p w14:paraId="267DF279">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砾石</w:t>
                  </w:r>
                  <w:r>
                    <w:rPr>
                      <w:rFonts w:hint="eastAsia"/>
                      <w:color w:val="auto"/>
                      <w:kern w:val="2"/>
                      <w:sz w:val="21"/>
                      <w:szCs w:val="21"/>
                      <w:lang w:bidi="ar"/>
                    </w:rPr>
                    <w:t>（</w:t>
                  </w:r>
                  <w:r>
                    <w:rPr>
                      <w:rFonts w:hint="eastAsia" w:ascii="Times New Roman" w:hAnsi="Times New Roman"/>
                      <w:color w:val="auto"/>
                      <w:kern w:val="2"/>
                      <w:sz w:val="21"/>
                      <w:szCs w:val="21"/>
                      <w:lang w:bidi="ar"/>
                    </w:rPr>
                    <w:t>10-15</w:t>
                  </w:r>
                  <w:r>
                    <w:rPr>
                      <w:rFonts w:ascii="Times New Roman" w:hAnsi="Times New Roman"/>
                      <w:color w:val="auto"/>
                      <w:kern w:val="2"/>
                      <w:sz w:val="21"/>
                      <w:szCs w:val="21"/>
                      <w:lang w:bidi="ar"/>
                    </w:rPr>
                    <w:t>mm</w:t>
                  </w:r>
                  <w:r>
                    <w:rPr>
                      <w:rFonts w:hint="eastAsia"/>
                      <w:color w:val="auto"/>
                      <w:kern w:val="2"/>
                      <w:sz w:val="21"/>
                      <w:szCs w:val="21"/>
                      <w:lang w:bidi="ar"/>
                    </w:rPr>
                    <w:t>）</w:t>
                  </w:r>
                </w:p>
              </w:tc>
              <w:tc>
                <w:tcPr>
                  <w:tcW w:w="2005" w:type="dxa"/>
                  <w:vAlign w:val="center"/>
                </w:tcPr>
                <w:p w14:paraId="3763BFD9">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48000</w:t>
                  </w:r>
                </w:p>
              </w:tc>
              <w:tc>
                <w:tcPr>
                  <w:tcW w:w="2190" w:type="dxa"/>
                  <w:vMerge w:val="continue"/>
                  <w:vAlign w:val="center"/>
                </w:tcPr>
                <w:p w14:paraId="65EBDADA">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c>
                <w:tcPr>
                  <w:tcW w:w="1803" w:type="dxa"/>
                  <w:vMerge w:val="continue"/>
                  <w:vAlign w:val="center"/>
                </w:tcPr>
                <w:p w14:paraId="5FA1E281">
                  <w:pPr>
                    <w:pStyle w:val="29"/>
                    <w:ind w:left="0" w:firstLine="0" w:firstLineChars="0"/>
                    <w:jc w:val="center"/>
                    <w:rPr>
                      <w:color w:val="auto"/>
                    </w:rPr>
                  </w:pPr>
                </w:p>
              </w:tc>
            </w:tr>
            <w:tr w14:paraId="65958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1" w:type="dxa"/>
                  <w:gridSpan w:val="2"/>
                  <w:vAlign w:val="center"/>
                </w:tcPr>
                <w:p w14:paraId="73CD1FB8">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砾石</w:t>
                  </w:r>
                  <w:r>
                    <w:rPr>
                      <w:rFonts w:hint="eastAsia"/>
                      <w:color w:val="auto"/>
                      <w:kern w:val="2"/>
                      <w:sz w:val="21"/>
                      <w:szCs w:val="21"/>
                      <w:lang w:bidi="ar"/>
                    </w:rPr>
                    <w:t>（</w:t>
                  </w:r>
                  <w:r>
                    <w:rPr>
                      <w:rFonts w:hint="eastAsia" w:ascii="Times New Roman" w:hAnsi="Times New Roman"/>
                      <w:color w:val="auto"/>
                      <w:kern w:val="2"/>
                      <w:sz w:val="21"/>
                      <w:szCs w:val="21"/>
                      <w:lang w:bidi="ar"/>
                    </w:rPr>
                    <w:t>15-20</w:t>
                  </w:r>
                  <w:r>
                    <w:rPr>
                      <w:rFonts w:ascii="Times New Roman" w:hAnsi="Times New Roman"/>
                      <w:color w:val="auto"/>
                      <w:kern w:val="2"/>
                      <w:sz w:val="21"/>
                      <w:szCs w:val="21"/>
                      <w:lang w:bidi="ar"/>
                    </w:rPr>
                    <w:t>mm</w:t>
                  </w:r>
                  <w:r>
                    <w:rPr>
                      <w:rFonts w:hint="eastAsia"/>
                      <w:color w:val="auto"/>
                      <w:kern w:val="2"/>
                      <w:sz w:val="21"/>
                      <w:szCs w:val="21"/>
                      <w:lang w:bidi="ar"/>
                    </w:rPr>
                    <w:t>）</w:t>
                  </w:r>
                </w:p>
              </w:tc>
              <w:tc>
                <w:tcPr>
                  <w:tcW w:w="2005" w:type="dxa"/>
                  <w:vAlign w:val="center"/>
                </w:tcPr>
                <w:p w14:paraId="4F456ECB">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36000</w:t>
                  </w:r>
                </w:p>
              </w:tc>
              <w:tc>
                <w:tcPr>
                  <w:tcW w:w="2190" w:type="dxa"/>
                  <w:vMerge w:val="restart"/>
                  <w:vAlign w:val="center"/>
                </w:tcPr>
                <w:p w14:paraId="794AFC5A">
                  <w:pPr>
                    <w:pStyle w:val="25"/>
                    <w:widowControl w:val="0"/>
                    <w:snapToGrid w:val="0"/>
                    <w:spacing w:before="0" w:beforeAutospacing="0" w:after="0" w:afterAutospacing="0"/>
                    <w:jc w:val="center"/>
                    <w:rPr>
                      <w:rFonts w:hint="eastAsia" w:ascii="Times New Roman" w:hAnsi="Times New Roman" w:eastAsia="宋体"/>
                      <w:color w:val="auto"/>
                      <w:kern w:val="2"/>
                      <w:sz w:val="21"/>
                      <w:szCs w:val="21"/>
                      <w:highlight w:val="none"/>
                      <w:lang w:eastAsia="zh-CN" w:bidi="ar"/>
                    </w:rPr>
                  </w:pPr>
                  <w:r>
                    <w:rPr>
                      <w:rFonts w:hint="eastAsia" w:ascii="Times New Roman" w:hAnsi="Times New Roman"/>
                      <w:color w:val="auto"/>
                      <w:kern w:val="2"/>
                      <w:sz w:val="21"/>
                      <w:szCs w:val="21"/>
                      <w:highlight w:val="none"/>
                      <w:lang w:eastAsia="zh-CN" w:bidi="ar"/>
                    </w:rPr>
                    <w:t>有组织排放</w:t>
                  </w:r>
                </w:p>
              </w:tc>
              <w:tc>
                <w:tcPr>
                  <w:tcW w:w="1803" w:type="dxa"/>
                  <w:vMerge w:val="restart"/>
                  <w:vAlign w:val="center"/>
                </w:tcPr>
                <w:p w14:paraId="4D3C204D">
                  <w:pPr>
                    <w:pStyle w:val="29"/>
                    <w:ind w:left="0" w:leftChars="0" w:firstLine="0" w:firstLineChars="0"/>
                    <w:jc w:val="center"/>
                    <w:rPr>
                      <w:rFonts w:hint="default" w:eastAsia="宋体"/>
                      <w:color w:val="auto"/>
                      <w:highlight w:val="none"/>
                      <w:lang w:val="en-US" w:eastAsia="zh-CN"/>
                    </w:rPr>
                  </w:pPr>
                  <w:r>
                    <w:rPr>
                      <w:rFonts w:hint="eastAsia"/>
                      <w:color w:val="auto"/>
                      <w:highlight w:val="none"/>
                      <w:lang w:val="en-US" w:eastAsia="zh-CN"/>
                    </w:rPr>
                    <w:t>0.098</w:t>
                  </w:r>
                </w:p>
              </w:tc>
            </w:tr>
            <w:tr w14:paraId="5B67E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1" w:type="dxa"/>
                  <w:gridSpan w:val="2"/>
                  <w:vAlign w:val="center"/>
                </w:tcPr>
                <w:p w14:paraId="163A37B1">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水泥</w:t>
                  </w:r>
                </w:p>
              </w:tc>
              <w:tc>
                <w:tcPr>
                  <w:tcW w:w="2005" w:type="dxa"/>
                  <w:vAlign w:val="center"/>
                </w:tcPr>
                <w:p w14:paraId="23FB1D4A">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8000</w:t>
                  </w:r>
                </w:p>
              </w:tc>
              <w:tc>
                <w:tcPr>
                  <w:tcW w:w="2190" w:type="dxa"/>
                  <w:vMerge w:val="continue"/>
                  <w:vAlign w:val="center"/>
                </w:tcPr>
                <w:p w14:paraId="4C440804">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c>
                <w:tcPr>
                  <w:tcW w:w="1803" w:type="dxa"/>
                  <w:vMerge w:val="continue"/>
                  <w:vAlign w:val="center"/>
                </w:tcPr>
                <w:p w14:paraId="17405AE3">
                  <w:pPr>
                    <w:pStyle w:val="29"/>
                    <w:ind w:left="0" w:firstLine="0" w:firstLineChars="0"/>
                    <w:jc w:val="center"/>
                    <w:rPr>
                      <w:color w:val="auto"/>
                    </w:rPr>
                  </w:pPr>
                </w:p>
              </w:tc>
            </w:tr>
            <w:tr w14:paraId="10C28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1" w:type="dxa"/>
                  <w:gridSpan w:val="2"/>
                  <w:vAlign w:val="center"/>
                </w:tcPr>
                <w:p w14:paraId="65636C0C">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石粉</w:t>
                  </w:r>
                </w:p>
              </w:tc>
              <w:tc>
                <w:tcPr>
                  <w:tcW w:w="2005" w:type="dxa"/>
                  <w:vAlign w:val="center"/>
                </w:tcPr>
                <w:p w14:paraId="12310DB7">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66000</w:t>
                  </w:r>
                </w:p>
              </w:tc>
              <w:tc>
                <w:tcPr>
                  <w:tcW w:w="2190" w:type="dxa"/>
                  <w:vMerge w:val="restart"/>
                  <w:vAlign w:val="center"/>
                </w:tcPr>
                <w:p w14:paraId="6E96BFDE">
                  <w:pPr>
                    <w:pStyle w:val="25"/>
                    <w:widowControl w:val="0"/>
                    <w:snapToGrid w:val="0"/>
                    <w:spacing w:before="0" w:beforeAutospacing="0" w:after="0" w:afterAutospacing="0"/>
                    <w:jc w:val="center"/>
                    <w:rPr>
                      <w:rFonts w:ascii="Times New Roman" w:hAnsi="Times New Roman" w:eastAsia="宋体" w:cs="Times New Roman"/>
                      <w:color w:val="auto"/>
                      <w:kern w:val="2"/>
                      <w:sz w:val="21"/>
                      <w:szCs w:val="21"/>
                      <w:lang w:val="en-US" w:eastAsia="zh-CN" w:bidi="ar"/>
                    </w:rPr>
                  </w:pPr>
                  <w:r>
                    <w:rPr>
                      <w:rFonts w:hint="eastAsia" w:ascii="Times New Roman" w:hAnsi="Times New Roman"/>
                      <w:color w:val="auto"/>
                      <w:kern w:val="2"/>
                      <w:sz w:val="21"/>
                      <w:szCs w:val="21"/>
                      <w:lang w:bidi="ar"/>
                    </w:rPr>
                    <w:t>无组织排放</w:t>
                  </w:r>
                </w:p>
              </w:tc>
              <w:tc>
                <w:tcPr>
                  <w:tcW w:w="1803" w:type="dxa"/>
                  <w:vMerge w:val="restart"/>
                  <w:vAlign w:val="center"/>
                </w:tcPr>
                <w:p w14:paraId="295BB7C1">
                  <w:pPr>
                    <w:pStyle w:val="29"/>
                    <w:ind w:left="0" w:leftChars="0" w:firstLine="0" w:firstLineChars="0"/>
                    <w:jc w:val="center"/>
                    <w:rPr>
                      <w:rFonts w:ascii="Times New Roman" w:hAnsi="Times New Roman" w:eastAsia="宋体" w:cs="Times New Roman"/>
                      <w:color w:val="auto"/>
                      <w:kern w:val="2"/>
                      <w:sz w:val="21"/>
                      <w:szCs w:val="24"/>
                      <w:lang w:val="en-US" w:eastAsia="zh-CN" w:bidi="ar-SA"/>
                    </w:rPr>
                  </w:pPr>
                  <w:r>
                    <w:rPr>
                      <w:rFonts w:hint="eastAsia"/>
                      <w:color w:val="auto"/>
                    </w:rPr>
                    <w:t>1.2</w:t>
                  </w:r>
                </w:p>
              </w:tc>
            </w:tr>
            <w:tr w14:paraId="4A7BC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1" w:type="dxa"/>
                  <w:gridSpan w:val="2"/>
                  <w:vAlign w:val="center"/>
                </w:tcPr>
                <w:p w14:paraId="4ED17B57">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水</w:t>
                  </w:r>
                </w:p>
              </w:tc>
              <w:tc>
                <w:tcPr>
                  <w:tcW w:w="2005" w:type="dxa"/>
                  <w:vAlign w:val="center"/>
                </w:tcPr>
                <w:p w14:paraId="7A661022">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6000</w:t>
                  </w:r>
                </w:p>
              </w:tc>
              <w:tc>
                <w:tcPr>
                  <w:tcW w:w="2190" w:type="dxa"/>
                  <w:vMerge w:val="continue"/>
                  <w:vAlign w:val="center"/>
                </w:tcPr>
                <w:p w14:paraId="212ABA8B">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c>
                <w:tcPr>
                  <w:tcW w:w="1803" w:type="dxa"/>
                  <w:vMerge w:val="continue"/>
                  <w:vAlign w:val="center"/>
                </w:tcPr>
                <w:p w14:paraId="73D99B93">
                  <w:pPr>
                    <w:pStyle w:val="29"/>
                    <w:ind w:left="0" w:firstLine="0" w:firstLineChars="0"/>
                    <w:jc w:val="center"/>
                    <w:rPr>
                      <w:color w:val="auto"/>
                    </w:rPr>
                  </w:pPr>
                </w:p>
              </w:tc>
            </w:tr>
            <w:tr w14:paraId="0E7D4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1" w:type="dxa"/>
                  <w:gridSpan w:val="2"/>
                  <w:vAlign w:val="center"/>
                </w:tcPr>
                <w:p w14:paraId="42C1EBAB">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合计</w:t>
                  </w:r>
                </w:p>
              </w:tc>
              <w:tc>
                <w:tcPr>
                  <w:tcW w:w="2005" w:type="dxa"/>
                  <w:vAlign w:val="center"/>
                </w:tcPr>
                <w:p w14:paraId="456F34CD">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200000</w:t>
                  </w:r>
                </w:p>
              </w:tc>
              <w:tc>
                <w:tcPr>
                  <w:tcW w:w="2190" w:type="dxa"/>
                  <w:vAlign w:val="center"/>
                </w:tcPr>
                <w:p w14:paraId="7F7A0F63">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合计</w:t>
                  </w:r>
                </w:p>
              </w:tc>
              <w:tc>
                <w:tcPr>
                  <w:tcW w:w="1803" w:type="dxa"/>
                  <w:vAlign w:val="center"/>
                </w:tcPr>
                <w:p w14:paraId="7860E217">
                  <w:pPr>
                    <w:pStyle w:val="29"/>
                    <w:ind w:left="0" w:firstLine="0" w:firstLineChars="0"/>
                    <w:jc w:val="center"/>
                    <w:rPr>
                      <w:color w:val="auto"/>
                    </w:rPr>
                  </w:pPr>
                  <w:r>
                    <w:rPr>
                      <w:rFonts w:hint="eastAsia"/>
                      <w:color w:val="auto"/>
                    </w:rPr>
                    <w:t>200000</w:t>
                  </w:r>
                </w:p>
              </w:tc>
            </w:tr>
          </w:tbl>
          <w:p w14:paraId="04353925">
            <w:pPr>
              <w:adjustRightInd w:val="0"/>
              <w:snapToGrid w:val="0"/>
              <w:spacing w:line="360" w:lineRule="auto"/>
              <w:jc w:val="center"/>
              <w:rPr>
                <w:rFonts w:hint="eastAsia"/>
                <w:b/>
                <w:szCs w:val="21"/>
              </w:rPr>
            </w:pPr>
            <w:r>
              <w:rPr>
                <w:sz w:val="21"/>
              </w:rPr>
              <mc:AlternateContent>
                <mc:Choice Requires="wps">
                  <w:drawing>
                    <wp:anchor distT="0" distB="0" distL="114300" distR="114300" simplePos="0" relativeHeight="251729920" behindDoc="0" locked="0" layoutInCell="1" allowOverlap="1">
                      <wp:simplePos x="0" y="0"/>
                      <wp:positionH relativeFrom="column">
                        <wp:posOffset>3208655</wp:posOffset>
                      </wp:positionH>
                      <wp:positionV relativeFrom="paragraph">
                        <wp:posOffset>640715</wp:posOffset>
                      </wp:positionV>
                      <wp:extent cx="592455" cy="194945"/>
                      <wp:effectExtent l="0" t="0" r="17145" b="14605"/>
                      <wp:wrapNone/>
                      <wp:docPr id="108" name="文本框 108"/>
                      <wp:cNvGraphicFramePr/>
                      <a:graphic xmlns:a="http://schemas.openxmlformats.org/drawingml/2006/main">
                        <a:graphicData uri="http://schemas.microsoft.com/office/word/2010/wordprocessingShape">
                          <wps:wsp>
                            <wps:cNvSpPr txBox="1"/>
                            <wps:spPr>
                              <a:xfrm>
                                <a:off x="0" y="0"/>
                                <a:ext cx="592455" cy="19494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466FF5BA">
                                  <w:pPr>
                                    <w:jc w:val="left"/>
                                    <w:rPr>
                                      <w:rFonts w:hint="eastAsia" w:ascii="黑体" w:hAnsi="黑体" w:eastAsia="黑体" w:cs="黑体"/>
                                      <w:sz w:val="13"/>
                                      <w:szCs w:val="16"/>
                                      <w:lang w:val="en-US" w:eastAsia="zh-CN"/>
                                    </w:rPr>
                                  </w:pPr>
                                  <w:r>
                                    <w:rPr>
                                      <w:rFonts w:hint="eastAsia" w:ascii="黑体" w:hAnsi="黑体" w:eastAsia="黑体" w:cs="黑体"/>
                                      <w:w w:val="90"/>
                                      <w:sz w:val="13"/>
                                      <w:szCs w:val="16"/>
                                      <w:lang w:val="en-US" w:eastAsia="zh-CN"/>
                                    </w:rPr>
                                    <w:t>0.2558t/</w:t>
                                  </w:r>
                                  <w:r>
                                    <w:rPr>
                                      <w:rFonts w:hint="eastAsia" w:ascii="黑体" w:hAnsi="黑体" w:eastAsia="黑体" w:cs="黑体"/>
                                      <w:sz w:val="13"/>
                                      <w:szCs w:val="16"/>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2.65pt;margin-top:50.45pt;height:15.35pt;width:46.65pt;z-index:251729920;mso-width-relative:page;mso-height-relative:page;" fillcolor="#FFFFFF [3212]" filled="t" stroked="f" coordsize="21600,21600" o:gfxdata="UEsDBAoAAAAAAIdO4kAAAAAAAAAAAAAAAAAEAAAAZHJzL1BLAwQUAAAACACHTuJAAQday9UAAAAL&#10;AQAADwAAAGRycy9kb3ducmV2LnhtbE2Py07EMAxF90j8Q2QkdkxShlYzpekskNgiMa91pjFtReJU&#10;Seb59ZgVLO17dH3crC7eiRPGNAbSUMwUCKQu2JF6DdvN+9MCRMqGrHGBUMMVE6za+7vG1Dac6RNP&#10;69wLLqFUGw1DzlMtZeoG9CbNwoTE2VeI3mQeYy9tNGcu904+K1VJb0biC4OZ8G3A7nt99Br2vb/t&#10;d8UUB+vdC33crpttGLV+fCjUK4iMl/wHw68+q0PLTodwJJuE01Cqcs4oB0otQTBRLhcViANv5kUF&#10;sm3k/x/aH1BLAwQUAAAACACHTuJADKTxMVACAACSBAAADgAAAGRycy9lMm9Eb2MueG1srVTBjtMw&#10;EL0j8Q+W72zSkiy02nRVdlWEtGJXKoiz6ziNJdtjbLfJ8gHwB5y4cOe7+h2MnXR3WTjsgR7S8czk&#10;jd+bmZyd91qRvXBegqno5CSnRBgOtTTbin78sHrxmhIfmKmZAiMqeis8PV88f3bW2bmYQguqFo4g&#10;iPHzzla0DcHOs8zzVmjmT8AKg8EGnGYBj26b1Y51iK5VNs3z06wDV1sHXHiP3sshSEdE9xRAaBrJ&#10;xSXwnRYmDKhOKBaQkm+l9XSRbts0gofrpvEiEFVRZBrSE4ugvYnPbHHG5lvHbCv5eAX2lCs84qSZ&#10;NFj0DuqSBUZ2Tv4FpSV34KEJJxx0NhBJiiCLSf5Im3XLrEhcUGpv70T3/w+Wv9/fOCJrnIQcG2+Y&#10;xpYfvn87/Ph1+PmVRCdK1Fk/x8y1xdzQv4Ee049+j87IvG+cjv/IiWAcBb69E1j0gXB0lrNpUZaU&#10;cAxNZsWsKCNKdv+ydT68FaBJNCrqsH9JVra/8mFIPabEWh6UrFdSqXRw282FcmTPsNer9BvR/0hT&#10;hnQVPX1Z5gnZQHx/gFYGLxO5DpyiFfpNPwqwgfoW+TsYhshbvpJ4yyvmww1zODVIGfcqXOOjUYBF&#10;YLQoacF9+Zc/5mMzMUpJh1NYUf95x5ygRL0z2ObZpCji2KZDUb6a4sE9jGweRsxOXwCSn+AGW57M&#10;mB/U0Wwc6E+4fstYFUPMcKxd0XA0L8KwG7i+XCyXKQkH1bJwZdaWR+gotYHlLkAjU0uiTIM2o3o4&#10;qqmp41rFXXh4Tln3n5L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EHWsvVAAAACwEAAA8AAAAA&#10;AAAAAQAgAAAAIgAAAGRycy9kb3ducmV2LnhtbFBLAQIUABQAAAAIAIdO4kAMpPExUAIAAJIEAAAO&#10;AAAAAAAAAAEAIAAAACQBAABkcnMvZTJvRG9jLnhtbFBLBQYAAAAABgAGAFkBAADmBQAAAAA=&#10;">
                      <v:fill on="t" focussize="0,0"/>
                      <v:stroke on="f" weight="0.5pt"/>
                      <v:imagedata o:title=""/>
                      <o:lock v:ext="edit" aspectratio="f"/>
                      <v:textbox>
                        <w:txbxContent>
                          <w:p w14:paraId="466FF5BA">
                            <w:pPr>
                              <w:jc w:val="left"/>
                              <w:rPr>
                                <w:rFonts w:hint="eastAsia" w:ascii="黑体" w:hAnsi="黑体" w:eastAsia="黑体" w:cs="黑体"/>
                                <w:sz w:val="13"/>
                                <w:szCs w:val="16"/>
                                <w:lang w:val="en-US" w:eastAsia="zh-CN"/>
                              </w:rPr>
                            </w:pPr>
                            <w:r>
                              <w:rPr>
                                <w:rFonts w:hint="eastAsia" w:ascii="黑体" w:hAnsi="黑体" w:eastAsia="黑体" w:cs="黑体"/>
                                <w:w w:val="90"/>
                                <w:sz w:val="13"/>
                                <w:szCs w:val="16"/>
                                <w:lang w:val="en-US" w:eastAsia="zh-CN"/>
                              </w:rPr>
                              <w:t>0.2558t/</w:t>
                            </w:r>
                            <w:r>
                              <w:rPr>
                                <w:rFonts w:hint="eastAsia" w:ascii="黑体" w:hAnsi="黑体" w:eastAsia="黑体" w:cs="黑体"/>
                                <w:sz w:val="13"/>
                                <w:szCs w:val="16"/>
                                <w:lang w:val="en-US" w:eastAsia="zh-CN"/>
                              </w:rPr>
                              <w:t>a</w:t>
                            </w:r>
                          </w:p>
                        </w:txbxContent>
                      </v:textbox>
                    </v:shape>
                  </w:pict>
                </mc:Fallback>
              </mc:AlternateContent>
            </w:r>
            <w:r>
              <w:rPr>
                <w:sz w:val="21"/>
              </w:rPr>
              <mc:AlternateContent>
                <mc:Choice Requires="wps">
                  <w:drawing>
                    <wp:anchor distT="0" distB="0" distL="114300" distR="114300" simplePos="0" relativeHeight="251728896" behindDoc="0" locked="0" layoutInCell="1" allowOverlap="1">
                      <wp:simplePos x="0" y="0"/>
                      <wp:positionH relativeFrom="column">
                        <wp:posOffset>3161030</wp:posOffset>
                      </wp:positionH>
                      <wp:positionV relativeFrom="paragraph">
                        <wp:posOffset>216535</wp:posOffset>
                      </wp:positionV>
                      <wp:extent cx="694690" cy="194945"/>
                      <wp:effectExtent l="0" t="0" r="0" b="0"/>
                      <wp:wrapNone/>
                      <wp:docPr id="101" name="文本框 101"/>
                      <wp:cNvGraphicFramePr/>
                      <a:graphic xmlns:a="http://schemas.openxmlformats.org/drawingml/2006/main">
                        <a:graphicData uri="http://schemas.microsoft.com/office/word/2010/wordprocessingShape">
                          <wps:wsp>
                            <wps:cNvSpPr txBox="1"/>
                            <wps:spPr>
                              <a:xfrm>
                                <a:off x="4472940" y="4585335"/>
                                <a:ext cx="694690" cy="19494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3B4A8CAE">
                                  <w:pPr>
                                    <w:rPr>
                                      <w:rFonts w:hint="eastAsia" w:ascii="黑体" w:hAnsi="黑体" w:eastAsia="黑体" w:cs="黑体"/>
                                      <w:sz w:val="13"/>
                                      <w:szCs w:val="16"/>
                                      <w:lang w:val="en-US" w:eastAsia="zh-CN"/>
                                    </w:rPr>
                                  </w:pPr>
                                  <w:r>
                                    <w:rPr>
                                      <w:rFonts w:hint="eastAsia" w:ascii="黑体" w:hAnsi="黑体" w:eastAsia="黑体" w:cs="黑体"/>
                                      <w:sz w:val="13"/>
                                      <w:szCs w:val="16"/>
                                      <w:lang w:val="en-US" w:eastAsia="zh-CN"/>
                                    </w:rPr>
                                    <w:t>11999.622t/a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9pt;margin-top:17.05pt;height:15.35pt;width:54.7pt;z-index:251728896;mso-width-relative:page;mso-height-relative:page;" fillcolor="#FFFFFF [3212]" filled="t" stroked="f" coordsize="21600,21600" o:gfxdata="UEsDBAoAAAAAAIdO4kAAAAAAAAAAAAAAAAAEAAAAZHJzL1BLAwQUAAAACACHTuJAcoLwVdUAAAAJ&#10;AQAADwAAAGRycy9kb3ducmV2LnhtbE2PS0/DMBCE70j8B2uRuFE7JWpLGqcHJK5I9HV24yWOaq+j&#10;2H3+epYT3Ha0o5lv6tU1eHHGMfWRNBQTBQKpjbanTsN28/GyAJGyIWt8JNRwwwSr5vGhNpWNF/rC&#10;8zp3gkMoVUaDy3mopEytw2DSJA5I/PuOYzCZ5dhJO5oLhwcvp0rNZDA9cYMzA747bI/rU9Cw78J9&#10;vyuG0dngS/q83zbb2Gv9/FSoJYiM1/xnhl98RoeGmQ7xRDYJr6F8mzN61vBaFiDYMFPzKYgDH+UC&#10;ZFPL/wuaH1BLAwQUAAAACACHTuJAbZ9OqVwCAACeBAAADgAAAGRycy9lMm9Eb2MueG1srVRBbtsw&#10;ELwX6B8I3hvZjpzERuTATeCiQNAESIueaYqyBFBclqRtpQ9of5BTL733XXlHh5SdpGkPOdQHeckd&#10;7e7M7ur0rGs12yjnGzIFHx4MOFNGUtmYVcE/fVy8OeHMB2FKocmogt8qz89mr1+dbu1UjagmXSrH&#10;EMT46dYWvA7BTrPMy1q1wh+QVQbOilwrAo5ulZVObBG91dloMDjKtuRK60gq73F70Tv5LqJ7SUCq&#10;qkaqC5LrVpnQR3VKiwBKvm6s57NUbVUpGa6qyqvAdMHBNKQnksBexmc2OxXTlRO2buSuBPGSEp5x&#10;akVjkPQh1IUIgq1d81eotpGOPFXhQFKb9USSImAxHDzT5qYWViUukNrbB9H9/wsrP2yuHWtKTMJg&#10;yJkRLVp+f/f9/sev+5/fWLyERFvrp0DeWGBD95Y6wPf3HpeReVe5Nv6DE4M/z49Hkxwy38Ien4wP&#10;D8e92KoLTAJwNMmPJvBLAIaTfJInf/YYyDof3ilqWTQK7tDLJLHYXPqAogDdQ2JeT7opF43W6eBW&#10;y3Pt2Eag74v0i9nxyh8wbdgWlRyOBymyofh+j9MG8Mi75xet0C27nRhLKm+hhaN+oLyViwZVXgof&#10;roXDBIEYdixc4VFpQhLaWZzV5L7+6z7i0Vh4OdtiIgvuv6yFU5zp9wYtnwzzqGdIh3x8PMLBPfUs&#10;n3rMuj0nkEdTUV0yIz7ovVk5aj9jFecxK1zCSOQueNib56HfE6yyVPN5AmForQiX5sbKGDpKbWi+&#10;DlQ1qSVRpl6bnXoY2yT7bsXiXjw9J9TjZ2X2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KC8FXV&#10;AAAACQEAAA8AAAAAAAAAAQAgAAAAIgAAAGRycy9kb3ducmV2LnhtbFBLAQIUABQAAAAIAIdO4kBt&#10;n06pXAIAAJ4EAAAOAAAAAAAAAAEAIAAAACQBAABkcnMvZTJvRG9jLnhtbFBLBQYAAAAABgAGAFkB&#10;AADyBQAAAAA=&#10;">
                      <v:fill on="t" focussize="0,0"/>
                      <v:stroke on="f" weight="0.5pt"/>
                      <v:imagedata o:title=""/>
                      <o:lock v:ext="edit" aspectratio="f"/>
                      <v:textbox>
                        <w:txbxContent>
                          <w:p w14:paraId="3B4A8CAE">
                            <w:pPr>
                              <w:rPr>
                                <w:rFonts w:hint="eastAsia" w:ascii="黑体" w:hAnsi="黑体" w:eastAsia="黑体" w:cs="黑体"/>
                                <w:sz w:val="13"/>
                                <w:szCs w:val="16"/>
                                <w:lang w:val="en-US" w:eastAsia="zh-CN"/>
                              </w:rPr>
                            </w:pPr>
                            <w:r>
                              <w:rPr>
                                <w:rFonts w:hint="eastAsia" w:ascii="黑体" w:hAnsi="黑体" w:eastAsia="黑体" w:cs="黑体"/>
                                <w:sz w:val="13"/>
                                <w:szCs w:val="16"/>
                                <w:lang w:val="en-US" w:eastAsia="zh-CN"/>
                              </w:rPr>
                              <w:t>11999.622t/a</w:t>
                            </w:r>
                          </w:p>
                        </w:txbxContent>
                      </v:textbox>
                    </v:shape>
                  </w:pict>
                </mc:Fallback>
              </mc:AlternateContent>
            </w:r>
            <w:r>
              <w:rPr>
                <w:rFonts w:hint="eastAsia"/>
                <w:b/>
                <w:szCs w:val="21"/>
              </w:rPr>
              <w:drawing>
                <wp:inline distT="0" distB="0" distL="114300" distR="114300">
                  <wp:extent cx="4324350" cy="2301240"/>
                  <wp:effectExtent l="0" t="0" r="0" b="0"/>
                  <wp:docPr id="77"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ECB019B1-382A-4266-B25C-5B523AA43C14-1" descr="wps"/>
                          <pic:cNvPicPr>
                            <a:picLocks noChangeAspect="1"/>
                          </pic:cNvPicPr>
                        </pic:nvPicPr>
                        <pic:blipFill>
                          <a:blip r:embed="rId12"/>
                          <a:stretch>
                            <a:fillRect/>
                          </a:stretch>
                        </pic:blipFill>
                        <pic:spPr>
                          <a:xfrm>
                            <a:off x="0" y="0"/>
                            <a:ext cx="4324350" cy="2301240"/>
                          </a:xfrm>
                          <a:prstGeom prst="rect">
                            <a:avLst/>
                          </a:prstGeom>
                        </pic:spPr>
                      </pic:pic>
                    </a:graphicData>
                  </a:graphic>
                </wp:inline>
              </w:drawing>
            </w:r>
          </w:p>
          <w:p w14:paraId="62C65BD4">
            <w:pPr>
              <w:adjustRightInd w:val="0"/>
              <w:snapToGrid w:val="0"/>
              <w:spacing w:line="360" w:lineRule="auto"/>
              <w:jc w:val="center"/>
              <w:rPr>
                <w:rFonts w:hint="eastAsia"/>
                <w:b/>
                <w:color w:val="auto"/>
                <w:szCs w:val="21"/>
              </w:rPr>
            </w:pPr>
            <w:r>
              <w:rPr>
                <w:rFonts w:hint="eastAsia"/>
                <w:b/>
                <w:color w:val="auto"/>
                <w:szCs w:val="21"/>
                <w:lang w:val="en-US" w:eastAsia="zh-CN"/>
              </w:rPr>
              <w:t>图</w:t>
            </w:r>
            <w:r>
              <w:rPr>
                <w:rFonts w:hint="eastAsia"/>
                <w:b/>
                <w:color w:val="auto"/>
                <w:szCs w:val="21"/>
              </w:rPr>
              <w:t>2-</w:t>
            </w:r>
            <w:r>
              <w:rPr>
                <w:rFonts w:hint="eastAsia"/>
                <w:b/>
                <w:color w:val="auto"/>
                <w:szCs w:val="21"/>
                <w:lang w:val="en-US" w:eastAsia="zh-CN"/>
              </w:rPr>
              <w:t>3.1沥青混凝土</w:t>
            </w:r>
            <w:r>
              <w:rPr>
                <w:rFonts w:hint="eastAsia"/>
                <w:b/>
                <w:color w:val="auto"/>
                <w:szCs w:val="21"/>
              </w:rPr>
              <w:t>物料净投入、产出平衡表</w:t>
            </w:r>
          </w:p>
          <w:p w14:paraId="6ABE11B4">
            <w:pPr>
              <w:adjustRightInd w:val="0"/>
              <w:snapToGrid w:val="0"/>
              <w:spacing w:line="360" w:lineRule="auto"/>
              <w:jc w:val="center"/>
              <w:rPr>
                <w:rFonts w:hint="eastAsia"/>
                <w:b/>
                <w:color w:val="auto"/>
                <w:szCs w:val="21"/>
              </w:rPr>
            </w:pPr>
            <w:r>
              <w:rPr>
                <w:rFonts w:hint="eastAsia"/>
                <w:b/>
                <w:color w:val="auto"/>
                <w:szCs w:val="21"/>
              </w:rPr>
              <w:drawing>
                <wp:inline distT="0" distB="0" distL="114300" distR="114300">
                  <wp:extent cx="4737100" cy="3082925"/>
                  <wp:effectExtent l="0" t="0" r="0" b="0"/>
                  <wp:docPr id="78"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ECB019B1-382A-4266-B25C-5B523AA43C14-2" descr="wps"/>
                          <pic:cNvPicPr>
                            <a:picLocks noChangeAspect="1"/>
                          </pic:cNvPicPr>
                        </pic:nvPicPr>
                        <pic:blipFill>
                          <a:blip r:embed="rId13"/>
                          <a:stretch>
                            <a:fillRect/>
                          </a:stretch>
                        </pic:blipFill>
                        <pic:spPr>
                          <a:xfrm>
                            <a:off x="0" y="0"/>
                            <a:ext cx="4737100" cy="3082925"/>
                          </a:xfrm>
                          <a:prstGeom prst="rect">
                            <a:avLst/>
                          </a:prstGeom>
                        </pic:spPr>
                      </pic:pic>
                    </a:graphicData>
                  </a:graphic>
                </wp:inline>
              </w:drawing>
            </w:r>
          </w:p>
          <w:p w14:paraId="7A8FA0E7">
            <w:pPr>
              <w:adjustRightInd w:val="0"/>
              <w:snapToGrid w:val="0"/>
              <w:spacing w:line="360" w:lineRule="auto"/>
              <w:jc w:val="center"/>
              <w:rPr>
                <w:rFonts w:hint="eastAsia"/>
                <w:b/>
                <w:color w:val="auto"/>
                <w:szCs w:val="21"/>
              </w:rPr>
            </w:pPr>
            <w:r>
              <w:rPr>
                <w:rFonts w:hint="eastAsia"/>
                <w:b/>
                <w:color w:val="auto"/>
                <w:szCs w:val="21"/>
                <w:lang w:val="en-US" w:eastAsia="zh-CN"/>
              </w:rPr>
              <w:t>图</w:t>
            </w:r>
            <w:r>
              <w:rPr>
                <w:rFonts w:hint="eastAsia"/>
                <w:b/>
                <w:color w:val="auto"/>
                <w:szCs w:val="21"/>
              </w:rPr>
              <w:t>2-</w:t>
            </w:r>
            <w:r>
              <w:rPr>
                <w:rFonts w:hint="eastAsia"/>
                <w:b/>
                <w:color w:val="auto"/>
                <w:szCs w:val="21"/>
                <w:lang w:val="en-US" w:eastAsia="zh-CN"/>
              </w:rPr>
              <w:t>3.2水泥稳定土</w:t>
            </w:r>
            <w:r>
              <w:rPr>
                <w:rFonts w:hint="eastAsia"/>
                <w:b/>
                <w:color w:val="auto"/>
                <w:szCs w:val="21"/>
              </w:rPr>
              <w:t>物料净投入、产出平衡表</w:t>
            </w:r>
          </w:p>
          <w:p w14:paraId="120C847E">
            <w:pPr>
              <w:adjustRightInd w:val="0"/>
              <w:snapToGrid w:val="0"/>
              <w:spacing w:line="360" w:lineRule="auto"/>
              <w:rPr>
                <w:b/>
                <w:szCs w:val="21"/>
              </w:rPr>
            </w:pPr>
            <w:r>
              <w:rPr>
                <w:rFonts w:hint="eastAsia"/>
                <w:b/>
                <w:szCs w:val="21"/>
              </w:rPr>
              <w:t>4、</w:t>
            </w:r>
            <w:r>
              <w:rPr>
                <w:b/>
                <w:szCs w:val="21"/>
              </w:rPr>
              <w:t>项目主要生产设备</w:t>
            </w:r>
          </w:p>
          <w:p w14:paraId="73A75010">
            <w:pPr>
              <w:pStyle w:val="35"/>
              <w:spacing w:line="360" w:lineRule="auto"/>
              <w:ind w:firstLine="420" w:firstLineChars="200"/>
              <w:rPr>
                <w:rFonts w:ascii="Times New Roman" w:hAnsi="Times New Roman" w:cs="Times New Roman"/>
                <w:color w:val="auto"/>
              </w:rPr>
            </w:pPr>
            <w:r>
              <w:rPr>
                <w:rFonts w:ascii="Times New Roman" w:hAnsi="Times New Roman" w:cs="Times New Roman"/>
                <w:color w:val="auto"/>
                <w:sz w:val="21"/>
                <w:szCs w:val="21"/>
              </w:rPr>
              <w:t>本项目主要生产设备详见下表</w:t>
            </w:r>
            <w:r>
              <w:rPr>
                <w:rFonts w:hint="eastAsia" w:ascii="Times New Roman" w:hAnsi="Times New Roman" w:cs="Times New Roman"/>
                <w:color w:val="auto"/>
                <w:sz w:val="21"/>
                <w:szCs w:val="21"/>
              </w:rPr>
              <w:t>2-4</w:t>
            </w:r>
            <w:r>
              <w:rPr>
                <w:rFonts w:ascii="Times New Roman" w:hAnsi="Times New Roman" w:cs="Times New Roman"/>
                <w:color w:val="auto"/>
                <w:sz w:val="21"/>
                <w:szCs w:val="21"/>
              </w:rPr>
              <w:t>。</w:t>
            </w:r>
          </w:p>
          <w:p w14:paraId="40F4F9BE">
            <w:pPr>
              <w:ind w:firstLine="422" w:firstLineChars="200"/>
              <w:jc w:val="center"/>
              <w:rPr>
                <w:b/>
                <w:color w:val="auto"/>
                <w:szCs w:val="21"/>
              </w:rPr>
            </w:pPr>
            <w:r>
              <w:rPr>
                <w:b/>
                <w:bCs/>
                <w:color w:val="auto"/>
                <w:szCs w:val="21"/>
              </w:rPr>
              <w:t>表</w:t>
            </w:r>
            <w:r>
              <w:rPr>
                <w:rFonts w:hint="eastAsia"/>
                <w:b/>
                <w:bCs/>
                <w:color w:val="auto"/>
                <w:szCs w:val="21"/>
              </w:rPr>
              <w:t xml:space="preserve">2-4  </w:t>
            </w:r>
            <w:r>
              <w:rPr>
                <w:b/>
                <w:bCs/>
                <w:color w:val="auto"/>
                <w:szCs w:val="21"/>
              </w:rPr>
              <w:t>主要设备一览表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 w:type="dxa"/>
                <w:bottom w:w="0" w:type="dxa"/>
                <w:right w:w="10" w:type="dxa"/>
              </w:tblCellMar>
            </w:tblPr>
            <w:tblGrid>
              <w:gridCol w:w="738"/>
              <w:gridCol w:w="2676"/>
              <w:gridCol w:w="2963"/>
              <w:gridCol w:w="1922"/>
            </w:tblGrid>
            <w:tr w14:paraId="72B3AA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c>
                <w:tcPr>
                  <w:tcW w:w="445" w:type="pct"/>
                  <w:tcBorders>
                    <w:bottom w:val="single" w:color="auto" w:sz="4" w:space="0"/>
                    <w:right w:val="single" w:color="auto" w:sz="4" w:space="0"/>
                  </w:tcBorders>
                  <w:vAlign w:val="center"/>
                </w:tcPr>
                <w:p w14:paraId="58463ADA">
                  <w:pPr>
                    <w:autoSpaceDE w:val="0"/>
                    <w:autoSpaceDN w:val="0"/>
                    <w:jc w:val="center"/>
                    <w:rPr>
                      <w:b/>
                      <w:bCs/>
                      <w:szCs w:val="21"/>
                      <w:lang w:val="zh-CN"/>
                    </w:rPr>
                  </w:pPr>
                  <w:r>
                    <w:rPr>
                      <w:b/>
                      <w:bCs/>
                      <w:szCs w:val="21"/>
                      <w:lang w:val="zh-CN"/>
                    </w:rPr>
                    <w:t>序号</w:t>
                  </w:r>
                </w:p>
              </w:tc>
              <w:tc>
                <w:tcPr>
                  <w:tcW w:w="1612" w:type="pct"/>
                  <w:tcBorders>
                    <w:left w:val="single" w:color="auto" w:sz="4" w:space="0"/>
                    <w:bottom w:val="single" w:color="auto" w:sz="4" w:space="0"/>
                    <w:right w:val="single" w:color="auto" w:sz="4" w:space="0"/>
                  </w:tcBorders>
                  <w:vAlign w:val="center"/>
                </w:tcPr>
                <w:p w14:paraId="0B092C6D">
                  <w:pPr>
                    <w:autoSpaceDE w:val="0"/>
                    <w:autoSpaceDN w:val="0"/>
                    <w:jc w:val="center"/>
                    <w:rPr>
                      <w:b/>
                      <w:bCs/>
                      <w:szCs w:val="21"/>
                      <w:lang w:val="zh-CN"/>
                    </w:rPr>
                  </w:pPr>
                  <w:r>
                    <w:rPr>
                      <w:b/>
                      <w:bCs/>
                      <w:szCs w:val="21"/>
                      <w:lang w:val="zh-CN"/>
                    </w:rPr>
                    <w:t>设备名称</w:t>
                  </w:r>
                </w:p>
              </w:tc>
              <w:tc>
                <w:tcPr>
                  <w:tcW w:w="1785" w:type="pct"/>
                  <w:tcBorders>
                    <w:left w:val="single" w:color="auto" w:sz="4" w:space="0"/>
                    <w:bottom w:val="single" w:color="auto" w:sz="4" w:space="0"/>
                    <w:right w:val="single" w:color="auto" w:sz="4" w:space="0"/>
                  </w:tcBorders>
                  <w:vAlign w:val="center"/>
                </w:tcPr>
                <w:p w14:paraId="2C2F05C8">
                  <w:pPr>
                    <w:autoSpaceDE w:val="0"/>
                    <w:autoSpaceDN w:val="0"/>
                    <w:jc w:val="center"/>
                    <w:rPr>
                      <w:b/>
                      <w:bCs/>
                      <w:szCs w:val="21"/>
                      <w:lang w:val="zh-CN"/>
                    </w:rPr>
                  </w:pPr>
                  <w:r>
                    <w:rPr>
                      <w:b/>
                      <w:bCs/>
                      <w:szCs w:val="21"/>
                      <w:lang w:val="zh-CN"/>
                    </w:rPr>
                    <w:t>规格</w:t>
                  </w:r>
                </w:p>
              </w:tc>
              <w:tc>
                <w:tcPr>
                  <w:tcW w:w="1156" w:type="pct"/>
                  <w:tcBorders>
                    <w:left w:val="single" w:color="auto" w:sz="4" w:space="0"/>
                    <w:bottom w:val="single" w:color="auto" w:sz="4" w:space="0"/>
                    <w:right w:val="single" w:color="auto" w:sz="4" w:space="0"/>
                  </w:tcBorders>
                  <w:vAlign w:val="center"/>
                </w:tcPr>
                <w:p w14:paraId="752A9111">
                  <w:pPr>
                    <w:autoSpaceDE w:val="0"/>
                    <w:autoSpaceDN w:val="0"/>
                    <w:jc w:val="center"/>
                    <w:rPr>
                      <w:b/>
                      <w:bCs/>
                      <w:szCs w:val="21"/>
                      <w:lang w:val="zh-CN"/>
                    </w:rPr>
                  </w:pPr>
                  <w:r>
                    <w:rPr>
                      <w:b/>
                      <w:bCs/>
                      <w:szCs w:val="21"/>
                      <w:lang w:val="zh-CN"/>
                    </w:rPr>
                    <w:t>数量</w:t>
                  </w:r>
                </w:p>
              </w:tc>
            </w:tr>
            <w:tr w14:paraId="46F22F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c>
                <w:tcPr>
                  <w:tcW w:w="5000" w:type="pct"/>
                  <w:gridSpan w:val="4"/>
                  <w:tcBorders>
                    <w:top w:val="single" w:color="auto" w:sz="4" w:space="0"/>
                    <w:bottom w:val="single" w:color="auto" w:sz="4" w:space="0"/>
                    <w:right w:val="single" w:color="auto" w:sz="4" w:space="0"/>
                  </w:tcBorders>
                  <w:vAlign w:val="center"/>
                </w:tcPr>
                <w:p w14:paraId="58F742C5">
                  <w:pPr>
                    <w:autoSpaceDE w:val="0"/>
                    <w:autoSpaceDN w:val="0"/>
                    <w:jc w:val="center"/>
                    <w:rPr>
                      <w:szCs w:val="21"/>
                    </w:rPr>
                  </w:pPr>
                  <w:r>
                    <w:rPr>
                      <w:rFonts w:hint="eastAsia"/>
                      <w:szCs w:val="21"/>
                    </w:rPr>
                    <w:t>设备设施</w:t>
                  </w:r>
                </w:p>
              </w:tc>
            </w:tr>
            <w:tr w14:paraId="623711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c>
                <w:tcPr>
                  <w:tcW w:w="445" w:type="pct"/>
                  <w:tcBorders>
                    <w:top w:val="single" w:color="auto" w:sz="4" w:space="0"/>
                    <w:bottom w:val="single" w:color="auto" w:sz="4" w:space="0"/>
                    <w:right w:val="single" w:color="auto" w:sz="4" w:space="0"/>
                  </w:tcBorders>
                  <w:vAlign w:val="center"/>
                </w:tcPr>
                <w:p w14:paraId="3BFF7FC5">
                  <w:pPr>
                    <w:autoSpaceDE w:val="0"/>
                    <w:autoSpaceDN w:val="0"/>
                    <w:jc w:val="center"/>
                    <w:rPr>
                      <w:szCs w:val="21"/>
                      <w:lang w:val="zh-CN"/>
                    </w:rPr>
                  </w:pPr>
                  <w:r>
                    <w:rPr>
                      <w:rFonts w:hint="eastAsia"/>
                      <w:szCs w:val="21"/>
                    </w:rPr>
                    <w:t>1</w:t>
                  </w:r>
                </w:p>
              </w:tc>
              <w:tc>
                <w:tcPr>
                  <w:tcW w:w="1612" w:type="pct"/>
                  <w:tcBorders>
                    <w:top w:val="single" w:color="auto" w:sz="4" w:space="0"/>
                    <w:left w:val="single" w:color="auto" w:sz="4" w:space="0"/>
                    <w:bottom w:val="single" w:color="auto" w:sz="4" w:space="0"/>
                    <w:right w:val="single" w:color="auto" w:sz="4" w:space="0"/>
                  </w:tcBorders>
                  <w:vAlign w:val="center"/>
                </w:tcPr>
                <w:p w14:paraId="2DFEC601">
                  <w:pPr>
                    <w:autoSpaceDE w:val="0"/>
                    <w:autoSpaceDN w:val="0"/>
                    <w:jc w:val="center"/>
                    <w:rPr>
                      <w:szCs w:val="21"/>
                    </w:rPr>
                  </w:pPr>
                  <w:r>
                    <w:rPr>
                      <w:rFonts w:hint="eastAsia"/>
                      <w:szCs w:val="21"/>
                    </w:rPr>
                    <w:t>沥青混凝土站</w:t>
                  </w:r>
                </w:p>
              </w:tc>
              <w:tc>
                <w:tcPr>
                  <w:tcW w:w="1785" w:type="pct"/>
                  <w:tcBorders>
                    <w:top w:val="single" w:color="auto" w:sz="4" w:space="0"/>
                    <w:left w:val="single" w:color="auto" w:sz="4" w:space="0"/>
                    <w:bottom w:val="single" w:color="auto" w:sz="4" w:space="0"/>
                    <w:right w:val="single" w:color="auto" w:sz="4" w:space="0"/>
                  </w:tcBorders>
                  <w:vAlign w:val="center"/>
                </w:tcPr>
                <w:p w14:paraId="3EF7C6BE">
                  <w:pPr>
                    <w:autoSpaceDE w:val="0"/>
                    <w:autoSpaceDN w:val="0"/>
                    <w:jc w:val="center"/>
                    <w:rPr>
                      <w:szCs w:val="21"/>
                    </w:rPr>
                  </w:pPr>
                  <w:r>
                    <w:rPr>
                      <w:rFonts w:hint="eastAsia"/>
                      <w:szCs w:val="21"/>
                    </w:rPr>
                    <w:t>J4000</w:t>
                  </w:r>
                </w:p>
              </w:tc>
              <w:tc>
                <w:tcPr>
                  <w:tcW w:w="1156" w:type="pct"/>
                  <w:tcBorders>
                    <w:top w:val="single" w:color="auto" w:sz="4" w:space="0"/>
                    <w:left w:val="single" w:color="auto" w:sz="4" w:space="0"/>
                    <w:bottom w:val="single" w:color="auto" w:sz="4" w:space="0"/>
                    <w:right w:val="single" w:color="auto" w:sz="4" w:space="0"/>
                  </w:tcBorders>
                  <w:vAlign w:val="center"/>
                </w:tcPr>
                <w:p w14:paraId="38FA7F59">
                  <w:pPr>
                    <w:autoSpaceDE w:val="0"/>
                    <w:autoSpaceDN w:val="0"/>
                    <w:jc w:val="center"/>
                    <w:rPr>
                      <w:szCs w:val="21"/>
                    </w:rPr>
                  </w:pPr>
                  <w:r>
                    <w:rPr>
                      <w:rFonts w:hint="eastAsia"/>
                      <w:szCs w:val="21"/>
                    </w:rPr>
                    <w:t>1台</w:t>
                  </w:r>
                </w:p>
              </w:tc>
            </w:tr>
            <w:tr w14:paraId="581048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c>
                <w:tcPr>
                  <w:tcW w:w="445" w:type="pct"/>
                  <w:tcBorders>
                    <w:top w:val="single" w:color="auto" w:sz="4" w:space="0"/>
                    <w:bottom w:val="single" w:color="auto" w:sz="4" w:space="0"/>
                    <w:right w:val="single" w:color="auto" w:sz="4" w:space="0"/>
                  </w:tcBorders>
                  <w:vAlign w:val="center"/>
                </w:tcPr>
                <w:p w14:paraId="77EED9BF">
                  <w:pPr>
                    <w:autoSpaceDE w:val="0"/>
                    <w:autoSpaceDN w:val="0"/>
                    <w:jc w:val="center"/>
                    <w:rPr>
                      <w:szCs w:val="21"/>
                      <w:lang w:val="zh-CN"/>
                    </w:rPr>
                  </w:pPr>
                  <w:r>
                    <w:rPr>
                      <w:rFonts w:hint="eastAsia"/>
                      <w:szCs w:val="21"/>
                    </w:rPr>
                    <w:t>2</w:t>
                  </w:r>
                </w:p>
              </w:tc>
              <w:tc>
                <w:tcPr>
                  <w:tcW w:w="1612" w:type="pct"/>
                  <w:tcBorders>
                    <w:top w:val="single" w:color="auto" w:sz="4" w:space="0"/>
                    <w:left w:val="single" w:color="auto" w:sz="4" w:space="0"/>
                    <w:bottom w:val="single" w:color="auto" w:sz="4" w:space="0"/>
                    <w:right w:val="single" w:color="auto" w:sz="4" w:space="0"/>
                  </w:tcBorders>
                  <w:vAlign w:val="center"/>
                </w:tcPr>
                <w:p w14:paraId="1F40CDC2">
                  <w:pPr>
                    <w:autoSpaceDE w:val="0"/>
                    <w:autoSpaceDN w:val="0"/>
                    <w:jc w:val="center"/>
                    <w:rPr>
                      <w:color w:val="auto"/>
                      <w:szCs w:val="21"/>
                      <w:lang w:val="zh-CN"/>
                    </w:rPr>
                  </w:pPr>
                  <w:r>
                    <w:rPr>
                      <w:rFonts w:hint="eastAsia"/>
                      <w:color w:val="auto"/>
                      <w:szCs w:val="21"/>
                    </w:rPr>
                    <w:t>水泥稳定土站</w:t>
                  </w:r>
                </w:p>
              </w:tc>
              <w:tc>
                <w:tcPr>
                  <w:tcW w:w="1785" w:type="pct"/>
                  <w:tcBorders>
                    <w:top w:val="single" w:color="auto" w:sz="4" w:space="0"/>
                    <w:left w:val="single" w:color="auto" w:sz="4" w:space="0"/>
                    <w:bottom w:val="single" w:color="auto" w:sz="4" w:space="0"/>
                    <w:right w:val="single" w:color="auto" w:sz="4" w:space="0"/>
                  </w:tcBorders>
                  <w:vAlign w:val="center"/>
                </w:tcPr>
                <w:p w14:paraId="1C818C83">
                  <w:pPr>
                    <w:autoSpaceDE w:val="0"/>
                    <w:autoSpaceDN w:val="0"/>
                    <w:jc w:val="center"/>
                    <w:rPr>
                      <w:szCs w:val="21"/>
                    </w:rPr>
                  </w:pPr>
                  <w:r>
                    <w:rPr>
                      <w:rFonts w:hint="eastAsia"/>
                      <w:szCs w:val="21"/>
                    </w:rPr>
                    <w:t>WCQ800</w:t>
                  </w:r>
                </w:p>
              </w:tc>
              <w:tc>
                <w:tcPr>
                  <w:tcW w:w="1156" w:type="pct"/>
                  <w:tcBorders>
                    <w:top w:val="single" w:color="auto" w:sz="4" w:space="0"/>
                    <w:left w:val="single" w:color="auto" w:sz="4" w:space="0"/>
                    <w:bottom w:val="single" w:color="auto" w:sz="4" w:space="0"/>
                    <w:right w:val="single" w:color="auto" w:sz="4" w:space="0"/>
                  </w:tcBorders>
                  <w:vAlign w:val="center"/>
                </w:tcPr>
                <w:p w14:paraId="257551DC">
                  <w:pPr>
                    <w:autoSpaceDE w:val="0"/>
                    <w:autoSpaceDN w:val="0"/>
                    <w:jc w:val="center"/>
                    <w:rPr>
                      <w:szCs w:val="21"/>
                      <w:lang w:val="zh-CN"/>
                    </w:rPr>
                  </w:pPr>
                  <w:r>
                    <w:rPr>
                      <w:rFonts w:hint="eastAsia"/>
                      <w:szCs w:val="21"/>
                    </w:rPr>
                    <w:t>1台</w:t>
                  </w:r>
                </w:p>
              </w:tc>
            </w:tr>
            <w:tr w14:paraId="65C30E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36" w:hRule="atLeast"/>
              </w:trPr>
              <w:tc>
                <w:tcPr>
                  <w:tcW w:w="445" w:type="pct"/>
                  <w:tcBorders>
                    <w:top w:val="single" w:color="auto" w:sz="4" w:space="0"/>
                    <w:bottom w:val="single" w:color="auto" w:sz="4" w:space="0"/>
                    <w:right w:val="single" w:color="auto" w:sz="4" w:space="0"/>
                  </w:tcBorders>
                  <w:vAlign w:val="center"/>
                </w:tcPr>
                <w:p w14:paraId="776A733D">
                  <w:pPr>
                    <w:autoSpaceDE w:val="0"/>
                    <w:autoSpaceDN w:val="0"/>
                    <w:jc w:val="center"/>
                    <w:rPr>
                      <w:szCs w:val="21"/>
                      <w:lang w:val="zh-CN"/>
                    </w:rPr>
                  </w:pPr>
                  <w:r>
                    <w:rPr>
                      <w:rFonts w:hint="eastAsia"/>
                      <w:szCs w:val="21"/>
                    </w:rPr>
                    <w:t>3</w:t>
                  </w:r>
                </w:p>
              </w:tc>
              <w:tc>
                <w:tcPr>
                  <w:tcW w:w="1612" w:type="pct"/>
                  <w:vMerge w:val="restart"/>
                  <w:tcBorders>
                    <w:top w:val="single" w:color="auto" w:sz="4" w:space="0"/>
                    <w:left w:val="single" w:color="auto" w:sz="4" w:space="0"/>
                    <w:right w:val="single" w:color="auto" w:sz="4" w:space="0"/>
                  </w:tcBorders>
                  <w:vAlign w:val="center"/>
                </w:tcPr>
                <w:p w14:paraId="4CDCC49D">
                  <w:pPr>
                    <w:autoSpaceDE w:val="0"/>
                    <w:autoSpaceDN w:val="0"/>
                    <w:jc w:val="center"/>
                    <w:rPr>
                      <w:color w:val="auto"/>
                      <w:szCs w:val="21"/>
                    </w:rPr>
                  </w:pPr>
                  <w:r>
                    <w:rPr>
                      <w:color w:val="auto"/>
                      <w:szCs w:val="21"/>
                    </w:rPr>
                    <w:t>沥青储备罐</w:t>
                  </w:r>
                </w:p>
              </w:tc>
              <w:tc>
                <w:tcPr>
                  <w:tcW w:w="1785" w:type="pct"/>
                  <w:tcBorders>
                    <w:top w:val="single" w:color="auto" w:sz="4" w:space="0"/>
                    <w:left w:val="single" w:color="auto" w:sz="4" w:space="0"/>
                    <w:bottom w:val="single" w:color="auto" w:sz="4" w:space="0"/>
                    <w:right w:val="single" w:color="auto" w:sz="4" w:space="0"/>
                  </w:tcBorders>
                  <w:vAlign w:val="center"/>
                </w:tcPr>
                <w:p w14:paraId="7EB2582D">
                  <w:pPr>
                    <w:autoSpaceDE w:val="0"/>
                    <w:autoSpaceDN w:val="0"/>
                    <w:jc w:val="center"/>
                    <w:rPr>
                      <w:szCs w:val="21"/>
                    </w:rPr>
                  </w:pPr>
                  <w:r>
                    <w:rPr>
                      <w:rFonts w:hint="eastAsia"/>
                      <w:szCs w:val="21"/>
                    </w:rPr>
                    <w:t>2000t</w:t>
                  </w:r>
                </w:p>
              </w:tc>
              <w:tc>
                <w:tcPr>
                  <w:tcW w:w="1156" w:type="pct"/>
                  <w:tcBorders>
                    <w:top w:val="single" w:color="auto" w:sz="4" w:space="0"/>
                    <w:left w:val="single" w:color="auto" w:sz="4" w:space="0"/>
                    <w:bottom w:val="single" w:color="auto" w:sz="4" w:space="0"/>
                    <w:right w:val="single" w:color="auto" w:sz="4" w:space="0"/>
                  </w:tcBorders>
                  <w:vAlign w:val="center"/>
                </w:tcPr>
                <w:p w14:paraId="7F3B9136">
                  <w:pPr>
                    <w:autoSpaceDE w:val="0"/>
                    <w:autoSpaceDN w:val="0"/>
                    <w:jc w:val="center"/>
                    <w:rPr>
                      <w:szCs w:val="21"/>
                    </w:rPr>
                  </w:pPr>
                  <w:r>
                    <w:rPr>
                      <w:rFonts w:hint="eastAsia"/>
                      <w:szCs w:val="21"/>
                    </w:rPr>
                    <w:t>1座</w:t>
                  </w:r>
                </w:p>
              </w:tc>
            </w:tr>
            <w:tr w14:paraId="229743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17" w:hRule="atLeast"/>
              </w:trPr>
              <w:tc>
                <w:tcPr>
                  <w:tcW w:w="445" w:type="pct"/>
                  <w:tcBorders>
                    <w:top w:val="single" w:color="auto" w:sz="4" w:space="0"/>
                    <w:bottom w:val="single" w:color="auto" w:sz="4" w:space="0"/>
                    <w:right w:val="single" w:color="auto" w:sz="4" w:space="0"/>
                  </w:tcBorders>
                  <w:vAlign w:val="center"/>
                </w:tcPr>
                <w:p w14:paraId="6904AD6C">
                  <w:pPr>
                    <w:autoSpaceDE w:val="0"/>
                    <w:autoSpaceDN w:val="0"/>
                    <w:jc w:val="center"/>
                    <w:rPr>
                      <w:szCs w:val="21"/>
                    </w:rPr>
                  </w:pPr>
                  <w:r>
                    <w:rPr>
                      <w:rFonts w:hint="eastAsia"/>
                      <w:szCs w:val="21"/>
                    </w:rPr>
                    <w:t>4</w:t>
                  </w:r>
                </w:p>
              </w:tc>
              <w:tc>
                <w:tcPr>
                  <w:tcW w:w="1612" w:type="pct"/>
                  <w:vMerge w:val="continue"/>
                  <w:tcBorders>
                    <w:left w:val="single" w:color="auto" w:sz="4" w:space="0"/>
                    <w:bottom w:val="single" w:color="auto" w:sz="4" w:space="0"/>
                    <w:right w:val="single" w:color="auto" w:sz="4" w:space="0"/>
                  </w:tcBorders>
                  <w:vAlign w:val="center"/>
                </w:tcPr>
                <w:p w14:paraId="5CC422FD">
                  <w:pPr>
                    <w:autoSpaceDE w:val="0"/>
                    <w:autoSpaceDN w:val="0"/>
                    <w:jc w:val="center"/>
                    <w:rPr>
                      <w:color w:val="auto"/>
                      <w:szCs w:val="21"/>
                    </w:rPr>
                  </w:pPr>
                </w:p>
              </w:tc>
              <w:tc>
                <w:tcPr>
                  <w:tcW w:w="1785" w:type="pct"/>
                  <w:tcBorders>
                    <w:top w:val="single" w:color="auto" w:sz="4" w:space="0"/>
                    <w:left w:val="single" w:color="auto" w:sz="4" w:space="0"/>
                    <w:bottom w:val="single" w:color="auto" w:sz="4" w:space="0"/>
                    <w:right w:val="single" w:color="auto" w:sz="4" w:space="0"/>
                  </w:tcBorders>
                  <w:vAlign w:val="center"/>
                </w:tcPr>
                <w:p w14:paraId="3ED16C59">
                  <w:pPr>
                    <w:autoSpaceDE w:val="0"/>
                    <w:autoSpaceDN w:val="0"/>
                    <w:jc w:val="center"/>
                    <w:rPr>
                      <w:szCs w:val="21"/>
                    </w:rPr>
                  </w:pPr>
                  <w:r>
                    <w:rPr>
                      <w:rFonts w:hint="eastAsia"/>
                      <w:szCs w:val="21"/>
                    </w:rPr>
                    <w:t>50t</w:t>
                  </w:r>
                </w:p>
              </w:tc>
              <w:tc>
                <w:tcPr>
                  <w:tcW w:w="1156" w:type="pct"/>
                  <w:tcBorders>
                    <w:top w:val="single" w:color="auto" w:sz="4" w:space="0"/>
                    <w:left w:val="single" w:color="auto" w:sz="4" w:space="0"/>
                    <w:bottom w:val="single" w:color="auto" w:sz="4" w:space="0"/>
                    <w:right w:val="single" w:color="auto" w:sz="4" w:space="0"/>
                  </w:tcBorders>
                  <w:vAlign w:val="center"/>
                </w:tcPr>
                <w:p w14:paraId="0970D994">
                  <w:pPr>
                    <w:autoSpaceDE w:val="0"/>
                    <w:autoSpaceDN w:val="0"/>
                    <w:jc w:val="center"/>
                    <w:rPr>
                      <w:szCs w:val="21"/>
                    </w:rPr>
                  </w:pPr>
                  <w:r>
                    <w:rPr>
                      <w:rFonts w:hint="eastAsia"/>
                      <w:szCs w:val="21"/>
                    </w:rPr>
                    <w:t>4座</w:t>
                  </w:r>
                </w:p>
              </w:tc>
            </w:tr>
            <w:tr w14:paraId="1313A6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c>
                <w:tcPr>
                  <w:tcW w:w="445" w:type="pct"/>
                  <w:tcBorders>
                    <w:top w:val="single" w:color="auto" w:sz="4" w:space="0"/>
                    <w:bottom w:val="single" w:color="auto" w:sz="4" w:space="0"/>
                    <w:right w:val="single" w:color="auto" w:sz="4" w:space="0"/>
                  </w:tcBorders>
                  <w:vAlign w:val="center"/>
                </w:tcPr>
                <w:p w14:paraId="5C0F0F3B">
                  <w:pPr>
                    <w:autoSpaceDE w:val="0"/>
                    <w:autoSpaceDN w:val="0"/>
                    <w:jc w:val="center"/>
                    <w:rPr>
                      <w:szCs w:val="21"/>
                    </w:rPr>
                  </w:pPr>
                  <w:r>
                    <w:rPr>
                      <w:rFonts w:hint="eastAsia"/>
                      <w:szCs w:val="21"/>
                    </w:rPr>
                    <w:t>7</w:t>
                  </w:r>
                </w:p>
              </w:tc>
              <w:tc>
                <w:tcPr>
                  <w:tcW w:w="1612" w:type="pct"/>
                  <w:tcBorders>
                    <w:top w:val="single" w:color="auto" w:sz="4" w:space="0"/>
                    <w:left w:val="single" w:color="auto" w:sz="4" w:space="0"/>
                    <w:bottom w:val="single" w:color="auto" w:sz="4" w:space="0"/>
                    <w:right w:val="single" w:color="auto" w:sz="4" w:space="0"/>
                  </w:tcBorders>
                  <w:vAlign w:val="center"/>
                </w:tcPr>
                <w:p w14:paraId="18F867BF">
                  <w:pPr>
                    <w:autoSpaceDE w:val="0"/>
                    <w:autoSpaceDN w:val="0"/>
                    <w:jc w:val="center"/>
                    <w:rPr>
                      <w:rFonts w:hint="eastAsia" w:eastAsia="宋体"/>
                      <w:color w:val="auto"/>
                      <w:szCs w:val="21"/>
                      <w:lang w:eastAsia="zh-CN"/>
                    </w:rPr>
                  </w:pPr>
                  <w:r>
                    <w:rPr>
                      <w:color w:val="auto"/>
                      <w:szCs w:val="21"/>
                    </w:rPr>
                    <w:t>矿粉储备罐</w:t>
                  </w:r>
                </w:p>
              </w:tc>
              <w:tc>
                <w:tcPr>
                  <w:tcW w:w="1785" w:type="pct"/>
                  <w:tcBorders>
                    <w:top w:val="single" w:color="auto" w:sz="4" w:space="0"/>
                    <w:left w:val="single" w:color="auto" w:sz="4" w:space="0"/>
                    <w:bottom w:val="single" w:color="auto" w:sz="4" w:space="0"/>
                    <w:right w:val="single" w:color="auto" w:sz="4" w:space="0"/>
                  </w:tcBorders>
                  <w:vAlign w:val="center"/>
                </w:tcPr>
                <w:p w14:paraId="4EA6B8CC">
                  <w:pPr>
                    <w:autoSpaceDE w:val="0"/>
                    <w:autoSpaceDN w:val="0"/>
                    <w:jc w:val="center"/>
                    <w:rPr>
                      <w:szCs w:val="21"/>
                    </w:rPr>
                  </w:pPr>
                  <w:r>
                    <w:rPr>
                      <w:rFonts w:hint="eastAsia"/>
                      <w:szCs w:val="21"/>
                    </w:rPr>
                    <w:t>60t</w:t>
                  </w:r>
                </w:p>
              </w:tc>
              <w:tc>
                <w:tcPr>
                  <w:tcW w:w="1156" w:type="pct"/>
                  <w:tcBorders>
                    <w:top w:val="single" w:color="auto" w:sz="4" w:space="0"/>
                    <w:left w:val="single" w:color="auto" w:sz="4" w:space="0"/>
                    <w:bottom w:val="single" w:color="auto" w:sz="4" w:space="0"/>
                    <w:right w:val="single" w:color="auto" w:sz="4" w:space="0"/>
                  </w:tcBorders>
                  <w:vAlign w:val="center"/>
                </w:tcPr>
                <w:p w14:paraId="72BE2773">
                  <w:pPr>
                    <w:autoSpaceDE w:val="0"/>
                    <w:autoSpaceDN w:val="0"/>
                    <w:jc w:val="center"/>
                    <w:rPr>
                      <w:szCs w:val="21"/>
                    </w:rPr>
                  </w:pPr>
                  <w:r>
                    <w:rPr>
                      <w:rFonts w:hint="eastAsia"/>
                      <w:szCs w:val="21"/>
                    </w:rPr>
                    <w:t>1座</w:t>
                  </w:r>
                </w:p>
              </w:tc>
            </w:tr>
            <w:tr w14:paraId="5DD1D8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c>
                <w:tcPr>
                  <w:tcW w:w="445" w:type="pct"/>
                  <w:vMerge w:val="restart"/>
                  <w:tcBorders>
                    <w:top w:val="single" w:color="auto" w:sz="4" w:space="0"/>
                    <w:right w:val="single" w:color="auto" w:sz="4" w:space="0"/>
                  </w:tcBorders>
                  <w:vAlign w:val="center"/>
                </w:tcPr>
                <w:p w14:paraId="0A1FE537">
                  <w:pPr>
                    <w:autoSpaceDE w:val="0"/>
                    <w:autoSpaceDN w:val="0"/>
                    <w:jc w:val="center"/>
                    <w:rPr>
                      <w:b/>
                      <w:bCs/>
                      <w:szCs w:val="21"/>
                    </w:rPr>
                  </w:pPr>
                  <w:r>
                    <w:rPr>
                      <w:rFonts w:hint="eastAsia"/>
                      <w:szCs w:val="21"/>
                    </w:rPr>
                    <w:t>8</w:t>
                  </w:r>
                </w:p>
              </w:tc>
              <w:tc>
                <w:tcPr>
                  <w:tcW w:w="1612" w:type="pct"/>
                  <w:vMerge w:val="restart"/>
                  <w:tcBorders>
                    <w:top w:val="single" w:color="auto" w:sz="4" w:space="0"/>
                    <w:right w:val="single" w:color="auto" w:sz="4" w:space="0"/>
                  </w:tcBorders>
                  <w:vAlign w:val="center"/>
                </w:tcPr>
                <w:p w14:paraId="120FB454">
                  <w:pPr>
                    <w:autoSpaceDE w:val="0"/>
                    <w:autoSpaceDN w:val="0"/>
                    <w:jc w:val="center"/>
                    <w:rPr>
                      <w:rFonts w:hint="eastAsia" w:eastAsia="宋体"/>
                      <w:color w:val="auto"/>
                      <w:szCs w:val="21"/>
                      <w:lang w:eastAsia="zh-CN"/>
                    </w:rPr>
                  </w:pPr>
                  <w:r>
                    <w:rPr>
                      <w:color w:val="auto"/>
                      <w:szCs w:val="21"/>
                    </w:rPr>
                    <w:t>水泥罐</w:t>
                  </w:r>
                </w:p>
              </w:tc>
              <w:tc>
                <w:tcPr>
                  <w:tcW w:w="1785" w:type="pct"/>
                  <w:tcBorders>
                    <w:top w:val="single" w:color="auto" w:sz="4" w:space="0"/>
                    <w:bottom w:val="single" w:color="auto" w:sz="4" w:space="0"/>
                    <w:right w:val="single" w:color="auto" w:sz="4" w:space="0"/>
                  </w:tcBorders>
                  <w:vAlign w:val="center"/>
                </w:tcPr>
                <w:p w14:paraId="72C8B720">
                  <w:pPr>
                    <w:autoSpaceDE w:val="0"/>
                    <w:autoSpaceDN w:val="0"/>
                    <w:jc w:val="center"/>
                    <w:rPr>
                      <w:szCs w:val="21"/>
                    </w:rPr>
                  </w:pPr>
                  <w:r>
                    <w:rPr>
                      <w:rFonts w:hint="eastAsia"/>
                      <w:szCs w:val="21"/>
                    </w:rPr>
                    <w:t>200t</w:t>
                  </w:r>
                </w:p>
              </w:tc>
              <w:tc>
                <w:tcPr>
                  <w:tcW w:w="1156" w:type="pct"/>
                  <w:tcBorders>
                    <w:top w:val="single" w:color="auto" w:sz="4" w:space="0"/>
                    <w:bottom w:val="single" w:color="auto" w:sz="4" w:space="0"/>
                    <w:right w:val="single" w:color="auto" w:sz="4" w:space="0"/>
                  </w:tcBorders>
                  <w:vAlign w:val="center"/>
                </w:tcPr>
                <w:p w14:paraId="43F63EFA">
                  <w:pPr>
                    <w:autoSpaceDE w:val="0"/>
                    <w:autoSpaceDN w:val="0"/>
                    <w:jc w:val="center"/>
                    <w:rPr>
                      <w:szCs w:val="21"/>
                    </w:rPr>
                  </w:pPr>
                  <w:r>
                    <w:rPr>
                      <w:rFonts w:hint="eastAsia"/>
                      <w:szCs w:val="21"/>
                    </w:rPr>
                    <w:t>1座</w:t>
                  </w:r>
                </w:p>
              </w:tc>
            </w:tr>
            <w:tr w14:paraId="555150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c>
                <w:tcPr>
                  <w:tcW w:w="445" w:type="pct"/>
                  <w:vMerge w:val="continue"/>
                  <w:tcBorders>
                    <w:bottom w:val="single" w:color="auto" w:sz="4" w:space="0"/>
                    <w:right w:val="single" w:color="auto" w:sz="4" w:space="0"/>
                  </w:tcBorders>
                  <w:vAlign w:val="center"/>
                </w:tcPr>
                <w:p w14:paraId="379D1681">
                  <w:pPr>
                    <w:autoSpaceDE w:val="0"/>
                    <w:autoSpaceDN w:val="0"/>
                    <w:jc w:val="center"/>
                    <w:rPr>
                      <w:szCs w:val="21"/>
                    </w:rPr>
                  </w:pPr>
                </w:p>
              </w:tc>
              <w:tc>
                <w:tcPr>
                  <w:tcW w:w="1612" w:type="pct"/>
                  <w:vMerge w:val="continue"/>
                  <w:tcBorders>
                    <w:bottom w:val="single" w:color="auto" w:sz="4" w:space="0"/>
                    <w:right w:val="single" w:color="auto" w:sz="4" w:space="0"/>
                  </w:tcBorders>
                  <w:vAlign w:val="center"/>
                </w:tcPr>
                <w:p w14:paraId="188F48DE">
                  <w:pPr>
                    <w:autoSpaceDE w:val="0"/>
                    <w:autoSpaceDN w:val="0"/>
                    <w:jc w:val="center"/>
                    <w:rPr>
                      <w:color w:val="auto"/>
                      <w:szCs w:val="21"/>
                    </w:rPr>
                  </w:pPr>
                </w:p>
              </w:tc>
              <w:tc>
                <w:tcPr>
                  <w:tcW w:w="1785" w:type="pct"/>
                  <w:tcBorders>
                    <w:top w:val="single" w:color="auto" w:sz="4" w:space="0"/>
                    <w:left w:val="single" w:color="auto" w:sz="4" w:space="0"/>
                    <w:bottom w:val="single" w:color="auto" w:sz="4" w:space="0"/>
                    <w:right w:val="single" w:color="auto" w:sz="4" w:space="0"/>
                  </w:tcBorders>
                  <w:vAlign w:val="center"/>
                </w:tcPr>
                <w:p w14:paraId="4B92725F">
                  <w:pPr>
                    <w:autoSpaceDE w:val="0"/>
                    <w:autoSpaceDN w:val="0"/>
                    <w:jc w:val="center"/>
                    <w:rPr>
                      <w:szCs w:val="21"/>
                    </w:rPr>
                  </w:pPr>
                  <w:r>
                    <w:rPr>
                      <w:rFonts w:hint="eastAsia"/>
                      <w:szCs w:val="21"/>
                    </w:rPr>
                    <w:t>100t</w:t>
                  </w:r>
                </w:p>
              </w:tc>
              <w:tc>
                <w:tcPr>
                  <w:tcW w:w="1156" w:type="pct"/>
                  <w:tcBorders>
                    <w:top w:val="single" w:color="auto" w:sz="4" w:space="0"/>
                    <w:left w:val="single" w:color="auto" w:sz="4" w:space="0"/>
                    <w:bottom w:val="single" w:color="auto" w:sz="4" w:space="0"/>
                    <w:right w:val="single" w:color="auto" w:sz="4" w:space="0"/>
                  </w:tcBorders>
                  <w:vAlign w:val="center"/>
                </w:tcPr>
                <w:p w14:paraId="6EC2EFBC">
                  <w:pPr>
                    <w:autoSpaceDE w:val="0"/>
                    <w:autoSpaceDN w:val="0"/>
                    <w:jc w:val="center"/>
                    <w:rPr>
                      <w:szCs w:val="21"/>
                    </w:rPr>
                  </w:pPr>
                  <w:r>
                    <w:rPr>
                      <w:rFonts w:hint="eastAsia"/>
                      <w:szCs w:val="21"/>
                    </w:rPr>
                    <w:t>1座</w:t>
                  </w:r>
                </w:p>
              </w:tc>
            </w:tr>
            <w:tr w14:paraId="55ADEC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c>
                <w:tcPr>
                  <w:tcW w:w="445" w:type="pct"/>
                  <w:tcBorders>
                    <w:top w:val="single" w:color="auto" w:sz="4" w:space="0"/>
                    <w:bottom w:val="single" w:color="auto" w:sz="4" w:space="0"/>
                    <w:right w:val="single" w:color="auto" w:sz="4" w:space="0"/>
                  </w:tcBorders>
                  <w:vAlign w:val="center"/>
                </w:tcPr>
                <w:p w14:paraId="546E9D96">
                  <w:pPr>
                    <w:autoSpaceDE w:val="0"/>
                    <w:autoSpaceDN w:val="0"/>
                    <w:jc w:val="center"/>
                    <w:rPr>
                      <w:szCs w:val="21"/>
                    </w:rPr>
                  </w:pPr>
                  <w:r>
                    <w:rPr>
                      <w:rFonts w:hint="eastAsia"/>
                      <w:szCs w:val="21"/>
                    </w:rPr>
                    <w:t>9</w:t>
                  </w:r>
                </w:p>
              </w:tc>
              <w:tc>
                <w:tcPr>
                  <w:tcW w:w="1612" w:type="pct"/>
                  <w:tcBorders>
                    <w:top w:val="single" w:color="auto" w:sz="4" w:space="0"/>
                    <w:left w:val="single" w:color="auto" w:sz="4" w:space="0"/>
                    <w:bottom w:val="single" w:color="auto" w:sz="4" w:space="0"/>
                    <w:right w:val="single" w:color="auto" w:sz="4" w:space="0"/>
                  </w:tcBorders>
                  <w:vAlign w:val="center"/>
                </w:tcPr>
                <w:p w14:paraId="01C0AB47">
                  <w:pPr>
                    <w:autoSpaceDE w:val="0"/>
                    <w:autoSpaceDN w:val="0"/>
                    <w:jc w:val="center"/>
                    <w:rPr>
                      <w:color w:val="auto"/>
                      <w:szCs w:val="21"/>
                    </w:rPr>
                  </w:pPr>
                  <w:r>
                    <w:rPr>
                      <w:color w:val="auto"/>
                      <w:szCs w:val="21"/>
                    </w:rPr>
                    <w:t>磅秤</w:t>
                  </w:r>
                </w:p>
              </w:tc>
              <w:tc>
                <w:tcPr>
                  <w:tcW w:w="1785" w:type="pct"/>
                  <w:tcBorders>
                    <w:top w:val="single" w:color="auto" w:sz="4" w:space="0"/>
                    <w:left w:val="single" w:color="auto" w:sz="4" w:space="0"/>
                    <w:bottom w:val="single" w:color="auto" w:sz="4" w:space="0"/>
                    <w:right w:val="single" w:color="auto" w:sz="4" w:space="0"/>
                  </w:tcBorders>
                  <w:vAlign w:val="center"/>
                </w:tcPr>
                <w:p w14:paraId="6134D537">
                  <w:pPr>
                    <w:autoSpaceDE w:val="0"/>
                    <w:autoSpaceDN w:val="0"/>
                    <w:jc w:val="center"/>
                    <w:rPr>
                      <w:szCs w:val="21"/>
                    </w:rPr>
                  </w:pPr>
                  <w:r>
                    <w:rPr>
                      <w:rFonts w:hint="eastAsia"/>
                      <w:szCs w:val="21"/>
                    </w:rPr>
                    <w:t>/</w:t>
                  </w:r>
                </w:p>
              </w:tc>
              <w:tc>
                <w:tcPr>
                  <w:tcW w:w="1156" w:type="pct"/>
                  <w:tcBorders>
                    <w:top w:val="single" w:color="auto" w:sz="4" w:space="0"/>
                    <w:left w:val="single" w:color="auto" w:sz="4" w:space="0"/>
                    <w:bottom w:val="single" w:color="auto" w:sz="4" w:space="0"/>
                    <w:right w:val="single" w:color="auto" w:sz="4" w:space="0"/>
                  </w:tcBorders>
                  <w:vAlign w:val="center"/>
                </w:tcPr>
                <w:p w14:paraId="6F8522E9">
                  <w:pPr>
                    <w:autoSpaceDE w:val="0"/>
                    <w:autoSpaceDN w:val="0"/>
                    <w:jc w:val="center"/>
                    <w:rPr>
                      <w:szCs w:val="21"/>
                    </w:rPr>
                  </w:pPr>
                  <w:r>
                    <w:rPr>
                      <w:rFonts w:hint="eastAsia"/>
                      <w:szCs w:val="21"/>
                    </w:rPr>
                    <w:t>1台</w:t>
                  </w:r>
                </w:p>
              </w:tc>
            </w:tr>
            <w:tr w14:paraId="6F548C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95" w:hRule="atLeast"/>
              </w:trPr>
              <w:tc>
                <w:tcPr>
                  <w:tcW w:w="445" w:type="pct"/>
                  <w:tcBorders>
                    <w:top w:val="single" w:color="auto" w:sz="4" w:space="0"/>
                    <w:bottom w:val="single" w:color="auto" w:sz="4" w:space="0"/>
                    <w:right w:val="single" w:color="auto" w:sz="4" w:space="0"/>
                  </w:tcBorders>
                  <w:vAlign w:val="center"/>
                </w:tcPr>
                <w:p w14:paraId="225F00FB">
                  <w:pPr>
                    <w:autoSpaceDE w:val="0"/>
                    <w:autoSpaceDN w:val="0"/>
                    <w:jc w:val="center"/>
                    <w:rPr>
                      <w:szCs w:val="21"/>
                    </w:rPr>
                  </w:pPr>
                  <w:r>
                    <w:rPr>
                      <w:rFonts w:hint="eastAsia"/>
                      <w:szCs w:val="21"/>
                    </w:rPr>
                    <w:t>10</w:t>
                  </w:r>
                </w:p>
              </w:tc>
              <w:tc>
                <w:tcPr>
                  <w:tcW w:w="1612" w:type="pct"/>
                  <w:tcBorders>
                    <w:top w:val="single" w:color="auto" w:sz="4" w:space="0"/>
                    <w:left w:val="single" w:color="auto" w:sz="4" w:space="0"/>
                    <w:bottom w:val="single" w:color="auto" w:sz="4" w:space="0"/>
                    <w:right w:val="single" w:color="auto" w:sz="4" w:space="0"/>
                  </w:tcBorders>
                  <w:vAlign w:val="center"/>
                </w:tcPr>
                <w:p w14:paraId="6C659E65">
                  <w:pPr>
                    <w:autoSpaceDE w:val="0"/>
                    <w:autoSpaceDN w:val="0"/>
                    <w:jc w:val="center"/>
                    <w:rPr>
                      <w:color w:val="auto"/>
                      <w:szCs w:val="21"/>
                    </w:rPr>
                  </w:pPr>
                  <w:r>
                    <w:rPr>
                      <w:rFonts w:hint="eastAsia"/>
                      <w:color w:val="auto"/>
                      <w:szCs w:val="21"/>
                    </w:rPr>
                    <w:t>空压机</w:t>
                  </w:r>
                </w:p>
              </w:tc>
              <w:tc>
                <w:tcPr>
                  <w:tcW w:w="1785" w:type="pct"/>
                  <w:tcBorders>
                    <w:top w:val="single" w:color="auto" w:sz="4" w:space="0"/>
                    <w:left w:val="single" w:color="auto" w:sz="4" w:space="0"/>
                    <w:bottom w:val="single" w:color="auto" w:sz="4" w:space="0"/>
                    <w:right w:val="single" w:color="auto" w:sz="4" w:space="0"/>
                  </w:tcBorders>
                  <w:vAlign w:val="center"/>
                </w:tcPr>
                <w:p w14:paraId="4D765D88">
                  <w:pPr>
                    <w:autoSpaceDE w:val="0"/>
                    <w:autoSpaceDN w:val="0"/>
                    <w:jc w:val="center"/>
                    <w:rPr>
                      <w:szCs w:val="21"/>
                    </w:rPr>
                  </w:pPr>
                  <w:r>
                    <w:rPr>
                      <w:rFonts w:hint="eastAsia"/>
                      <w:szCs w:val="21"/>
                    </w:rPr>
                    <w:t>/</w:t>
                  </w:r>
                </w:p>
              </w:tc>
              <w:tc>
                <w:tcPr>
                  <w:tcW w:w="1156" w:type="pct"/>
                  <w:tcBorders>
                    <w:top w:val="single" w:color="auto" w:sz="4" w:space="0"/>
                    <w:left w:val="single" w:color="auto" w:sz="4" w:space="0"/>
                    <w:bottom w:val="single" w:color="auto" w:sz="4" w:space="0"/>
                    <w:right w:val="single" w:color="auto" w:sz="4" w:space="0"/>
                  </w:tcBorders>
                  <w:vAlign w:val="center"/>
                </w:tcPr>
                <w:p w14:paraId="1547C29B">
                  <w:pPr>
                    <w:autoSpaceDE w:val="0"/>
                    <w:autoSpaceDN w:val="0"/>
                    <w:jc w:val="center"/>
                    <w:rPr>
                      <w:szCs w:val="21"/>
                    </w:rPr>
                  </w:pPr>
                  <w:r>
                    <w:rPr>
                      <w:rFonts w:hint="eastAsia"/>
                      <w:szCs w:val="21"/>
                    </w:rPr>
                    <w:t>2台</w:t>
                  </w:r>
                </w:p>
              </w:tc>
            </w:tr>
            <w:tr w14:paraId="253CF0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c>
                <w:tcPr>
                  <w:tcW w:w="445" w:type="pct"/>
                  <w:tcBorders>
                    <w:top w:val="single" w:color="auto" w:sz="4" w:space="0"/>
                    <w:bottom w:val="single" w:color="auto" w:sz="4" w:space="0"/>
                    <w:right w:val="single" w:color="auto" w:sz="4" w:space="0"/>
                  </w:tcBorders>
                  <w:vAlign w:val="center"/>
                </w:tcPr>
                <w:p w14:paraId="0A093324">
                  <w:pPr>
                    <w:autoSpaceDE w:val="0"/>
                    <w:autoSpaceDN w:val="0"/>
                    <w:jc w:val="center"/>
                    <w:rPr>
                      <w:szCs w:val="21"/>
                    </w:rPr>
                  </w:pPr>
                  <w:r>
                    <w:rPr>
                      <w:rFonts w:hint="eastAsia"/>
                      <w:szCs w:val="21"/>
                    </w:rPr>
                    <w:t>11</w:t>
                  </w:r>
                </w:p>
              </w:tc>
              <w:tc>
                <w:tcPr>
                  <w:tcW w:w="1612" w:type="pct"/>
                  <w:tcBorders>
                    <w:top w:val="single" w:color="auto" w:sz="4" w:space="0"/>
                    <w:left w:val="single" w:color="auto" w:sz="4" w:space="0"/>
                    <w:bottom w:val="single" w:color="auto" w:sz="4" w:space="0"/>
                    <w:right w:val="single" w:color="auto" w:sz="4" w:space="0"/>
                  </w:tcBorders>
                  <w:vAlign w:val="center"/>
                </w:tcPr>
                <w:p w14:paraId="7C6FF0B9">
                  <w:pPr>
                    <w:autoSpaceDE w:val="0"/>
                    <w:autoSpaceDN w:val="0"/>
                    <w:jc w:val="center"/>
                    <w:rPr>
                      <w:color w:val="auto"/>
                      <w:szCs w:val="21"/>
                    </w:rPr>
                  </w:pPr>
                  <w:r>
                    <w:rPr>
                      <w:color w:val="auto"/>
                      <w:szCs w:val="21"/>
                    </w:rPr>
                    <w:t>有机热载体锅炉</w:t>
                  </w:r>
                </w:p>
              </w:tc>
              <w:tc>
                <w:tcPr>
                  <w:tcW w:w="1785" w:type="pct"/>
                  <w:tcBorders>
                    <w:top w:val="single" w:color="auto" w:sz="4" w:space="0"/>
                    <w:left w:val="single" w:color="auto" w:sz="4" w:space="0"/>
                    <w:bottom w:val="single" w:color="auto" w:sz="4" w:space="0"/>
                    <w:right w:val="single" w:color="auto" w:sz="4" w:space="0"/>
                  </w:tcBorders>
                  <w:vAlign w:val="center"/>
                </w:tcPr>
                <w:p w14:paraId="19DD2640">
                  <w:pPr>
                    <w:autoSpaceDE w:val="0"/>
                    <w:autoSpaceDN w:val="0"/>
                    <w:jc w:val="center"/>
                    <w:rPr>
                      <w:szCs w:val="21"/>
                    </w:rPr>
                  </w:pPr>
                  <w:r>
                    <w:rPr>
                      <w:rFonts w:hint="eastAsia"/>
                      <w:szCs w:val="21"/>
                    </w:rPr>
                    <w:t>/</w:t>
                  </w:r>
                </w:p>
              </w:tc>
              <w:tc>
                <w:tcPr>
                  <w:tcW w:w="1156" w:type="pct"/>
                  <w:tcBorders>
                    <w:top w:val="single" w:color="auto" w:sz="4" w:space="0"/>
                    <w:left w:val="single" w:color="auto" w:sz="4" w:space="0"/>
                    <w:bottom w:val="single" w:color="auto" w:sz="4" w:space="0"/>
                    <w:right w:val="single" w:color="auto" w:sz="4" w:space="0"/>
                  </w:tcBorders>
                  <w:vAlign w:val="center"/>
                </w:tcPr>
                <w:p w14:paraId="2B57A1CB">
                  <w:pPr>
                    <w:autoSpaceDE w:val="0"/>
                    <w:autoSpaceDN w:val="0"/>
                    <w:jc w:val="center"/>
                    <w:rPr>
                      <w:szCs w:val="21"/>
                    </w:rPr>
                  </w:pPr>
                  <w:r>
                    <w:rPr>
                      <w:rFonts w:hint="eastAsia"/>
                      <w:szCs w:val="21"/>
                    </w:rPr>
                    <w:t>1台</w:t>
                  </w:r>
                </w:p>
              </w:tc>
            </w:tr>
            <w:tr w14:paraId="7F7E7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c>
                <w:tcPr>
                  <w:tcW w:w="445" w:type="pct"/>
                  <w:tcBorders>
                    <w:top w:val="single" w:color="auto" w:sz="4" w:space="0"/>
                    <w:bottom w:val="single" w:color="auto" w:sz="4" w:space="0"/>
                    <w:right w:val="single" w:color="auto" w:sz="4" w:space="0"/>
                  </w:tcBorders>
                  <w:vAlign w:val="center"/>
                </w:tcPr>
                <w:p w14:paraId="13E5F0E2">
                  <w:pPr>
                    <w:autoSpaceDE w:val="0"/>
                    <w:autoSpaceDN w:val="0"/>
                    <w:jc w:val="center"/>
                    <w:rPr>
                      <w:szCs w:val="21"/>
                    </w:rPr>
                  </w:pPr>
                  <w:r>
                    <w:rPr>
                      <w:rFonts w:hint="eastAsia"/>
                      <w:szCs w:val="21"/>
                    </w:rPr>
                    <w:t>12</w:t>
                  </w:r>
                </w:p>
              </w:tc>
              <w:tc>
                <w:tcPr>
                  <w:tcW w:w="1612" w:type="pct"/>
                  <w:tcBorders>
                    <w:top w:val="single" w:color="auto" w:sz="4" w:space="0"/>
                    <w:left w:val="single" w:color="auto" w:sz="4" w:space="0"/>
                    <w:bottom w:val="single" w:color="auto" w:sz="4" w:space="0"/>
                    <w:right w:val="single" w:color="auto" w:sz="4" w:space="0"/>
                  </w:tcBorders>
                  <w:vAlign w:val="center"/>
                </w:tcPr>
                <w:p w14:paraId="157E95A3">
                  <w:pPr>
                    <w:autoSpaceDE w:val="0"/>
                    <w:autoSpaceDN w:val="0"/>
                    <w:jc w:val="center"/>
                    <w:rPr>
                      <w:color w:val="auto"/>
                      <w:szCs w:val="21"/>
                    </w:rPr>
                  </w:pPr>
                  <w:r>
                    <w:rPr>
                      <w:rFonts w:hint="eastAsia"/>
                      <w:color w:val="auto"/>
                      <w:szCs w:val="21"/>
                    </w:rPr>
                    <w:t>氧气瓶</w:t>
                  </w:r>
                </w:p>
              </w:tc>
              <w:tc>
                <w:tcPr>
                  <w:tcW w:w="1785" w:type="pct"/>
                  <w:tcBorders>
                    <w:top w:val="single" w:color="auto" w:sz="4" w:space="0"/>
                    <w:left w:val="single" w:color="auto" w:sz="4" w:space="0"/>
                    <w:bottom w:val="single" w:color="auto" w:sz="4" w:space="0"/>
                    <w:right w:val="single" w:color="auto" w:sz="4" w:space="0"/>
                  </w:tcBorders>
                  <w:vAlign w:val="center"/>
                </w:tcPr>
                <w:p w14:paraId="2F59F877">
                  <w:pPr>
                    <w:autoSpaceDE w:val="0"/>
                    <w:autoSpaceDN w:val="0"/>
                    <w:jc w:val="center"/>
                    <w:rPr>
                      <w:szCs w:val="21"/>
                    </w:rPr>
                  </w:pPr>
                  <w:r>
                    <w:rPr>
                      <w:rFonts w:hint="eastAsia"/>
                      <w:szCs w:val="21"/>
                    </w:rPr>
                    <w:t>/</w:t>
                  </w:r>
                </w:p>
              </w:tc>
              <w:tc>
                <w:tcPr>
                  <w:tcW w:w="1156" w:type="pct"/>
                  <w:tcBorders>
                    <w:top w:val="single" w:color="auto" w:sz="4" w:space="0"/>
                    <w:left w:val="single" w:color="auto" w:sz="4" w:space="0"/>
                    <w:bottom w:val="single" w:color="auto" w:sz="4" w:space="0"/>
                    <w:right w:val="single" w:color="auto" w:sz="4" w:space="0"/>
                  </w:tcBorders>
                  <w:vAlign w:val="center"/>
                </w:tcPr>
                <w:p w14:paraId="31204219">
                  <w:pPr>
                    <w:autoSpaceDE w:val="0"/>
                    <w:autoSpaceDN w:val="0"/>
                    <w:jc w:val="center"/>
                    <w:rPr>
                      <w:szCs w:val="21"/>
                    </w:rPr>
                  </w:pPr>
                  <w:r>
                    <w:rPr>
                      <w:rFonts w:hint="eastAsia"/>
                      <w:szCs w:val="21"/>
                    </w:rPr>
                    <w:t>5台</w:t>
                  </w:r>
                </w:p>
              </w:tc>
            </w:tr>
            <w:tr w14:paraId="016DAB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c>
                <w:tcPr>
                  <w:tcW w:w="445" w:type="pct"/>
                  <w:tcBorders>
                    <w:top w:val="single" w:color="auto" w:sz="4" w:space="0"/>
                    <w:bottom w:val="single" w:color="auto" w:sz="4" w:space="0"/>
                    <w:right w:val="single" w:color="auto" w:sz="4" w:space="0"/>
                  </w:tcBorders>
                  <w:vAlign w:val="center"/>
                </w:tcPr>
                <w:p w14:paraId="4C09D639">
                  <w:pPr>
                    <w:autoSpaceDE w:val="0"/>
                    <w:autoSpaceDN w:val="0"/>
                    <w:jc w:val="center"/>
                    <w:rPr>
                      <w:szCs w:val="21"/>
                    </w:rPr>
                  </w:pPr>
                  <w:r>
                    <w:rPr>
                      <w:rFonts w:hint="eastAsia"/>
                      <w:szCs w:val="21"/>
                    </w:rPr>
                    <w:t>13</w:t>
                  </w:r>
                </w:p>
              </w:tc>
              <w:tc>
                <w:tcPr>
                  <w:tcW w:w="1612" w:type="pct"/>
                  <w:tcBorders>
                    <w:top w:val="single" w:color="auto" w:sz="4" w:space="0"/>
                    <w:left w:val="single" w:color="auto" w:sz="4" w:space="0"/>
                    <w:bottom w:val="single" w:color="auto" w:sz="4" w:space="0"/>
                    <w:right w:val="single" w:color="auto" w:sz="4" w:space="0"/>
                  </w:tcBorders>
                  <w:vAlign w:val="center"/>
                </w:tcPr>
                <w:p w14:paraId="1DAFAD7A">
                  <w:pPr>
                    <w:autoSpaceDE w:val="0"/>
                    <w:autoSpaceDN w:val="0"/>
                    <w:jc w:val="center"/>
                    <w:rPr>
                      <w:szCs w:val="21"/>
                    </w:rPr>
                  </w:pPr>
                  <w:r>
                    <w:rPr>
                      <w:rFonts w:hint="eastAsia"/>
                      <w:szCs w:val="21"/>
                    </w:rPr>
                    <w:t>乙炔瓶</w:t>
                  </w:r>
                </w:p>
              </w:tc>
              <w:tc>
                <w:tcPr>
                  <w:tcW w:w="1785" w:type="pct"/>
                  <w:tcBorders>
                    <w:top w:val="single" w:color="auto" w:sz="4" w:space="0"/>
                    <w:left w:val="single" w:color="auto" w:sz="4" w:space="0"/>
                    <w:bottom w:val="single" w:color="auto" w:sz="4" w:space="0"/>
                    <w:right w:val="single" w:color="auto" w:sz="4" w:space="0"/>
                  </w:tcBorders>
                  <w:vAlign w:val="center"/>
                </w:tcPr>
                <w:p w14:paraId="416E7B58">
                  <w:pPr>
                    <w:autoSpaceDE w:val="0"/>
                    <w:autoSpaceDN w:val="0"/>
                    <w:jc w:val="center"/>
                    <w:rPr>
                      <w:szCs w:val="21"/>
                    </w:rPr>
                  </w:pPr>
                  <w:r>
                    <w:rPr>
                      <w:rFonts w:hint="eastAsia"/>
                      <w:szCs w:val="21"/>
                    </w:rPr>
                    <w:t>/</w:t>
                  </w:r>
                </w:p>
              </w:tc>
              <w:tc>
                <w:tcPr>
                  <w:tcW w:w="1156" w:type="pct"/>
                  <w:tcBorders>
                    <w:top w:val="single" w:color="auto" w:sz="4" w:space="0"/>
                    <w:left w:val="single" w:color="auto" w:sz="4" w:space="0"/>
                    <w:bottom w:val="single" w:color="auto" w:sz="4" w:space="0"/>
                    <w:right w:val="single" w:color="auto" w:sz="4" w:space="0"/>
                  </w:tcBorders>
                  <w:vAlign w:val="center"/>
                </w:tcPr>
                <w:p w14:paraId="4ED4F738">
                  <w:pPr>
                    <w:autoSpaceDE w:val="0"/>
                    <w:autoSpaceDN w:val="0"/>
                    <w:jc w:val="center"/>
                    <w:rPr>
                      <w:szCs w:val="21"/>
                    </w:rPr>
                  </w:pPr>
                  <w:r>
                    <w:rPr>
                      <w:rFonts w:hint="eastAsia"/>
                      <w:szCs w:val="21"/>
                    </w:rPr>
                    <w:t>5台</w:t>
                  </w:r>
                </w:p>
              </w:tc>
            </w:tr>
            <w:tr w14:paraId="5BB755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c>
                <w:tcPr>
                  <w:tcW w:w="445" w:type="pct"/>
                  <w:tcBorders>
                    <w:top w:val="single" w:color="auto" w:sz="4" w:space="0"/>
                    <w:bottom w:val="single" w:color="auto" w:sz="4" w:space="0"/>
                    <w:right w:val="single" w:color="auto" w:sz="4" w:space="0"/>
                  </w:tcBorders>
                  <w:vAlign w:val="center"/>
                </w:tcPr>
                <w:p w14:paraId="62B3343B">
                  <w:pPr>
                    <w:autoSpaceDE w:val="0"/>
                    <w:autoSpaceDN w:val="0"/>
                    <w:jc w:val="center"/>
                    <w:rPr>
                      <w:szCs w:val="21"/>
                    </w:rPr>
                  </w:pPr>
                  <w:r>
                    <w:rPr>
                      <w:rFonts w:hint="eastAsia"/>
                      <w:szCs w:val="21"/>
                    </w:rPr>
                    <w:t>14</w:t>
                  </w:r>
                </w:p>
              </w:tc>
              <w:tc>
                <w:tcPr>
                  <w:tcW w:w="1612" w:type="pct"/>
                  <w:tcBorders>
                    <w:top w:val="single" w:color="auto" w:sz="4" w:space="0"/>
                    <w:left w:val="single" w:color="auto" w:sz="4" w:space="0"/>
                    <w:bottom w:val="single" w:color="auto" w:sz="4" w:space="0"/>
                    <w:right w:val="single" w:color="auto" w:sz="4" w:space="0"/>
                  </w:tcBorders>
                  <w:vAlign w:val="center"/>
                </w:tcPr>
                <w:p w14:paraId="3690CB26">
                  <w:pPr>
                    <w:autoSpaceDE w:val="0"/>
                    <w:autoSpaceDN w:val="0"/>
                    <w:jc w:val="center"/>
                    <w:rPr>
                      <w:szCs w:val="21"/>
                    </w:rPr>
                  </w:pPr>
                  <w:r>
                    <w:rPr>
                      <w:rFonts w:hint="eastAsia"/>
                      <w:szCs w:val="21"/>
                    </w:rPr>
                    <w:t>液化气瓶</w:t>
                  </w:r>
                </w:p>
              </w:tc>
              <w:tc>
                <w:tcPr>
                  <w:tcW w:w="1785" w:type="pct"/>
                  <w:tcBorders>
                    <w:top w:val="single" w:color="auto" w:sz="4" w:space="0"/>
                    <w:left w:val="single" w:color="auto" w:sz="4" w:space="0"/>
                    <w:bottom w:val="single" w:color="auto" w:sz="4" w:space="0"/>
                    <w:right w:val="single" w:color="auto" w:sz="4" w:space="0"/>
                  </w:tcBorders>
                  <w:vAlign w:val="center"/>
                </w:tcPr>
                <w:p w14:paraId="0F5AAB3E">
                  <w:pPr>
                    <w:autoSpaceDE w:val="0"/>
                    <w:autoSpaceDN w:val="0"/>
                    <w:jc w:val="center"/>
                    <w:rPr>
                      <w:szCs w:val="21"/>
                    </w:rPr>
                  </w:pPr>
                  <w:r>
                    <w:rPr>
                      <w:rFonts w:hint="eastAsia"/>
                      <w:szCs w:val="21"/>
                    </w:rPr>
                    <w:t>/</w:t>
                  </w:r>
                </w:p>
              </w:tc>
              <w:tc>
                <w:tcPr>
                  <w:tcW w:w="1156" w:type="pct"/>
                  <w:tcBorders>
                    <w:top w:val="single" w:color="auto" w:sz="4" w:space="0"/>
                    <w:left w:val="single" w:color="auto" w:sz="4" w:space="0"/>
                    <w:bottom w:val="single" w:color="auto" w:sz="4" w:space="0"/>
                    <w:right w:val="single" w:color="auto" w:sz="4" w:space="0"/>
                  </w:tcBorders>
                  <w:vAlign w:val="center"/>
                </w:tcPr>
                <w:p w14:paraId="56BA2382">
                  <w:pPr>
                    <w:autoSpaceDE w:val="0"/>
                    <w:autoSpaceDN w:val="0"/>
                    <w:jc w:val="center"/>
                    <w:rPr>
                      <w:szCs w:val="21"/>
                    </w:rPr>
                  </w:pPr>
                  <w:r>
                    <w:rPr>
                      <w:rFonts w:hint="eastAsia"/>
                      <w:szCs w:val="21"/>
                    </w:rPr>
                    <w:t>1台</w:t>
                  </w:r>
                </w:p>
              </w:tc>
            </w:tr>
            <w:tr w14:paraId="410810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c>
                <w:tcPr>
                  <w:tcW w:w="445" w:type="pct"/>
                  <w:tcBorders>
                    <w:top w:val="single" w:color="auto" w:sz="4" w:space="0"/>
                    <w:bottom w:val="single" w:color="auto" w:sz="4" w:space="0"/>
                    <w:right w:val="single" w:color="auto" w:sz="4" w:space="0"/>
                  </w:tcBorders>
                  <w:vAlign w:val="center"/>
                </w:tcPr>
                <w:p w14:paraId="5B33FF67">
                  <w:pPr>
                    <w:autoSpaceDE w:val="0"/>
                    <w:autoSpaceDN w:val="0"/>
                    <w:jc w:val="center"/>
                    <w:rPr>
                      <w:szCs w:val="21"/>
                    </w:rPr>
                  </w:pPr>
                  <w:r>
                    <w:rPr>
                      <w:rFonts w:hint="eastAsia"/>
                      <w:szCs w:val="21"/>
                    </w:rPr>
                    <w:t>15</w:t>
                  </w:r>
                </w:p>
              </w:tc>
              <w:tc>
                <w:tcPr>
                  <w:tcW w:w="1612" w:type="pct"/>
                  <w:tcBorders>
                    <w:top w:val="single" w:color="auto" w:sz="4" w:space="0"/>
                    <w:left w:val="single" w:color="auto" w:sz="4" w:space="0"/>
                    <w:bottom w:val="single" w:color="auto" w:sz="4" w:space="0"/>
                    <w:right w:val="single" w:color="auto" w:sz="4" w:space="0"/>
                  </w:tcBorders>
                  <w:vAlign w:val="center"/>
                </w:tcPr>
                <w:p w14:paraId="1A5D2535">
                  <w:pPr>
                    <w:autoSpaceDE w:val="0"/>
                    <w:autoSpaceDN w:val="0"/>
                    <w:jc w:val="center"/>
                    <w:rPr>
                      <w:szCs w:val="21"/>
                    </w:rPr>
                  </w:pPr>
                  <w:r>
                    <w:rPr>
                      <w:rFonts w:hint="eastAsia"/>
                      <w:szCs w:val="21"/>
                    </w:rPr>
                    <w:t>装载机</w:t>
                  </w:r>
                </w:p>
              </w:tc>
              <w:tc>
                <w:tcPr>
                  <w:tcW w:w="1785" w:type="pct"/>
                  <w:tcBorders>
                    <w:top w:val="single" w:color="auto" w:sz="4" w:space="0"/>
                    <w:left w:val="single" w:color="auto" w:sz="4" w:space="0"/>
                    <w:bottom w:val="single" w:color="auto" w:sz="4" w:space="0"/>
                    <w:right w:val="single" w:color="auto" w:sz="4" w:space="0"/>
                  </w:tcBorders>
                  <w:vAlign w:val="center"/>
                </w:tcPr>
                <w:p w14:paraId="0986ED53">
                  <w:pPr>
                    <w:autoSpaceDE w:val="0"/>
                    <w:autoSpaceDN w:val="0"/>
                    <w:jc w:val="center"/>
                    <w:rPr>
                      <w:szCs w:val="21"/>
                    </w:rPr>
                  </w:pPr>
                  <w:r>
                    <w:rPr>
                      <w:rFonts w:hint="eastAsia"/>
                      <w:szCs w:val="21"/>
                    </w:rPr>
                    <w:t>/</w:t>
                  </w:r>
                </w:p>
              </w:tc>
              <w:tc>
                <w:tcPr>
                  <w:tcW w:w="1156" w:type="pct"/>
                  <w:tcBorders>
                    <w:top w:val="single" w:color="auto" w:sz="4" w:space="0"/>
                    <w:left w:val="single" w:color="auto" w:sz="4" w:space="0"/>
                    <w:bottom w:val="single" w:color="auto" w:sz="4" w:space="0"/>
                    <w:right w:val="single" w:color="auto" w:sz="4" w:space="0"/>
                  </w:tcBorders>
                  <w:vAlign w:val="center"/>
                </w:tcPr>
                <w:p w14:paraId="00864AF4">
                  <w:pPr>
                    <w:autoSpaceDE w:val="0"/>
                    <w:autoSpaceDN w:val="0"/>
                    <w:jc w:val="center"/>
                    <w:rPr>
                      <w:szCs w:val="21"/>
                    </w:rPr>
                  </w:pPr>
                  <w:r>
                    <w:rPr>
                      <w:rFonts w:hint="eastAsia"/>
                      <w:szCs w:val="21"/>
                    </w:rPr>
                    <w:t>3台</w:t>
                  </w:r>
                </w:p>
              </w:tc>
            </w:tr>
            <w:tr w14:paraId="10E791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c>
                <w:tcPr>
                  <w:tcW w:w="445" w:type="pct"/>
                  <w:tcBorders>
                    <w:top w:val="single" w:color="auto" w:sz="4" w:space="0"/>
                    <w:bottom w:val="single" w:color="auto" w:sz="4" w:space="0"/>
                    <w:right w:val="single" w:color="auto" w:sz="4" w:space="0"/>
                  </w:tcBorders>
                  <w:vAlign w:val="center"/>
                </w:tcPr>
                <w:p w14:paraId="7EE342D6">
                  <w:pPr>
                    <w:autoSpaceDE w:val="0"/>
                    <w:autoSpaceDN w:val="0"/>
                    <w:jc w:val="center"/>
                    <w:rPr>
                      <w:rFonts w:hint="default" w:eastAsia="宋体"/>
                      <w:color w:val="auto"/>
                      <w:szCs w:val="21"/>
                      <w:lang w:val="en-US" w:eastAsia="zh-CN"/>
                    </w:rPr>
                  </w:pPr>
                  <w:r>
                    <w:rPr>
                      <w:rFonts w:hint="eastAsia"/>
                      <w:color w:val="auto"/>
                      <w:szCs w:val="21"/>
                      <w:lang w:val="en-US" w:eastAsia="zh-CN"/>
                    </w:rPr>
                    <w:t>16</w:t>
                  </w:r>
                </w:p>
              </w:tc>
              <w:tc>
                <w:tcPr>
                  <w:tcW w:w="1612" w:type="pct"/>
                  <w:tcBorders>
                    <w:top w:val="single" w:color="auto" w:sz="4" w:space="0"/>
                    <w:left w:val="single" w:color="auto" w:sz="4" w:space="0"/>
                    <w:bottom w:val="single" w:color="auto" w:sz="4" w:space="0"/>
                    <w:right w:val="single" w:color="auto" w:sz="4" w:space="0"/>
                  </w:tcBorders>
                  <w:vAlign w:val="center"/>
                </w:tcPr>
                <w:p w14:paraId="49CF4F61">
                  <w:pPr>
                    <w:autoSpaceDE w:val="0"/>
                    <w:autoSpaceDN w:val="0"/>
                    <w:jc w:val="center"/>
                    <w:rPr>
                      <w:rFonts w:hint="eastAsia"/>
                      <w:color w:val="auto"/>
                      <w:szCs w:val="21"/>
                    </w:rPr>
                  </w:pPr>
                  <w:r>
                    <w:rPr>
                      <w:rFonts w:hint="eastAsia"/>
                      <w:color w:val="auto"/>
                      <w:lang w:eastAsia="zh-CN"/>
                    </w:rPr>
                    <w:t>液化天然气撬装装置</w:t>
                  </w:r>
                </w:p>
              </w:tc>
              <w:tc>
                <w:tcPr>
                  <w:tcW w:w="1785" w:type="pct"/>
                  <w:tcBorders>
                    <w:top w:val="single" w:color="auto" w:sz="4" w:space="0"/>
                    <w:left w:val="single" w:color="auto" w:sz="4" w:space="0"/>
                    <w:bottom w:val="single" w:color="auto" w:sz="4" w:space="0"/>
                    <w:right w:val="single" w:color="auto" w:sz="4" w:space="0"/>
                  </w:tcBorders>
                  <w:vAlign w:val="center"/>
                </w:tcPr>
                <w:p w14:paraId="7FF359F1">
                  <w:pPr>
                    <w:autoSpaceDE w:val="0"/>
                    <w:autoSpaceDN w:val="0"/>
                    <w:jc w:val="center"/>
                    <w:rPr>
                      <w:rFonts w:hint="eastAsia" w:eastAsia="宋体"/>
                      <w:color w:val="auto"/>
                      <w:szCs w:val="21"/>
                      <w:lang w:val="en-US" w:eastAsia="zh-CN"/>
                    </w:rPr>
                  </w:pPr>
                  <w:r>
                    <w:rPr>
                      <w:rFonts w:hint="eastAsia"/>
                      <w:color w:val="auto"/>
                      <w:szCs w:val="21"/>
                      <w:lang w:val="en-US" w:eastAsia="zh-CN"/>
                    </w:rPr>
                    <w:t>/</w:t>
                  </w:r>
                </w:p>
              </w:tc>
              <w:tc>
                <w:tcPr>
                  <w:tcW w:w="1156" w:type="pct"/>
                  <w:tcBorders>
                    <w:top w:val="single" w:color="auto" w:sz="4" w:space="0"/>
                    <w:left w:val="single" w:color="auto" w:sz="4" w:space="0"/>
                    <w:bottom w:val="single" w:color="auto" w:sz="4" w:space="0"/>
                    <w:right w:val="single" w:color="auto" w:sz="4" w:space="0"/>
                  </w:tcBorders>
                  <w:vAlign w:val="center"/>
                </w:tcPr>
                <w:p w14:paraId="524F22E3">
                  <w:pPr>
                    <w:autoSpaceDE w:val="0"/>
                    <w:autoSpaceDN w:val="0"/>
                    <w:jc w:val="center"/>
                    <w:rPr>
                      <w:rFonts w:hint="default" w:eastAsia="宋体"/>
                      <w:color w:val="C0504D" w:themeColor="accent2"/>
                      <w:szCs w:val="21"/>
                      <w:lang w:val="en-US" w:eastAsia="zh-CN"/>
                      <w14:textFill>
                        <w14:solidFill>
                          <w14:schemeClr w14:val="accent2"/>
                        </w14:solidFill>
                      </w14:textFill>
                    </w:rPr>
                  </w:pPr>
                  <w:r>
                    <w:rPr>
                      <w:rFonts w:hint="eastAsia"/>
                      <w:color w:val="C0504D" w:themeColor="accent2"/>
                      <w:szCs w:val="21"/>
                      <w:lang w:val="en-US" w:eastAsia="zh-CN"/>
                      <w14:textFill>
                        <w14:solidFill>
                          <w14:schemeClr w14:val="accent2"/>
                        </w14:solidFill>
                      </w14:textFill>
                    </w:rPr>
                    <w:t>1台</w:t>
                  </w:r>
                </w:p>
              </w:tc>
            </w:tr>
          </w:tbl>
          <w:p w14:paraId="5E468DE2">
            <w:pPr>
              <w:widowControl/>
              <w:spacing w:line="360" w:lineRule="auto"/>
              <w:jc w:val="left"/>
              <w:rPr>
                <w:b/>
                <w:szCs w:val="21"/>
              </w:rPr>
            </w:pPr>
            <w:r>
              <w:rPr>
                <w:rFonts w:hint="eastAsia"/>
                <w:b/>
                <w:szCs w:val="21"/>
              </w:rPr>
              <w:t>5、</w:t>
            </w:r>
            <w:r>
              <w:rPr>
                <w:b/>
                <w:szCs w:val="21"/>
              </w:rPr>
              <w:t>劳动定员工作制度</w:t>
            </w:r>
          </w:p>
          <w:p w14:paraId="37A9B74B">
            <w:pPr>
              <w:widowControl/>
              <w:spacing w:line="360" w:lineRule="auto"/>
              <w:ind w:firstLine="420" w:firstLineChars="200"/>
              <w:jc w:val="left"/>
              <w:rPr>
                <w:rFonts w:hint="eastAsia" w:eastAsia="Times New Roman"/>
                <w:kern w:val="0"/>
                <w:szCs w:val="21"/>
                <w:lang w:val="en-US" w:eastAsia="zh-CN"/>
              </w:rPr>
            </w:pPr>
            <w:r>
              <w:rPr>
                <w:rFonts w:hint="eastAsia"/>
                <w:bCs/>
                <w:szCs w:val="21"/>
              </w:rPr>
              <w:t>本项目计划劳动定员16人，年</w:t>
            </w:r>
            <w:r>
              <w:rPr>
                <w:rFonts w:hint="eastAsia" w:eastAsia="Times New Roman"/>
                <w:kern w:val="0"/>
                <w:szCs w:val="21"/>
              </w:rPr>
              <w:t>工作日180天，实行二班制，每天24小时。</w:t>
            </w:r>
            <w:r>
              <w:rPr>
                <w:rFonts w:hint="eastAsia" w:eastAsia="Times New Roman"/>
                <w:kern w:val="0"/>
                <w:szCs w:val="21"/>
                <w:lang w:eastAsia="zh-CN"/>
              </w:rPr>
              <w:t>设备是计划检修保养，</w:t>
            </w:r>
            <w:r>
              <w:rPr>
                <w:rFonts w:hint="eastAsia" w:eastAsia="Times New Roman"/>
                <w:kern w:val="0"/>
                <w:szCs w:val="21"/>
                <w:lang w:val="en-US" w:eastAsia="zh-CN"/>
              </w:rPr>
              <w:t>2-3个月一次。日常24小时不间断工作。</w:t>
            </w:r>
          </w:p>
          <w:p w14:paraId="496854B0">
            <w:pPr>
              <w:pStyle w:val="92"/>
              <w:widowControl w:val="0"/>
              <w:ind w:firstLine="0" w:firstLineChars="0"/>
              <w:rPr>
                <w:rFonts w:eastAsia="宋体" w:cs="Times New Roman"/>
                <w:b/>
                <w:color w:val="auto"/>
                <w:kern w:val="2"/>
                <w:sz w:val="21"/>
                <w:szCs w:val="21"/>
              </w:rPr>
            </w:pPr>
            <w:r>
              <w:rPr>
                <w:rFonts w:hint="eastAsia" w:eastAsia="宋体" w:cs="Times New Roman"/>
                <w:b/>
                <w:kern w:val="2"/>
                <w:sz w:val="21"/>
                <w:szCs w:val="21"/>
              </w:rPr>
              <w:t>6、</w:t>
            </w:r>
            <w:r>
              <w:rPr>
                <w:rFonts w:hint="eastAsia" w:eastAsia="宋体" w:cs="Times New Roman"/>
                <w:b/>
                <w:color w:val="auto"/>
                <w:kern w:val="2"/>
                <w:sz w:val="21"/>
                <w:szCs w:val="21"/>
              </w:rPr>
              <w:t>公用工程</w:t>
            </w:r>
          </w:p>
          <w:p w14:paraId="722A438C">
            <w:pPr>
              <w:pStyle w:val="92"/>
              <w:ind w:firstLine="420"/>
              <w:rPr>
                <w:rFonts w:cs="Times New Roman"/>
                <w:color w:val="auto"/>
                <w:sz w:val="21"/>
                <w:szCs w:val="21"/>
              </w:rPr>
            </w:pPr>
            <w:r>
              <w:rPr>
                <w:rFonts w:hint="eastAsia" w:cs="Times New Roman"/>
                <w:color w:val="auto"/>
                <w:sz w:val="21"/>
                <w:szCs w:val="21"/>
              </w:rPr>
              <w:t>（1）</w:t>
            </w:r>
            <w:r>
              <w:rPr>
                <w:rFonts w:cs="Times New Roman"/>
                <w:color w:val="auto"/>
                <w:sz w:val="21"/>
                <w:szCs w:val="21"/>
              </w:rPr>
              <w:t>给</w:t>
            </w:r>
            <w:r>
              <w:rPr>
                <w:rFonts w:hint="eastAsia" w:cs="Times New Roman"/>
                <w:color w:val="auto"/>
                <w:sz w:val="21"/>
                <w:szCs w:val="21"/>
              </w:rPr>
              <w:t>、排</w:t>
            </w:r>
            <w:r>
              <w:rPr>
                <w:rFonts w:cs="Times New Roman"/>
                <w:color w:val="auto"/>
                <w:sz w:val="21"/>
                <w:szCs w:val="21"/>
              </w:rPr>
              <w:t>水</w:t>
            </w:r>
          </w:p>
          <w:p w14:paraId="45C412CF">
            <w:pPr>
              <w:pStyle w:val="92"/>
              <w:ind w:firstLine="420"/>
              <w:rPr>
                <w:rFonts w:cs="Times New Roman"/>
                <w:color w:val="0000FF"/>
                <w:sz w:val="21"/>
                <w:szCs w:val="21"/>
              </w:rPr>
            </w:pPr>
            <w:r>
              <w:rPr>
                <w:rFonts w:hint="eastAsia" w:cs="Times New Roman"/>
                <w:color w:val="auto"/>
                <w:sz w:val="21"/>
                <w:szCs w:val="21"/>
              </w:rPr>
              <w:t>项目用水由130团6连通过水</w:t>
            </w:r>
            <w:r>
              <w:rPr>
                <w:rFonts w:hint="eastAsia" w:cs="Times New Roman"/>
                <w:sz w:val="21"/>
                <w:szCs w:val="21"/>
              </w:rPr>
              <w:t>罐车拉运供给</w:t>
            </w:r>
            <w:r>
              <w:rPr>
                <w:rFonts w:hint="eastAsia" w:cs="Times New Roman"/>
                <w:color w:val="auto"/>
                <w:sz w:val="21"/>
                <w:szCs w:val="21"/>
              </w:rPr>
              <w:t>。</w:t>
            </w:r>
          </w:p>
          <w:p w14:paraId="6AF21AD1">
            <w:pPr>
              <w:pStyle w:val="92"/>
              <w:ind w:firstLine="420"/>
              <w:rPr>
                <w:rFonts w:cs="Times New Roman"/>
                <w:color w:val="auto"/>
                <w:sz w:val="21"/>
                <w:szCs w:val="21"/>
              </w:rPr>
            </w:pPr>
            <w:r>
              <w:rPr>
                <w:rFonts w:hint="eastAsia" w:hAnsi="宋体"/>
                <w:color w:val="000000"/>
                <w:sz w:val="21"/>
                <w:szCs w:val="21"/>
              </w:rPr>
              <w:t>运营期项目用水主要为</w:t>
            </w:r>
            <w:r>
              <w:rPr>
                <w:rFonts w:cs="Times New Roman"/>
                <w:sz w:val="21"/>
                <w:szCs w:val="21"/>
              </w:rPr>
              <w:t>生产用水、生活用水、</w:t>
            </w:r>
            <w:r>
              <w:rPr>
                <w:rFonts w:hint="eastAsia" w:eastAsia="宋体" w:cs="Times New Roman"/>
                <w:sz w:val="21"/>
                <w:szCs w:val="21"/>
                <w:lang w:eastAsia="zh-CN"/>
              </w:rPr>
              <w:t>设备清洗用水、运输车辆槽罐清洗水和</w:t>
            </w:r>
            <w:r>
              <w:rPr>
                <w:rFonts w:cs="Times New Roman"/>
                <w:sz w:val="21"/>
                <w:szCs w:val="21"/>
              </w:rPr>
              <w:t>抑尘洒水用水。</w:t>
            </w:r>
            <w:r>
              <w:rPr>
                <w:rFonts w:hint="eastAsia" w:cs="Times New Roman"/>
                <w:sz w:val="21"/>
                <w:szCs w:val="21"/>
              </w:rPr>
              <w:t>根据建设单</w:t>
            </w:r>
            <w:r>
              <w:rPr>
                <w:rFonts w:hint="eastAsia" w:cs="Times New Roman"/>
                <w:color w:val="auto"/>
                <w:sz w:val="21"/>
                <w:szCs w:val="21"/>
              </w:rPr>
              <w:t>位提供数据，</w:t>
            </w:r>
            <w:r>
              <w:rPr>
                <w:rFonts w:cs="Times New Roman"/>
                <w:color w:val="auto"/>
                <w:sz w:val="21"/>
                <w:szCs w:val="21"/>
              </w:rPr>
              <w:t>水泥稳定土生产用水</w:t>
            </w:r>
            <w:r>
              <w:rPr>
                <w:rFonts w:hint="eastAsia" w:cs="Times New Roman"/>
                <w:color w:val="auto"/>
                <w:sz w:val="21"/>
                <w:szCs w:val="21"/>
              </w:rPr>
              <w:t>33.33</w:t>
            </w:r>
            <w:r>
              <w:rPr>
                <w:rFonts w:cs="Times New Roman"/>
                <w:color w:val="auto"/>
                <w:sz w:val="21"/>
                <w:szCs w:val="21"/>
              </w:rPr>
              <w:t>m</w:t>
            </w:r>
            <w:r>
              <w:rPr>
                <w:rFonts w:cs="Times New Roman"/>
                <w:color w:val="auto"/>
                <w:sz w:val="21"/>
                <w:szCs w:val="21"/>
                <w:vertAlign w:val="superscript"/>
              </w:rPr>
              <w:t>3</w:t>
            </w:r>
            <w:r>
              <w:rPr>
                <w:rFonts w:cs="Times New Roman"/>
                <w:color w:val="auto"/>
                <w:sz w:val="21"/>
                <w:szCs w:val="21"/>
              </w:rPr>
              <w:t>/d、抑尘洒水</w:t>
            </w:r>
            <w:r>
              <w:rPr>
                <w:rFonts w:hint="eastAsia" w:cs="Times New Roman"/>
                <w:color w:val="auto"/>
                <w:sz w:val="21"/>
                <w:szCs w:val="21"/>
              </w:rPr>
              <w:t>采用在运输车进场道路前设置一个水槽（4.5m×2m），车辆通过水槽进入项目区，同时在车辆进出时对车辆进行洒水，以减轻车辆运输扬尘。由于车辆通过水槽时，车轮会带走一部分水并蒸发，所以需要往水槽中补水，日</w:t>
            </w:r>
            <w:r>
              <w:rPr>
                <w:rFonts w:cs="Times New Roman"/>
                <w:color w:val="auto"/>
                <w:sz w:val="21"/>
                <w:szCs w:val="21"/>
              </w:rPr>
              <w:t>用水</w:t>
            </w:r>
            <w:r>
              <w:rPr>
                <w:rFonts w:hint="eastAsia" w:cs="Times New Roman"/>
                <w:color w:val="auto"/>
                <w:sz w:val="21"/>
                <w:szCs w:val="21"/>
              </w:rPr>
              <w:t>约1.5</w:t>
            </w:r>
            <w:r>
              <w:rPr>
                <w:rFonts w:cs="Times New Roman"/>
                <w:color w:val="auto"/>
                <w:sz w:val="21"/>
                <w:szCs w:val="21"/>
              </w:rPr>
              <w:t>m</w:t>
            </w:r>
            <w:r>
              <w:rPr>
                <w:rFonts w:cs="Times New Roman"/>
                <w:color w:val="auto"/>
                <w:sz w:val="21"/>
                <w:szCs w:val="21"/>
                <w:vertAlign w:val="superscript"/>
              </w:rPr>
              <w:t>3</w:t>
            </w:r>
            <w:r>
              <w:rPr>
                <w:rFonts w:cs="Times New Roman"/>
                <w:color w:val="auto"/>
                <w:sz w:val="21"/>
                <w:szCs w:val="21"/>
              </w:rPr>
              <w:t>/d</w:t>
            </w:r>
            <w:r>
              <w:rPr>
                <w:rFonts w:hint="eastAsia" w:cs="Times New Roman"/>
                <w:color w:val="auto"/>
                <w:sz w:val="21"/>
                <w:szCs w:val="21"/>
              </w:rPr>
              <w:t>；项目区劳动定员16人，年工作180天在厂区食宿，人均用水</w:t>
            </w:r>
            <w:r>
              <w:rPr>
                <w:rFonts w:cs="Times New Roman"/>
                <w:color w:val="auto"/>
                <w:sz w:val="21"/>
                <w:szCs w:val="21"/>
              </w:rPr>
              <w:t>生活用水80L/人·d</w:t>
            </w:r>
            <w:r>
              <w:rPr>
                <w:rFonts w:hint="eastAsia" w:cs="Times New Roman"/>
                <w:color w:val="auto"/>
                <w:sz w:val="21"/>
                <w:szCs w:val="21"/>
              </w:rPr>
              <w:t>，则日平均用水量为1.28</w:t>
            </w:r>
            <w:r>
              <w:rPr>
                <w:rFonts w:cs="Times New Roman"/>
                <w:color w:val="auto"/>
                <w:sz w:val="21"/>
                <w:szCs w:val="21"/>
              </w:rPr>
              <w:t>m</w:t>
            </w:r>
            <w:r>
              <w:rPr>
                <w:rFonts w:cs="Times New Roman"/>
                <w:color w:val="auto"/>
                <w:sz w:val="21"/>
                <w:szCs w:val="21"/>
                <w:vertAlign w:val="superscript"/>
              </w:rPr>
              <w:t>3</w:t>
            </w:r>
            <w:r>
              <w:rPr>
                <w:rFonts w:cs="Times New Roman"/>
                <w:color w:val="auto"/>
                <w:sz w:val="21"/>
                <w:szCs w:val="21"/>
              </w:rPr>
              <w:t>/d（</w:t>
            </w:r>
            <w:r>
              <w:rPr>
                <w:rFonts w:hint="eastAsia" w:cs="Times New Roman"/>
                <w:color w:val="auto"/>
                <w:sz w:val="21"/>
                <w:szCs w:val="21"/>
              </w:rPr>
              <w:t>230.4</w:t>
            </w:r>
            <w:r>
              <w:rPr>
                <w:rFonts w:cs="Times New Roman"/>
                <w:color w:val="auto"/>
                <w:sz w:val="21"/>
                <w:szCs w:val="21"/>
              </w:rPr>
              <w:t>m</w:t>
            </w:r>
            <w:r>
              <w:rPr>
                <w:rFonts w:cs="Times New Roman"/>
                <w:color w:val="auto"/>
                <w:sz w:val="21"/>
                <w:szCs w:val="21"/>
                <w:vertAlign w:val="superscript"/>
              </w:rPr>
              <w:t>3</w:t>
            </w:r>
            <w:r>
              <w:rPr>
                <w:rFonts w:cs="Times New Roman"/>
                <w:color w:val="auto"/>
                <w:sz w:val="21"/>
                <w:szCs w:val="21"/>
              </w:rPr>
              <w:t>/a），总用水量</w:t>
            </w:r>
            <w:r>
              <w:rPr>
                <w:rFonts w:hint="eastAsia" w:cs="Times New Roman"/>
                <w:color w:val="auto"/>
                <w:sz w:val="21"/>
                <w:szCs w:val="21"/>
              </w:rPr>
              <w:t>36.11</w:t>
            </w:r>
            <w:r>
              <w:rPr>
                <w:rFonts w:cs="Times New Roman"/>
                <w:color w:val="auto"/>
                <w:sz w:val="21"/>
                <w:szCs w:val="21"/>
              </w:rPr>
              <w:t>m</w:t>
            </w:r>
            <w:r>
              <w:rPr>
                <w:rFonts w:cs="Times New Roman"/>
                <w:color w:val="auto"/>
                <w:sz w:val="21"/>
                <w:szCs w:val="21"/>
                <w:vertAlign w:val="superscript"/>
              </w:rPr>
              <w:t>3</w:t>
            </w:r>
            <w:r>
              <w:rPr>
                <w:rFonts w:cs="Times New Roman"/>
                <w:color w:val="auto"/>
                <w:sz w:val="21"/>
                <w:szCs w:val="21"/>
              </w:rPr>
              <w:t>/d。</w:t>
            </w:r>
            <w:r>
              <w:rPr>
                <w:rFonts w:hint="eastAsia" w:eastAsia="宋体" w:cs="Times New Roman"/>
                <w:color w:val="auto"/>
                <w:sz w:val="21"/>
                <w:szCs w:val="21"/>
                <w:lang w:eastAsia="zh-CN"/>
              </w:rPr>
              <w:t>本项目每月清洗一次设备，根据建设单位提供资料，清洗一次设备用水</w:t>
            </w:r>
            <w:r>
              <w:rPr>
                <w:rFonts w:hint="eastAsia" w:eastAsia="宋体" w:cs="Times New Roman"/>
                <w:color w:val="auto"/>
                <w:sz w:val="21"/>
                <w:szCs w:val="21"/>
                <w:lang w:val="en-US" w:eastAsia="zh-CN"/>
              </w:rPr>
              <w:t>3</w:t>
            </w:r>
            <w:r>
              <w:rPr>
                <w:rFonts w:cs="Times New Roman"/>
                <w:color w:val="auto"/>
                <w:sz w:val="21"/>
                <w:szCs w:val="21"/>
              </w:rPr>
              <w:t>m</w:t>
            </w:r>
            <w:r>
              <w:rPr>
                <w:rFonts w:cs="Times New Roman"/>
                <w:color w:val="auto"/>
                <w:sz w:val="21"/>
                <w:szCs w:val="21"/>
                <w:vertAlign w:val="superscript"/>
              </w:rPr>
              <w:t>3</w:t>
            </w:r>
            <w:r>
              <w:rPr>
                <w:rFonts w:cs="Times New Roman"/>
                <w:color w:val="auto"/>
                <w:sz w:val="21"/>
                <w:szCs w:val="21"/>
              </w:rPr>
              <w:t>/</w:t>
            </w:r>
            <w:r>
              <w:rPr>
                <w:rFonts w:hint="eastAsia" w:eastAsia="宋体" w:cs="Times New Roman"/>
                <w:color w:val="auto"/>
                <w:sz w:val="21"/>
                <w:szCs w:val="21"/>
                <w:lang w:eastAsia="zh-CN"/>
              </w:rPr>
              <w:t>次</w:t>
            </w:r>
            <w:r>
              <w:rPr>
                <w:rFonts w:hint="eastAsia" w:eastAsia="宋体" w:cs="Times New Roman"/>
                <w:color w:val="auto"/>
                <w:sz w:val="21"/>
                <w:szCs w:val="21"/>
                <w:lang w:val="en-US" w:eastAsia="zh-CN"/>
              </w:rPr>
              <w:t>·月</w:t>
            </w:r>
            <w:r>
              <w:rPr>
                <w:rFonts w:hint="eastAsia" w:eastAsia="宋体" w:cs="Times New Roman"/>
                <w:color w:val="auto"/>
                <w:sz w:val="21"/>
                <w:szCs w:val="21"/>
                <w:lang w:eastAsia="zh-CN"/>
              </w:rPr>
              <w:t>（</w:t>
            </w:r>
            <w:r>
              <w:rPr>
                <w:rFonts w:hint="eastAsia" w:eastAsia="宋体" w:cs="Times New Roman"/>
                <w:color w:val="auto"/>
                <w:sz w:val="21"/>
                <w:szCs w:val="21"/>
                <w:lang w:val="en-US" w:eastAsia="zh-CN"/>
              </w:rPr>
              <w:t>0.1</w:t>
            </w:r>
            <w:r>
              <w:rPr>
                <w:rFonts w:cs="Times New Roman"/>
                <w:color w:val="auto"/>
                <w:sz w:val="21"/>
                <w:szCs w:val="21"/>
              </w:rPr>
              <w:t>m</w:t>
            </w:r>
            <w:r>
              <w:rPr>
                <w:rFonts w:cs="Times New Roman"/>
                <w:color w:val="auto"/>
                <w:sz w:val="21"/>
                <w:szCs w:val="21"/>
                <w:vertAlign w:val="superscript"/>
              </w:rPr>
              <w:t>3</w:t>
            </w:r>
            <w:r>
              <w:rPr>
                <w:rFonts w:cs="Times New Roman"/>
                <w:color w:val="auto"/>
                <w:sz w:val="21"/>
                <w:szCs w:val="21"/>
              </w:rPr>
              <w:t>/d</w:t>
            </w:r>
            <w:r>
              <w:rPr>
                <w:rFonts w:hint="eastAsia" w:eastAsia="宋体" w:cs="Times New Roman"/>
                <w:color w:val="auto"/>
                <w:sz w:val="21"/>
                <w:szCs w:val="21"/>
                <w:lang w:eastAsia="zh-CN"/>
              </w:rPr>
              <w:t>）</w:t>
            </w:r>
            <w:r>
              <w:rPr>
                <w:rFonts w:hint="eastAsia" w:eastAsia="宋体" w:cs="Times New Roman"/>
                <w:color w:val="auto"/>
                <w:sz w:val="21"/>
                <w:szCs w:val="21"/>
                <w:lang w:val="en-US" w:eastAsia="zh-CN"/>
              </w:rPr>
              <w:t>；</w:t>
            </w:r>
            <w:r>
              <w:rPr>
                <w:rFonts w:hint="eastAsia" w:eastAsia="宋体" w:cs="Times New Roman"/>
                <w:color w:val="auto"/>
                <w:sz w:val="21"/>
                <w:szCs w:val="21"/>
                <w:lang w:eastAsia="zh-CN"/>
              </w:rPr>
              <w:t>根据建设单位提供资料，本项目运输车辆槽罐清洗用水</w:t>
            </w:r>
            <w:r>
              <w:rPr>
                <w:rFonts w:hint="eastAsia" w:eastAsia="宋体" w:cs="Times New Roman"/>
                <w:color w:val="auto"/>
                <w:sz w:val="21"/>
                <w:szCs w:val="21"/>
                <w:lang w:val="en-US" w:eastAsia="zh-CN"/>
              </w:rPr>
              <w:t>0.07</w:t>
            </w:r>
            <w:r>
              <w:rPr>
                <w:rFonts w:cs="Times New Roman"/>
                <w:color w:val="auto"/>
                <w:sz w:val="21"/>
                <w:szCs w:val="21"/>
              </w:rPr>
              <w:t>m</w:t>
            </w:r>
            <w:r>
              <w:rPr>
                <w:rFonts w:cs="Times New Roman"/>
                <w:color w:val="auto"/>
                <w:sz w:val="21"/>
                <w:szCs w:val="21"/>
                <w:vertAlign w:val="superscript"/>
              </w:rPr>
              <w:t>3</w:t>
            </w:r>
            <w:r>
              <w:rPr>
                <w:rFonts w:cs="Times New Roman"/>
                <w:color w:val="auto"/>
                <w:sz w:val="21"/>
                <w:szCs w:val="21"/>
              </w:rPr>
              <w:t>/d（</w:t>
            </w:r>
            <w:r>
              <w:rPr>
                <w:rFonts w:hint="eastAsia" w:eastAsia="宋体" w:cs="Times New Roman"/>
                <w:color w:val="auto"/>
                <w:sz w:val="21"/>
                <w:szCs w:val="21"/>
                <w:lang w:val="en-US" w:eastAsia="zh-CN"/>
              </w:rPr>
              <w:t>12.6</w:t>
            </w:r>
            <w:r>
              <w:rPr>
                <w:rFonts w:cs="Times New Roman"/>
                <w:color w:val="auto"/>
                <w:sz w:val="21"/>
                <w:szCs w:val="21"/>
              </w:rPr>
              <w:t>m</w:t>
            </w:r>
            <w:r>
              <w:rPr>
                <w:rFonts w:cs="Times New Roman"/>
                <w:color w:val="auto"/>
                <w:sz w:val="21"/>
                <w:szCs w:val="21"/>
                <w:vertAlign w:val="superscript"/>
              </w:rPr>
              <w:t>3</w:t>
            </w:r>
            <w:r>
              <w:rPr>
                <w:rFonts w:cs="Times New Roman"/>
                <w:color w:val="auto"/>
                <w:sz w:val="21"/>
                <w:szCs w:val="21"/>
              </w:rPr>
              <w:t>/a）</w:t>
            </w:r>
            <w:r>
              <w:rPr>
                <w:rFonts w:hint="eastAsia" w:eastAsia="宋体" w:cs="Times New Roman"/>
                <w:color w:val="auto"/>
                <w:sz w:val="21"/>
                <w:szCs w:val="21"/>
                <w:lang w:val="en-US" w:eastAsia="zh-CN"/>
              </w:rPr>
              <w:t>；</w:t>
            </w:r>
            <w:r>
              <w:rPr>
                <w:rFonts w:hint="eastAsia" w:cs="Times New Roman"/>
                <w:color w:val="auto"/>
                <w:sz w:val="21"/>
                <w:szCs w:val="21"/>
              </w:rPr>
              <w:t>本项目</w:t>
            </w:r>
            <w:r>
              <w:rPr>
                <w:rFonts w:hint="eastAsia" w:eastAsia="宋体"/>
                <w:color w:val="auto"/>
                <w:sz w:val="21"/>
                <w:szCs w:val="21"/>
              </w:rPr>
              <w:t>无生产废水产生，</w:t>
            </w:r>
            <w:r>
              <w:rPr>
                <w:rFonts w:hint="eastAsia" w:eastAsia="宋体" w:cs="Times New Roman"/>
                <w:color w:val="auto"/>
                <w:sz w:val="21"/>
                <w:szCs w:val="21"/>
                <w:lang w:eastAsia="zh-CN"/>
              </w:rPr>
              <w:t>设备清洗用水、运输车辆槽罐清洗水和</w:t>
            </w:r>
            <w:r>
              <w:rPr>
                <w:rFonts w:hint="eastAsia" w:eastAsia="宋体"/>
                <w:color w:val="auto"/>
                <w:sz w:val="21"/>
                <w:szCs w:val="21"/>
              </w:rPr>
              <w:t>抑尘洒水自</w:t>
            </w:r>
            <w:r>
              <w:rPr>
                <w:rFonts w:hint="eastAsia" w:eastAsia="宋体"/>
                <w:color w:val="auto"/>
                <w:sz w:val="21"/>
                <w:szCs w:val="21"/>
                <w:lang w:eastAsia="zh-CN"/>
              </w:rPr>
              <w:t>然</w:t>
            </w:r>
            <w:r>
              <w:rPr>
                <w:rFonts w:hint="eastAsia" w:eastAsia="宋体"/>
                <w:color w:val="auto"/>
                <w:sz w:val="21"/>
                <w:szCs w:val="21"/>
              </w:rPr>
              <w:t>蒸发，</w:t>
            </w:r>
            <w:r>
              <w:rPr>
                <w:rFonts w:hint="eastAsia" w:cs="Times New Roman"/>
                <w:color w:val="auto"/>
                <w:sz w:val="21"/>
                <w:szCs w:val="21"/>
              </w:rPr>
              <w:t>员工生活污水，按生活用水的80%计，生活污水排放量为1.02</w:t>
            </w:r>
            <w:r>
              <w:rPr>
                <w:rFonts w:cs="Times New Roman"/>
                <w:color w:val="auto"/>
                <w:sz w:val="21"/>
                <w:szCs w:val="21"/>
              </w:rPr>
              <w:t>m</w:t>
            </w:r>
            <w:r>
              <w:rPr>
                <w:rFonts w:cs="Times New Roman"/>
                <w:color w:val="auto"/>
                <w:sz w:val="21"/>
                <w:szCs w:val="21"/>
                <w:vertAlign w:val="superscript"/>
              </w:rPr>
              <w:t>3</w:t>
            </w:r>
            <w:r>
              <w:rPr>
                <w:rFonts w:cs="Times New Roman"/>
                <w:color w:val="auto"/>
                <w:sz w:val="21"/>
                <w:szCs w:val="21"/>
              </w:rPr>
              <w:t>/d（</w:t>
            </w:r>
            <w:r>
              <w:rPr>
                <w:rFonts w:hint="eastAsia" w:cs="Times New Roman"/>
                <w:color w:val="auto"/>
                <w:sz w:val="21"/>
                <w:szCs w:val="21"/>
              </w:rPr>
              <w:t>184.32</w:t>
            </w:r>
            <w:r>
              <w:rPr>
                <w:rFonts w:cs="Times New Roman"/>
                <w:color w:val="auto"/>
                <w:sz w:val="21"/>
                <w:szCs w:val="21"/>
              </w:rPr>
              <w:t>m</w:t>
            </w:r>
            <w:r>
              <w:rPr>
                <w:rFonts w:cs="Times New Roman"/>
                <w:color w:val="auto"/>
                <w:sz w:val="21"/>
                <w:szCs w:val="21"/>
                <w:vertAlign w:val="superscript"/>
              </w:rPr>
              <w:t>3</w:t>
            </w:r>
            <w:r>
              <w:rPr>
                <w:rFonts w:cs="Times New Roman"/>
                <w:color w:val="auto"/>
                <w:sz w:val="21"/>
                <w:szCs w:val="21"/>
              </w:rPr>
              <w:t>/a）</w:t>
            </w:r>
            <w:r>
              <w:rPr>
                <w:rFonts w:hint="eastAsia" w:cs="Times New Roman"/>
                <w:color w:val="auto"/>
                <w:sz w:val="21"/>
                <w:szCs w:val="21"/>
              </w:rPr>
              <w:t>，生活污水，经过隔油池预处理后排入厂区内50m</w:t>
            </w:r>
            <w:r>
              <w:rPr>
                <w:rFonts w:hint="eastAsia" w:cs="Times New Roman"/>
                <w:color w:val="auto"/>
                <w:sz w:val="21"/>
                <w:szCs w:val="21"/>
                <w:vertAlign w:val="superscript"/>
              </w:rPr>
              <w:t>3</w:t>
            </w:r>
            <w:r>
              <w:rPr>
                <w:rFonts w:hint="eastAsia" w:cs="Times New Roman"/>
                <w:color w:val="auto"/>
                <w:sz w:val="21"/>
                <w:szCs w:val="21"/>
              </w:rPr>
              <w:t>化粪池处理后由吸污车定期清运至</w:t>
            </w:r>
            <w:r>
              <w:rPr>
                <w:rFonts w:hint="eastAsia" w:eastAsia="宋体" w:cs="Times New Roman"/>
                <w:color w:val="auto"/>
                <w:sz w:val="21"/>
                <w:szCs w:val="21"/>
                <w:lang w:eastAsia="zh-CN"/>
              </w:rPr>
              <w:t>七师胡杨河市污水处理厂（一期）</w:t>
            </w:r>
            <w:r>
              <w:rPr>
                <w:rFonts w:hint="eastAsia"/>
                <w:color w:val="auto"/>
                <w:sz w:val="21"/>
                <w:szCs w:val="21"/>
              </w:rPr>
              <w:t>。</w:t>
            </w:r>
          </w:p>
          <w:p w14:paraId="683E08DC">
            <w:pPr>
              <w:pStyle w:val="92"/>
              <w:ind w:firstLine="420"/>
              <w:rPr>
                <w:rFonts w:cs="Times New Roman"/>
                <w:sz w:val="21"/>
                <w:szCs w:val="21"/>
              </w:rPr>
            </w:pPr>
            <w:r>
              <w:rPr>
                <w:rFonts w:hint="eastAsia" w:cs="Times New Roman"/>
                <w:sz w:val="21"/>
                <w:szCs w:val="21"/>
              </w:rPr>
              <w:t>项目给排水情况见下表2-5。</w:t>
            </w:r>
          </w:p>
          <w:p w14:paraId="15F737C7">
            <w:pPr>
              <w:ind w:firstLine="422" w:firstLineChars="200"/>
              <w:jc w:val="center"/>
              <w:rPr>
                <w:b/>
                <w:szCs w:val="21"/>
              </w:rPr>
            </w:pPr>
            <w:r>
              <w:rPr>
                <w:rFonts w:hint="eastAsia"/>
                <w:b/>
                <w:szCs w:val="21"/>
              </w:rPr>
              <w:t>表</w:t>
            </w:r>
            <w:r>
              <w:rPr>
                <w:b/>
                <w:szCs w:val="21"/>
              </w:rPr>
              <w:t>2-</w:t>
            </w:r>
            <w:r>
              <w:rPr>
                <w:rFonts w:hint="eastAsia"/>
                <w:b/>
                <w:szCs w:val="21"/>
              </w:rPr>
              <w:t>5项目给排水情况一览表单位：</w:t>
            </w:r>
            <w:r>
              <w:rPr>
                <w:b/>
                <w:szCs w:val="21"/>
              </w:rPr>
              <w:t>m</w:t>
            </w:r>
            <w:r>
              <w:rPr>
                <w:b/>
                <w:szCs w:val="21"/>
                <w:vertAlign w:val="superscript"/>
              </w:rPr>
              <w:t>3</w:t>
            </w:r>
            <w:r>
              <w:rPr>
                <w:b/>
                <w:szCs w:val="21"/>
              </w:rPr>
              <w:t>/d</w:t>
            </w:r>
          </w:p>
          <w:tbl>
            <w:tblPr>
              <w:tblStyle w:val="30"/>
              <w:tblW w:w="4995"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108" w:type="dxa"/>
                <w:bottom w:w="0" w:type="dxa"/>
                <w:right w:w="108" w:type="dxa"/>
              </w:tblCellMar>
            </w:tblPr>
            <w:tblGrid>
              <w:gridCol w:w="644"/>
              <w:gridCol w:w="1242"/>
              <w:gridCol w:w="1068"/>
              <w:gridCol w:w="1524"/>
              <w:gridCol w:w="1951"/>
              <w:gridCol w:w="1862"/>
            </w:tblGrid>
            <w:tr w14:paraId="5F4FB385">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cantSplit/>
                <w:trHeight w:val="131" w:hRule="atLeast"/>
                <w:jc w:val="center"/>
              </w:trPr>
              <w:tc>
                <w:tcPr>
                  <w:tcW w:w="388" w:type="pct"/>
                  <w:tcBorders>
                    <w:bottom w:val="single" w:color="000000" w:sz="6" w:space="0"/>
                    <w:right w:val="single" w:color="000000" w:sz="6" w:space="0"/>
                  </w:tcBorders>
                  <w:vAlign w:val="center"/>
                </w:tcPr>
                <w:p w14:paraId="2B5395F2">
                  <w:pPr>
                    <w:autoSpaceDE w:val="0"/>
                    <w:autoSpaceDN w:val="0"/>
                    <w:jc w:val="center"/>
                    <w:rPr>
                      <w:b/>
                      <w:szCs w:val="21"/>
                    </w:rPr>
                  </w:pPr>
                  <w:r>
                    <w:rPr>
                      <w:b/>
                      <w:szCs w:val="21"/>
                      <w:lang w:val="zh-CN"/>
                    </w:rPr>
                    <w:t>序号</w:t>
                  </w:r>
                </w:p>
              </w:tc>
              <w:tc>
                <w:tcPr>
                  <w:tcW w:w="749" w:type="pct"/>
                  <w:tcBorders>
                    <w:left w:val="single" w:color="000000" w:sz="6" w:space="0"/>
                    <w:bottom w:val="single" w:color="000000" w:sz="6" w:space="0"/>
                    <w:right w:val="single" w:color="000000" w:sz="6" w:space="0"/>
                  </w:tcBorders>
                  <w:vAlign w:val="center"/>
                </w:tcPr>
                <w:p w14:paraId="78DE932E">
                  <w:pPr>
                    <w:autoSpaceDE w:val="0"/>
                    <w:autoSpaceDN w:val="0"/>
                    <w:jc w:val="center"/>
                    <w:rPr>
                      <w:b/>
                      <w:szCs w:val="21"/>
                    </w:rPr>
                  </w:pPr>
                  <w:r>
                    <w:rPr>
                      <w:b/>
                      <w:szCs w:val="21"/>
                      <w:lang w:val="zh-CN"/>
                    </w:rPr>
                    <w:t>用水类别</w:t>
                  </w:r>
                </w:p>
              </w:tc>
              <w:tc>
                <w:tcPr>
                  <w:tcW w:w="644" w:type="pct"/>
                  <w:tcBorders>
                    <w:left w:val="single" w:color="000000" w:sz="6" w:space="0"/>
                    <w:bottom w:val="single" w:color="000000" w:sz="6" w:space="0"/>
                    <w:right w:val="single" w:color="000000" w:sz="6" w:space="0"/>
                  </w:tcBorders>
                  <w:vAlign w:val="center"/>
                </w:tcPr>
                <w:p w14:paraId="7FEF6A27">
                  <w:pPr>
                    <w:autoSpaceDE w:val="0"/>
                    <w:autoSpaceDN w:val="0"/>
                    <w:jc w:val="center"/>
                    <w:rPr>
                      <w:b/>
                      <w:szCs w:val="21"/>
                    </w:rPr>
                  </w:pPr>
                  <w:r>
                    <w:rPr>
                      <w:b/>
                      <w:szCs w:val="21"/>
                      <w:lang w:val="zh-CN"/>
                    </w:rPr>
                    <w:t>用水定额</w:t>
                  </w:r>
                </w:p>
              </w:tc>
              <w:tc>
                <w:tcPr>
                  <w:tcW w:w="919" w:type="pct"/>
                  <w:tcBorders>
                    <w:left w:val="single" w:color="000000" w:sz="6" w:space="0"/>
                    <w:bottom w:val="single" w:color="000000" w:sz="6" w:space="0"/>
                    <w:right w:val="single" w:color="000000" w:sz="6" w:space="0"/>
                  </w:tcBorders>
                  <w:vAlign w:val="center"/>
                </w:tcPr>
                <w:p w14:paraId="3D73BEFD">
                  <w:pPr>
                    <w:autoSpaceDE w:val="0"/>
                    <w:autoSpaceDN w:val="0"/>
                    <w:jc w:val="center"/>
                    <w:rPr>
                      <w:b/>
                      <w:szCs w:val="21"/>
                      <w:lang w:val="zh-CN"/>
                    </w:rPr>
                  </w:pPr>
                  <w:r>
                    <w:rPr>
                      <w:b/>
                      <w:szCs w:val="21"/>
                      <w:lang w:val="zh-CN"/>
                    </w:rPr>
                    <w:t>用水量</w:t>
                  </w:r>
                  <w:r>
                    <w:rPr>
                      <w:rFonts w:hint="eastAsia"/>
                      <w:b/>
                      <w:szCs w:val="21"/>
                      <w:lang w:val="zh-CN"/>
                    </w:rPr>
                    <w:t>（</w:t>
                  </w:r>
                  <w:r>
                    <w:rPr>
                      <w:b/>
                      <w:szCs w:val="21"/>
                      <w:lang w:val="zh-CN"/>
                    </w:rPr>
                    <w:t>m</w:t>
                  </w:r>
                  <w:r>
                    <w:rPr>
                      <w:b/>
                      <w:szCs w:val="21"/>
                      <w:vertAlign w:val="superscript"/>
                      <w:lang w:val="zh-CN"/>
                    </w:rPr>
                    <w:t>3</w:t>
                  </w:r>
                  <w:r>
                    <w:rPr>
                      <w:b/>
                      <w:szCs w:val="21"/>
                      <w:lang w:val="zh-CN"/>
                    </w:rPr>
                    <w:t>/d</w:t>
                  </w:r>
                  <w:r>
                    <w:rPr>
                      <w:rFonts w:hint="eastAsia"/>
                      <w:b/>
                      <w:szCs w:val="21"/>
                      <w:lang w:val="zh-CN"/>
                    </w:rPr>
                    <w:t>）</w:t>
                  </w:r>
                </w:p>
              </w:tc>
              <w:tc>
                <w:tcPr>
                  <w:tcW w:w="1176" w:type="pct"/>
                  <w:tcBorders>
                    <w:left w:val="single" w:color="000000" w:sz="6" w:space="0"/>
                    <w:bottom w:val="single" w:color="000000" w:sz="6" w:space="0"/>
                    <w:right w:val="single" w:color="000000" w:sz="6" w:space="0"/>
                  </w:tcBorders>
                  <w:vAlign w:val="center"/>
                </w:tcPr>
                <w:p w14:paraId="3975BBCF">
                  <w:pPr>
                    <w:autoSpaceDE w:val="0"/>
                    <w:autoSpaceDN w:val="0"/>
                    <w:jc w:val="center"/>
                    <w:rPr>
                      <w:b/>
                      <w:szCs w:val="21"/>
                      <w:lang w:val="zh-CN"/>
                    </w:rPr>
                  </w:pPr>
                  <w:r>
                    <w:rPr>
                      <w:b/>
                      <w:szCs w:val="21"/>
                      <w:lang w:val="zh-CN"/>
                    </w:rPr>
                    <w:t>年用水量（m</w:t>
                  </w:r>
                  <w:r>
                    <w:rPr>
                      <w:b/>
                      <w:szCs w:val="21"/>
                      <w:vertAlign w:val="superscript"/>
                      <w:lang w:val="zh-CN"/>
                    </w:rPr>
                    <w:t>3</w:t>
                  </w:r>
                  <w:r>
                    <w:rPr>
                      <w:b/>
                      <w:szCs w:val="21"/>
                      <w:lang w:val="zh-CN"/>
                    </w:rPr>
                    <w:t>/a）</w:t>
                  </w:r>
                </w:p>
              </w:tc>
              <w:tc>
                <w:tcPr>
                  <w:tcW w:w="1122" w:type="pct"/>
                  <w:tcBorders>
                    <w:left w:val="single" w:color="000000" w:sz="6" w:space="0"/>
                    <w:bottom w:val="single" w:color="000000" w:sz="6" w:space="0"/>
                  </w:tcBorders>
                  <w:vAlign w:val="center"/>
                </w:tcPr>
                <w:p w14:paraId="6A04905B">
                  <w:pPr>
                    <w:autoSpaceDE w:val="0"/>
                    <w:autoSpaceDN w:val="0"/>
                    <w:jc w:val="center"/>
                    <w:rPr>
                      <w:b/>
                      <w:szCs w:val="21"/>
                      <w:lang w:val="zh-CN"/>
                    </w:rPr>
                  </w:pPr>
                  <w:r>
                    <w:rPr>
                      <w:b/>
                      <w:szCs w:val="21"/>
                      <w:lang w:val="zh-CN"/>
                    </w:rPr>
                    <w:t>年</w:t>
                  </w:r>
                  <w:r>
                    <w:rPr>
                      <w:rFonts w:hint="eastAsia"/>
                      <w:b/>
                      <w:szCs w:val="21"/>
                    </w:rPr>
                    <w:t>排放</w:t>
                  </w:r>
                  <w:r>
                    <w:rPr>
                      <w:b/>
                      <w:szCs w:val="21"/>
                      <w:lang w:val="zh-CN"/>
                    </w:rPr>
                    <w:t>量（m</w:t>
                  </w:r>
                  <w:r>
                    <w:rPr>
                      <w:b/>
                      <w:szCs w:val="21"/>
                      <w:vertAlign w:val="superscript"/>
                      <w:lang w:val="zh-CN"/>
                    </w:rPr>
                    <w:t>3</w:t>
                  </w:r>
                  <w:r>
                    <w:rPr>
                      <w:b/>
                      <w:szCs w:val="21"/>
                      <w:lang w:val="zh-CN"/>
                    </w:rPr>
                    <w:t>/a）</w:t>
                  </w:r>
                </w:p>
              </w:tc>
            </w:tr>
            <w:tr w14:paraId="12741E01">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jc w:val="center"/>
              </w:trPr>
              <w:tc>
                <w:tcPr>
                  <w:tcW w:w="388" w:type="pct"/>
                  <w:tcBorders>
                    <w:top w:val="single" w:color="000000" w:sz="6" w:space="0"/>
                    <w:bottom w:val="single" w:color="000000" w:sz="6" w:space="0"/>
                    <w:right w:val="single" w:color="000000" w:sz="6" w:space="0"/>
                  </w:tcBorders>
                  <w:vAlign w:val="center"/>
                </w:tcPr>
                <w:p w14:paraId="0838BE21">
                  <w:pPr>
                    <w:autoSpaceDE w:val="0"/>
                    <w:autoSpaceDN w:val="0"/>
                    <w:jc w:val="center"/>
                    <w:rPr>
                      <w:szCs w:val="21"/>
                    </w:rPr>
                  </w:pPr>
                  <w:r>
                    <w:rPr>
                      <w:szCs w:val="21"/>
                    </w:rPr>
                    <w:t>1</w:t>
                  </w:r>
                </w:p>
              </w:tc>
              <w:tc>
                <w:tcPr>
                  <w:tcW w:w="749" w:type="pct"/>
                  <w:tcBorders>
                    <w:top w:val="single" w:color="000000" w:sz="6" w:space="0"/>
                    <w:left w:val="single" w:color="000000" w:sz="6" w:space="0"/>
                    <w:bottom w:val="single" w:color="000000" w:sz="6" w:space="0"/>
                    <w:right w:val="single" w:color="000000" w:sz="6" w:space="0"/>
                  </w:tcBorders>
                  <w:vAlign w:val="center"/>
                </w:tcPr>
                <w:p w14:paraId="437E06B1">
                  <w:pPr>
                    <w:autoSpaceDE w:val="0"/>
                    <w:autoSpaceDN w:val="0"/>
                    <w:jc w:val="center"/>
                    <w:rPr>
                      <w:szCs w:val="21"/>
                    </w:rPr>
                  </w:pPr>
                  <w:r>
                    <w:rPr>
                      <w:szCs w:val="21"/>
                      <w:lang w:val="zh-CN"/>
                    </w:rPr>
                    <w:t>生活用水</w:t>
                  </w:r>
                </w:p>
              </w:tc>
              <w:tc>
                <w:tcPr>
                  <w:tcW w:w="644" w:type="pct"/>
                  <w:tcBorders>
                    <w:top w:val="single" w:color="000000" w:sz="6" w:space="0"/>
                    <w:left w:val="single" w:color="000000" w:sz="6" w:space="0"/>
                    <w:bottom w:val="single" w:color="000000" w:sz="6" w:space="0"/>
                    <w:right w:val="single" w:color="000000" w:sz="6" w:space="0"/>
                  </w:tcBorders>
                  <w:vAlign w:val="center"/>
                </w:tcPr>
                <w:p w14:paraId="3C531EE0">
                  <w:pPr>
                    <w:autoSpaceDE w:val="0"/>
                    <w:autoSpaceDN w:val="0"/>
                    <w:jc w:val="center"/>
                    <w:rPr>
                      <w:szCs w:val="21"/>
                    </w:rPr>
                  </w:pPr>
                  <w:r>
                    <w:rPr>
                      <w:szCs w:val="21"/>
                    </w:rPr>
                    <w:t>80L/人·d</w:t>
                  </w:r>
                </w:p>
              </w:tc>
              <w:tc>
                <w:tcPr>
                  <w:tcW w:w="919" w:type="pct"/>
                  <w:tcBorders>
                    <w:top w:val="single" w:color="000000" w:sz="6" w:space="0"/>
                    <w:left w:val="single" w:color="000000" w:sz="6" w:space="0"/>
                    <w:bottom w:val="single" w:color="000000" w:sz="6" w:space="0"/>
                    <w:right w:val="single" w:color="000000" w:sz="6" w:space="0"/>
                  </w:tcBorders>
                  <w:vAlign w:val="center"/>
                </w:tcPr>
                <w:p w14:paraId="53243610">
                  <w:pPr>
                    <w:autoSpaceDE w:val="0"/>
                    <w:autoSpaceDN w:val="0"/>
                    <w:jc w:val="center"/>
                    <w:rPr>
                      <w:szCs w:val="21"/>
                    </w:rPr>
                  </w:pPr>
                  <w:r>
                    <w:rPr>
                      <w:rFonts w:hint="eastAsia" w:eastAsia="Times New Roman"/>
                      <w:kern w:val="0"/>
                    </w:rPr>
                    <w:t>1.28</w:t>
                  </w:r>
                </w:p>
              </w:tc>
              <w:tc>
                <w:tcPr>
                  <w:tcW w:w="1176" w:type="pct"/>
                  <w:tcBorders>
                    <w:top w:val="single" w:color="000000" w:sz="6" w:space="0"/>
                    <w:left w:val="single" w:color="000000" w:sz="6" w:space="0"/>
                    <w:bottom w:val="single" w:color="000000" w:sz="6" w:space="0"/>
                    <w:right w:val="single" w:color="000000" w:sz="6" w:space="0"/>
                  </w:tcBorders>
                  <w:vAlign w:val="center"/>
                </w:tcPr>
                <w:p w14:paraId="604D7E43">
                  <w:pPr>
                    <w:autoSpaceDE w:val="0"/>
                    <w:autoSpaceDN w:val="0"/>
                    <w:jc w:val="center"/>
                    <w:rPr>
                      <w:szCs w:val="21"/>
                    </w:rPr>
                  </w:pPr>
                  <w:r>
                    <w:rPr>
                      <w:rFonts w:hint="eastAsia"/>
                      <w:szCs w:val="21"/>
                    </w:rPr>
                    <w:t>230.4</w:t>
                  </w:r>
                </w:p>
              </w:tc>
              <w:tc>
                <w:tcPr>
                  <w:tcW w:w="1122" w:type="pct"/>
                  <w:tcBorders>
                    <w:top w:val="single" w:color="000000" w:sz="6" w:space="0"/>
                    <w:left w:val="single" w:color="000000" w:sz="6" w:space="0"/>
                    <w:bottom w:val="single" w:color="000000" w:sz="6" w:space="0"/>
                  </w:tcBorders>
                  <w:vAlign w:val="center"/>
                </w:tcPr>
                <w:p w14:paraId="6E4C18D4">
                  <w:pPr>
                    <w:autoSpaceDE w:val="0"/>
                    <w:autoSpaceDN w:val="0"/>
                    <w:jc w:val="center"/>
                    <w:rPr>
                      <w:szCs w:val="21"/>
                    </w:rPr>
                  </w:pPr>
                  <w:r>
                    <w:rPr>
                      <w:rFonts w:hint="eastAsia"/>
                      <w:szCs w:val="21"/>
                    </w:rPr>
                    <w:t>184.32</w:t>
                  </w:r>
                </w:p>
              </w:tc>
            </w:tr>
            <w:tr w14:paraId="08BDD067">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388" w:type="pct"/>
                  <w:tcBorders>
                    <w:top w:val="single" w:color="000000" w:sz="6" w:space="0"/>
                    <w:bottom w:val="single" w:color="000000" w:sz="6" w:space="0"/>
                    <w:right w:val="single" w:color="000000" w:sz="6" w:space="0"/>
                  </w:tcBorders>
                  <w:vAlign w:val="center"/>
                </w:tcPr>
                <w:p w14:paraId="2A0A4C60">
                  <w:pPr>
                    <w:autoSpaceDE w:val="0"/>
                    <w:autoSpaceDN w:val="0"/>
                    <w:jc w:val="center"/>
                    <w:rPr>
                      <w:szCs w:val="21"/>
                    </w:rPr>
                  </w:pPr>
                  <w:r>
                    <w:rPr>
                      <w:szCs w:val="21"/>
                    </w:rPr>
                    <w:t>2</w:t>
                  </w:r>
                </w:p>
              </w:tc>
              <w:tc>
                <w:tcPr>
                  <w:tcW w:w="749" w:type="pct"/>
                  <w:tcBorders>
                    <w:top w:val="single" w:color="000000" w:sz="6" w:space="0"/>
                    <w:left w:val="single" w:color="000000" w:sz="6" w:space="0"/>
                    <w:bottom w:val="single" w:color="000000" w:sz="6" w:space="0"/>
                    <w:right w:val="single" w:color="000000" w:sz="6" w:space="0"/>
                  </w:tcBorders>
                  <w:vAlign w:val="center"/>
                </w:tcPr>
                <w:p w14:paraId="6AB5BDDC">
                  <w:pPr>
                    <w:autoSpaceDE w:val="0"/>
                    <w:autoSpaceDN w:val="0"/>
                    <w:jc w:val="center"/>
                    <w:rPr>
                      <w:szCs w:val="21"/>
                      <w:lang w:val="zh-CN"/>
                    </w:rPr>
                  </w:pPr>
                  <w:r>
                    <w:rPr>
                      <w:rFonts w:hint="eastAsia"/>
                      <w:szCs w:val="21"/>
                      <w:lang w:val="zh-CN"/>
                    </w:rPr>
                    <w:t>生产用水</w:t>
                  </w:r>
                </w:p>
              </w:tc>
              <w:tc>
                <w:tcPr>
                  <w:tcW w:w="644" w:type="pct"/>
                  <w:tcBorders>
                    <w:top w:val="single" w:color="000000" w:sz="6" w:space="0"/>
                    <w:left w:val="single" w:color="000000" w:sz="6" w:space="0"/>
                    <w:bottom w:val="single" w:color="000000" w:sz="6" w:space="0"/>
                    <w:right w:val="single" w:color="000000" w:sz="6" w:space="0"/>
                  </w:tcBorders>
                  <w:vAlign w:val="center"/>
                </w:tcPr>
                <w:p w14:paraId="79503D25">
                  <w:pPr>
                    <w:autoSpaceDE w:val="0"/>
                    <w:autoSpaceDN w:val="0"/>
                    <w:jc w:val="center"/>
                    <w:rPr>
                      <w:szCs w:val="21"/>
                    </w:rPr>
                  </w:pPr>
                  <w:r>
                    <w:rPr>
                      <w:rFonts w:hint="eastAsia"/>
                      <w:szCs w:val="21"/>
                    </w:rPr>
                    <w:t>/</w:t>
                  </w:r>
                </w:p>
              </w:tc>
              <w:tc>
                <w:tcPr>
                  <w:tcW w:w="919" w:type="pct"/>
                  <w:tcBorders>
                    <w:top w:val="single" w:color="000000" w:sz="6" w:space="0"/>
                    <w:left w:val="single" w:color="000000" w:sz="6" w:space="0"/>
                    <w:bottom w:val="single" w:color="000000" w:sz="6" w:space="0"/>
                    <w:right w:val="single" w:color="000000" w:sz="6" w:space="0"/>
                  </w:tcBorders>
                  <w:vAlign w:val="center"/>
                </w:tcPr>
                <w:p w14:paraId="133B598E">
                  <w:pPr>
                    <w:autoSpaceDE w:val="0"/>
                    <w:autoSpaceDN w:val="0"/>
                    <w:jc w:val="center"/>
                    <w:rPr>
                      <w:szCs w:val="21"/>
                    </w:rPr>
                  </w:pPr>
                  <w:r>
                    <w:rPr>
                      <w:rFonts w:hint="eastAsia"/>
                      <w:szCs w:val="21"/>
                    </w:rPr>
                    <w:t>33.33</w:t>
                  </w:r>
                </w:p>
              </w:tc>
              <w:tc>
                <w:tcPr>
                  <w:tcW w:w="1176" w:type="pct"/>
                  <w:tcBorders>
                    <w:top w:val="single" w:color="000000" w:sz="6" w:space="0"/>
                    <w:left w:val="single" w:color="000000" w:sz="6" w:space="0"/>
                    <w:bottom w:val="single" w:color="000000" w:sz="6" w:space="0"/>
                    <w:right w:val="single" w:color="000000" w:sz="6" w:space="0"/>
                  </w:tcBorders>
                  <w:vAlign w:val="center"/>
                </w:tcPr>
                <w:p w14:paraId="72FADADC">
                  <w:pPr>
                    <w:autoSpaceDE w:val="0"/>
                    <w:autoSpaceDN w:val="0"/>
                    <w:jc w:val="center"/>
                    <w:rPr>
                      <w:szCs w:val="21"/>
                    </w:rPr>
                  </w:pPr>
                  <w:r>
                    <w:rPr>
                      <w:rFonts w:hint="eastAsia"/>
                      <w:szCs w:val="21"/>
                    </w:rPr>
                    <w:t>6000</w:t>
                  </w:r>
                </w:p>
              </w:tc>
              <w:tc>
                <w:tcPr>
                  <w:tcW w:w="1122" w:type="pct"/>
                  <w:tcBorders>
                    <w:top w:val="single" w:color="000000" w:sz="6" w:space="0"/>
                    <w:left w:val="single" w:color="000000" w:sz="6" w:space="0"/>
                    <w:bottom w:val="single" w:color="000000" w:sz="6" w:space="0"/>
                  </w:tcBorders>
                  <w:vAlign w:val="center"/>
                </w:tcPr>
                <w:p w14:paraId="25D13D3C">
                  <w:pPr>
                    <w:autoSpaceDE w:val="0"/>
                    <w:autoSpaceDN w:val="0"/>
                    <w:jc w:val="center"/>
                    <w:rPr>
                      <w:szCs w:val="21"/>
                    </w:rPr>
                  </w:pPr>
                  <w:r>
                    <w:rPr>
                      <w:rFonts w:hint="eastAsia"/>
                      <w:szCs w:val="21"/>
                    </w:rPr>
                    <w:t>/</w:t>
                  </w:r>
                </w:p>
              </w:tc>
            </w:tr>
            <w:tr w14:paraId="4BBEEE03">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388" w:type="pct"/>
                  <w:tcBorders>
                    <w:top w:val="single" w:color="000000" w:sz="6" w:space="0"/>
                    <w:bottom w:val="single" w:color="000000" w:sz="6" w:space="0"/>
                    <w:right w:val="single" w:color="000000" w:sz="6" w:space="0"/>
                  </w:tcBorders>
                  <w:vAlign w:val="center"/>
                </w:tcPr>
                <w:p w14:paraId="153577D5">
                  <w:pPr>
                    <w:autoSpaceDE w:val="0"/>
                    <w:autoSpaceDN w:val="0"/>
                    <w:jc w:val="center"/>
                    <w:rPr>
                      <w:color w:val="auto"/>
                      <w:szCs w:val="21"/>
                    </w:rPr>
                  </w:pPr>
                  <w:r>
                    <w:rPr>
                      <w:rFonts w:hint="eastAsia"/>
                      <w:color w:val="auto"/>
                      <w:szCs w:val="21"/>
                    </w:rPr>
                    <w:t>3</w:t>
                  </w:r>
                </w:p>
              </w:tc>
              <w:tc>
                <w:tcPr>
                  <w:tcW w:w="749" w:type="pct"/>
                  <w:tcBorders>
                    <w:top w:val="single" w:color="000000" w:sz="6" w:space="0"/>
                    <w:left w:val="single" w:color="000000" w:sz="6" w:space="0"/>
                    <w:bottom w:val="single" w:color="000000" w:sz="6" w:space="0"/>
                    <w:right w:val="single" w:color="000000" w:sz="6" w:space="0"/>
                  </w:tcBorders>
                  <w:vAlign w:val="center"/>
                </w:tcPr>
                <w:p w14:paraId="295DD749">
                  <w:pPr>
                    <w:autoSpaceDE w:val="0"/>
                    <w:autoSpaceDN w:val="0"/>
                    <w:jc w:val="center"/>
                    <w:rPr>
                      <w:rFonts w:hint="eastAsia"/>
                      <w:color w:val="auto"/>
                      <w:szCs w:val="21"/>
                      <w:lang w:val="zh-CN"/>
                    </w:rPr>
                  </w:pPr>
                  <w:r>
                    <w:rPr>
                      <w:rFonts w:hint="eastAsia"/>
                      <w:color w:val="auto"/>
                      <w:szCs w:val="21"/>
                      <w:lang w:val="zh-CN" w:eastAsia="zh-CN"/>
                    </w:rPr>
                    <w:t>设备清洗用水</w:t>
                  </w:r>
                </w:p>
              </w:tc>
              <w:tc>
                <w:tcPr>
                  <w:tcW w:w="644" w:type="pct"/>
                  <w:tcBorders>
                    <w:top w:val="single" w:color="000000" w:sz="6" w:space="0"/>
                    <w:left w:val="single" w:color="000000" w:sz="6" w:space="0"/>
                    <w:bottom w:val="single" w:color="000000" w:sz="6" w:space="0"/>
                    <w:right w:val="single" w:color="000000" w:sz="6" w:space="0"/>
                  </w:tcBorders>
                  <w:vAlign w:val="center"/>
                </w:tcPr>
                <w:p w14:paraId="5ACB4709">
                  <w:pPr>
                    <w:autoSpaceDE w:val="0"/>
                    <w:autoSpaceDN w:val="0"/>
                    <w:jc w:val="center"/>
                    <w:rPr>
                      <w:rFonts w:hint="eastAsia" w:eastAsia="宋体"/>
                      <w:color w:val="auto"/>
                      <w:szCs w:val="21"/>
                      <w:lang w:val="en-US" w:eastAsia="zh-CN"/>
                    </w:rPr>
                  </w:pPr>
                  <w:r>
                    <w:rPr>
                      <w:rFonts w:hint="eastAsia"/>
                      <w:color w:val="auto"/>
                      <w:szCs w:val="21"/>
                      <w:lang w:val="en-US" w:eastAsia="zh-CN"/>
                    </w:rPr>
                    <w:t>/</w:t>
                  </w:r>
                </w:p>
              </w:tc>
              <w:tc>
                <w:tcPr>
                  <w:tcW w:w="919" w:type="pct"/>
                  <w:tcBorders>
                    <w:top w:val="single" w:color="000000" w:sz="6" w:space="0"/>
                    <w:left w:val="single" w:color="000000" w:sz="6" w:space="0"/>
                    <w:bottom w:val="single" w:color="000000" w:sz="6" w:space="0"/>
                    <w:right w:val="single" w:color="000000" w:sz="6" w:space="0"/>
                  </w:tcBorders>
                  <w:vAlign w:val="center"/>
                </w:tcPr>
                <w:p w14:paraId="7F71B3C2">
                  <w:pPr>
                    <w:autoSpaceDE w:val="0"/>
                    <w:autoSpaceDN w:val="0"/>
                    <w:jc w:val="center"/>
                    <w:rPr>
                      <w:rFonts w:hint="eastAsia"/>
                      <w:color w:val="auto"/>
                      <w:szCs w:val="21"/>
                    </w:rPr>
                  </w:pPr>
                  <w:r>
                    <w:rPr>
                      <w:rFonts w:hint="eastAsia" w:eastAsia="宋体" w:cs="Times New Roman"/>
                      <w:color w:val="auto"/>
                      <w:sz w:val="21"/>
                      <w:szCs w:val="21"/>
                      <w:lang w:val="en-US" w:eastAsia="zh-CN"/>
                    </w:rPr>
                    <w:t>0.1</w:t>
                  </w:r>
                </w:p>
              </w:tc>
              <w:tc>
                <w:tcPr>
                  <w:tcW w:w="1176" w:type="pct"/>
                  <w:tcBorders>
                    <w:top w:val="single" w:color="000000" w:sz="6" w:space="0"/>
                    <w:left w:val="single" w:color="000000" w:sz="6" w:space="0"/>
                    <w:bottom w:val="single" w:color="000000" w:sz="6" w:space="0"/>
                    <w:right w:val="single" w:color="000000" w:sz="6" w:space="0"/>
                  </w:tcBorders>
                  <w:vAlign w:val="center"/>
                </w:tcPr>
                <w:p w14:paraId="2AFDC387">
                  <w:pPr>
                    <w:autoSpaceDE w:val="0"/>
                    <w:autoSpaceDN w:val="0"/>
                    <w:jc w:val="center"/>
                    <w:rPr>
                      <w:rFonts w:hint="default" w:eastAsia="宋体"/>
                      <w:color w:val="auto"/>
                      <w:szCs w:val="21"/>
                      <w:lang w:val="en-US" w:eastAsia="zh-CN"/>
                    </w:rPr>
                  </w:pPr>
                  <w:r>
                    <w:rPr>
                      <w:rFonts w:hint="eastAsia"/>
                      <w:color w:val="auto"/>
                      <w:szCs w:val="21"/>
                      <w:lang w:val="en-US" w:eastAsia="zh-CN"/>
                    </w:rPr>
                    <w:t>18</w:t>
                  </w:r>
                </w:p>
              </w:tc>
              <w:tc>
                <w:tcPr>
                  <w:tcW w:w="1122" w:type="pct"/>
                  <w:tcBorders>
                    <w:top w:val="single" w:color="000000" w:sz="6" w:space="0"/>
                    <w:left w:val="single" w:color="000000" w:sz="6" w:space="0"/>
                    <w:bottom w:val="single" w:color="000000" w:sz="6" w:space="0"/>
                  </w:tcBorders>
                  <w:vAlign w:val="center"/>
                </w:tcPr>
                <w:p w14:paraId="036B6F9C">
                  <w:pPr>
                    <w:autoSpaceDE w:val="0"/>
                    <w:autoSpaceDN w:val="0"/>
                    <w:jc w:val="center"/>
                    <w:rPr>
                      <w:rFonts w:hint="eastAsia" w:eastAsia="宋体"/>
                      <w:color w:val="auto"/>
                      <w:szCs w:val="21"/>
                      <w:lang w:val="en-US" w:eastAsia="zh-CN"/>
                    </w:rPr>
                  </w:pPr>
                  <w:r>
                    <w:rPr>
                      <w:rFonts w:hint="eastAsia"/>
                      <w:color w:val="auto"/>
                      <w:szCs w:val="21"/>
                      <w:lang w:val="en-US" w:eastAsia="zh-CN"/>
                    </w:rPr>
                    <w:t>/</w:t>
                  </w:r>
                </w:p>
              </w:tc>
            </w:tr>
            <w:tr w14:paraId="501DBD76">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388" w:type="pct"/>
                  <w:tcBorders>
                    <w:top w:val="single" w:color="000000" w:sz="6" w:space="0"/>
                    <w:bottom w:val="single" w:color="000000" w:sz="6" w:space="0"/>
                    <w:right w:val="single" w:color="000000" w:sz="6" w:space="0"/>
                  </w:tcBorders>
                  <w:vAlign w:val="center"/>
                </w:tcPr>
                <w:p w14:paraId="2356978E">
                  <w:pPr>
                    <w:autoSpaceDE w:val="0"/>
                    <w:autoSpaceDN w:val="0"/>
                    <w:jc w:val="center"/>
                    <w:rPr>
                      <w:rFonts w:hint="eastAsia" w:eastAsia="宋体"/>
                      <w:color w:val="auto"/>
                      <w:szCs w:val="21"/>
                      <w:lang w:val="en-US" w:eastAsia="zh-CN"/>
                    </w:rPr>
                  </w:pPr>
                  <w:r>
                    <w:rPr>
                      <w:rFonts w:hint="eastAsia"/>
                      <w:color w:val="auto"/>
                      <w:szCs w:val="21"/>
                      <w:lang w:val="en-US" w:eastAsia="zh-CN"/>
                    </w:rPr>
                    <w:t>4</w:t>
                  </w:r>
                </w:p>
              </w:tc>
              <w:tc>
                <w:tcPr>
                  <w:tcW w:w="749" w:type="pct"/>
                  <w:tcBorders>
                    <w:top w:val="single" w:color="000000" w:sz="6" w:space="0"/>
                    <w:left w:val="single" w:color="000000" w:sz="6" w:space="0"/>
                    <w:bottom w:val="single" w:color="000000" w:sz="6" w:space="0"/>
                    <w:right w:val="single" w:color="000000" w:sz="6" w:space="0"/>
                  </w:tcBorders>
                  <w:vAlign w:val="center"/>
                </w:tcPr>
                <w:p w14:paraId="7170F39D">
                  <w:pPr>
                    <w:autoSpaceDE w:val="0"/>
                    <w:autoSpaceDN w:val="0"/>
                    <w:jc w:val="center"/>
                    <w:rPr>
                      <w:rFonts w:hint="eastAsia"/>
                      <w:color w:val="auto"/>
                      <w:szCs w:val="21"/>
                      <w:lang w:val="zh-CN"/>
                    </w:rPr>
                  </w:pPr>
                  <w:r>
                    <w:rPr>
                      <w:rFonts w:hint="eastAsia" w:eastAsia="宋体" w:cs="Times New Roman"/>
                      <w:color w:val="auto"/>
                      <w:sz w:val="21"/>
                      <w:szCs w:val="21"/>
                      <w:lang w:eastAsia="zh-CN"/>
                    </w:rPr>
                    <w:t>运输车辆槽罐清洗水</w:t>
                  </w:r>
                </w:p>
              </w:tc>
              <w:tc>
                <w:tcPr>
                  <w:tcW w:w="644" w:type="pct"/>
                  <w:tcBorders>
                    <w:top w:val="single" w:color="000000" w:sz="6" w:space="0"/>
                    <w:left w:val="single" w:color="000000" w:sz="6" w:space="0"/>
                    <w:bottom w:val="single" w:color="000000" w:sz="6" w:space="0"/>
                    <w:right w:val="single" w:color="000000" w:sz="6" w:space="0"/>
                  </w:tcBorders>
                  <w:vAlign w:val="center"/>
                </w:tcPr>
                <w:p w14:paraId="05BBD431">
                  <w:pPr>
                    <w:autoSpaceDE w:val="0"/>
                    <w:autoSpaceDN w:val="0"/>
                    <w:jc w:val="center"/>
                    <w:rPr>
                      <w:rFonts w:hint="eastAsia" w:eastAsia="宋体"/>
                      <w:color w:val="auto"/>
                      <w:szCs w:val="21"/>
                      <w:lang w:val="en-US" w:eastAsia="zh-CN"/>
                    </w:rPr>
                  </w:pPr>
                  <w:r>
                    <w:rPr>
                      <w:rFonts w:hint="eastAsia"/>
                      <w:color w:val="auto"/>
                      <w:szCs w:val="21"/>
                      <w:lang w:val="en-US" w:eastAsia="zh-CN"/>
                    </w:rPr>
                    <w:t>/</w:t>
                  </w:r>
                </w:p>
              </w:tc>
              <w:tc>
                <w:tcPr>
                  <w:tcW w:w="919" w:type="pct"/>
                  <w:tcBorders>
                    <w:top w:val="single" w:color="000000" w:sz="6" w:space="0"/>
                    <w:left w:val="single" w:color="000000" w:sz="6" w:space="0"/>
                    <w:bottom w:val="single" w:color="000000" w:sz="6" w:space="0"/>
                    <w:right w:val="single" w:color="000000" w:sz="6" w:space="0"/>
                  </w:tcBorders>
                  <w:vAlign w:val="center"/>
                </w:tcPr>
                <w:p w14:paraId="7FDE0C46">
                  <w:pPr>
                    <w:autoSpaceDE w:val="0"/>
                    <w:autoSpaceDN w:val="0"/>
                    <w:jc w:val="center"/>
                    <w:rPr>
                      <w:rFonts w:hint="eastAsia"/>
                      <w:color w:val="auto"/>
                      <w:szCs w:val="21"/>
                    </w:rPr>
                  </w:pPr>
                  <w:r>
                    <w:rPr>
                      <w:rFonts w:hint="eastAsia" w:eastAsia="宋体" w:cs="Times New Roman"/>
                      <w:color w:val="auto"/>
                      <w:sz w:val="21"/>
                      <w:szCs w:val="21"/>
                      <w:lang w:val="en-US" w:eastAsia="zh-CN"/>
                    </w:rPr>
                    <w:t>0.07</w:t>
                  </w:r>
                </w:p>
              </w:tc>
              <w:tc>
                <w:tcPr>
                  <w:tcW w:w="1176" w:type="pct"/>
                  <w:tcBorders>
                    <w:top w:val="single" w:color="000000" w:sz="6" w:space="0"/>
                    <w:left w:val="single" w:color="000000" w:sz="6" w:space="0"/>
                    <w:bottom w:val="single" w:color="000000" w:sz="6" w:space="0"/>
                    <w:right w:val="single" w:color="000000" w:sz="6" w:space="0"/>
                  </w:tcBorders>
                  <w:vAlign w:val="center"/>
                </w:tcPr>
                <w:p w14:paraId="6623E368">
                  <w:pPr>
                    <w:autoSpaceDE w:val="0"/>
                    <w:autoSpaceDN w:val="0"/>
                    <w:jc w:val="center"/>
                    <w:rPr>
                      <w:rFonts w:hint="eastAsia"/>
                      <w:color w:val="auto"/>
                      <w:szCs w:val="21"/>
                    </w:rPr>
                  </w:pPr>
                  <w:r>
                    <w:rPr>
                      <w:rFonts w:hint="eastAsia" w:eastAsia="宋体" w:cs="Times New Roman"/>
                      <w:color w:val="auto"/>
                      <w:sz w:val="21"/>
                      <w:szCs w:val="21"/>
                      <w:lang w:val="en-US" w:eastAsia="zh-CN"/>
                    </w:rPr>
                    <w:t>12.6</w:t>
                  </w:r>
                </w:p>
              </w:tc>
              <w:tc>
                <w:tcPr>
                  <w:tcW w:w="1122" w:type="pct"/>
                  <w:tcBorders>
                    <w:top w:val="single" w:color="000000" w:sz="6" w:space="0"/>
                    <w:left w:val="single" w:color="000000" w:sz="6" w:space="0"/>
                    <w:bottom w:val="single" w:color="000000" w:sz="6" w:space="0"/>
                  </w:tcBorders>
                  <w:vAlign w:val="center"/>
                </w:tcPr>
                <w:p w14:paraId="5E6D9B51">
                  <w:pPr>
                    <w:autoSpaceDE w:val="0"/>
                    <w:autoSpaceDN w:val="0"/>
                    <w:jc w:val="center"/>
                    <w:rPr>
                      <w:rFonts w:hint="eastAsia" w:eastAsia="宋体"/>
                      <w:color w:val="auto"/>
                      <w:szCs w:val="21"/>
                      <w:lang w:val="en-US" w:eastAsia="zh-CN"/>
                    </w:rPr>
                  </w:pPr>
                  <w:r>
                    <w:rPr>
                      <w:rFonts w:hint="eastAsia"/>
                      <w:color w:val="auto"/>
                      <w:szCs w:val="21"/>
                      <w:lang w:val="en-US" w:eastAsia="zh-CN"/>
                    </w:rPr>
                    <w:t>/</w:t>
                  </w:r>
                </w:p>
              </w:tc>
            </w:tr>
            <w:tr w14:paraId="4639C183">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jc w:val="center"/>
              </w:trPr>
              <w:tc>
                <w:tcPr>
                  <w:tcW w:w="388" w:type="pct"/>
                  <w:tcBorders>
                    <w:top w:val="single" w:color="000000" w:sz="6" w:space="0"/>
                    <w:bottom w:val="single" w:color="000000" w:sz="6" w:space="0"/>
                    <w:right w:val="single" w:color="000000" w:sz="6" w:space="0"/>
                  </w:tcBorders>
                  <w:vAlign w:val="center"/>
                </w:tcPr>
                <w:p w14:paraId="3BCB3BC1">
                  <w:pPr>
                    <w:autoSpaceDE w:val="0"/>
                    <w:autoSpaceDN w:val="0"/>
                    <w:jc w:val="center"/>
                    <w:rPr>
                      <w:rFonts w:hint="eastAsia" w:eastAsia="宋体"/>
                      <w:szCs w:val="21"/>
                      <w:lang w:val="en-US" w:eastAsia="zh-CN"/>
                    </w:rPr>
                  </w:pPr>
                  <w:r>
                    <w:rPr>
                      <w:rFonts w:hint="eastAsia"/>
                      <w:szCs w:val="21"/>
                      <w:lang w:val="en-US" w:eastAsia="zh-CN"/>
                    </w:rPr>
                    <w:t>5</w:t>
                  </w:r>
                </w:p>
              </w:tc>
              <w:tc>
                <w:tcPr>
                  <w:tcW w:w="749" w:type="pct"/>
                  <w:tcBorders>
                    <w:top w:val="single" w:color="000000" w:sz="6" w:space="0"/>
                    <w:bottom w:val="single" w:color="000000" w:sz="6" w:space="0"/>
                    <w:right w:val="single" w:color="000000" w:sz="6" w:space="0"/>
                  </w:tcBorders>
                  <w:vAlign w:val="center"/>
                </w:tcPr>
                <w:p w14:paraId="6D7406D8">
                  <w:pPr>
                    <w:autoSpaceDE w:val="0"/>
                    <w:autoSpaceDN w:val="0"/>
                    <w:jc w:val="center"/>
                    <w:rPr>
                      <w:szCs w:val="21"/>
                    </w:rPr>
                  </w:pPr>
                  <w:r>
                    <w:rPr>
                      <w:rFonts w:hint="eastAsia"/>
                      <w:szCs w:val="21"/>
                    </w:rPr>
                    <w:t>抑尘洒水</w:t>
                  </w:r>
                </w:p>
              </w:tc>
              <w:tc>
                <w:tcPr>
                  <w:tcW w:w="644" w:type="pct"/>
                  <w:tcBorders>
                    <w:top w:val="single" w:color="000000" w:sz="6" w:space="0"/>
                    <w:left w:val="single" w:color="000000" w:sz="6" w:space="0"/>
                    <w:bottom w:val="single" w:color="000000" w:sz="6" w:space="0"/>
                    <w:right w:val="single" w:color="000000" w:sz="6" w:space="0"/>
                  </w:tcBorders>
                  <w:vAlign w:val="center"/>
                </w:tcPr>
                <w:p w14:paraId="69382E04">
                  <w:pPr>
                    <w:autoSpaceDE w:val="0"/>
                    <w:autoSpaceDN w:val="0"/>
                    <w:jc w:val="center"/>
                    <w:rPr>
                      <w:szCs w:val="21"/>
                    </w:rPr>
                  </w:pPr>
                  <w:r>
                    <w:rPr>
                      <w:rFonts w:hint="eastAsia"/>
                      <w:szCs w:val="20"/>
                    </w:rPr>
                    <w:t>/</w:t>
                  </w:r>
                </w:p>
              </w:tc>
              <w:tc>
                <w:tcPr>
                  <w:tcW w:w="919" w:type="pct"/>
                  <w:tcBorders>
                    <w:top w:val="single" w:color="000000" w:sz="6" w:space="0"/>
                    <w:left w:val="single" w:color="000000" w:sz="6" w:space="0"/>
                    <w:bottom w:val="single" w:color="000000" w:sz="6" w:space="0"/>
                    <w:right w:val="single" w:color="000000" w:sz="6" w:space="0"/>
                  </w:tcBorders>
                  <w:vAlign w:val="center"/>
                </w:tcPr>
                <w:p w14:paraId="45179557">
                  <w:pPr>
                    <w:jc w:val="center"/>
                    <w:rPr>
                      <w:szCs w:val="21"/>
                    </w:rPr>
                  </w:pPr>
                  <w:r>
                    <w:rPr>
                      <w:rFonts w:hint="eastAsia"/>
                      <w:szCs w:val="20"/>
                    </w:rPr>
                    <w:t>1.5</w:t>
                  </w:r>
                </w:p>
              </w:tc>
              <w:tc>
                <w:tcPr>
                  <w:tcW w:w="1176" w:type="pct"/>
                  <w:tcBorders>
                    <w:top w:val="single" w:color="000000" w:sz="6" w:space="0"/>
                    <w:left w:val="single" w:color="000000" w:sz="6" w:space="0"/>
                    <w:bottom w:val="single" w:color="000000" w:sz="6" w:space="0"/>
                    <w:right w:val="single" w:color="000000" w:sz="6" w:space="0"/>
                  </w:tcBorders>
                  <w:vAlign w:val="center"/>
                </w:tcPr>
                <w:p w14:paraId="50BAB58F">
                  <w:pPr>
                    <w:autoSpaceDE w:val="0"/>
                    <w:autoSpaceDN w:val="0"/>
                    <w:jc w:val="center"/>
                    <w:rPr>
                      <w:szCs w:val="21"/>
                    </w:rPr>
                  </w:pPr>
                  <w:r>
                    <w:rPr>
                      <w:rFonts w:hint="eastAsia"/>
                      <w:szCs w:val="20"/>
                    </w:rPr>
                    <w:t>270</w:t>
                  </w:r>
                </w:p>
              </w:tc>
              <w:tc>
                <w:tcPr>
                  <w:tcW w:w="1122" w:type="pct"/>
                  <w:tcBorders>
                    <w:top w:val="single" w:color="000000" w:sz="6" w:space="0"/>
                    <w:left w:val="single" w:color="000000" w:sz="6" w:space="0"/>
                    <w:bottom w:val="single" w:color="000000" w:sz="6" w:space="0"/>
                  </w:tcBorders>
                  <w:vAlign w:val="center"/>
                </w:tcPr>
                <w:p w14:paraId="3B66BC97">
                  <w:pPr>
                    <w:autoSpaceDE w:val="0"/>
                    <w:autoSpaceDN w:val="0"/>
                    <w:jc w:val="center"/>
                    <w:rPr>
                      <w:szCs w:val="21"/>
                    </w:rPr>
                  </w:pPr>
                  <w:r>
                    <w:rPr>
                      <w:rFonts w:hint="eastAsia"/>
                      <w:szCs w:val="21"/>
                    </w:rPr>
                    <w:t>/</w:t>
                  </w:r>
                </w:p>
              </w:tc>
            </w:tr>
            <w:tr w14:paraId="07D9343C">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jc w:val="center"/>
              </w:trPr>
              <w:tc>
                <w:tcPr>
                  <w:tcW w:w="1781" w:type="pct"/>
                  <w:gridSpan w:val="3"/>
                  <w:tcBorders>
                    <w:top w:val="single" w:color="000000" w:sz="6" w:space="0"/>
                    <w:bottom w:val="single" w:color="000000" w:sz="6" w:space="0"/>
                    <w:right w:val="single" w:color="000000" w:sz="6" w:space="0"/>
                  </w:tcBorders>
                  <w:vAlign w:val="center"/>
                </w:tcPr>
                <w:p w14:paraId="653AB684">
                  <w:pPr>
                    <w:autoSpaceDE w:val="0"/>
                    <w:autoSpaceDN w:val="0"/>
                    <w:jc w:val="center"/>
                    <w:rPr>
                      <w:szCs w:val="21"/>
                    </w:rPr>
                  </w:pPr>
                  <w:r>
                    <w:rPr>
                      <w:szCs w:val="21"/>
                      <w:lang w:val="zh-CN"/>
                    </w:rPr>
                    <w:t>合计</w:t>
                  </w:r>
                </w:p>
              </w:tc>
              <w:tc>
                <w:tcPr>
                  <w:tcW w:w="919" w:type="pct"/>
                  <w:tcBorders>
                    <w:top w:val="single" w:color="000000" w:sz="6" w:space="0"/>
                    <w:left w:val="single" w:color="000000" w:sz="6" w:space="0"/>
                    <w:bottom w:val="single" w:color="000000" w:sz="6" w:space="0"/>
                    <w:right w:val="single" w:color="000000" w:sz="6" w:space="0"/>
                  </w:tcBorders>
                  <w:vAlign w:val="center"/>
                </w:tcPr>
                <w:p w14:paraId="078D67A6">
                  <w:pPr>
                    <w:jc w:val="center"/>
                    <w:rPr>
                      <w:szCs w:val="21"/>
                    </w:rPr>
                  </w:pPr>
                  <w:r>
                    <w:rPr>
                      <w:rFonts w:hint="eastAsia"/>
                      <w:szCs w:val="21"/>
                    </w:rPr>
                    <w:t>36.11</w:t>
                  </w:r>
                </w:p>
              </w:tc>
              <w:tc>
                <w:tcPr>
                  <w:tcW w:w="1176" w:type="pct"/>
                  <w:tcBorders>
                    <w:top w:val="single" w:color="000000" w:sz="6" w:space="0"/>
                    <w:left w:val="single" w:color="000000" w:sz="6" w:space="0"/>
                    <w:bottom w:val="single" w:color="000000" w:sz="6" w:space="0"/>
                    <w:right w:val="single" w:color="000000" w:sz="6" w:space="0"/>
                  </w:tcBorders>
                  <w:vAlign w:val="center"/>
                </w:tcPr>
                <w:p w14:paraId="5D6EDD9A">
                  <w:pPr>
                    <w:autoSpaceDE w:val="0"/>
                    <w:autoSpaceDN w:val="0"/>
                    <w:jc w:val="center"/>
                    <w:rPr>
                      <w:szCs w:val="21"/>
                    </w:rPr>
                  </w:pPr>
                  <w:r>
                    <w:rPr>
                      <w:rFonts w:hint="eastAsia"/>
                      <w:szCs w:val="21"/>
                    </w:rPr>
                    <w:t>6500</w:t>
                  </w:r>
                </w:p>
              </w:tc>
              <w:tc>
                <w:tcPr>
                  <w:tcW w:w="1122" w:type="pct"/>
                  <w:tcBorders>
                    <w:top w:val="single" w:color="000000" w:sz="6" w:space="0"/>
                    <w:left w:val="single" w:color="000000" w:sz="6" w:space="0"/>
                    <w:bottom w:val="single" w:color="000000" w:sz="6" w:space="0"/>
                  </w:tcBorders>
                  <w:vAlign w:val="center"/>
                </w:tcPr>
                <w:p w14:paraId="58F80BE7">
                  <w:pPr>
                    <w:autoSpaceDE w:val="0"/>
                    <w:autoSpaceDN w:val="0"/>
                    <w:jc w:val="center"/>
                    <w:rPr>
                      <w:szCs w:val="21"/>
                    </w:rPr>
                  </w:pPr>
                  <w:r>
                    <w:rPr>
                      <w:rFonts w:hint="eastAsia"/>
                      <w:szCs w:val="21"/>
                    </w:rPr>
                    <w:t>184.32</w:t>
                  </w:r>
                </w:p>
              </w:tc>
            </w:tr>
          </w:tbl>
          <w:p w14:paraId="5CFABCA2">
            <w:pPr>
              <w:pStyle w:val="92"/>
              <w:ind w:firstLine="0" w:firstLineChars="0"/>
              <w:rPr>
                <w:rFonts w:hint="eastAsia" w:eastAsia="宋体" w:cs="Times New Roman"/>
                <w:lang w:eastAsia="zh-CN"/>
              </w:rPr>
            </w:pPr>
            <w:r>
              <w:rPr>
                <w:sz w:val="24"/>
              </w:rPr>
              <mc:AlternateContent>
                <mc:Choice Requires="wps">
                  <w:drawing>
                    <wp:anchor distT="0" distB="0" distL="114300" distR="114300" simplePos="0" relativeHeight="251731968" behindDoc="0" locked="0" layoutInCell="1" allowOverlap="1">
                      <wp:simplePos x="0" y="0"/>
                      <wp:positionH relativeFrom="column">
                        <wp:posOffset>4252595</wp:posOffset>
                      </wp:positionH>
                      <wp:positionV relativeFrom="paragraph">
                        <wp:posOffset>660400</wp:posOffset>
                      </wp:positionV>
                      <wp:extent cx="843280" cy="528320"/>
                      <wp:effectExtent l="4445" t="4445" r="9525" b="19685"/>
                      <wp:wrapNone/>
                      <wp:docPr id="111" name="文本框 111"/>
                      <wp:cNvGraphicFramePr/>
                      <a:graphic xmlns:a="http://schemas.openxmlformats.org/drawingml/2006/main">
                        <a:graphicData uri="http://schemas.microsoft.com/office/word/2010/wordprocessingShape">
                          <wps:wsp>
                            <wps:cNvSpPr txBox="1"/>
                            <wps:spPr>
                              <a:xfrm>
                                <a:off x="5598160" y="1794510"/>
                                <a:ext cx="843280" cy="52832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4C2DB58E">
                                  <w:pPr>
                                    <w:rPr>
                                      <w:rFonts w:hint="eastAsia" w:ascii="黑体" w:hAnsi="黑体" w:eastAsia="黑体" w:cs="黑体"/>
                                      <w:b/>
                                      <w:bCs w:val="0"/>
                                      <w:sz w:val="16"/>
                                      <w:szCs w:val="20"/>
                                    </w:rPr>
                                  </w:pPr>
                                  <w:r>
                                    <w:rPr>
                                      <w:rFonts w:hint="eastAsia" w:ascii="黑体" w:hAnsi="黑体" w:eastAsia="黑体" w:cs="黑体"/>
                                      <w:b/>
                                      <w:bCs w:val="0"/>
                                      <w:sz w:val="16"/>
                                      <w:szCs w:val="22"/>
                                      <w:lang w:val="en-US" w:eastAsia="zh-CN"/>
                                    </w:rPr>
                                    <w:t>由</w:t>
                                  </w:r>
                                  <w:r>
                                    <w:rPr>
                                      <w:rFonts w:hint="eastAsia" w:ascii="黑体" w:hAnsi="黑体" w:eastAsia="黑体" w:cs="黑体"/>
                                      <w:b/>
                                      <w:bCs w:val="0"/>
                                      <w:sz w:val="16"/>
                                      <w:szCs w:val="22"/>
                                    </w:rPr>
                                    <w:t>胡杨河市污水处理厂（一期）处理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85pt;margin-top:52pt;height:41.6pt;width:66.4pt;z-index:251731968;mso-width-relative:page;mso-height-relative:page;" fillcolor="#FFFFFF [3201]" filled="t" stroked="t" coordsize="21600,21600" o:gfxdata="UEsDBAoAAAAAAIdO4kAAAAAAAAAAAAAAAAAEAAAAZHJzL1BLAwQUAAAACACHTuJA1fQ8vdcAAAAL&#10;AQAADwAAAGRycy9kb3ducmV2LnhtbE2PwU7DMBBE70j8g7VIvVG7KaQhxKkEUiXEjTYXbm68TSLs&#10;dRS7Tfl7lhMcd+ZpdqbaXr0TF5ziEEjDaqlAILXBDtRpaA67+wJETIascYFQwzdG2Na3N5UpbZjp&#10;Ay/71AkOoVgaDX1KYyllbHv0Ji7DiMTeKUzeJD6nTtrJzBzuncyUyqU3A/GH3oz42mP7tT97DW/5&#10;S/rExr7bdbYOcyPb6eSi1ou7lXoGkfCa/mD4rc/VoeZOx3AmG4XTkOdPG0bZUA88iolCZY8gjqwU&#10;mwxkXcn/G+ofUEsDBBQAAAAIAIdO4kBgr3gvYwIAAMcEAAAOAAAAZHJzL2Uyb0RvYy54bWytVEFu&#10;2zAQvBfoHwjeG1mOnThG5MC14aJA0ARIi55pirIEUCRL0pbSB7Q/yKmX3vuuvKNDSk6cpIccqgO1&#10;5I6Gu7O7Or9oa0l2wrpKq4ymRwNKhOI6r9Qmo18+r95NKHGeqZxJrURGb4WjF7O3b84bMxVDXWqZ&#10;C0tAoty0MRktvTfTJHG8FDVzR9oIBWehbc08tnaT5JY1YK9lMhwMTpJG29xYzYVzOF12Ttoz2tcQ&#10;6qKouFhqvq2F8h2rFZJ5pOTKyjg6i9EWheD+qiic8ERmFJn6uOIS2OuwJrNzNt1YZsqK9yGw14Tw&#10;LKeaVQqXPlAtmWdka6sXVHXFrXa68Edc10mXSFQEWaSDZ9rclMyImAukduZBdPf/aPmn3bUlVY5O&#10;SFNKFKtR8vu7n/e//tz//kHCISRqjJsCeWOA9e173QK+P3c4DJm3ha3DGzkR+Mfjs0l6AplvgT09&#10;G43TXmzResIBmIyOhxP4OQDj4eR4GP3JI5Gxzn8QuibByKhFLaPEbHfpPIICdA8J9zotq3xVSRk3&#10;drNeSEt2DHVfxSfEi0+ewKQiTUZPjseDyPzE5w4pBvF5SQFCqcAbBOqECJZv122v2lrntxDN6q7z&#10;nOGrCulcMuevmUWrQQEMo7/CUkiNaHRvUVJq+/1f5wGPDoCXkgatm1H3bcusoER+VOiNs3Q0Aq2P&#10;m9H4FMoSe+hZH3rUtl5oqITqI7poBryXe7Owuv6KmZ2HW+FiiuPujPq9ufDdQGHmuZjPIwjdbZi/&#10;VDeGB+pQE6XnW6+LKtYuyNRp06uH/o716WcxDNDhPqIe/z+z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X0PL3XAAAACwEAAA8AAAAAAAAAAQAgAAAAIgAAAGRycy9kb3ducmV2LnhtbFBLAQIUABQA&#10;AAAIAIdO4kBgr3gvYwIAAMcEAAAOAAAAAAAAAAEAIAAAACYBAABkcnMvZTJvRG9jLnhtbFBLBQYA&#10;AAAABgAGAFkBAAD7BQAAAAA=&#10;">
                      <v:fill on="t" focussize="0,0"/>
                      <v:stroke weight="0.5pt" color="#000000 [3213]" joinstyle="round"/>
                      <v:imagedata o:title=""/>
                      <o:lock v:ext="edit" aspectratio="f"/>
                      <v:textbox>
                        <w:txbxContent>
                          <w:p w14:paraId="4C2DB58E">
                            <w:pPr>
                              <w:rPr>
                                <w:rFonts w:hint="eastAsia" w:ascii="黑体" w:hAnsi="黑体" w:eastAsia="黑体" w:cs="黑体"/>
                                <w:b/>
                                <w:bCs w:val="0"/>
                                <w:sz w:val="16"/>
                                <w:szCs w:val="20"/>
                              </w:rPr>
                            </w:pPr>
                            <w:r>
                              <w:rPr>
                                <w:rFonts w:hint="eastAsia" w:ascii="黑体" w:hAnsi="黑体" w:eastAsia="黑体" w:cs="黑体"/>
                                <w:b/>
                                <w:bCs w:val="0"/>
                                <w:sz w:val="16"/>
                                <w:szCs w:val="22"/>
                                <w:lang w:val="en-US" w:eastAsia="zh-CN"/>
                              </w:rPr>
                              <w:t>由</w:t>
                            </w:r>
                            <w:r>
                              <w:rPr>
                                <w:rFonts w:hint="eastAsia" w:ascii="黑体" w:hAnsi="黑体" w:eastAsia="黑体" w:cs="黑体"/>
                                <w:b/>
                                <w:bCs w:val="0"/>
                                <w:sz w:val="16"/>
                                <w:szCs w:val="22"/>
                              </w:rPr>
                              <w:t>胡杨河市污水处理厂（一期）处理</w:t>
                            </w:r>
                          </w:p>
                        </w:txbxContent>
                      </v:textbox>
                    </v:shape>
                  </w:pict>
                </mc:Fallback>
              </mc:AlternateContent>
            </w:r>
            <w:r>
              <w:rPr>
                <w:rFonts w:hint="eastAsia" w:eastAsia="宋体" w:cs="Times New Roman"/>
                <w:lang w:eastAsia="zh-CN"/>
              </w:rPr>
              <w:drawing>
                <wp:inline distT="0" distB="0" distL="114300" distR="114300">
                  <wp:extent cx="5267960" cy="3096260"/>
                  <wp:effectExtent l="0" t="0" r="0" b="0"/>
                  <wp:docPr id="76" name="ECB019B1-382A-4266-B25C-5B523AA43C14-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ECB019B1-382A-4266-B25C-5B523AA43C14-3" descr="wps"/>
                          <pic:cNvPicPr>
                            <a:picLocks noChangeAspect="1"/>
                          </pic:cNvPicPr>
                        </pic:nvPicPr>
                        <pic:blipFill>
                          <a:blip r:embed="rId14"/>
                          <a:stretch>
                            <a:fillRect/>
                          </a:stretch>
                        </pic:blipFill>
                        <pic:spPr>
                          <a:xfrm>
                            <a:off x="0" y="0"/>
                            <a:ext cx="5267960" cy="3096260"/>
                          </a:xfrm>
                          <a:prstGeom prst="rect">
                            <a:avLst/>
                          </a:prstGeom>
                        </pic:spPr>
                      </pic:pic>
                    </a:graphicData>
                  </a:graphic>
                </wp:inline>
              </w:drawing>
            </w:r>
          </w:p>
          <w:p w14:paraId="154094B7">
            <w:pPr>
              <w:pStyle w:val="92"/>
              <w:ind w:firstLine="422"/>
              <w:jc w:val="center"/>
              <w:rPr>
                <w:rFonts w:eastAsia="宋体" w:cs="Times New Roman"/>
                <w:b/>
                <w:color w:val="auto"/>
                <w:kern w:val="2"/>
                <w:sz w:val="21"/>
                <w:szCs w:val="21"/>
              </w:rPr>
            </w:pPr>
            <w:r>
              <w:rPr>
                <w:rFonts w:hint="eastAsia" w:eastAsia="宋体" w:cs="Times New Roman"/>
                <w:b/>
                <w:color w:val="auto"/>
                <w:kern w:val="2"/>
                <w:sz w:val="21"/>
                <w:szCs w:val="21"/>
              </w:rPr>
              <w:t>图2-</w:t>
            </w:r>
            <w:r>
              <w:rPr>
                <w:rFonts w:hint="eastAsia" w:eastAsia="宋体" w:cs="Times New Roman"/>
                <w:b/>
                <w:color w:val="auto"/>
                <w:kern w:val="2"/>
                <w:sz w:val="21"/>
                <w:szCs w:val="21"/>
                <w:lang w:val="en-US" w:eastAsia="zh-CN"/>
              </w:rPr>
              <w:t>4</w:t>
            </w:r>
            <w:r>
              <w:rPr>
                <w:rFonts w:hint="eastAsia" w:eastAsia="宋体" w:cs="Times New Roman"/>
                <w:b/>
                <w:color w:val="auto"/>
                <w:kern w:val="2"/>
                <w:sz w:val="21"/>
                <w:szCs w:val="21"/>
              </w:rPr>
              <w:t>水平衡图单位：m</w:t>
            </w:r>
            <w:r>
              <w:rPr>
                <w:rFonts w:hint="eastAsia" w:eastAsia="宋体" w:cs="Times New Roman"/>
                <w:b/>
                <w:color w:val="auto"/>
                <w:kern w:val="2"/>
                <w:sz w:val="21"/>
                <w:szCs w:val="21"/>
                <w:vertAlign w:val="superscript"/>
              </w:rPr>
              <w:t>3</w:t>
            </w:r>
            <w:r>
              <w:rPr>
                <w:rFonts w:hint="eastAsia" w:eastAsia="宋体" w:cs="Times New Roman"/>
                <w:b/>
                <w:color w:val="auto"/>
                <w:kern w:val="2"/>
                <w:sz w:val="21"/>
                <w:szCs w:val="21"/>
              </w:rPr>
              <w:t>/d</w:t>
            </w:r>
          </w:p>
          <w:p w14:paraId="42A9B8DE">
            <w:pPr>
              <w:pStyle w:val="92"/>
              <w:ind w:firstLine="420"/>
              <w:rPr>
                <w:rFonts w:cs="Times New Roman"/>
                <w:color w:val="auto"/>
                <w:sz w:val="21"/>
                <w:szCs w:val="21"/>
              </w:rPr>
            </w:pPr>
            <w:r>
              <w:rPr>
                <w:rFonts w:hint="eastAsia" w:cs="Times New Roman"/>
                <w:color w:val="auto"/>
                <w:sz w:val="21"/>
                <w:szCs w:val="21"/>
              </w:rPr>
              <w:t>（2）</w:t>
            </w:r>
            <w:r>
              <w:rPr>
                <w:rFonts w:cs="Times New Roman"/>
                <w:color w:val="auto"/>
                <w:sz w:val="21"/>
                <w:szCs w:val="21"/>
              </w:rPr>
              <w:t>供电</w:t>
            </w:r>
          </w:p>
          <w:p w14:paraId="7D6CC999">
            <w:pPr>
              <w:pStyle w:val="92"/>
              <w:ind w:firstLine="420"/>
              <w:rPr>
                <w:rFonts w:cs="Times New Roman"/>
                <w:color w:val="auto"/>
                <w:sz w:val="21"/>
                <w:szCs w:val="21"/>
              </w:rPr>
            </w:pPr>
            <w:r>
              <w:rPr>
                <w:rFonts w:hint="eastAsia" w:cs="Times New Roman"/>
                <w:color w:val="auto"/>
                <w:sz w:val="21"/>
                <w:szCs w:val="21"/>
              </w:rPr>
              <w:t>项目区</w:t>
            </w:r>
            <w:r>
              <w:rPr>
                <w:rFonts w:hint="eastAsia"/>
                <w:color w:val="auto"/>
                <w:sz w:val="21"/>
                <w:szCs w:val="21"/>
              </w:rPr>
              <w:t>供电依托</w:t>
            </w:r>
            <w:r>
              <w:rPr>
                <w:rFonts w:cs="Times New Roman"/>
                <w:color w:val="auto"/>
                <w:sz w:val="21"/>
                <w:szCs w:val="21"/>
              </w:rPr>
              <w:t>依托130团</w:t>
            </w:r>
            <w:r>
              <w:rPr>
                <w:rFonts w:hint="eastAsia" w:cs="Times New Roman"/>
                <w:color w:val="auto"/>
                <w:sz w:val="21"/>
                <w:szCs w:val="21"/>
              </w:rPr>
              <w:t>区域</w:t>
            </w:r>
            <w:r>
              <w:rPr>
                <w:rFonts w:cs="Times New Roman"/>
                <w:color w:val="auto"/>
                <w:sz w:val="21"/>
                <w:szCs w:val="21"/>
              </w:rPr>
              <w:t>电网</w:t>
            </w:r>
            <w:r>
              <w:rPr>
                <w:rFonts w:hint="eastAsia" w:cs="Times New Roman"/>
                <w:color w:val="auto"/>
                <w:sz w:val="21"/>
                <w:szCs w:val="21"/>
              </w:rPr>
              <w:t>，能够满足项目需求。</w:t>
            </w:r>
          </w:p>
          <w:p w14:paraId="36F1BDBF">
            <w:pPr>
              <w:pStyle w:val="92"/>
              <w:ind w:firstLine="420"/>
              <w:rPr>
                <w:rFonts w:cs="Times New Roman"/>
                <w:color w:val="auto"/>
                <w:sz w:val="21"/>
                <w:szCs w:val="21"/>
              </w:rPr>
            </w:pPr>
            <w:r>
              <w:rPr>
                <w:rFonts w:hint="eastAsia" w:cs="Times New Roman"/>
                <w:color w:val="auto"/>
                <w:sz w:val="21"/>
                <w:szCs w:val="21"/>
              </w:rPr>
              <w:t>（3）</w:t>
            </w:r>
            <w:r>
              <w:rPr>
                <w:rFonts w:cs="Times New Roman"/>
                <w:color w:val="auto"/>
                <w:sz w:val="21"/>
                <w:szCs w:val="21"/>
              </w:rPr>
              <w:t>供暖</w:t>
            </w:r>
          </w:p>
          <w:p w14:paraId="7D374F8D">
            <w:pPr>
              <w:pStyle w:val="92"/>
              <w:ind w:firstLine="420"/>
              <w:rPr>
                <w:rFonts w:cs="Times New Roman"/>
                <w:color w:val="auto"/>
                <w:sz w:val="21"/>
                <w:szCs w:val="21"/>
              </w:rPr>
            </w:pPr>
            <w:r>
              <w:rPr>
                <w:rFonts w:hint="eastAsia" w:cs="Times New Roman"/>
                <w:color w:val="auto"/>
                <w:kern w:val="2"/>
                <w:sz w:val="21"/>
                <w:szCs w:val="21"/>
              </w:rPr>
              <w:t>项目区冬季不生产，员工供暖使用空调供暖。</w:t>
            </w:r>
          </w:p>
          <w:p w14:paraId="1E0E4D26">
            <w:pPr>
              <w:widowControl/>
              <w:spacing w:line="360" w:lineRule="auto"/>
              <w:jc w:val="left"/>
              <w:rPr>
                <w:b/>
                <w:szCs w:val="21"/>
              </w:rPr>
            </w:pPr>
            <w:r>
              <w:rPr>
                <w:rFonts w:hint="eastAsia"/>
                <w:b/>
                <w:szCs w:val="21"/>
              </w:rPr>
              <w:t>7、总平面布置</w:t>
            </w:r>
          </w:p>
          <w:p w14:paraId="5B99666C">
            <w:pPr>
              <w:pStyle w:val="92"/>
              <w:ind w:firstLine="420"/>
              <w:rPr>
                <w:rFonts w:eastAsia="宋体" w:cs="Times New Roman"/>
                <w:bCs/>
                <w:color w:val="auto"/>
                <w:sz w:val="21"/>
                <w:szCs w:val="21"/>
              </w:rPr>
            </w:pPr>
            <w:r>
              <w:rPr>
                <w:rFonts w:hint="eastAsia" w:cs="Times New Roman"/>
                <w:sz w:val="21"/>
                <w:szCs w:val="21"/>
              </w:rPr>
              <w:t>项目区位于</w:t>
            </w:r>
            <w:r>
              <w:rPr>
                <w:rFonts w:hint="eastAsia" w:eastAsia="宋体" w:cs="Times New Roman"/>
                <w:sz w:val="21"/>
                <w:szCs w:val="21"/>
              </w:rPr>
              <w:t>第七师</w:t>
            </w:r>
            <w:r>
              <w:rPr>
                <w:rFonts w:hint="eastAsia" w:eastAsia="宋体" w:cs="Times New Roman"/>
                <w:color w:val="auto"/>
                <w:sz w:val="21"/>
                <w:szCs w:val="21"/>
              </w:rPr>
              <w:t>胡杨河市130团6连</w:t>
            </w:r>
            <w:r>
              <w:rPr>
                <w:rFonts w:eastAsia="宋体" w:cs="Times New Roman"/>
                <w:color w:val="auto"/>
                <w:sz w:val="21"/>
                <w:szCs w:val="21"/>
              </w:rPr>
              <w:t>，</w:t>
            </w:r>
            <w:r>
              <w:rPr>
                <w:rFonts w:hint="eastAsia" w:eastAsia="宋体" w:cs="Times New Roman"/>
                <w:color w:val="auto"/>
                <w:sz w:val="21"/>
                <w:szCs w:val="21"/>
              </w:rPr>
              <w:t>冠维棉花加工厂以西、312省道以南</w:t>
            </w:r>
            <w:r>
              <w:rPr>
                <w:rFonts w:hint="eastAsia" w:eastAsia="宋体" w:cs="Times New Roman"/>
                <w:bCs/>
                <w:color w:val="auto"/>
                <w:sz w:val="21"/>
                <w:szCs w:val="21"/>
              </w:rPr>
              <w:t>，本工程占地面积</w:t>
            </w:r>
            <w:r>
              <w:rPr>
                <w:rFonts w:hint="eastAsia" w:eastAsia="宋体" w:cs="Times New Roman"/>
                <w:color w:val="auto"/>
                <w:sz w:val="21"/>
                <w:szCs w:val="21"/>
              </w:rPr>
              <w:t>35151.20</w:t>
            </w:r>
            <w:r>
              <w:rPr>
                <w:rFonts w:hint="eastAsia" w:eastAsia="宋体"/>
                <w:color w:val="auto"/>
                <w:sz w:val="21"/>
                <w:szCs w:val="21"/>
              </w:rPr>
              <w:t>m</w:t>
            </w:r>
            <w:r>
              <w:rPr>
                <w:rFonts w:hint="eastAsia" w:eastAsia="宋体"/>
                <w:color w:val="auto"/>
                <w:sz w:val="21"/>
                <w:szCs w:val="21"/>
                <w:vertAlign w:val="superscript"/>
              </w:rPr>
              <w:t>3</w:t>
            </w:r>
            <w:r>
              <w:rPr>
                <w:rFonts w:hint="eastAsia" w:eastAsia="宋体"/>
                <w:color w:val="auto"/>
                <w:sz w:val="21"/>
                <w:szCs w:val="21"/>
              </w:rPr>
              <w:t>，</w:t>
            </w:r>
            <w:r>
              <w:rPr>
                <w:rFonts w:hint="eastAsia" w:eastAsia="宋体" w:cs="Times New Roman"/>
                <w:bCs/>
                <w:color w:val="auto"/>
                <w:sz w:val="21"/>
                <w:szCs w:val="21"/>
              </w:rPr>
              <w:t>项目区呈南北走向。</w:t>
            </w:r>
          </w:p>
          <w:p w14:paraId="73F50A37">
            <w:pPr>
              <w:pStyle w:val="92"/>
              <w:ind w:firstLine="420"/>
              <w:rPr>
                <w:rFonts w:cs="Times New Roman"/>
                <w:color w:val="auto"/>
                <w:sz w:val="21"/>
                <w:szCs w:val="21"/>
              </w:rPr>
            </w:pPr>
            <w:r>
              <w:rPr>
                <w:rFonts w:hint="eastAsia" w:cs="Times New Roman"/>
                <w:color w:val="auto"/>
                <w:sz w:val="21"/>
                <w:szCs w:val="21"/>
              </w:rPr>
              <w:t>由北向南依次为办公用房、磅房、料仓棚（待检）、水稳站设备棚、库房、水稳料仓棚、沥青料仓棚和沥青砼设备棚。</w:t>
            </w:r>
          </w:p>
          <w:p w14:paraId="647DE9EB">
            <w:pPr>
              <w:pStyle w:val="92"/>
              <w:ind w:firstLine="420"/>
              <w:rPr>
                <w:rFonts w:cs="Times New Roman"/>
                <w:b/>
                <w:bCs/>
              </w:rPr>
            </w:pPr>
            <w:r>
              <w:rPr>
                <w:rFonts w:hint="eastAsia" w:cs="Times New Roman"/>
                <w:color w:val="auto"/>
                <w:sz w:val="21"/>
                <w:szCs w:val="21"/>
              </w:rPr>
              <w:t>项目总平面布置图详见图2-3。</w:t>
            </w:r>
          </w:p>
        </w:tc>
      </w:tr>
    </w:tbl>
    <w:p w14:paraId="32E9F233">
      <w:pPr>
        <w:pStyle w:val="25"/>
        <w:adjustRightInd w:val="0"/>
        <w:snapToGrid w:val="0"/>
        <w:spacing w:before="0" w:beforeAutospacing="0" w:after="0" w:afterAutospacing="0"/>
        <w:jc w:val="center"/>
        <w:rPr>
          <w:rFonts w:ascii="Times New Roman" w:hAnsi="Times New Roman"/>
          <w:sz w:val="21"/>
          <w:szCs w:val="21"/>
        </w:rPr>
        <w:sectPr>
          <w:pgSz w:w="11906" w:h="16838"/>
          <w:pgMar w:top="1701" w:right="1531" w:bottom="1701" w:left="1531" w:header="851" w:footer="851" w:gutter="0"/>
          <w:cols w:space="720" w:num="1"/>
          <w:docGrid w:linePitch="312" w:charSpace="0"/>
        </w:sectPr>
      </w:pP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8614"/>
      </w:tblGrid>
      <w:tr w14:paraId="01507D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5" w:type="dxa"/>
            <w:vAlign w:val="center"/>
          </w:tcPr>
          <w:p w14:paraId="05D4DAED">
            <w:pPr>
              <w:pStyle w:val="25"/>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工艺流程和产排污环节</w:t>
            </w:r>
          </w:p>
        </w:tc>
        <w:tc>
          <w:tcPr>
            <w:tcW w:w="8525" w:type="dxa"/>
          </w:tcPr>
          <w:p w14:paraId="4A218575">
            <w:pPr>
              <w:pStyle w:val="71"/>
              <w:spacing w:line="360" w:lineRule="auto"/>
              <w:rPr>
                <w:b/>
                <w:bCs/>
              </w:rPr>
            </w:pPr>
            <w:r>
              <w:rPr>
                <w:rFonts w:hint="eastAsia"/>
                <w:b/>
                <w:bCs/>
              </w:rPr>
              <w:t>一、施工期工艺流程</w:t>
            </w:r>
          </w:p>
          <w:p w14:paraId="7A028A6C">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本项目为未批先建项目，</w:t>
            </w:r>
            <w:r>
              <w:rPr>
                <w:rFonts w:ascii="Times New Roman" w:hAnsi="Times New Roman" w:eastAsia="Times New Roman" w:cs="Times New Roman"/>
                <w:kern w:val="0"/>
              </w:rPr>
              <w:t>根据现场踏勘情况，目前项目区</w:t>
            </w:r>
            <w:r>
              <w:rPr>
                <w:rFonts w:hint="eastAsia" w:ascii="Times New Roman" w:hAnsi="Times New Roman" w:eastAsia="Times New Roman" w:cs="Times New Roman"/>
                <w:kern w:val="0"/>
              </w:rPr>
              <w:t>主体</w:t>
            </w:r>
            <w:r>
              <w:rPr>
                <w:rFonts w:ascii="Times New Roman" w:hAnsi="Times New Roman" w:eastAsia="Times New Roman" w:cs="Times New Roman"/>
                <w:kern w:val="0"/>
              </w:rPr>
              <w:t>工程</w:t>
            </w:r>
            <w:r>
              <w:rPr>
                <w:rFonts w:hint="eastAsia" w:ascii="Times New Roman" w:hAnsi="Times New Roman" w:eastAsia="Times New Roman" w:cs="Times New Roman"/>
                <w:kern w:val="0"/>
              </w:rPr>
              <w:t>（</w:t>
            </w:r>
            <w:r>
              <w:rPr>
                <w:rFonts w:ascii="Times New Roman" w:hAnsi="Times New Roman" w:cs="Times New Roman"/>
                <w:szCs w:val="21"/>
              </w:rPr>
              <w:t>沥青混凝土拌合站</w:t>
            </w:r>
            <w:r>
              <w:rPr>
                <w:rFonts w:hint="eastAsia" w:ascii="Times New Roman" w:hAnsi="Times New Roman" w:cs="Times New Roman"/>
                <w:szCs w:val="21"/>
              </w:rPr>
              <w:t>、</w:t>
            </w:r>
            <w:r>
              <w:rPr>
                <w:rFonts w:ascii="Times New Roman" w:hAnsi="Times New Roman" w:cs="Times New Roman"/>
                <w:szCs w:val="21"/>
              </w:rPr>
              <w:t>水泥稳定土拌合站</w:t>
            </w:r>
            <w:r>
              <w:rPr>
                <w:rFonts w:hint="eastAsia" w:ascii="Times New Roman" w:hAnsi="Times New Roman" w:eastAsia="Times New Roman" w:cs="Times New Roman"/>
                <w:kern w:val="0"/>
              </w:rPr>
              <w:t>）建设已基本完成，但根据环保需求，后期除了加装环保设备还需要增设警卫室一座、仓库一座，重建办公用房一座、磅房一座、电加热导热油炉一座、撬装站一座。</w:t>
            </w:r>
          </w:p>
          <w:p w14:paraId="013F9A0E">
            <w:pPr>
              <w:spacing w:line="500" w:lineRule="exact"/>
              <w:ind w:firstLine="420" w:firstLineChars="200"/>
              <w:jc w:val="center"/>
              <w:rPr>
                <w:b/>
                <w:bCs/>
                <w:spacing w:val="6"/>
                <w:szCs w:val="21"/>
              </w:rPr>
            </w:pPr>
            <w:r>
              <w:rPr>
                <w:szCs w:val="21"/>
              </w:rPr>
              <w:drawing>
                <wp:anchor distT="0" distB="0" distL="114300" distR="114300" simplePos="0" relativeHeight="251675648" behindDoc="0" locked="0" layoutInCell="1" allowOverlap="1">
                  <wp:simplePos x="0" y="0"/>
                  <wp:positionH relativeFrom="column">
                    <wp:posOffset>-50800</wp:posOffset>
                  </wp:positionH>
                  <wp:positionV relativeFrom="paragraph">
                    <wp:posOffset>85090</wp:posOffset>
                  </wp:positionV>
                  <wp:extent cx="5272405" cy="835660"/>
                  <wp:effectExtent l="0" t="0" r="4445" b="2540"/>
                  <wp:wrapTopAndBottom/>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15"/>
                          <a:stretch>
                            <a:fillRect/>
                          </a:stretch>
                        </pic:blipFill>
                        <pic:spPr>
                          <a:xfrm>
                            <a:off x="0" y="0"/>
                            <a:ext cx="5272405" cy="835660"/>
                          </a:xfrm>
                          <a:prstGeom prst="rect">
                            <a:avLst/>
                          </a:prstGeom>
                          <a:noFill/>
                          <a:ln>
                            <a:noFill/>
                          </a:ln>
                        </pic:spPr>
                      </pic:pic>
                    </a:graphicData>
                  </a:graphic>
                </wp:anchor>
              </w:drawing>
            </w:r>
            <w:r>
              <w:rPr>
                <w:b/>
                <w:bCs/>
                <w:spacing w:val="6"/>
                <w:szCs w:val="21"/>
              </w:rPr>
              <w:t>图</w:t>
            </w:r>
            <w:r>
              <w:rPr>
                <w:rFonts w:hint="eastAsia"/>
                <w:b/>
                <w:bCs/>
                <w:spacing w:val="6"/>
                <w:szCs w:val="21"/>
              </w:rPr>
              <w:t>2-</w:t>
            </w:r>
            <w:r>
              <w:rPr>
                <w:rFonts w:hint="eastAsia"/>
                <w:b/>
                <w:bCs/>
                <w:spacing w:val="6"/>
                <w:szCs w:val="21"/>
                <w:lang w:val="en-US" w:eastAsia="zh-CN"/>
              </w:rPr>
              <w:t>5</w:t>
            </w:r>
            <w:r>
              <w:rPr>
                <w:b/>
                <w:bCs/>
                <w:spacing w:val="6"/>
                <w:szCs w:val="21"/>
              </w:rPr>
              <w:t xml:space="preserve">  施工流程及产污环节图</w:t>
            </w:r>
          </w:p>
          <w:p w14:paraId="479ED9B0">
            <w:pPr>
              <w:pStyle w:val="17"/>
              <w:spacing w:after="0" w:line="360" w:lineRule="auto"/>
              <w:ind w:left="0" w:leftChars="0"/>
              <w:rPr>
                <w:rFonts w:eastAsia="宋体"/>
                <w:b/>
                <w:bCs/>
                <w:sz w:val="21"/>
                <w:szCs w:val="21"/>
              </w:rPr>
            </w:pPr>
            <w:r>
              <w:rPr>
                <w:rFonts w:eastAsia="宋体"/>
                <w:b/>
                <w:bCs/>
                <w:sz w:val="21"/>
                <w:szCs w:val="21"/>
              </w:rPr>
              <w:t>工艺流程简述：</w:t>
            </w:r>
          </w:p>
          <w:p w14:paraId="1D68350D">
            <w:pPr>
              <w:pStyle w:val="17"/>
              <w:spacing w:after="0" w:line="360" w:lineRule="auto"/>
              <w:ind w:left="0" w:leftChars="0" w:firstLine="420" w:firstLineChars="200"/>
              <w:rPr>
                <w:rFonts w:eastAsia="宋体"/>
                <w:sz w:val="21"/>
                <w:szCs w:val="21"/>
              </w:rPr>
            </w:pPr>
            <w:r>
              <w:rPr>
                <w:rFonts w:eastAsia="宋体"/>
                <w:sz w:val="21"/>
                <w:szCs w:val="21"/>
              </w:rPr>
              <w:t>(1)场地平整</w:t>
            </w:r>
          </w:p>
          <w:p w14:paraId="4EB6044C">
            <w:pPr>
              <w:pStyle w:val="17"/>
              <w:spacing w:after="0" w:line="360" w:lineRule="auto"/>
              <w:ind w:left="0" w:leftChars="0" w:firstLine="420" w:firstLineChars="200"/>
              <w:rPr>
                <w:rFonts w:eastAsia="宋体"/>
                <w:sz w:val="21"/>
                <w:szCs w:val="21"/>
              </w:rPr>
            </w:pPr>
            <w:r>
              <w:rPr>
                <w:rFonts w:eastAsia="宋体"/>
                <w:sz w:val="21"/>
                <w:szCs w:val="21"/>
              </w:rPr>
              <w:t>场地平整工程主要为清理地表附着物、清除植被、平整场地。根据环评现场踏勘，项目场址地表无附着物及植被，项目地块整体较为平整，土方施工量较少，该工段主要污染因素为场地平整过程中产生的扬尘、噪声和废弃的板房材料及开挖的土石方。</w:t>
            </w:r>
          </w:p>
          <w:p w14:paraId="0FFE425B">
            <w:pPr>
              <w:pStyle w:val="17"/>
              <w:spacing w:after="0" w:line="360" w:lineRule="auto"/>
              <w:ind w:left="0" w:leftChars="0" w:firstLine="420" w:firstLineChars="200"/>
              <w:rPr>
                <w:rFonts w:eastAsia="宋体"/>
                <w:sz w:val="21"/>
                <w:szCs w:val="21"/>
              </w:rPr>
            </w:pPr>
            <w:r>
              <w:rPr>
                <w:rFonts w:eastAsia="宋体"/>
                <w:sz w:val="21"/>
                <w:szCs w:val="21"/>
              </w:rPr>
              <w:t>(2)基础工程</w:t>
            </w:r>
          </w:p>
          <w:p w14:paraId="0286AF6D">
            <w:pPr>
              <w:pStyle w:val="17"/>
              <w:spacing w:after="0" w:line="360" w:lineRule="auto"/>
              <w:ind w:left="0" w:leftChars="0" w:firstLine="420" w:firstLineChars="200"/>
              <w:rPr>
                <w:rFonts w:eastAsia="宋体"/>
                <w:sz w:val="21"/>
                <w:szCs w:val="21"/>
              </w:rPr>
            </w:pPr>
            <w:r>
              <w:rPr>
                <w:rFonts w:eastAsia="宋体"/>
                <w:sz w:val="21"/>
                <w:szCs w:val="21"/>
              </w:rPr>
              <w:t>基础工程是指建筑工人利用推土机等设备进行基础施工的建筑作业。会产生大量的粉尘、建筑垃圾、噪声污染。由于作业时间较短，粉尘和噪声将对周围局部环境产生影响。建设单位将残留建筑垃圾、碎石、砂土、粘土共同用作基础回填材料。利用压路机分片压辗，并浇水湿润填土以利于密实。然后利用起重机械吊起特制的重锤来冲击基土表面，使地基受到压密，一般穷打为6~8遍。该工段主要污染物为施工机械产生的噪声、粉尘。</w:t>
            </w:r>
          </w:p>
          <w:p w14:paraId="2A19132D">
            <w:pPr>
              <w:pStyle w:val="17"/>
              <w:spacing w:after="0" w:line="360" w:lineRule="auto"/>
              <w:ind w:left="0" w:leftChars="0" w:firstLine="420" w:firstLineChars="200"/>
              <w:rPr>
                <w:rFonts w:eastAsia="宋体"/>
                <w:sz w:val="21"/>
                <w:szCs w:val="21"/>
              </w:rPr>
            </w:pPr>
            <w:r>
              <w:rPr>
                <w:rFonts w:eastAsia="宋体"/>
                <w:sz w:val="21"/>
                <w:szCs w:val="21"/>
              </w:rPr>
              <w:t>(3)</w:t>
            </w:r>
            <w:r>
              <w:rPr>
                <w:rFonts w:hint="eastAsia" w:eastAsia="宋体"/>
                <w:sz w:val="21"/>
                <w:szCs w:val="21"/>
              </w:rPr>
              <w:t>辅助</w:t>
            </w:r>
            <w:r>
              <w:rPr>
                <w:rFonts w:eastAsia="宋体"/>
                <w:sz w:val="21"/>
                <w:szCs w:val="21"/>
              </w:rPr>
              <w:t>工程</w:t>
            </w:r>
          </w:p>
          <w:p w14:paraId="13ADB218">
            <w:pPr>
              <w:pStyle w:val="17"/>
              <w:spacing w:after="0" w:line="360" w:lineRule="auto"/>
              <w:ind w:left="0" w:leftChars="0" w:firstLine="420" w:firstLineChars="200"/>
              <w:rPr>
                <w:rFonts w:eastAsia="宋体"/>
                <w:sz w:val="21"/>
                <w:szCs w:val="21"/>
              </w:rPr>
            </w:pPr>
            <w:r>
              <w:rPr>
                <w:rFonts w:eastAsia="宋体"/>
                <w:sz w:val="21"/>
                <w:szCs w:val="21"/>
              </w:rPr>
              <w:t>建设项目</w:t>
            </w:r>
            <w:r>
              <w:rPr>
                <w:rFonts w:hint="eastAsia" w:eastAsia="宋体"/>
                <w:sz w:val="21"/>
                <w:szCs w:val="21"/>
              </w:rPr>
              <w:t>辅助</w:t>
            </w:r>
            <w:r>
              <w:rPr>
                <w:rFonts w:eastAsia="宋体"/>
                <w:sz w:val="21"/>
                <w:szCs w:val="21"/>
              </w:rPr>
              <w:t>工程施工内容主要为钻孔灌注，现浇钢砱柱、梁，砖墙砌筑。 建设项目利用钻孔设备进行钻孔后，用钢筋混凝士浇灌。浇灌时注入预先拌制均匀的混凝土，随灌随振，振捣均匀，防止混凝士不实和素浆上浮。然后根据施工图纸，进行钢筋的配料和加工，安装于架好的模板之处，及时连续灌筑混凝士，并捣实使混凝土成型。建设项目在砖墙砌筑时，首先进行水泥砂浆的调配，然后再挂线砌筑，该工段工期较长，主要污染物为搅拌机产生的噪声、水泥、沙石等建筑材料拌合过程中产生扬尘，搅拌砂浆时的砂浆水，碎砖和废砂等固废。</w:t>
            </w:r>
          </w:p>
          <w:p w14:paraId="35902CC1">
            <w:pPr>
              <w:pStyle w:val="17"/>
              <w:spacing w:after="0" w:line="360" w:lineRule="auto"/>
              <w:ind w:left="0" w:leftChars="0" w:firstLine="420" w:firstLineChars="200"/>
              <w:rPr>
                <w:rFonts w:eastAsia="宋体"/>
                <w:sz w:val="21"/>
                <w:szCs w:val="21"/>
              </w:rPr>
            </w:pPr>
            <w:r>
              <w:rPr>
                <w:rFonts w:eastAsia="宋体"/>
                <w:sz w:val="21"/>
                <w:szCs w:val="21"/>
              </w:rPr>
              <w:t>（4）设备安装、装修</w:t>
            </w:r>
          </w:p>
          <w:p w14:paraId="7821D354">
            <w:pPr>
              <w:pStyle w:val="17"/>
              <w:spacing w:after="0" w:line="360" w:lineRule="auto"/>
              <w:ind w:left="0" w:leftChars="0" w:firstLine="420" w:firstLineChars="200"/>
              <w:rPr>
                <w:rFonts w:eastAsia="宋体"/>
                <w:sz w:val="21"/>
                <w:szCs w:val="21"/>
              </w:rPr>
            </w:pPr>
            <w:r>
              <w:rPr>
                <w:rFonts w:eastAsia="宋体"/>
                <w:sz w:val="21"/>
                <w:szCs w:val="21"/>
              </w:rPr>
              <w:t>安装阶段污染来源主要是来自于安装设备、道路、管网铺设等施工时，机械产生的噪声、尾气等，以及利用各种加工机械对木材、塑钢等按图进行加工时产生的污染。</w:t>
            </w:r>
          </w:p>
          <w:p w14:paraId="790AACD7">
            <w:pPr>
              <w:pStyle w:val="17"/>
              <w:spacing w:after="0" w:line="360" w:lineRule="auto"/>
              <w:ind w:left="0" w:leftChars="0" w:firstLine="420" w:firstLineChars="200"/>
              <w:rPr>
                <w:rFonts w:eastAsia="宋体"/>
                <w:sz w:val="21"/>
                <w:szCs w:val="21"/>
              </w:rPr>
            </w:pPr>
            <w:r>
              <w:rPr>
                <w:rFonts w:eastAsia="宋体"/>
                <w:sz w:val="21"/>
                <w:szCs w:val="21"/>
              </w:rPr>
              <w:t>2、施工期污染因子及污染工序</w:t>
            </w:r>
          </w:p>
          <w:p w14:paraId="3CF03206">
            <w:pPr>
              <w:pStyle w:val="17"/>
              <w:spacing w:after="0" w:line="360" w:lineRule="auto"/>
              <w:ind w:left="0" w:leftChars="0" w:firstLine="420" w:firstLineChars="200"/>
              <w:rPr>
                <w:rFonts w:eastAsia="宋体"/>
                <w:sz w:val="21"/>
                <w:szCs w:val="21"/>
              </w:rPr>
            </w:pPr>
            <w:r>
              <w:rPr>
                <w:rFonts w:eastAsia="宋体"/>
                <w:sz w:val="21"/>
                <w:szCs w:val="21"/>
              </w:rPr>
              <w:t>本项目施工期主要污染因素为施工废气、施工废水、施工噪声和固废。</w:t>
            </w:r>
          </w:p>
          <w:p w14:paraId="5D45B7B0">
            <w:pPr>
              <w:pStyle w:val="17"/>
              <w:spacing w:after="0" w:line="360" w:lineRule="auto"/>
              <w:ind w:left="0" w:leftChars="0" w:firstLine="420" w:firstLineChars="200"/>
              <w:rPr>
                <w:rFonts w:eastAsia="宋体"/>
                <w:sz w:val="21"/>
                <w:szCs w:val="21"/>
              </w:rPr>
            </w:pPr>
            <w:r>
              <w:rPr>
                <w:rFonts w:eastAsia="宋体"/>
                <w:sz w:val="21"/>
                <w:szCs w:val="21"/>
              </w:rPr>
              <w:t>(1)</w:t>
            </w:r>
            <w:r>
              <w:rPr>
                <w:rFonts w:eastAsia="宋体"/>
                <w:sz w:val="21"/>
                <w:szCs w:val="21"/>
              </w:rPr>
              <w:tab/>
            </w:r>
            <w:r>
              <w:rPr>
                <w:rFonts w:eastAsia="宋体"/>
                <w:sz w:val="21"/>
                <w:szCs w:val="21"/>
              </w:rPr>
              <w:t>施工废气：主要包括施工扬尘、机械废气以及装修废气。</w:t>
            </w:r>
          </w:p>
          <w:p w14:paraId="47614859">
            <w:pPr>
              <w:pStyle w:val="17"/>
              <w:spacing w:after="0" w:line="360" w:lineRule="auto"/>
              <w:ind w:left="0" w:leftChars="0" w:firstLine="420" w:firstLineChars="200"/>
              <w:rPr>
                <w:rFonts w:eastAsia="宋体"/>
                <w:sz w:val="21"/>
                <w:szCs w:val="21"/>
              </w:rPr>
            </w:pPr>
            <w:r>
              <w:rPr>
                <w:rFonts w:eastAsia="宋体"/>
                <w:sz w:val="21"/>
                <w:szCs w:val="21"/>
              </w:rPr>
              <w:t>(2)</w:t>
            </w:r>
            <w:r>
              <w:rPr>
                <w:rFonts w:eastAsia="宋体"/>
                <w:sz w:val="21"/>
                <w:szCs w:val="21"/>
              </w:rPr>
              <w:tab/>
            </w:r>
            <w:r>
              <w:rPr>
                <w:rFonts w:eastAsia="宋体"/>
                <w:sz w:val="21"/>
                <w:szCs w:val="21"/>
              </w:rPr>
              <w:t>施工废水：主要为员工生活污水、设备及车辆冲洗废水。</w:t>
            </w:r>
          </w:p>
          <w:p w14:paraId="6BA59CB1">
            <w:pPr>
              <w:pStyle w:val="17"/>
              <w:spacing w:after="0" w:line="360" w:lineRule="auto"/>
              <w:ind w:left="0" w:leftChars="0" w:firstLine="420" w:firstLineChars="200"/>
              <w:rPr>
                <w:rFonts w:eastAsia="宋体"/>
                <w:sz w:val="21"/>
                <w:szCs w:val="21"/>
              </w:rPr>
            </w:pPr>
            <w:r>
              <w:rPr>
                <w:rFonts w:eastAsia="宋体"/>
                <w:sz w:val="21"/>
                <w:szCs w:val="21"/>
              </w:rPr>
              <w:t>(3)</w:t>
            </w:r>
            <w:r>
              <w:rPr>
                <w:rFonts w:eastAsia="宋体"/>
                <w:sz w:val="21"/>
                <w:szCs w:val="21"/>
              </w:rPr>
              <w:tab/>
            </w:r>
            <w:r>
              <w:rPr>
                <w:rFonts w:eastAsia="宋体"/>
                <w:sz w:val="21"/>
                <w:szCs w:val="21"/>
              </w:rPr>
              <w:t>噪声：主要来自施工机械噪声、施工作业噪声和运输车辆噪声。</w:t>
            </w:r>
          </w:p>
          <w:p w14:paraId="55799A85">
            <w:pPr>
              <w:pStyle w:val="17"/>
              <w:spacing w:after="0" w:line="360" w:lineRule="auto"/>
              <w:ind w:left="0" w:leftChars="0" w:firstLine="420" w:firstLineChars="200"/>
              <w:rPr>
                <w:rFonts w:eastAsia="宋体"/>
                <w:sz w:val="21"/>
                <w:szCs w:val="21"/>
              </w:rPr>
            </w:pPr>
            <w:r>
              <w:rPr>
                <w:rFonts w:eastAsia="宋体"/>
                <w:sz w:val="21"/>
                <w:szCs w:val="21"/>
              </w:rPr>
              <w:t>(4)</w:t>
            </w:r>
            <w:r>
              <w:rPr>
                <w:rFonts w:eastAsia="宋体"/>
                <w:sz w:val="21"/>
                <w:szCs w:val="21"/>
              </w:rPr>
              <w:tab/>
            </w:r>
            <w:r>
              <w:rPr>
                <w:rFonts w:eastAsia="宋体"/>
                <w:sz w:val="21"/>
                <w:szCs w:val="21"/>
              </w:rPr>
              <w:t>施工固废：主要为员工生活垃圾、建筑垃圾和土石方。</w:t>
            </w:r>
          </w:p>
          <w:p w14:paraId="3EF28F87">
            <w:pPr>
              <w:pStyle w:val="71"/>
              <w:spacing w:line="360" w:lineRule="auto"/>
              <w:rPr>
                <w:b/>
                <w:bCs/>
              </w:rPr>
            </w:pPr>
            <w:r>
              <w:rPr>
                <w:rFonts w:hint="eastAsia"/>
                <w:b/>
                <w:bCs/>
              </w:rPr>
              <w:t>二、运营期工艺流程</w:t>
            </w:r>
          </w:p>
          <w:p w14:paraId="4D3D7A5C">
            <w:pPr>
              <w:pStyle w:val="71"/>
              <w:spacing w:line="360" w:lineRule="auto"/>
              <w:rPr>
                <w:b/>
                <w:bCs/>
              </w:rPr>
            </w:pPr>
            <w:r>
              <w:rPr>
                <w:b/>
                <w:bCs/>
              </w:rPr>
              <w:t>1、</w:t>
            </w:r>
            <w:r>
              <w:rPr>
                <w:rFonts w:hint="eastAsia"/>
                <w:b/>
                <w:bCs/>
              </w:rPr>
              <w:t>生产工艺流程图</w:t>
            </w:r>
          </w:p>
          <w:p w14:paraId="6A44CA81">
            <w:pPr>
              <w:pStyle w:val="71"/>
              <w:spacing w:line="360" w:lineRule="auto"/>
              <w:ind w:firstLine="420" w:firstLineChars="200"/>
              <w:jc w:val="left"/>
              <w:rPr>
                <w:kern w:val="0"/>
              </w:rPr>
            </w:pPr>
            <w:r>
              <w:rPr>
                <w:sz w:val="21"/>
              </w:rPr>
              <mc:AlternateContent>
                <mc:Choice Requires="wps">
                  <w:drawing>
                    <wp:anchor distT="0" distB="0" distL="114300" distR="114300" simplePos="0" relativeHeight="251730944" behindDoc="0" locked="0" layoutInCell="1" allowOverlap="1">
                      <wp:simplePos x="0" y="0"/>
                      <wp:positionH relativeFrom="column">
                        <wp:posOffset>4507865</wp:posOffset>
                      </wp:positionH>
                      <wp:positionV relativeFrom="paragraph">
                        <wp:posOffset>1585595</wp:posOffset>
                      </wp:positionV>
                      <wp:extent cx="673100" cy="201930"/>
                      <wp:effectExtent l="5080" t="4445" r="7620" b="22225"/>
                      <wp:wrapNone/>
                      <wp:docPr id="109" name="文本框 109"/>
                      <wp:cNvGraphicFramePr/>
                      <a:graphic xmlns:a="http://schemas.openxmlformats.org/drawingml/2006/main">
                        <a:graphicData uri="http://schemas.microsoft.com/office/word/2010/wordprocessingShape">
                          <wps:wsp>
                            <wps:cNvSpPr txBox="1"/>
                            <wps:spPr>
                              <a:xfrm>
                                <a:off x="6066155" y="4286885"/>
                                <a:ext cx="673100" cy="20193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7EA034FC">
                                  <w:pPr>
                                    <w:jc w:val="center"/>
                                    <w:rPr>
                                      <w:rFonts w:hint="eastAsia" w:eastAsia="宋体"/>
                                      <w:sz w:val="13"/>
                                      <w:szCs w:val="16"/>
                                      <w:lang w:val="en-US" w:eastAsia="zh-CN"/>
                                    </w:rPr>
                                  </w:pPr>
                                  <w:r>
                                    <w:rPr>
                                      <w:rFonts w:hint="eastAsia"/>
                                      <w:sz w:val="13"/>
                                      <w:szCs w:val="16"/>
                                      <w:lang w:val="en-US" w:eastAsia="zh-CN"/>
                                    </w:rPr>
                                    <w:t>电加热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4.95pt;margin-top:124.85pt;height:15.9pt;width:53pt;z-index:251730944;mso-width-relative:page;mso-height-relative:page;" fillcolor="#FFFFFF [3201]" filled="t" stroked="t" coordsize="21600,21600" o:gfxdata="UEsDBAoAAAAAAIdO4kAAAAAAAAAAAAAAAAAEAAAAZHJzL1BLAwQUAAAACACHTuJARXgzgNcAAAAL&#10;AQAADwAAAGRycy9kb3ducmV2LnhtbE2PQU/DMAyF70j8h8hIu7GkHWxraToJpEmIG6MXblnjtRWJ&#10;UzXZOv495gQ3+72n58/V7uqduOAUh0AasqUCgdQGO1CnofnY329BxGTIGhcINXxjhF19e1OZ0oaZ&#10;3vFySJ3gEoql0dCnNJZSxrZHb+IyjEjsncLkTeJ16qSdzMzl3slcqbX0ZiC+0JsRX3psvw5nr+F1&#10;/Zw+sbFvdpWvwtzIdjq5qPXiLlNPIBJe018YfvEZHWpmOoYz2Sicho0qCo5qyB+KDQhObLNHVo6s&#10;8ASyruT/H+ofUEsDBBQAAAAIAIdO4kCq/xmBZQIAAMcEAAAOAAAAZHJzL2Uyb0RvYy54bWytVEFu&#10;2zAQvBfoHwjeG8mO7TpG5MBN4KJA0ARIi55pirIIUCRL0pbSB7Q/6KmX3vuuvKNDyk6cpIccqoO8&#10;5I5nd2d3dXrWNYpshfPS6IIOjnJKhOamlHpd0M+flm+mlPjAdMmU0aKgt8LTs/nrV6etnYmhqY0q&#10;hSMg0X7W2oLWIdhZlnlei4b5I2OFhrMyrmEBR7fOSsdasDcqG+b5JGuNK60zXHiP24veSXeM7iWE&#10;pqokFxeGbxqhQ8/qhGIBJflaWk/nKduqEjxcVZUXgaiCotKQ3ggCexXf2fyUzdaO2VryXQrsJSk8&#10;qalhUiPoPdUFC4xsnHxG1UjujDdVOOKmyfpCkiKoYpA/0eamZlakWiC1t/ei+/9Hyz9urx2RJSYh&#10;P6FEswYtv/v54+7Xn7vf30m8hESt9TMgbyywoXtnOsD39x6XsfKuck38RU0E/kk+mQzGY0puCzoa&#10;TifT6bgXW3SB8Ah4ezzI0QYOAGo/OU7NyB6IrPPhvTANiUZBHXqZJGbbSx+QFKB7SIzrjZLlUiqV&#10;Dm69OleObBn6vkxPjI6/PIIpTVpkcjzOE/Mjnz+kyNPznAKESoM3CtQLEa3QrbqdaitT3kI0Z/rJ&#10;85YvJcq5ZD5cM4dRgwJYxnCFV6UMsjE7i5LauG//uo94TAC8lLQY3YL6rxvmBCXqg8ZsnAxGozjr&#10;6TAavx3i4A49q0OP3jTnBioNsPaWJzPig9qblTPNF+zsIkaFi2mO2AUNe/M89AuFnedisUggTLdl&#10;4VLfWB6pY0+0WWyCqWTqXZSp12anHuY79We3i3GBDs8J9fD9mf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RXgzgNcAAAALAQAADwAAAAAAAAABACAAAAAiAAAAZHJzL2Rvd25yZXYueG1sUEsBAhQA&#10;FAAAAAgAh07iQKr/GYFlAgAAxwQAAA4AAAAAAAAAAQAgAAAAJgEAAGRycy9lMm9Eb2MueG1sUEsF&#10;BgAAAAAGAAYAWQEAAP0FAAAAAA==&#10;">
                      <v:fill on="t" focussize="0,0"/>
                      <v:stroke weight="0.5pt" color="#000000 [3213]" joinstyle="round"/>
                      <v:imagedata o:title=""/>
                      <o:lock v:ext="edit" aspectratio="f"/>
                      <v:textbox>
                        <w:txbxContent>
                          <w:p w14:paraId="7EA034FC">
                            <w:pPr>
                              <w:jc w:val="center"/>
                              <w:rPr>
                                <w:rFonts w:hint="eastAsia" w:eastAsia="宋体"/>
                                <w:sz w:val="13"/>
                                <w:szCs w:val="16"/>
                                <w:lang w:val="en-US" w:eastAsia="zh-CN"/>
                              </w:rPr>
                            </w:pPr>
                            <w:r>
                              <w:rPr>
                                <w:rFonts w:hint="eastAsia"/>
                                <w:sz w:val="13"/>
                                <w:szCs w:val="16"/>
                                <w:lang w:val="en-US" w:eastAsia="zh-CN"/>
                              </w:rPr>
                              <w:t>电加热</w:t>
                            </w:r>
                          </w:p>
                        </w:txbxContent>
                      </v:textbox>
                    </v:shape>
                  </w:pict>
                </mc:Fallback>
              </mc:AlternateContent>
            </w:r>
            <w:r>
              <w:drawing>
                <wp:anchor distT="0" distB="0" distL="114300" distR="114300" simplePos="0" relativeHeight="251667456" behindDoc="0" locked="0" layoutInCell="1" allowOverlap="1">
                  <wp:simplePos x="0" y="0"/>
                  <wp:positionH relativeFrom="column">
                    <wp:posOffset>4118610</wp:posOffset>
                  </wp:positionH>
                  <wp:positionV relativeFrom="paragraph">
                    <wp:posOffset>3482340</wp:posOffset>
                  </wp:positionV>
                  <wp:extent cx="1098550" cy="306705"/>
                  <wp:effectExtent l="0" t="0" r="6350" b="17145"/>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6"/>
                          <a:stretch>
                            <a:fillRect/>
                          </a:stretch>
                        </pic:blipFill>
                        <pic:spPr>
                          <a:xfrm>
                            <a:off x="0" y="0"/>
                            <a:ext cx="1098550" cy="306705"/>
                          </a:xfrm>
                          <a:prstGeom prst="rect">
                            <a:avLst/>
                          </a:prstGeom>
                          <a:noFill/>
                          <a:ln>
                            <a:noFill/>
                          </a:ln>
                        </pic:spPr>
                      </pic:pic>
                    </a:graphicData>
                  </a:graphic>
                </wp:anchor>
              </w:drawing>
            </w:r>
            <w:r>
              <w:rPr>
                <w:rFonts w:hint="eastAsia"/>
                <w:kern w:val="0"/>
              </w:rPr>
              <w:t>（一）沥青混凝土工艺流程简述</w:t>
            </w:r>
            <w:r>
              <w:rPr>
                <w:rFonts w:hint="eastAsia"/>
                <w:kern w:val="0"/>
              </w:rPr>
              <w:drawing>
                <wp:inline distT="0" distB="0" distL="114300" distR="114300">
                  <wp:extent cx="5332730" cy="3912235"/>
                  <wp:effectExtent l="0" t="0" r="0" b="0"/>
                  <wp:docPr id="16" name="ECB019B1-382A-4266-B25C-5B523AA43C14-4" descr="C:/Users/？？？/AppData/Local/Temp/wps.nksrbo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CB019B1-382A-4266-B25C-5B523AA43C14-4" descr="C:/Users/？？？/AppData/Local/Temp/wps.nksrbowps"/>
                          <pic:cNvPicPr>
                            <a:picLocks noChangeAspect="1"/>
                          </pic:cNvPicPr>
                        </pic:nvPicPr>
                        <pic:blipFill>
                          <a:blip r:embed="rId17"/>
                          <a:stretch>
                            <a:fillRect/>
                          </a:stretch>
                        </pic:blipFill>
                        <pic:spPr>
                          <a:xfrm>
                            <a:off x="0" y="0"/>
                            <a:ext cx="5332730" cy="3912235"/>
                          </a:xfrm>
                          <a:prstGeom prst="rect">
                            <a:avLst/>
                          </a:prstGeom>
                        </pic:spPr>
                      </pic:pic>
                    </a:graphicData>
                  </a:graphic>
                </wp:inline>
              </w:drawing>
            </w:r>
          </w:p>
          <w:p w14:paraId="56E6DA12">
            <w:pPr>
              <w:pStyle w:val="7"/>
              <w:spacing w:line="360" w:lineRule="auto"/>
              <w:jc w:val="center"/>
              <w:rPr>
                <w:rFonts w:ascii="宋体" w:hAnsi="宋体" w:cs="宋体"/>
                <w:b/>
                <w:bCs/>
                <w:color w:val="auto"/>
                <w:szCs w:val="21"/>
              </w:rPr>
            </w:pPr>
            <w:r>
              <w:rPr>
                <w:rFonts w:hint="eastAsia" w:ascii="宋体" w:hAnsi="宋体" w:cs="宋体"/>
                <w:b/>
                <w:bCs/>
                <w:color w:val="auto"/>
                <w:szCs w:val="21"/>
              </w:rPr>
              <w:t>图2-</w:t>
            </w:r>
            <w:r>
              <w:rPr>
                <w:rFonts w:hint="eastAsia" w:ascii="宋体" w:hAnsi="宋体" w:cs="宋体"/>
                <w:b/>
                <w:bCs/>
                <w:color w:val="auto"/>
                <w:szCs w:val="21"/>
                <w:lang w:val="en-US" w:eastAsia="zh-CN"/>
              </w:rPr>
              <w:t>6</w:t>
            </w:r>
            <w:r>
              <w:rPr>
                <w:rFonts w:hint="eastAsia" w:ascii="宋体" w:hAnsi="宋体" w:cs="宋体"/>
                <w:b/>
                <w:bCs/>
                <w:color w:val="auto"/>
                <w:szCs w:val="21"/>
              </w:rPr>
              <w:t xml:space="preserve">  沥青混凝土生产工艺及产污环节图</w:t>
            </w:r>
          </w:p>
          <w:p w14:paraId="7AC22719">
            <w:pPr>
              <w:pStyle w:val="7"/>
              <w:spacing w:line="360" w:lineRule="auto"/>
              <w:ind w:firstLine="0"/>
              <w:rPr>
                <w:rFonts w:ascii="宋体" w:hAnsi="宋体" w:cs="宋体"/>
                <w:b/>
                <w:bCs/>
                <w:color w:val="auto"/>
                <w:szCs w:val="28"/>
              </w:rPr>
            </w:pPr>
            <w:r>
              <w:rPr>
                <w:rFonts w:hint="eastAsia" w:ascii="宋体" w:hAnsi="宋体" w:cs="宋体"/>
                <w:b/>
                <w:bCs/>
                <w:color w:val="auto"/>
                <w:szCs w:val="28"/>
              </w:rPr>
              <w:t>工艺流程简述：</w:t>
            </w:r>
          </w:p>
          <w:p w14:paraId="0720FE80">
            <w:pPr>
              <w:pStyle w:val="71"/>
              <w:spacing w:line="360" w:lineRule="auto"/>
              <w:ind w:firstLine="420" w:firstLineChars="200"/>
              <w:rPr>
                <w:szCs w:val="21"/>
              </w:rPr>
            </w:pPr>
            <w:r>
              <w:rPr>
                <w:rFonts w:hint="eastAsia"/>
                <w:szCs w:val="21"/>
              </w:rPr>
              <w:t>沥青混凝土由石油沥青和骨料（砂、碎石）混合拌制而成。其一般流程可分为沥青预处理和骨料预处理，而后进入拌缸拌合后即成为成品。</w:t>
            </w:r>
          </w:p>
          <w:p w14:paraId="0266D76C">
            <w:pPr>
              <w:spacing w:line="360" w:lineRule="auto"/>
              <w:ind w:firstLine="420" w:firstLineChars="200"/>
              <w:rPr>
                <w:rFonts w:ascii="宋体" w:hAnsi="宋体" w:cs="宋体"/>
                <w:szCs w:val="21"/>
              </w:rPr>
            </w:pPr>
            <w:r>
              <w:rPr>
                <w:rFonts w:hint="eastAsia" w:ascii="宋体" w:hAnsi="宋体" w:cs="宋体"/>
                <w:szCs w:val="21"/>
              </w:rPr>
              <w:t>沥青预处理流程：沥青是石油气工厂热解石油气原料时得到的副产品，进厂时为散装沥青，由专用沥青运输车将沥青通过密闭沥青管道送至沥青储罐，使用导热油将其加热至150-180℃，由沥青泵输送到沥青计量器，按一定的配合比分重量后通过专门管道送入拌和站的拌缸内与骨料混合。</w:t>
            </w:r>
          </w:p>
          <w:p w14:paraId="2556DAD7">
            <w:pPr>
              <w:spacing w:line="360" w:lineRule="auto"/>
              <w:ind w:firstLine="420" w:firstLineChars="200"/>
              <w:rPr>
                <w:rFonts w:ascii="宋体" w:hAnsi="宋体" w:cs="宋体"/>
                <w:szCs w:val="21"/>
              </w:rPr>
            </w:pPr>
            <w:r>
              <w:rPr>
                <w:rFonts w:hint="eastAsia" w:ascii="宋体" w:hAnsi="宋体" w:cs="宋体"/>
                <w:szCs w:val="21"/>
              </w:rPr>
              <w:t>骨料预处理流程：满足产品需要规格的骨料从料场以斗车送入拌和站进料池，然后通过皮带机自动进料。为使沥青砼产品不至于因过快冷却而带来运输上的不便，骨料在上沥青前也要经过热处理。骨料（主要是砂料和石子）自动进入烘干简，在其中不断加热，烘干筒不停转动，以使骨料受热均匀，随后，加热的骨料通过骨料提升机送到粒度检控系统内经过振动筛分，让符合产品要求的骨料通过，经计量后送入拌合缸；烘干转筒、粒度控制筛都在密闭的设备内工作，其振动筛分产生的粉尘由系统内的布袋捕集回收后送入拌缸，同时进入拌缸的还有矿粉（主要成分是石灰石）。矿粉通过配料斗、分料提升机、计量器进入拌缸；进入拌缸的骨料、粉料等经与油罐送来的热沥青拌合后才成为成品，整个过程都在密闭系统中进行。成品出料由趟开小斗车经滑道提升到成品仓后装入运输车斗送出，生产出料过程为间断式。</w:t>
            </w:r>
          </w:p>
          <w:p w14:paraId="4255DFC3">
            <w:pPr>
              <w:spacing w:line="360" w:lineRule="auto"/>
              <w:ind w:firstLine="422" w:firstLineChars="200"/>
              <w:jc w:val="left"/>
              <w:textAlignment w:val="baseline"/>
              <w:rPr>
                <w:rFonts w:ascii="宋体" w:hAnsi="宋体" w:cs="宋体"/>
                <w:b/>
                <w:bCs/>
                <w:szCs w:val="21"/>
              </w:rPr>
            </w:pPr>
            <w:r>
              <w:rPr>
                <w:rFonts w:hint="eastAsia" w:ascii="宋体" w:hAnsi="宋体" w:cs="宋体"/>
                <w:b/>
                <w:bCs/>
                <w:szCs w:val="21"/>
              </w:rPr>
              <w:t>（二）水稳料生产工艺</w:t>
            </w:r>
          </w:p>
          <w:p w14:paraId="010DA9D0">
            <w:pPr>
              <w:spacing w:line="360" w:lineRule="auto"/>
              <w:jc w:val="left"/>
              <w:textAlignment w:val="baseline"/>
              <w:rPr>
                <w:b/>
                <w:bCs/>
                <w:szCs w:val="21"/>
              </w:rPr>
            </w:pPr>
            <w:r>
              <mc:AlternateContent>
                <mc:Choice Requires="wps">
                  <w:drawing>
                    <wp:anchor distT="0" distB="0" distL="114300" distR="114300" simplePos="0" relativeHeight="251666432" behindDoc="0" locked="0" layoutInCell="1" allowOverlap="1">
                      <wp:simplePos x="0" y="0"/>
                      <wp:positionH relativeFrom="column">
                        <wp:posOffset>4091305</wp:posOffset>
                      </wp:positionH>
                      <wp:positionV relativeFrom="paragraph">
                        <wp:posOffset>1467485</wp:posOffset>
                      </wp:positionV>
                      <wp:extent cx="269875" cy="206375"/>
                      <wp:effectExtent l="0" t="45720" r="15875" b="14605"/>
                      <wp:wrapNone/>
                      <wp:docPr id="35" name="曲线连接符 35"/>
                      <wp:cNvGraphicFramePr/>
                      <a:graphic xmlns:a="http://schemas.openxmlformats.org/drawingml/2006/main">
                        <a:graphicData uri="http://schemas.microsoft.com/office/word/2010/wordprocessingShape">
                          <wps:wsp>
                            <wps:cNvCnPr/>
                            <wps:spPr>
                              <a:xfrm flipV="1">
                                <a:off x="0" y="0"/>
                                <a:ext cx="269875" cy="206375"/>
                              </a:xfrm>
                              <a:prstGeom prst="curvedConnector3">
                                <a:avLst>
                                  <a:gd name="adj1" fmla="val 50118"/>
                                </a:avLst>
                              </a:prstGeom>
                              <a:ln>
                                <a:prstDash val="dashDot"/>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8" type="#_x0000_t38" style="position:absolute;left:0pt;flip:y;margin-left:322.15pt;margin-top:115.55pt;height:16.25pt;width:21.25pt;z-index:251666432;mso-width-relative:page;mso-height-relative:page;" filled="f" stroked="t" coordsize="21600,21600" o:gfxdata="UEsDBAoAAAAAAIdO4kAAAAAAAAAAAAAAAAAEAAAAZHJzL1BLAwQUAAAACACHTuJA5yrTOtgAAAAL&#10;AQAADwAAAGRycy9kb3ducmV2LnhtbE2PPU/DMBCGdyT+g3WV2KjjpnKjEKdDRRcmWjwwOrGbRI3P&#10;IXY/+PccE4x39+i95622dz+yq5vjEFCBWGbAHLbBDtgp0B/75wJYTAatGQM6Bd8uwrZ+fKhMacMN&#10;D+56TB2jEIylUdCnNJWcx7Z33sRlmBzS7RRmbxKNc8ftbG4U7ke+yjLJvRmQPvRmcrvetefjxSs4&#10;6c3+TWRf8lUfUIv3z6bQu41STwuRvQBL7p7+YPjVJ3WoyakJF7SRjQrkep0TqmCVCwGMCFlIKtPQ&#10;RuYSeF3x/x3qH1BLAwQUAAAACACHTuJAWQ75rjsCAABJBAAADgAAAGRycy9lMm9Eb2MueG1srVS7&#10;ktMwFO2Z4R806ontZBKSTJwtEpaGx87w6BU9bDF6jaTEyU/wA8zQQUVFSbN/s8tncCV7AyzNFrjw&#10;XF1J555z7rVXF0et0IH7IK2pcTUqMeKGWiZNU+N3by+fzDEKkRhGlDW8xice8MX68aNV55Z8bFur&#10;GPcIQExYdq7GbYxuWRSBtlyTMLKOG9gU1msSYembgnnSAbpWxbgsZ0VnPXPeUh4CZLf9Jh4Q/UMA&#10;rRCS8q2le81N7FE9VySCpNBKF/A6sxWC0/haiMAjUjUGpTG/oQjEu/Qu1iuybDxxraQDBfIQCvc0&#10;aSINFD1DbUkkaO/lP1BaUm+DFXFErS56IdkRUFGV97x50xLHsxawOriz6eH/wdJXhyuPJKvxZIqR&#10;IRo6fvPp++2P65/Xn28+frn99hXBDtjUubCE0xtz5YdVcFc+aT4Kr5FQ0r2HecougC50zCafzibz&#10;Y0QUkuPZYv4UalHYGpezCcSAV/QwCc75EJ9zq1EKakz3/sDZxhoDzbR+kguQw4sQs99sIE3Yhwoj&#10;oRW070AUmpZVNR+Qh9NQ4w47XTX2UiqVB0AZ1NV4MR0nXgSGWsAwQagdGBNMgxFRDXwtNPpcPlgl&#10;WbqdcIJvdhvlEVQFsfnpD7WE8T67mEI6kYHTJL60rE9X5V0eqA0w2Yq/8BPnLQltf4dBtLWxB4tE&#10;qmeGoXhy0Dfive1wUqI5w0hxYJyi3l5lADo1sW9binaWnXI3cx4mLBcfvoY0wn+u8+3ff4D1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cq0zrYAAAACwEAAA8AAAAAAAAAAQAgAAAAIgAAAGRycy9k&#10;b3ducmV2LnhtbFBLAQIUABQAAAAIAIdO4kBZDvmuOwIAAEkEAAAOAAAAAAAAAAEAIAAAACcBAABk&#10;cnMvZTJvRG9jLnhtbFBLBQYAAAAABgAGAFkBAADUBQAAAAA=&#10;" adj="10825">
                      <v:fill on="f" focussize="0,0"/>
                      <v:stroke color="#000000 [3200]" joinstyle="round" dashstyle="dashDot" endarrow="open"/>
                      <v:imagedata o:title=""/>
                      <o:lock v:ext="edit" aspectratio="f"/>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2741930</wp:posOffset>
                      </wp:positionH>
                      <wp:positionV relativeFrom="paragraph">
                        <wp:posOffset>361950</wp:posOffset>
                      </wp:positionV>
                      <wp:extent cx="269875" cy="206375"/>
                      <wp:effectExtent l="0" t="45720" r="15875" b="14605"/>
                      <wp:wrapNone/>
                      <wp:docPr id="34" name="曲线连接符 34"/>
                      <wp:cNvGraphicFramePr/>
                      <a:graphic xmlns:a="http://schemas.openxmlformats.org/drawingml/2006/main">
                        <a:graphicData uri="http://schemas.microsoft.com/office/word/2010/wordprocessingShape">
                          <wps:wsp>
                            <wps:cNvCnPr/>
                            <wps:spPr>
                              <a:xfrm flipV="1">
                                <a:off x="4053840" y="5857875"/>
                                <a:ext cx="269875" cy="206375"/>
                              </a:xfrm>
                              <a:prstGeom prst="curvedConnector3">
                                <a:avLst>
                                  <a:gd name="adj1" fmla="val 50118"/>
                                </a:avLst>
                              </a:prstGeom>
                              <a:ln>
                                <a:prstDash val="dashDot"/>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8" type="#_x0000_t38" style="position:absolute;left:0pt;flip:y;margin-left:215.9pt;margin-top:28.5pt;height:16.25pt;width:21.25pt;z-index:251665408;mso-width-relative:page;mso-height-relative:page;" filled="f" stroked="t" coordsize="21600,21600" o:gfxdata="UEsDBAoAAAAAAIdO4kAAAAAAAAAAAAAAAAAEAAAAZHJzL1BLAwQUAAAACACHTuJA97j1itgAAAAJ&#10;AQAADwAAAGRycy9kb3ducmV2LnhtbE2PP0/DMBTEdyS+g/WQ2KhtmjYhxOlQ0YWJFg+MTuwmEfFz&#10;iN0/fHseE4ynO939rtpc/cjObo5DQAVyIYA5bIMdsFOg33cPBbCYDFozBnQKvl2ETX17U5nShgvu&#10;3fmQOkYlGEujoE9pKjmPbe+8iYswOSTvGGZvEsm543Y2Fyr3I38UYs29GZAWejO5be/az8PJKzjq&#10;fPcqxdf6Re9Ry7ePptDbXKn7OymegSV3TX9h+MUndKiJqQkntJGNCrKlJPSkYJXTJwpkebYE1igo&#10;nlbA64r/f1D/AFBLAwQUAAAACACHTuJAkvk6PkgCAABVBAAADgAAAGRycy9lMm9Eb2MueG1srVQ7&#10;bhsxEO0D5A4E+2hXn5UlQSsXUpwmHwP59BTJ1TLgDySllS6RCwRIF1epUqbxbewcI0Ny7SRO4yJb&#10;EMPh8M28N8Ndnh+VRAfuvDC6xsNBiRHX1DChdzV+/+7i2QwjH4hmRBrNa3ziHp+vnj5ZdnbBR6Y1&#10;knGHAET7RWdr3IZgF0XhacsV8QNjuYbDxjhFAmzdrmCOdICuZDEqy2nRGcesM5R7D95NPsQ9onsM&#10;oGkaQfnG0L3iOmRUxyUJQMm3wnq8StU2DafhTdN4HpCsMTANaYUkYG/jWqyWZLFzxLaC9iWQx5Tw&#10;gJMiQkPSe6gNCQTtnfgHSgnqjDdNGFCjikwkKQIshuUDbd62xPLEBaT29l50//9g6evDpUOC1Xg8&#10;wUgTBR2/+fz99sf1z+svN5++3n67QnACMnXWLyB6rS9dv/P20kXOx8Yp1EhhP8A8JRWAFzrWeFJW&#10;49kEpD7VuJpVZ7OzKgvOjwFRCBhN59GHKASMyuk4nxcZMkJb58MLbhSKRo3p3h04WxutobHGjVMy&#10;cnjpQ9Ke9QQI+zjEqFESWnkgElXlcDiLmQG5jwbrDjte1eZCSJmGQWrU1XhejWJdBAa8gcECU1kQ&#10;yesdRkTu4OXQ4FJ6b6Rg8XbE8W63XUuHICtMV/pyUEsYz955Be4sgyfhlWHZPSzv/FBaD5MK/gs/&#10;1rwhvs13GFgbEzJYIEI+1wyFk4UeEudMhyMTxRlGkkPF0coiSA3QsaG5hdHaGnZKnU1+mLaUvH8Z&#10;cZz/3Kfbv/8Gq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3uPWK2AAAAAkBAAAPAAAAAAAAAAEA&#10;IAAAACIAAABkcnMvZG93bnJldi54bWxQSwECFAAUAAAACACHTuJAkvk6PkgCAABVBAAADgAAAAAA&#10;AAABACAAAAAnAQAAZHJzL2Uyb0RvYy54bWxQSwUGAAAAAAYABgBZAQAA4QUAAAAA&#10;" adj="10825">
                      <v:fill on="f" focussize="0,0"/>
                      <v:stroke color="#000000 [3200]" joinstyle="round" dashstyle="dashDot" endarrow="open"/>
                      <v:imagedata o:title=""/>
                      <o:lock v:ext="edit" aspectratio="f"/>
                    </v:shape>
                  </w:pict>
                </mc:Fallback>
              </mc:AlternateContent>
            </w:r>
            <w:r>
              <w:drawing>
                <wp:anchor distT="0" distB="0" distL="114300" distR="114300" simplePos="0" relativeHeight="251664384" behindDoc="0" locked="0" layoutInCell="1" allowOverlap="1">
                  <wp:simplePos x="0" y="0"/>
                  <wp:positionH relativeFrom="column">
                    <wp:posOffset>71755</wp:posOffset>
                  </wp:positionH>
                  <wp:positionV relativeFrom="paragraph">
                    <wp:posOffset>2326005</wp:posOffset>
                  </wp:positionV>
                  <wp:extent cx="1098550" cy="306705"/>
                  <wp:effectExtent l="0" t="0" r="6350" b="17145"/>
                  <wp:wrapNone/>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6"/>
                          <a:stretch>
                            <a:fillRect/>
                          </a:stretch>
                        </pic:blipFill>
                        <pic:spPr>
                          <a:xfrm>
                            <a:off x="0" y="0"/>
                            <a:ext cx="1098550" cy="306705"/>
                          </a:xfrm>
                          <a:prstGeom prst="rect">
                            <a:avLst/>
                          </a:prstGeom>
                          <a:noFill/>
                          <a:ln>
                            <a:noFill/>
                          </a:ln>
                        </pic:spPr>
                      </pic:pic>
                    </a:graphicData>
                  </a:graphic>
                </wp:anchor>
              </w:drawing>
            </w:r>
            <w:r>
              <w:rPr>
                <w:szCs w:val="21"/>
              </w:rPr>
              <w:drawing>
                <wp:inline distT="0" distB="0" distL="114300" distR="114300">
                  <wp:extent cx="5271135" cy="2708275"/>
                  <wp:effectExtent l="0" t="0" r="0" b="0"/>
                  <wp:docPr id="1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pic:cNvPicPr>
                            <a:picLocks noChangeAspect="1"/>
                          </pic:cNvPicPr>
                        </pic:nvPicPr>
                        <pic:blipFill>
                          <a:blip r:embed="rId18">
                            <a:clrChange>
                              <a:clrFrom>
                                <a:srgbClr val="FFFFFF"/>
                              </a:clrFrom>
                              <a:clrTo>
                                <a:srgbClr val="FFFFFF">
                                  <a:alpha val="0"/>
                                </a:srgbClr>
                              </a:clrTo>
                            </a:clrChange>
                          </a:blip>
                          <a:stretch>
                            <a:fillRect/>
                          </a:stretch>
                        </pic:blipFill>
                        <pic:spPr>
                          <a:xfrm>
                            <a:off x="0" y="0"/>
                            <a:ext cx="5271135" cy="2708275"/>
                          </a:xfrm>
                          <a:prstGeom prst="rect">
                            <a:avLst/>
                          </a:prstGeom>
                          <a:noFill/>
                          <a:ln>
                            <a:noFill/>
                          </a:ln>
                        </pic:spPr>
                      </pic:pic>
                    </a:graphicData>
                  </a:graphic>
                </wp:inline>
              </w:drawing>
            </w:r>
            <w:r>
              <mc:AlternateContent>
                <mc:Choice Requires="wps">
                  <w:drawing>
                    <wp:anchor distT="0" distB="0" distL="114300" distR="114300" simplePos="0" relativeHeight="251662336" behindDoc="0" locked="0" layoutInCell="1" allowOverlap="1">
                      <wp:simplePos x="0" y="0"/>
                      <wp:positionH relativeFrom="column">
                        <wp:posOffset>4401185</wp:posOffset>
                      </wp:positionH>
                      <wp:positionV relativeFrom="paragraph">
                        <wp:posOffset>1056005</wp:posOffset>
                      </wp:positionV>
                      <wp:extent cx="555625" cy="252730"/>
                      <wp:effectExtent l="4445" t="4445" r="11430" b="9525"/>
                      <wp:wrapNone/>
                      <wp:docPr id="29" name="矩形 29"/>
                      <wp:cNvGraphicFramePr/>
                      <a:graphic xmlns:a="http://schemas.openxmlformats.org/drawingml/2006/main">
                        <a:graphicData uri="http://schemas.microsoft.com/office/word/2010/wordprocessingShape">
                          <wps:wsp>
                            <wps:cNvSpPr/>
                            <wps:spPr>
                              <a:xfrm>
                                <a:off x="5657215" y="7663180"/>
                                <a:ext cx="555625" cy="2527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259032">
                                  <w:pPr>
                                    <w:jc w:val="center"/>
                                    <w:rPr>
                                      <w:color w:val="000000" w:themeColor="text1"/>
                                      <w:sz w:val="18"/>
                                      <w:szCs w:val="21"/>
                                      <w14:textFill>
                                        <w14:solidFill>
                                          <w14:schemeClr w14:val="tx1"/>
                                        </w14:solidFill>
                                      </w14:textFill>
                                    </w:rPr>
                                  </w:pPr>
                                  <w:r>
                                    <w:rPr>
                                      <w:rFonts w:hint="eastAsia"/>
                                      <w:color w:val="000000" w:themeColor="text1"/>
                                      <w:sz w:val="18"/>
                                      <w:szCs w:val="21"/>
                                      <w14:textFill>
                                        <w14:solidFill>
                                          <w14:schemeClr w14:val="tx1"/>
                                        </w14:solidFill>
                                      </w14:textFill>
                                    </w:rPr>
                                    <w:t>DA003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6.55pt;margin-top:83.15pt;height:19.9pt;width:43.75pt;z-index:251662336;v-text-anchor:middle;mso-width-relative:page;mso-height-relative:page;" filled="f" stroked="t" coordsize="21600,21600" o:gfxdata="UEsDBAoAAAAAAIdO4kAAAAAAAAAAAAAAAAAEAAAAZHJzL1BLAwQUAAAACACHTuJAsHapWNkAAAAL&#10;AQAADwAAAGRycy9kb3ducmV2LnhtbE2Py07DMBBF90j8gzVI7KidRrglxOkiEitYQEFF7Nx4SCLi&#10;cYjdR/6eYQXL0T2690y5OftBHHGKfSAD2UKBQGqC66k18Pb6cLMGEZMlZ4dAaGDGCJvq8qK0hQsn&#10;esHjNrWCSygW1kCX0lhIGZsOvY2LMCJx9hkmbxOfUyvdZE9c7ge5VEpLb3vihc6OWHfYfG0P3kA/&#10;588fT/X7qn783uUxzLuY33pjrq8ydQ8i4Tn9wfCrz+pQsdM+HMhFMRjQd3nGKAda5yCYWK2VBrE3&#10;sFQ6A1mV8v8P1Q9QSwMEFAAAAAgAh07iQB/ShqFtAgAAywQAAA4AAABkcnMvZTJvRG9jLnhtbK1U&#10;y24TMRTdI/EPlvd0kmknbaNOqqhREVJFKxXE2vHYmZH8wnYyKT+DxI6P4HMQv8GxZ/qgsOiCLJxr&#10;35NzfY/Pzdn5XiuyEz501tR0ejChRBhum85savrxw+WbE0pCZKZhyhpR0zsR6Pni9auz3s1FaVur&#10;GuEJSEyY966mbYxuXhSBt0KzcGCdMEhK6zWL2PpN0XjWg12ropxMZkVvfeO85SIEnK6GJB0Z/UsI&#10;rZQdFyvLt1qYOLB6oVhES6HtXKCLfFspBY/XUgYRiaopOo15RRHE67QWizM233jm2o6PV2AvucKz&#10;njTrDIo+UK1YZGTru7+odMe9DVbGA251MTSSFUEX08kzbW5b5kTuBVIH9yB6+H+0/P3uxpOuqWl5&#10;SolhGi/+6+v3nz++ERxAnd6FOUC37saPu4AwtbqXXqdvNEH2Na1m1XE5rSi5q+nxbHY4PRnVFftI&#10;eAJU1axEngNQVuXxYc4Xj0TOh/hWWE1SUFOPx8uast1ViCgO6D0k1TX2slMqP6AypK/paZXpGUwp&#10;YQZU0g6NBbOhhKkN3M6jz4zBqq5Jv048wW/WF8qTHUseyZ/UOKr9AUulVyy0Ay6nRpgyQCedBmVS&#10;FPfr/SjX2jZ3kNjbwXvB8csOVFcsxBvmYTZYEeMYr7FIZdGHHSNKWuu//Os84eEBZCnpYV40+XnL&#10;vKBEvTNwx+n06Ci5PW+O8C7Y+KeZ9dOM2eoLi96nGHzHc5jwUd2H0lv9CVO7TFWRYoaj9iDnuLmI&#10;w1Bh7rlYLjMMDncsXplbxxP58GbLbbSyy8+ZhBrUGfWDx7Pu4zymIXq6z6jH/6D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LB2qVjZAAAACwEAAA8AAAAAAAAAAQAgAAAAIgAAAGRycy9kb3ducmV2&#10;LnhtbFBLAQIUABQAAAAIAIdO4kAf0oahbQIAAMsEAAAOAAAAAAAAAAEAIAAAACgBAABkcnMvZTJv&#10;RG9jLnhtbFBLBQYAAAAABgAGAFkBAAAHBgAAAAA=&#10;">
                      <v:fill on="f" focussize="0,0"/>
                      <v:stroke color="#000000 [3213]" joinstyle="round"/>
                      <v:imagedata o:title=""/>
                      <o:lock v:ext="edit" aspectratio="f"/>
                      <v:textbox>
                        <w:txbxContent>
                          <w:p w14:paraId="34259032">
                            <w:pPr>
                              <w:jc w:val="center"/>
                              <w:rPr>
                                <w:color w:val="000000" w:themeColor="text1"/>
                                <w:sz w:val="18"/>
                                <w:szCs w:val="21"/>
                                <w14:textFill>
                                  <w14:solidFill>
                                    <w14:schemeClr w14:val="tx1"/>
                                  </w14:solidFill>
                                </w14:textFill>
                              </w:rPr>
                            </w:pPr>
                            <w:r>
                              <w:rPr>
                                <w:rFonts w:hint="eastAsia"/>
                                <w:color w:val="000000" w:themeColor="text1"/>
                                <w:sz w:val="18"/>
                                <w:szCs w:val="21"/>
                                <w14:textFill>
                                  <w14:solidFill>
                                    <w14:schemeClr w14:val="tx1"/>
                                  </w14:solidFill>
                                </w14:textFill>
                              </w:rPr>
                              <w:t>DA003</w:t>
                            </w: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4075430</wp:posOffset>
                      </wp:positionH>
                      <wp:positionV relativeFrom="paragraph">
                        <wp:posOffset>1198880</wp:posOffset>
                      </wp:positionV>
                      <wp:extent cx="317500" cy="7620"/>
                      <wp:effectExtent l="0" t="46990" r="6350" b="59690"/>
                      <wp:wrapNone/>
                      <wp:docPr id="30" name="直接箭头连接符 30"/>
                      <wp:cNvGraphicFramePr/>
                      <a:graphic xmlns:a="http://schemas.openxmlformats.org/drawingml/2006/main">
                        <a:graphicData uri="http://schemas.microsoft.com/office/word/2010/wordprocessingShape">
                          <wps:wsp>
                            <wps:cNvCnPr/>
                            <wps:spPr>
                              <a:xfrm flipV="1">
                                <a:off x="5403215" y="7793990"/>
                                <a:ext cx="317500"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20.9pt;margin-top:94.4pt;height:0.6pt;width:25pt;z-index:251663360;mso-width-relative:page;mso-height-relative:page;" filled="f" stroked="t" coordsize="21600,21600" o:gfxdata="UEsDBAoAAAAAAIdO4kAAAAAAAAAAAAAAAAAEAAAAZHJzL1BLAwQUAAAACACHTuJAo9N849cAAAAL&#10;AQAADwAAAGRycy9kb3ducmV2LnhtbE2PMU/DMBCFdyT+g3VIbNQOKlEa4nQAMcFCQaq6ufERp8Tn&#10;ELtN+PdcJ7rdvff07rtqPftenHCMXSAN2UKBQGqC7ajV8PnxcleAiMmQNX0g1PCLEdb19VVlShsm&#10;esfTJrWCSyiWRoNLaSiljI1Db+IiDEjsfYXRm8Tr2Eo7monLfS/vlcqlNx3xBWcGfHLYfG+OXsP2&#10;Te0e5jC6w+5n6V6753Z78JPWtzeZegSRcE7/YTjjMzrUzLQPR7JR9BryZcboiY2i4IET+eqs7FlZ&#10;KQWyruTlD/UfUEsDBBQAAAAIAIdO4kD3pwrLDwIAAOEDAAAOAAAAZHJzL2Uyb0RvYy54bWytU72O&#10;EzEQ7pF4B8s92U1CLiTK5oqEo0EQiZ/e8dq7lvynsS+bvAQvgEQFVEB1PU8Dx2Mw9i4HHM0VbLEa&#10;e2a+me+b8er8aDQ5CAjK2YqORyUlwnJXK9tU9NXLiwePKAmR2ZppZ0VFTyLQ8/X9e6vOL8XEtU7X&#10;AgiC2LDsfEXbGP2yKAJvhWFh5Lyw6JQODIt4hKaogXWIbnQxKcuzonNQe3BchIC3295JB0S4C6CT&#10;UnGxdfzSCBt7VBCaRaQUWuUDXedupRQ8PpcyiEh0RZFpzH8sgvY+/Yv1ii0bYL5VfGiB3aWFW5wM&#10;UxaL3kBtWWTkEtQ/UEZxcMHJOOLOFD2RrAiyGJe3tHnRMi8yF5Q6+BvRw/+D5c8OOyCqrugUJbHM&#10;4MSv3159f/Ph+svnb++vfnx9l+xPHwn6UazOhyXmbOwOhlPwO0jMjxIMkVr517hVWQtkR44VnT0s&#10;p5PxjJJTRefzxXSxGGQXx0g4BkzH81mJ1XkKOJtkb9EDJmAPIT4RzpBkVDREYKpp48ZZi+N10Bdj&#10;h6chYkuY+CshJVt3obTOU9aWdBVdzCbYCme4uRI3Bk3jkX2wDSVMN/gkeITcfnBa1Sk74QRo9hsN&#10;5MDSIuUvyYHV/gpLpbcstH1cdvUrFpnSj21N4smjwgzAdUO+tgiTZO2FTNbe1aesb77HyedCw5am&#10;1frznLN/v8z1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PTfOPXAAAACwEAAA8AAAAAAAAAAQAg&#10;AAAAIgAAAGRycy9kb3ducmV2LnhtbFBLAQIUABQAAAAIAIdO4kD3pwrLDwIAAOEDAAAOAAAAAAAA&#10;AAEAIAAAACYBAABkcnMvZTJvRG9jLnhtbFBLBQYAAAAABgAGAFkBAACnBQAAAAA=&#10;">
                      <v:fill on="f" focussize="0,0"/>
                      <v:stroke color="#000000 [3213]" joinstyle="round" endarrow="open"/>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1877060</wp:posOffset>
                      </wp:positionH>
                      <wp:positionV relativeFrom="paragraph">
                        <wp:posOffset>706120</wp:posOffset>
                      </wp:positionV>
                      <wp:extent cx="2183130" cy="1428115"/>
                      <wp:effectExtent l="4445" t="4445" r="22225" b="15240"/>
                      <wp:wrapNone/>
                      <wp:docPr id="28" name="圆角矩形 28"/>
                      <wp:cNvGraphicFramePr/>
                      <a:graphic xmlns:a="http://schemas.openxmlformats.org/drawingml/2006/main">
                        <a:graphicData uri="http://schemas.microsoft.com/office/word/2010/wordprocessingShape">
                          <wps:wsp>
                            <wps:cNvSpPr/>
                            <wps:spPr>
                              <a:xfrm>
                                <a:off x="3180715" y="5861050"/>
                                <a:ext cx="2183130" cy="1428115"/>
                              </a:xfrm>
                              <a:prstGeom prst="round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45AFF5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47.8pt;margin-top:55.6pt;height:112.45pt;width:171.9pt;z-index:251661312;v-text-anchor:middle;mso-width-relative:page;mso-height-relative:page;" filled="f" stroked="t" coordsize="21600,21600" arcsize="0.166666666666667" o:gfxdata="UEsDBAoAAAAAAIdO4kAAAAAAAAAAAAAAAAAEAAAAZHJzL1BLAwQUAAAACACHTuJA5uiZ89oAAAAL&#10;AQAADwAAAGRycy9kb3ducmV2LnhtbE2PwU7DMBBE70j8g7VI3KjjpKRtiNMDElckUirg5sTbJCJe&#10;p7abFr4ec4Ljap5m3pbbixnZjM4PliSIRQIMqbV6oE7C6+7pbg3MB0VajZZQwhd62FbXV6UqtD3T&#10;C8516FgsIV8oCX0IU8G5b3s0yi/shBSzg3VGhXi6jmunzrHcjDxNkpwbNVBc6NWEjz22n/XJSDiu&#10;3HI67N/mj+y5fv9e29V+d2ykvL0RyQOwgJfwB8OvflSHKjo19kTas1FCurnPIxoDIVJgkcizzRJY&#10;IyHLcgG8Kvn/H6ofUEsDBBQAAAAIAIdO4kAQhlBigQIAANcEAAAOAAAAZHJzL2Uyb0RvYy54bWyt&#10;VM1uEzEYvCPxDpbvdLPbpE2jbqqoURFSBRUFcXa83uxK/sN2sikPwANwRkLigngIHqeCx2Ds3f5Q&#10;OPRADs5ne3bsGY99fLJTkmyF863RJc33RpQIzU3V6nVJ3745ezalxAemKyaNFiW9Ep6ezJ8+Oe7s&#10;TBSmMbISjoBE+1lnS9qEYGdZ5nkjFPN7xgqNydo4xQK6bp1VjnVgVzIrRqODrDOuss5w4T1Gl/0k&#10;HRjdYwhNXbdcLA3fKKFDz+qEZAGSfNNaT+dpt3UteHhV114EIksKpSG1WAT1KrbZ/JjN1o7ZpuXD&#10;FthjtvBAk2KtxqK3VEsWGNm49i8q1XJnvKnDHjcq64UkR6AiHz3w5rJhViQtsNrbW9P9/6PlL7cX&#10;jrRVSQucu2YKJ379+eOvb59+fvl+/eMrwTA86qyfAXppL9zQ8yij4F3tVPyHFLIr6X4+HR3mE0qu&#10;SjqZHuSjyeCx2AXCASjy6X6+D/s5EPm4mOZAgzO7o7LOh+fCKBKLkjqz0dVrnGQymG3PfejxN7i4&#10;vDZnrZQYZzOpSVfSo0mBXXCGhNZIBkplodLrNSVMrhF9Hlxi9Ea2Vfw6fuzdenUqHdmyGJj0G3b3&#10;BywuvWS+6XEVqgElNaREt3p/YhV2q91g2spUV7DbmT6H3vKzFkznzIcL5hA8+IKrGV6hqaWBDDNU&#10;lDTGffjXeMQjD5ilpEOQofH9hjlBiXyhkZSjfDyOyU+d8eSwQMfdn1ndn9EbdWogPccjYHkqIz7I&#10;m7J2Rr3DDV7EVTHFNMfavZtD5zT0FwxvABeLRYIh7ZaFc31peSTvj2yxCaZu02lGo3p3Bv+Q9xSK&#10;4W7GC3W/n1B379H8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ObomfPaAAAACwEAAA8AAAAAAAAA&#10;AQAgAAAAIgAAAGRycy9kb3ducmV2LnhtbFBLAQIUABQAAAAIAIdO4kAQhlBigQIAANcEAAAOAAAA&#10;AAAAAAEAIAAAACkBAABkcnMvZTJvRG9jLnhtbFBLBQYAAAAABgAGAFkBAAAcBgAAAAA=&#10;">
                      <v:fill on="f" focussize="0,0"/>
                      <v:stroke color="#000000 [3213]" joinstyle="round" dashstyle="dash"/>
                      <v:imagedata o:title=""/>
                      <o:lock v:ext="edit" aspectratio="f"/>
                      <v:textbox>
                        <w:txbxContent>
                          <w:p w14:paraId="345AFF50">
                            <w:pPr>
                              <w:jc w:val="center"/>
                            </w:pPr>
                          </w:p>
                        </w:txbxContent>
                      </v:textbox>
                    </v:roundrect>
                  </w:pict>
                </mc:Fallback>
              </mc:AlternateContent>
            </w:r>
            <w:r>
              <w:rPr>
                <w:szCs w:val="21"/>
              </w:rPr>
              <mc:AlternateContent>
                <mc:Choice Requires="wps">
                  <w:drawing>
                    <wp:anchor distT="0" distB="0" distL="114300" distR="114300" simplePos="0" relativeHeight="251660288" behindDoc="0" locked="0" layoutInCell="1" allowOverlap="1">
                      <wp:simplePos x="0" y="0"/>
                      <wp:positionH relativeFrom="column">
                        <wp:posOffset>4000500</wp:posOffset>
                      </wp:positionH>
                      <wp:positionV relativeFrom="paragraph">
                        <wp:posOffset>1554480</wp:posOffset>
                      </wp:positionV>
                      <wp:extent cx="333375" cy="209550"/>
                      <wp:effectExtent l="0" t="0" r="9525" b="0"/>
                      <wp:wrapNone/>
                      <wp:docPr id="2" name="文本框 466"/>
                      <wp:cNvGraphicFramePr/>
                      <a:graphic xmlns:a="http://schemas.openxmlformats.org/drawingml/2006/main">
                        <a:graphicData uri="http://schemas.microsoft.com/office/word/2010/wordprocessingShape">
                          <wps:wsp>
                            <wps:cNvSpPr txBox="1"/>
                            <wps:spPr>
                              <a:xfrm>
                                <a:off x="0" y="0"/>
                                <a:ext cx="333375" cy="209550"/>
                              </a:xfrm>
                              <a:prstGeom prst="rect">
                                <a:avLst/>
                              </a:prstGeom>
                              <a:solidFill>
                                <a:srgbClr val="FFFFFF"/>
                              </a:solidFill>
                              <a:ln>
                                <a:noFill/>
                              </a:ln>
                            </wps:spPr>
                            <wps:txbx>
                              <w:txbxContent>
                                <w:p w14:paraId="61C4EC0B"/>
                              </w:txbxContent>
                            </wps:txbx>
                            <wps:bodyPr vert="horz" wrap="square" anchor="t" anchorCtr="0" upright="1"/>
                          </wps:wsp>
                        </a:graphicData>
                      </a:graphic>
                    </wp:anchor>
                  </w:drawing>
                </mc:Choice>
                <mc:Fallback>
                  <w:pict>
                    <v:shape id="文本框 466" o:spid="_x0000_s1026" o:spt="202" type="#_x0000_t202" style="position:absolute;left:0pt;margin-left:315pt;margin-top:122.4pt;height:16.5pt;width:26.25pt;z-index:251660288;mso-width-relative:page;mso-height-relative:page;" fillcolor="#FFFFFF" filled="t" stroked="f" coordsize="21600,21600" o:gfxdata="UEsDBAoAAAAAAIdO4kAAAAAAAAAAAAAAAAAEAAAAZHJzL1BLAwQUAAAACACHTuJAgJupc9gAAAAL&#10;AQAADwAAAGRycy9kb3ducmV2LnhtbE2PwU7DMAyG70i8Q2QkLoglK11bStNJIIG4buwB3CZrKxqn&#10;arJ1e3vMCY62f/3+vmp7caM42zkMnjSsVwqEpdabgToNh6/3xwJEiEgGR09Ww9UG2Na3NxWWxi+0&#10;s+d97ASXUChRQx/jVEoZ2t46DCs/WeLb0c8OI49zJ82MC5e7USZKZdLhQPyhx8m+9bb93p+chuPn&#10;8rB5XpqPeMh3afaKQ974q9b3d2v1AiLaS/wLwy8+o0PNTI0/kQli1JA9KXaJGpI0ZQdOZEWyAdHw&#10;Js8LkHUl/zvUP1BLAwQUAAAACACHTuJA1XbDn98BAACrAwAADgAAAGRycy9lMm9Eb2MueG1srVPN&#10;jtMwEL4j8Q6W7zTZQgtUTVdiq3JBgLTwAK7jJJb8x4zbpDwAvAEnLtz3ufocjJ22C8tlD+TgjOf/&#10;+2a8vB6sYXsFqL2r+NWk5Ew56Wvt2op//rR59oozjMLVwninKn5QyK9XT58s+7BQU995UytglMTh&#10;og8V72IMi6JA2SkrcOKDcmRsPFgR6QptUYPoKbs1xbQs50XvoQ7gpUIk7Xo08lNGeExC3zRaqrWX&#10;O6tcHLOCMiISJOx0QL7K3TaNkvFD06CKzFSckMZ8UhGSt+ksVkuxaEGETstTC+IxLTzAZIV2VPSS&#10;ai2iYDvQ/6SyWoJH38SJ9LYYgWRGCMVV+YCb204ElbEQ1RgupOP/Syvf7z8C03XFp5w5YWngxx/f&#10;jz/vjr++sRfzeSKoD7ggv9tAnnF44wdam7MeSZlwDw3Y9CdEjOxE7+FCrxoik6R8Tt/LGWeSTNPy&#10;9WyW6S/ugwNgfKu8ZUmoOND0Mqli/w4jNUKuZ5dUC73R9UYbky/Qbm8MsL2gSW/yl3qkkL/cjEvO&#10;zqew0Zw0RYI4QklSHLbDCffW1weCTe+FGuo8fOWsp22pOH7ZCVCcCSdJXfF4Fm/iuF67ALrtKCpz&#10;lSvQDHNHp31LS/LnPfdx/8ZW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Am6lz2AAAAAsBAAAP&#10;AAAAAAAAAAEAIAAAACIAAABkcnMvZG93bnJldi54bWxQSwECFAAUAAAACACHTuJA1XbDn98BAACr&#10;AwAADgAAAAAAAAABACAAAAAnAQAAZHJzL2Uyb0RvYy54bWxQSwUGAAAAAAYABgBZAQAAeAUAAAAA&#10;">
                      <v:fill on="t" focussize="0,0"/>
                      <v:stroke on="f"/>
                      <v:imagedata o:title=""/>
                      <o:lock v:ext="edit" aspectratio="f"/>
                      <v:textbox>
                        <w:txbxContent>
                          <w:p w14:paraId="61C4EC0B"/>
                        </w:txbxContent>
                      </v:textbox>
                    </v:shape>
                  </w:pict>
                </mc:Fallback>
              </mc:AlternateContent>
            </w:r>
            <w:r>
              <w:rPr>
                <w:szCs w:val="21"/>
              </w:rPr>
              <w:drawing>
                <wp:anchor distT="0" distB="0" distL="114300" distR="114300" simplePos="0" relativeHeight="251659264" behindDoc="0" locked="0" layoutInCell="1" allowOverlap="1">
                  <wp:simplePos x="0" y="0"/>
                  <wp:positionH relativeFrom="column">
                    <wp:posOffset>3705225</wp:posOffset>
                  </wp:positionH>
                  <wp:positionV relativeFrom="paragraph">
                    <wp:posOffset>1514475</wp:posOffset>
                  </wp:positionV>
                  <wp:extent cx="381000" cy="200025"/>
                  <wp:effectExtent l="0" t="0" r="0" b="9525"/>
                  <wp:wrapNone/>
                  <wp:docPr id="1" name="图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65"/>
                          <pic:cNvPicPr>
                            <a:picLocks noChangeAspect="1"/>
                          </pic:cNvPicPr>
                        </pic:nvPicPr>
                        <pic:blipFill>
                          <a:blip r:embed="rId19"/>
                          <a:stretch>
                            <a:fillRect/>
                          </a:stretch>
                        </pic:blipFill>
                        <pic:spPr>
                          <a:xfrm>
                            <a:off x="0" y="0"/>
                            <a:ext cx="381000" cy="200025"/>
                          </a:xfrm>
                          <a:prstGeom prst="rect">
                            <a:avLst/>
                          </a:prstGeom>
                          <a:noFill/>
                          <a:ln>
                            <a:noFill/>
                          </a:ln>
                        </pic:spPr>
                      </pic:pic>
                    </a:graphicData>
                  </a:graphic>
                </wp:anchor>
              </w:drawing>
            </w:r>
          </w:p>
          <w:p w14:paraId="3F36D866">
            <w:pPr>
              <w:spacing w:line="360" w:lineRule="auto"/>
              <w:jc w:val="center"/>
              <w:textAlignment w:val="baseline"/>
              <w:rPr>
                <w:b/>
                <w:bCs/>
                <w:szCs w:val="21"/>
              </w:rPr>
            </w:pPr>
            <w:r>
              <w:rPr>
                <w:b/>
                <w:bCs/>
                <w:szCs w:val="21"/>
              </w:rPr>
              <w:t>图</w:t>
            </w:r>
            <w:r>
              <w:rPr>
                <w:rFonts w:hint="eastAsia"/>
                <w:b/>
                <w:bCs/>
                <w:szCs w:val="21"/>
              </w:rPr>
              <w:t>2-</w:t>
            </w:r>
            <w:r>
              <w:rPr>
                <w:rFonts w:hint="eastAsia"/>
                <w:b/>
                <w:bCs/>
                <w:szCs w:val="21"/>
                <w:lang w:val="en-US" w:eastAsia="zh-CN"/>
              </w:rPr>
              <w:t>7</w:t>
            </w:r>
            <w:r>
              <w:rPr>
                <w:b/>
                <w:bCs/>
                <w:szCs w:val="21"/>
              </w:rPr>
              <w:t>水稳拌合料生产工艺及产排污环节图</w:t>
            </w:r>
          </w:p>
          <w:p w14:paraId="54C651BC">
            <w:pPr>
              <w:spacing w:line="360" w:lineRule="auto"/>
              <w:ind w:firstLine="420" w:firstLineChars="200"/>
              <w:jc w:val="left"/>
              <w:textAlignment w:val="baseline"/>
              <w:rPr>
                <w:szCs w:val="21"/>
              </w:rPr>
            </w:pPr>
            <w:r>
              <w:rPr>
                <w:szCs w:val="21"/>
              </w:rPr>
              <w:t>①卸料</w:t>
            </w:r>
          </w:p>
          <w:p w14:paraId="5188FC3E">
            <w:pPr>
              <w:spacing w:line="360" w:lineRule="auto"/>
              <w:ind w:firstLine="420" w:firstLineChars="200"/>
              <w:jc w:val="left"/>
              <w:textAlignment w:val="baseline"/>
              <w:rPr>
                <w:szCs w:val="21"/>
              </w:rPr>
            </w:pPr>
            <w:r>
              <w:rPr>
                <w:szCs w:val="21"/>
              </w:rPr>
              <w:t>项目粗骨料、细骨料均通过汽车运输到场内，然后卸料至原料仓库内，水泥通过罐车运输到厂内。</w:t>
            </w:r>
          </w:p>
          <w:p w14:paraId="74C0A9EF">
            <w:pPr>
              <w:spacing w:line="360" w:lineRule="auto"/>
              <w:ind w:firstLine="420" w:firstLineChars="200"/>
              <w:jc w:val="left"/>
              <w:textAlignment w:val="baseline"/>
              <w:rPr>
                <w:szCs w:val="21"/>
              </w:rPr>
            </w:pPr>
            <w:r>
              <w:rPr>
                <w:szCs w:val="21"/>
              </w:rPr>
              <w:t>②骨料配料、上料</w:t>
            </w:r>
          </w:p>
          <w:p w14:paraId="33491C46">
            <w:pPr>
              <w:spacing w:line="360" w:lineRule="auto"/>
              <w:ind w:firstLine="420" w:firstLineChars="200"/>
              <w:jc w:val="left"/>
              <w:textAlignment w:val="baseline"/>
              <w:rPr>
                <w:szCs w:val="21"/>
              </w:rPr>
            </w:pPr>
            <w:r>
              <w:rPr>
                <w:szCs w:val="21"/>
              </w:rPr>
              <w:t>骨料主要分为粗骨料和细骨料。将骨料用装载机从仓库转至集料仓的计量系统上，厂区原料仓库采用密闭式结构，一侧预留车辆运送通道，顶部设置防雨盖板，定时洒水以减少起尘。砂石等原料分别计量后，再通过皮带输送机进入相应的集料皮带，由皮带输送机运至冷料仓内。皮带输送机采用“全封闭”的抑尘方式。骨料配料、送料都是由皮带机完成，放料时由于高差原因，会产生一定量的粉尘。此过程有粉尘和噪声产生。</w:t>
            </w:r>
          </w:p>
          <w:p w14:paraId="1111FAD1">
            <w:pPr>
              <w:spacing w:line="360" w:lineRule="auto"/>
              <w:ind w:firstLine="420" w:firstLineChars="200"/>
              <w:jc w:val="left"/>
              <w:textAlignment w:val="baseline"/>
              <w:rPr>
                <w:szCs w:val="21"/>
              </w:rPr>
            </w:pPr>
            <w:r>
              <w:rPr>
                <w:szCs w:val="21"/>
              </w:rPr>
              <w:t>③搅拌</w:t>
            </w:r>
          </w:p>
          <w:p w14:paraId="0F5B9A4E">
            <w:pPr>
              <w:spacing w:line="360" w:lineRule="auto"/>
              <w:ind w:firstLine="420" w:firstLineChars="200"/>
              <w:jc w:val="left"/>
              <w:textAlignment w:val="baseline"/>
              <w:rPr>
                <w:szCs w:val="21"/>
              </w:rPr>
            </w:pPr>
            <w:r>
              <w:rPr>
                <w:szCs w:val="21"/>
              </w:rPr>
              <w:t>项目粗、细骨料在冷料仓混合均匀后进入拌合楼；厂区水泥主要储存在水泥储罐中，使用时通过计量螺旋送入搅拌缸；搅拌用水通过水泵泵入搅拌缸中。</w:t>
            </w:r>
          </w:p>
          <w:p w14:paraId="22439FA1">
            <w:pPr>
              <w:spacing w:line="360" w:lineRule="auto"/>
              <w:ind w:firstLine="420" w:firstLineChars="200"/>
              <w:jc w:val="left"/>
              <w:textAlignment w:val="baseline"/>
              <w:rPr>
                <w:b/>
                <w:bCs/>
                <w:szCs w:val="21"/>
              </w:rPr>
            </w:pPr>
            <w:r>
              <w:rPr>
                <w:szCs w:val="21"/>
              </w:rPr>
              <w:t>骨料在冷料仓混合均匀后与水泥和水各自通过计量后，同时投料进入搅拌机内，其中厂区水泥主要储存在水泥储罐中，使用时通过计量螺旋送入搅拌缸；搅拌用水通过水泵泵入搅拌缸中。搅拌机采用自动盖料，密封搅拌、湿作业，每次搅拌所需时间为30秒，此过程有噪声、粉尘产生。</w:t>
            </w:r>
          </w:p>
          <w:p w14:paraId="22539DEC">
            <w:pPr>
              <w:pStyle w:val="92"/>
              <w:widowControl w:val="0"/>
              <w:ind w:firstLine="422"/>
              <w:rPr>
                <w:rFonts w:cs="Times New Roman"/>
                <w:sz w:val="21"/>
                <w:szCs w:val="21"/>
                <w:highlight w:val="none"/>
              </w:rPr>
            </w:pPr>
            <w:r>
              <w:rPr>
                <w:rFonts w:hint="eastAsia" w:ascii="宋体" w:hAnsi="宋体" w:eastAsia="宋体"/>
                <w:b/>
                <w:bCs/>
                <w:sz w:val="21"/>
                <w:szCs w:val="21"/>
                <w:highlight w:val="none"/>
              </w:rPr>
              <w:t>主要污染工序：</w:t>
            </w:r>
          </w:p>
          <w:p w14:paraId="6E746F0E">
            <w:pPr>
              <w:pStyle w:val="92"/>
              <w:ind w:firstLine="420"/>
              <w:rPr>
                <w:rFonts w:cs="Times New Roman"/>
                <w:sz w:val="21"/>
                <w:szCs w:val="21"/>
                <w:highlight w:val="none"/>
              </w:rPr>
            </w:pPr>
            <w:r>
              <w:rPr>
                <w:rFonts w:hint="eastAsia" w:cs="Times New Roman"/>
                <w:sz w:val="21"/>
                <w:szCs w:val="21"/>
                <w:highlight w:val="none"/>
              </w:rPr>
              <w:t>（1）废气</w:t>
            </w:r>
          </w:p>
          <w:p w14:paraId="22F8F703">
            <w:pPr>
              <w:autoSpaceDE w:val="0"/>
              <w:autoSpaceDN w:val="0"/>
              <w:spacing w:line="360" w:lineRule="auto"/>
              <w:ind w:firstLine="420" w:firstLineChars="200"/>
              <w:rPr>
                <w:color w:val="auto"/>
                <w:szCs w:val="21"/>
                <w:highlight w:val="none"/>
              </w:rPr>
            </w:pPr>
            <w:r>
              <w:rPr>
                <w:szCs w:val="21"/>
                <w:highlight w:val="none"/>
              </w:rPr>
              <w:t>运营期</w:t>
            </w:r>
            <w:r>
              <w:rPr>
                <w:color w:val="auto"/>
                <w:szCs w:val="21"/>
                <w:highlight w:val="none"/>
              </w:rPr>
              <w:t>产生的废气主要为：</w:t>
            </w:r>
          </w:p>
          <w:p w14:paraId="284E8BAC">
            <w:pPr>
              <w:pStyle w:val="92"/>
              <w:widowControl w:val="0"/>
              <w:ind w:firstLine="420"/>
              <w:rPr>
                <w:rFonts w:eastAsia="宋体" w:cs="Times New Roman"/>
                <w:color w:val="auto"/>
                <w:sz w:val="21"/>
                <w:szCs w:val="21"/>
                <w:highlight w:val="none"/>
              </w:rPr>
            </w:pPr>
            <w:r>
              <w:rPr>
                <w:rFonts w:eastAsia="宋体" w:cs="Times New Roman"/>
                <w:color w:val="auto"/>
                <w:sz w:val="21"/>
                <w:szCs w:val="21"/>
                <w:highlight w:val="none"/>
              </w:rPr>
              <w:t>①沥青混凝土生产过程中加入骨料、矿粉时产生的粉尘，污染因子为颗粒物。</w:t>
            </w:r>
          </w:p>
          <w:p w14:paraId="1E631717">
            <w:pPr>
              <w:pStyle w:val="37"/>
              <w:ind w:firstLine="420"/>
              <w:rPr>
                <w:rFonts w:hint="eastAsia" w:cs="Times New Roman"/>
                <w:color w:val="auto"/>
                <w:sz w:val="21"/>
                <w:szCs w:val="21"/>
                <w:highlight w:val="none"/>
                <w:lang w:eastAsia="zh-CN"/>
              </w:rPr>
            </w:pPr>
            <w:r>
              <w:rPr>
                <w:rFonts w:cs="Times New Roman"/>
                <w:color w:val="auto"/>
                <w:kern w:val="0"/>
                <w:sz w:val="21"/>
                <w:szCs w:val="21"/>
                <w:highlight w:val="none"/>
              </w:rPr>
              <w:t>②</w:t>
            </w:r>
            <w:r>
              <w:rPr>
                <w:rFonts w:cs="Times New Roman"/>
                <w:color w:val="auto"/>
                <w:sz w:val="21"/>
                <w:szCs w:val="21"/>
                <w:highlight w:val="none"/>
              </w:rPr>
              <w:t>沥青混凝土生产过程中骨料进入烘干筒</w:t>
            </w:r>
            <w:r>
              <w:rPr>
                <w:rFonts w:hint="eastAsia" w:cs="Times New Roman"/>
                <w:color w:val="auto"/>
                <w:sz w:val="21"/>
                <w:szCs w:val="21"/>
                <w:highlight w:val="none"/>
              </w:rPr>
              <w:t>，</w:t>
            </w:r>
            <w:r>
              <w:rPr>
                <w:rFonts w:cs="Times New Roman"/>
                <w:color w:val="auto"/>
                <w:sz w:val="21"/>
                <w:szCs w:val="21"/>
                <w:highlight w:val="none"/>
              </w:rPr>
              <w:t>以</w:t>
            </w:r>
            <w:r>
              <w:rPr>
                <w:rFonts w:hint="eastAsia" w:cs="Times New Roman"/>
                <w:color w:val="auto"/>
                <w:sz w:val="21"/>
                <w:szCs w:val="21"/>
                <w:highlight w:val="none"/>
              </w:rPr>
              <w:t>天然气</w:t>
            </w:r>
            <w:r>
              <w:rPr>
                <w:rFonts w:cs="Times New Roman"/>
                <w:color w:val="auto"/>
                <w:sz w:val="21"/>
                <w:szCs w:val="21"/>
                <w:highlight w:val="none"/>
              </w:rPr>
              <w:t>作为热源加热烘干筒时产生的</w:t>
            </w:r>
            <w:r>
              <w:rPr>
                <w:rFonts w:hint="eastAsia" w:cs="Times New Roman"/>
                <w:color w:val="auto"/>
                <w:sz w:val="21"/>
                <w:szCs w:val="21"/>
                <w:highlight w:val="none"/>
              </w:rPr>
              <w:t>燃气废气</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污染因子为二氧化硫、氮氧化物和颗粒物</w:t>
            </w:r>
            <w:r>
              <w:rPr>
                <w:rFonts w:hint="eastAsia" w:cs="Times New Roman"/>
                <w:color w:val="auto"/>
                <w:sz w:val="21"/>
                <w:szCs w:val="21"/>
                <w:highlight w:val="none"/>
                <w:lang w:eastAsia="zh-CN"/>
              </w:rPr>
              <w:t>；</w:t>
            </w:r>
          </w:p>
          <w:p w14:paraId="7CD7BBA4">
            <w:pPr>
              <w:pStyle w:val="37"/>
              <w:ind w:firstLine="420"/>
              <w:rPr>
                <w:rFonts w:cs="Times New Roman"/>
                <w:color w:val="auto"/>
                <w:sz w:val="21"/>
                <w:szCs w:val="21"/>
                <w:highlight w:val="none"/>
              </w:rPr>
            </w:pPr>
            <w:r>
              <w:rPr>
                <w:rFonts w:cs="Times New Roman"/>
                <w:color w:val="auto"/>
                <w:sz w:val="21"/>
                <w:szCs w:val="21"/>
                <w:highlight w:val="none"/>
              </w:rPr>
              <w:t>③沥青混凝土生产过程中骨料进入烘干筒、粉料提升和振动筛分工序产生粉尘</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污染因子为颗粒物</w:t>
            </w:r>
            <w:r>
              <w:rPr>
                <w:rFonts w:hint="eastAsia" w:cs="Times New Roman"/>
                <w:color w:val="auto"/>
                <w:sz w:val="21"/>
                <w:szCs w:val="21"/>
                <w:highlight w:val="none"/>
                <w:lang w:eastAsia="zh-CN"/>
              </w:rPr>
              <w:t>；</w:t>
            </w:r>
          </w:p>
          <w:p w14:paraId="257723FE">
            <w:pPr>
              <w:pStyle w:val="37"/>
              <w:ind w:firstLine="420"/>
              <w:rPr>
                <w:rFonts w:cs="Times New Roman"/>
                <w:color w:val="auto"/>
                <w:sz w:val="21"/>
                <w:szCs w:val="21"/>
                <w:highlight w:val="yellow"/>
                <w:lang w:bidi="ar"/>
              </w:rPr>
            </w:pPr>
            <w:r>
              <w:rPr>
                <w:rFonts w:hint="eastAsia" w:cs="Times New Roman"/>
                <w:color w:val="auto"/>
                <w:kern w:val="0"/>
                <w:sz w:val="21"/>
                <w:szCs w:val="21"/>
                <w:highlight w:val="none"/>
                <w:lang w:val="en-US" w:eastAsia="zh-CN"/>
              </w:rPr>
              <w:t>④</w:t>
            </w:r>
            <w:r>
              <w:rPr>
                <w:rFonts w:cs="Times New Roman"/>
                <w:color w:val="auto"/>
                <w:sz w:val="21"/>
                <w:szCs w:val="21"/>
                <w:highlight w:val="none"/>
              </w:rPr>
              <w:t>沥青混凝土生产过程中</w:t>
            </w:r>
            <w:r>
              <w:rPr>
                <w:rFonts w:cs="Times New Roman"/>
                <w:color w:val="auto"/>
                <w:sz w:val="21"/>
                <w:szCs w:val="21"/>
                <w:highlight w:val="none"/>
                <w:lang w:bidi="ar"/>
              </w:rPr>
              <w:t>搅拌设备产生的沥青烟气。污染因子为苯并芘、沥青烟和非甲烷总烃。</w:t>
            </w:r>
          </w:p>
          <w:p w14:paraId="60EC2C66">
            <w:pPr>
              <w:pStyle w:val="37"/>
              <w:ind w:firstLine="420"/>
              <w:rPr>
                <w:rFonts w:cs="Times New Roman"/>
                <w:color w:val="auto"/>
                <w:kern w:val="0"/>
                <w:sz w:val="21"/>
                <w:szCs w:val="21"/>
                <w:highlight w:val="none"/>
              </w:rPr>
            </w:pPr>
            <w:r>
              <w:rPr>
                <w:rFonts w:hint="eastAsia" w:cs="Times New Roman"/>
                <w:color w:val="auto"/>
                <w:kern w:val="0"/>
                <w:sz w:val="21"/>
                <w:szCs w:val="21"/>
                <w:highlight w:val="none"/>
                <w:lang w:val="en-US" w:eastAsia="zh-CN"/>
              </w:rPr>
              <w:t>⑤</w:t>
            </w:r>
            <w:r>
              <w:rPr>
                <w:rFonts w:cs="Times New Roman"/>
                <w:color w:val="auto"/>
                <w:kern w:val="0"/>
                <w:sz w:val="21"/>
                <w:szCs w:val="21"/>
                <w:highlight w:val="none"/>
              </w:rPr>
              <w:t>水稳砼生产线粉料仓卸料粉尘</w:t>
            </w:r>
            <w:r>
              <w:rPr>
                <w:rFonts w:cs="Times New Roman"/>
                <w:color w:val="auto"/>
                <w:sz w:val="21"/>
                <w:szCs w:val="21"/>
                <w:highlight w:val="none"/>
              </w:rPr>
              <w:t>。污染因子为颗粒物。</w:t>
            </w:r>
          </w:p>
          <w:p w14:paraId="55FD4979">
            <w:pPr>
              <w:spacing w:line="360" w:lineRule="auto"/>
              <w:ind w:firstLine="420" w:firstLineChars="200"/>
              <w:jc w:val="left"/>
              <w:textAlignment w:val="baseline"/>
              <w:rPr>
                <w:szCs w:val="21"/>
                <w:highlight w:val="none"/>
              </w:rPr>
            </w:pPr>
            <w:r>
              <w:rPr>
                <w:rFonts w:hint="eastAsia"/>
                <w:color w:val="auto"/>
                <w:szCs w:val="21"/>
                <w:highlight w:val="none"/>
                <w:lang w:val="en-US" w:eastAsia="zh-CN"/>
              </w:rPr>
              <w:t>⑥</w:t>
            </w:r>
            <w:r>
              <w:rPr>
                <w:color w:val="auto"/>
                <w:szCs w:val="21"/>
                <w:highlight w:val="none"/>
              </w:rPr>
              <w:t>水稳砼生产线上料粉尘。污染因子为颗</w:t>
            </w:r>
            <w:r>
              <w:rPr>
                <w:szCs w:val="21"/>
                <w:highlight w:val="none"/>
              </w:rPr>
              <w:t>粒物。</w:t>
            </w:r>
          </w:p>
          <w:p w14:paraId="1A7854DC">
            <w:pPr>
              <w:spacing w:line="360" w:lineRule="auto"/>
              <w:ind w:firstLine="420" w:firstLineChars="200"/>
              <w:rPr>
                <w:szCs w:val="21"/>
                <w:highlight w:val="none"/>
              </w:rPr>
            </w:pPr>
            <w:r>
              <w:rPr>
                <w:rFonts w:hint="eastAsia"/>
                <w:szCs w:val="21"/>
                <w:highlight w:val="none"/>
                <w:lang w:val="en-US" w:eastAsia="zh-CN"/>
              </w:rPr>
              <w:t>⑦</w:t>
            </w:r>
            <w:r>
              <w:rPr>
                <w:szCs w:val="21"/>
                <w:highlight w:val="none"/>
              </w:rPr>
              <w:t>食堂废气产生的污染因子为食堂油烟。</w:t>
            </w:r>
          </w:p>
          <w:p w14:paraId="38023A78">
            <w:pPr>
              <w:autoSpaceDE w:val="0"/>
              <w:autoSpaceDN w:val="0"/>
              <w:spacing w:line="360" w:lineRule="auto"/>
              <w:ind w:firstLine="420" w:firstLineChars="200"/>
              <w:rPr>
                <w:rFonts w:eastAsia="Times New Roman"/>
                <w:szCs w:val="21"/>
                <w:highlight w:val="none"/>
              </w:rPr>
            </w:pPr>
            <w:r>
              <w:rPr>
                <w:rFonts w:hint="eastAsia" w:eastAsia="Times New Roman"/>
                <w:szCs w:val="21"/>
                <w:highlight w:val="none"/>
              </w:rPr>
              <w:t>（2）废水</w:t>
            </w:r>
          </w:p>
          <w:p w14:paraId="60D98FEC">
            <w:pPr>
              <w:pStyle w:val="92"/>
              <w:ind w:firstLine="420"/>
              <w:rPr>
                <w:rFonts w:cs="Times New Roman"/>
                <w:sz w:val="21"/>
                <w:szCs w:val="21"/>
                <w:highlight w:val="none"/>
              </w:rPr>
            </w:pPr>
            <w:r>
              <w:rPr>
                <w:rFonts w:hint="eastAsia" w:cs="Times New Roman"/>
                <w:sz w:val="21"/>
                <w:szCs w:val="21"/>
                <w:highlight w:val="none"/>
              </w:rPr>
              <w:t>运营期废水为工作人员产生的生活污水。</w:t>
            </w:r>
          </w:p>
          <w:p w14:paraId="53EECE80">
            <w:pPr>
              <w:pStyle w:val="92"/>
              <w:ind w:firstLine="420"/>
              <w:rPr>
                <w:rFonts w:cs="Times New Roman"/>
                <w:sz w:val="21"/>
                <w:szCs w:val="21"/>
                <w:highlight w:val="none"/>
              </w:rPr>
            </w:pPr>
            <w:r>
              <w:rPr>
                <w:rFonts w:hint="eastAsia" w:cs="Times New Roman"/>
                <w:sz w:val="21"/>
                <w:szCs w:val="21"/>
                <w:highlight w:val="none"/>
              </w:rPr>
              <w:t>（</w:t>
            </w:r>
            <w:r>
              <w:rPr>
                <w:rFonts w:cs="Times New Roman"/>
                <w:sz w:val="21"/>
                <w:szCs w:val="21"/>
                <w:highlight w:val="none"/>
              </w:rPr>
              <w:t>3</w:t>
            </w:r>
            <w:r>
              <w:rPr>
                <w:rFonts w:hint="eastAsia" w:cs="Times New Roman"/>
                <w:sz w:val="21"/>
                <w:szCs w:val="21"/>
                <w:highlight w:val="none"/>
              </w:rPr>
              <w:t>）噪声</w:t>
            </w:r>
          </w:p>
          <w:p w14:paraId="4B1ACFE0">
            <w:pPr>
              <w:pStyle w:val="92"/>
              <w:ind w:firstLine="420"/>
              <w:rPr>
                <w:rFonts w:cs="Times New Roman"/>
                <w:sz w:val="21"/>
                <w:szCs w:val="21"/>
                <w:highlight w:val="none"/>
              </w:rPr>
            </w:pPr>
            <w:r>
              <w:rPr>
                <w:rFonts w:hint="eastAsia" w:cs="Times New Roman"/>
                <w:sz w:val="21"/>
                <w:szCs w:val="21"/>
                <w:highlight w:val="none"/>
              </w:rPr>
              <w:t>本项目运营期噪声源主要为风机、搅拌机、运输车辆等，源强约为80</w:t>
            </w:r>
            <w:r>
              <w:rPr>
                <w:rFonts w:cs="Times New Roman"/>
                <w:sz w:val="21"/>
                <w:szCs w:val="21"/>
                <w:highlight w:val="none"/>
              </w:rPr>
              <w:t>~</w:t>
            </w:r>
            <w:r>
              <w:rPr>
                <w:rFonts w:hint="eastAsia" w:cs="Times New Roman"/>
                <w:sz w:val="21"/>
                <w:szCs w:val="21"/>
                <w:highlight w:val="none"/>
              </w:rPr>
              <w:t>90</w:t>
            </w:r>
            <w:r>
              <w:rPr>
                <w:rFonts w:cs="Times New Roman"/>
                <w:sz w:val="21"/>
                <w:szCs w:val="21"/>
                <w:highlight w:val="none"/>
              </w:rPr>
              <w:t>dB</w:t>
            </w:r>
            <w:r>
              <w:rPr>
                <w:rFonts w:hint="eastAsia" w:cs="Times New Roman"/>
                <w:sz w:val="21"/>
                <w:szCs w:val="21"/>
                <w:highlight w:val="none"/>
              </w:rPr>
              <w:t>（</w:t>
            </w:r>
            <w:r>
              <w:rPr>
                <w:rFonts w:cs="Times New Roman"/>
                <w:sz w:val="21"/>
                <w:szCs w:val="21"/>
                <w:highlight w:val="none"/>
              </w:rPr>
              <w:t>A</w:t>
            </w:r>
            <w:r>
              <w:rPr>
                <w:rFonts w:hint="eastAsia" w:cs="Times New Roman"/>
                <w:sz w:val="21"/>
                <w:szCs w:val="21"/>
                <w:highlight w:val="none"/>
              </w:rPr>
              <w:t>）。</w:t>
            </w:r>
          </w:p>
          <w:p w14:paraId="0FD87041">
            <w:pPr>
              <w:pStyle w:val="92"/>
              <w:ind w:firstLine="420"/>
              <w:rPr>
                <w:rFonts w:cs="Times New Roman"/>
                <w:sz w:val="21"/>
                <w:szCs w:val="21"/>
                <w:highlight w:val="none"/>
              </w:rPr>
            </w:pPr>
            <w:r>
              <w:rPr>
                <w:rFonts w:hint="eastAsia" w:cs="Times New Roman"/>
                <w:sz w:val="21"/>
                <w:szCs w:val="21"/>
                <w:highlight w:val="none"/>
              </w:rPr>
              <w:t>（</w:t>
            </w:r>
            <w:r>
              <w:rPr>
                <w:rFonts w:cs="Times New Roman"/>
                <w:sz w:val="21"/>
                <w:szCs w:val="21"/>
                <w:highlight w:val="none"/>
              </w:rPr>
              <w:t>4</w:t>
            </w:r>
            <w:r>
              <w:rPr>
                <w:rFonts w:hint="eastAsia" w:cs="Times New Roman"/>
                <w:sz w:val="21"/>
                <w:szCs w:val="21"/>
                <w:highlight w:val="none"/>
              </w:rPr>
              <w:t>）固体废物</w:t>
            </w:r>
          </w:p>
          <w:p w14:paraId="216232F4">
            <w:pPr>
              <w:pStyle w:val="92"/>
              <w:ind w:firstLine="420"/>
            </w:pPr>
            <w:r>
              <w:rPr>
                <w:rFonts w:hint="eastAsia" w:cs="Times New Roman"/>
                <w:sz w:val="21"/>
                <w:szCs w:val="21"/>
                <w:highlight w:val="none"/>
              </w:rPr>
              <w:t>本项目运营期产生的一般固体废物主要为布袋除尘器收集的粉尘（302-001-66）、洗车槽时沉淀的少量原料（302-001-44）；滴漏沥青（302-999-99）及工作人员产生的生活垃圾（900-999-99）等；本项目运营期产生的危险废物为</w:t>
            </w:r>
            <w:r>
              <w:rPr>
                <w:rFonts w:hint="eastAsia" w:eastAsia="宋体" w:cs="Times New Roman"/>
                <w:sz w:val="21"/>
                <w:szCs w:val="21"/>
                <w:highlight w:val="none"/>
              </w:rPr>
              <w:t>废导热油</w:t>
            </w:r>
            <w:r>
              <w:rPr>
                <w:rFonts w:eastAsia="宋体" w:cs="Times New Roman"/>
                <w:bCs/>
                <w:sz w:val="21"/>
                <w:szCs w:val="21"/>
                <w:highlight w:val="none"/>
              </w:rPr>
              <w:t>HW</w:t>
            </w:r>
            <w:r>
              <w:rPr>
                <w:rFonts w:hint="eastAsia" w:cs="Times New Roman"/>
                <w:bCs/>
                <w:sz w:val="21"/>
                <w:szCs w:val="21"/>
                <w:highlight w:val="none"/>
              </w:rPr>
              <w:t>10</w:t>
            </w:r>
            <w:r>
              <w:rPr>
                <w:rFonts w:hint="eastAsia" w:eastAsia="宋体" w:cs="Times New Roman"/>
                <w:sz w:val="21"/>
                <w:szCs w:val="21"/>
                <w:highlight w:val="none"/>
              </w:rPr>
              <w:t>（</w:t>
            </w:r>
            <w:r>
              <w:rPr>
                <w:rFonts w:hint="eastAsia" w:cs="Times New Roman"/>
                <w:bCs/>
                <w:sz w:val="21"/>
                <w:szCs w:val="21"/>
                <w:highlight w:val="none"/>
              </w:rPr>
              <w:t>900-010-10</w:t>
            </w:r>
            <w:r>
              <w:rPr>
                <w:rFonts w:hint="eastAsia" w:eastAsia="宋体" w:cs="Times New Roman"/>
                <w:sz w:val="21"/>
                <w:szCs w:val="21"/>
                <w:highlight w:val="none"/>
              </w:rPr>
              <w:t>）</w:t>
            </w:r>
            <w:r>
              <w:rPr>
                <w:rFonts w:hint="eastAsia" w:cs="Times New Roman"/>
                <w:sz w:val="21"/>
                <w:szCs w:val="21"/>
                <w:highlight w:val="none"/>
              </w:rPr>
              <w:t>、废机油HW08（900-249-08）和</w:t>
            </w:r>
            <w:r>
              <w:rPr>
                <w:rFonts w:hint="eastAsia" w:eastAsia="宋体" w:cs="Times New Roman"/>
                <w:color w:val="auto"/>
                <w:sz w:val="21"/>
                <w:szCs w:val="21"/>
                <w:highlight w:val="none"/>
                <w:lang w:val="en-US" w:eastAsia="zh-CN"/>
              </w:rPr>
              <w:t>二级</w:t>
            </w:r>
            <w:r>
              <w:rPr>
                <w:rFonts w:hint="eastAsia" w:cs="Times New Roman"/>
                <w:color w:val="auto"/>
                <w:sz w:val="21"/>
                <w:szCs w:val="21"/>
                <w:highlight w:val="none"/>
              </w:rPr>
              <w:t>活性炭吸附装置产</w:t>
            </w:r>
            <w:r>
              <w:rPr>
                <w:rFonts w:hint="eastAsia" w:cs="Times New Roman"/>
                <w:sz w:val="21"/>
                <w:szCs w:val="21"/>
                <w:highlight w:val="none"/>
              </w:rPr>
              <w:t>生的废</w:t>
            </w:r>
            <w:r>
              <w:rPr>
                <w:rFonts w:hint="eastAsia" w:eastAsia="宋体" w:cs="Times New Roman"/>
                <w:sz w:val="21"/>
                <w:szCs w:val="21"/>
                <w:highlight w:val="none"/>
              </w:rPr>
              <w:t>活性炭</w:t>
            </w:r>
            <w:r>
              <w:rPr>
                <w:rFonts w:eastAsia="宋体" w:cs="Times New Roman"/>
                <w:bCs/>
                <w:sz w:val="21"/>
                <w:szCs w:val="21"/>
                <w:highlight w:val="none"/>
              </w:rPr>
              <w:t>HW</w:t>
            </w:r>
            <w:r>
              <w:rPr>
                <w:rFonts w:hint="eastAsia" w:cs="Times New Roman"/>
                <w:bCs/>
                <w:sz w:val="21"/>
                <w:szCs w:val="21"/>
                <w:highlight w:val="none"/>
              </w:rPr>
              <w:t>49</w:t>
            </w:r>
            <w:r>
              <w:rPr>
                <w:rFonts w:hint="eastAsia" w:eastAsia="宋体" w:cs="Times New Roman"/>
                <w:sz w:val="21"/>
                <w:szCs w:val="21"/>
                <w:highlight w:val="none"/>
              </w:rPr>
              <w:t>（900-039-49）</w:t>
            </w:r>
            <w:r>
              <w:rPr>
                <w:rFonts w:hint="eastAsia" w:cs="Times New Roman"/>
                <w:sz w:val="21"/>
                <w:szCs w:val="21"/>
                <w:highlight w:val="none"/>
              </w:rPr>
              <w:t>。</w:t>
            </w:r>
          </w:p>
        </w:tc>
      </w:tr>
      <w:tr w14:paraId="2B742C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91" w:hRule="atLeast"/>
          <w:jc w:val="center"/>
        </w:trPr>
        <w:tc>
          <w:tcPr>
            <w:tcW w:w="535" w:type="dxa"/>
            <w:vAlign w:val="center"/>
          </w:tcPr>
          <w:p w14:paraId="31F9945B">
            <w:pPr>
              <w:pStyle w:val="25"/>
              <w:adjustRightInd w:val="0"/>
              <w:snapToGrid w:val="0"/>
              <w:spacing w:before="0" w:beforeAutospacing="0" w:after="0" w:afterAutospacing="0"/>
              <w:jc w:val="center"/>
              <w:rPr>
                <w:rFonts w:ascii="Times New Roman" w:hAnsi="Times New Roman"/>
                <w:sz w:val="21"/>
                <w:szCs w:val="21"/>
              </w:rPr>
            </w:pPr>
            <w:r>
              <w:rPr>
                <w:rFonts w:ascii="Times New Roman" w:hAnsi="Times New Roman"/>
                <w:bCs/>
                <w:kern w:val="2"/>
                <w:sz w:val="21"/>
                <w:szCs w:val="21"/>
              </w:rPr>
              <w:t>与项目有关的原有环境污染问题</w:t>
            </w:r>
          </w:p>
        </w:tc>
        <w:tc>
          <w:tcPr>
            <w:tcW w:w="8525" w:type="dxa"/>
          </w:tcPr>
          <w:p w14:paraId="7AB3FC1D">
            <w:pPr>
              <w:pStyle w:val="75"/>
              <w:ind w:firstLine="420"/>
              <w:rPr>
                <w:color w:val="auto"/>
                <w:kern w:val="0"/>
                <w:sz w:val="21"/>
                <w:szCs w:val="21"/>
              </w:rPr>
            </w:pPr>
            <w:r>
              <w:rPr>
                <w:rFonts w:hint="eastAsia"/>
                <w:kern w:val="0"/>
                <w:sz w:val="21"/>
                <w:szCs w:val="21"/>
                <w:lang w:val="en-US" w:eastAsia="zh-CN"/>
              </w:rPr>
              <w:t>1</w:t>
            </w:r>
            <w:r>
              <w:rPr>
                <w:rFonts w:hint="eastAsia"/>
                <w:kern w:val="0"/>
                <w:sz w:val="21"/>
                <w:szCs w:val="21"/>
              </w:rPr>
              <w:t>、本项目属于未批先建项目，2018年产权变更至今一直未正式运行。新疆天辰环境技术有限公司于202</w:t>
            </w:r>
            <w:r>
              <w:rPr>
                <w:rFonts w:hint="eastAsia"/>
                <w:color w:val="auto"/>
                <w:kern w:val="0"/>
                <w:sz w:val="21"/>
                <w:szCs w:val="21"/>
              </w:rPr>
              <w:t>2年3月29日进行现场监测。监测期间未生产，所以测得环境数据均为环境背景值，无超标。本次环评要求企业在本项目取得批复并将环保措施整改落实到位后方可正式投入生产。</w:t>
            </w:r>
          </w:p>
          <w:p w14:paraId="1AD04542">
            <w:pPr>
              <w:pStyle w:val="75"/>
              <w:ind w:firstLine="420"/>
              <w:rPr>
                <w:color w:val="auto"/>
                <w:kern w:val="0"/>
                <w:sz w:val="21"/>
                <w:szCs w:val="21"/>
              </w:rPr>
            </w:pPr>
            <w:r>
              <w:rPr>
                <w:rFonts w:hint="eastAsia"/>
                <w:color w:val="auto"/>
                <w:kern w:val="0"/>
                <w:sz w:val="21"/>
                <w:szCs w:val="21"/>
                <w:lang w:val="en-US" w:eastAsia="zh-CN"/>
              </w:rPr>
              <w:t>2</w:t>
            </w:r>
            <w:r>
              <w:rPr>
                <w:rFonts w:hint="eastAsia"/>
                <w:color w:val="auto"/>
                <w:kern w:val="0"/>
                <w:sz w:val="21"/>
                <w:szCs w:val="21"/>
              </w:rPr>
              <w:t>、本项目存在的环境问题及整改措施</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1"/>
              <w:gridCol w:w="3421"/>
              <w:gridCol w:w="2277"/>
            </w:tblGrid>
            <w:tr w14:paraId="68A77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1" w:type="dxa"/>
                </w:tcPr>
                <w:p w14:paraId="2A701283">
                  <w:pPr>
                    <w:pStyle w:val="75"/>
                    <w:spacing w:line="240" w:lineRule="auto"/>
                    <w:ind w:firstLine="0" w:firstLineChars="0"/>
                    <w:jc w:val="center"/>
                    <w:rPr>
                      <w:b/>
                      <w:bCs/>
                      <w:color w:val="auto"/>
                      <w:kern w:val="0"/>
                      <w:sz w:val="21"/>
                      <w:szCs w:val="21"/>
                    </w:rPr>
                  </w:pPr>
                  <w:r>
                    <w:rPr>
                      <w:b/>
                      <w:bCs/>
                      <w:color w:val="auto"/>
                      <w:kern w:val="0"/>
                      <w:sz w:val="21"/>
                      <w:szCs w:val="21"/>
                    </w:rPr>
                    <w:t>存在的环境问题</w:t>
                  </w:r>
                </w:p>
              </w:tc>
              <w:tc>
                <w:tcPr>
                  <w:tcW w:w="3421" w:type="dxa"/>
                </w:tcPr>
                <w:p w14:paraId="25615771">
                  <w:pPr>
                    <w:pStyle w:val="75"/>
                    <w:spacing w:line="240" w:lineRule="auto"/>
                    <w:ind w:firstLine="0" w:firstLineChars="0"/>
                    <w:jc w:val="center"/>
                    <w:rPr>
                      <w:b/>
                      <w:bCs/>
                      <w:color w:val="auto"/>
                      <w:kern w:val="0"/>
                      <w:sz w:val="21"/>
                      <w:szCs w:val="21"/>
                    </w:rPr>
                  </w:pPr>
                  <w:r>
                    <w:rPr>
                      <w:b/>
                      <w:bCs/>
                      <w:color w:val="auto"/>
                      <w:kern w:val="0"/>
                      <w:sz w:val="21"/>
                      <w:szCs w:val="21"/>
                    </w:rPr>
                    <w:t>整改措施</w:t>
                  </w:r>
                </w:p>
              </w:tc>
              <w:tc>
                <w:tcPr>
                  <w:tcW w:w="2277" w:type="dxa"/>
                </w:tcPr>
                <w:p w14:paraId="3EDEBF85">
                  <w:pPr>
                    <w:pStyle w:val="75"/>
                    <w:spacing w:line="240" w:lineRule="auto"/>
                    <w:ind w:firstLine="0" w:firstLineChars="0"/>
                    <w:jc w:val="center"/>
                    <w:rPr>
                      <w:b/>
                      <w:bCs/>
                      <w:color w:val="auto"/>
                      <w:kern w:val="0"/>
                      <w:sz w:val="21"/>
                      <w:szCs w:val="21"/>
                    </w:rPr>
                  </w:pPr>
                  <w:r>
                    <w:rPr>
                      <w:b/>
                      <w:bCs/>
                      <w:color w:val="auto"/>
                      <w:kern w:val="0"/>
                      <w:sz w:val="21"/>
                      <w:szCs w:val="21"/>
                    </w:rPr>
                    <w:t>备注</w:t>
                  </w:r>
                </w:p>
              </w:tc>
            </w:tr>
            <w:tr w14:paraId="096B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601" w:type="dxa"/>
                  <w:vAlign w:val="center"/>
                </w:tcPr>
                <w:p w14:paraId="20E3BA44">
                  <w:pPr>
                    <w:pStyle w:val="75"/>
                    <w:spacing w:line="240" w:lineRule="auto"/>
                    <w:ind w:firstLine="0" w:firstLineChars="0"/>
                    <w:jc w:val="both"/>
                    <w:rPr>
                      <w:color w:val="auto"/>
                      <w:kern w:val="0"/>
                      <w:sz w:val="21"/>
                      <w:szCs w:val="21"/>
                    </w:rPr>
                  </w:pPr>
                  <w:r>
                    <w:rPr>
                      <w:color w:val="auto"/>
                      <w:kern w:val="0"/>
                      <w:sz w:val="21"/>
                      <w:szCs w:val="21"/>
                    </w:rPr>
                    <w:t>原有水稳料仓和沥青混凝土料仓无遮盖、并未明显分区存放。</w:t>
                  </w:r>
                </w:p>
              </w:tc>
              <w:tc>
                <w:tcPr>
                  <w:tcW w:w="3421" w:type="dxa"/>
                  <w:vAlign w:val="center"/>
                </w:tcPr>
                <w:p w14:paraId="65611D07">
                  <w:pPr>
                    <w:pStyle w:val="75"/>
                    <w:spacing w:line="240" w:lineRule="auto"/>
                    <w:ind w:firstLine="0" w:firstLineChars="0"/>
                    <w:jc w:val="both"/>
                    <w:rPr>
                      <w:color w:val="auto"/>
                      <w:kern w:val="0"/>
                      <w:sz w:val="21"/>
                      <w:szCs w:val="21"/>
                    </w:rPr>
                  </w:pPr>
                  <w:r>
                    <w:rPr>
                      <w:rFonts w:hint="eastAsia"/>
                      <w:color w:val="auto"/>
                      <w:kern w:val="0"/>
                      <w:sz w:val="21"/>
                      <w:szCs w:val="21"/>
                      <w:lang w:val="en-US" w:eastAsia="zh-CN"/>
                    </w:rPr>
                    <w:t>设置一座</w:t>
                  </w:r>
                  <w:r>
                    <w:rPr>
                      <w:rFonts w:hint="eastAsia" w:ascii="Times New Roman" w:hAnsi="Times New Roman"/>
                      <w:color w:val="auto"/>
                      <w:kern w:val="2"/>
                      <w:sz w:val="21"/>
                      <w:szCs w:val="21"/>
                      <w:lang w:val="en-US" w:eastAsia="zh-CN" w:bidi="ar"/>
                    </w:rPr>
                    <w:t>待检区（料棚）</w:t>
                  </w:r>
                  <w:r>
                    <w:rPr>
                      <w:rFonts w:hint="eastAsia"/>
                      <w:color w:val="auto"/>
                      <w:kern w:val="2"/>
                      <w:sz w:val="21"/>
                      <w:szCs w:val="21"/>
                      <w:lang w:val="en-US" w:eastAsia="zh-CN" w:bidi="ar"/>
                    </w:rPr>
                    <w:t>、一座沥青料仓棚和一座水稳料仓棚，</w:t>
                  </w:r>
                  <w:r>
                    <w:rPr>
                      <w:rFonts w:hint="eastAsia"/>
                      <w:color w:val="auto"/>
                      <w:kern w:val="0"/>
                      <w:sz w:val="21"/>
                      <w:szCs w:val="21"/>
                      <w:lang w:val="en-US" w:eastAsia="zh-CN"/>
                    </w:rPr>
                    <w:t>并</w:t>
                  </w:r>
                  <w:r>
                    <w:rPr>
                      <w:color w:val="auto"/>
                      <w:kern w:val="0"/>
                      <w:sz w:val="21"/>
                      <w:szCs w:val="21"/>
                    </w:rPr>
                    <w:t>分别设置加盖顶棚。</w:t>
                  </w:r>
                </w:p>
              </w:tc>
              <w:tc>
                <w:tcPr>
                  <w:tcW w:w="2277" w:type="dxa"/>
                  <w:vAlign w:val="center"/>
                </w:tcPr>
                <w:p w14:paraId="3EA53BBC">
                  <w:pPr>
                    <w:pStyle w:val="75"/>
                    <w:spacing w:line="240" w:lineRule="auto"/>
                    <w:ind w:firstLine="0" w:firstLineChars="0"/>
                    <w:jc w:val="both"/>
                    <w:rPr>
                      <w:color w:val="auto"/>
                      <w:kern w:val="0"/>
                      <w:sz w:val="21"/>
                      <w:szCs w:val="21"/>
                    </w:rPr>
                  </w:pPr>
                  <w:r>
                    <w:rPr>
                      <w:color w:val="auto"/>
                      <w:kern w:val="0"/>
                      <w:sz w:val="21"/>
                      <w:szCs w:val="21"/>
                    </w:rPr>
                    <w:t>减少原料在运输和堆放时废气的无组织排放。</w:t>
                  </w:r>
                </w:p>
              </w:tc>
            </w:tr>
            <w:tr w14:paraId="1497D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1" w:type="dxa"/>
                  <w:vAlign w:val="center"/>
                </w:tcPr>
                <w:p w14:paraId="645C2B50">
                  <w:pPr>
                    <w:pStyle w:val="75"/>
                    <w:spacing w:line="240" w:lineRule="auto"/>
                    <w:ind w:firstLine="0" w:firstLineChars="0"/>
                    <w:jc w:val="both"/>
                    <w:rPr>
                      <w:color w:val="auto"/>
                      <w:kern w:val="0"/>
                      <w:sz w:val="21"/>
                      <w:szCs w:val="21"/>
                    </w:rPr>
                  </w:pPr>
                  <w:r>
                    <w:rPr>
                      <w:color w:val="auto"/>
                      <w:kern w:val="0"/>
                      <w:sz w:val="21"/>
                      <w:szCs w:val="21"/>
                    </w:rPr>
                    <w:t>原有导热油锅炉为燃煤锅炉</w:t>
                  </w:r>
                  <w:r>
                    <w:rPr>
                      <w:rFonts w:hint="eastAsia"/>
                      <w:color w:val="auto"/>
                      <w:kern w:val="0"/>
                      <w:sz w:val="21"/>
                      <w:szCs w:val="21"/>
                    </w:rPr>
                    <w:t>，依据《关于奎屯-独山子-乌苏区域大气污染联防联控工作方案的批复》（新函〔2015〕99号）、《关于印发&lt;兵团打赢蓝天保卫战三年行动计划（2018-2020）年&gt;的通知》及《新疆生产建设兵团“三线一单”生态环境分区管控方案》的通知（新兵发【2021】16号）、</w:t>
                  </w:r>
                  <w:r>
                    <w:rPr>
                      <w:rFonts w:hint="eastAsia"/>
                      <w:color w:val="auto"/>
                      <w:kern w:val="0"/>
                      <w:sz w:val="21"/>
                      <w:szCs w:val="21"/>
                      <w:lang w:val="en-US" w:eastAsia="zh-CN"/>
                    </w:rPr>
                    <w:t>第七师胡杨河市“三线一单”生态环境分区管控方案》（师市发[2021]8号）</w:t>
                  </w:r>
                  <w:r>
                    <w:rPr>
                      <w:rFonts w:hint="eastAsia"/>
                      <w:color w:val="auto"/>
                      <w:kern w:val="0"/>
                      <w:sz w:val="21"/>
                      <w:szCs w:val="21"/>
                    </w:rPr>
                    <w:t>，贯彻淘汰燃煤锅炉的方针，拆除</w:t>
                  </w:r>
                  <w:r>
                    <w:rPr>
                      <w:color w:val="auto"/>
                      <w:kern w:val="0"/>
                      <w:sz w:val="21"/>
                      <w:szCs w:val="21"/>
                    </w:rPr>
                    <w:t>燃煤锅炉</w:t>
                  </w:r>
                  <w:r>
                    <w:rPr>
                      <w:rFonts w:hint="eastAsia"/>
                      <w:color w:val="auto"/>
                      <w:kern w:val="0"/>
                      <w:sz w:val="21"/>
                      <w:szCs w:val="21"/>
                    </w:rPr>
                    <w:t>。</w:t>
                  </w:r>
                </w:p>
              </w:tc>
              <w:tc>
                <w:tcPr>
                  <w:tcW w:w="3421" w:type="dxa"/>
                  <w:vAlign w:val="center"/>
                </w:tcPr>
                <w:p w14:paraId="28E4AAC2">
                  <w:pPr>
                    <w:pStyle w:val="75"/>
                    <w:spacing w:line="240" w:lineRule="auto"/>
                    <w:ind w:firstLine="0" w:firstLineChars="0"/>
                    <w:jc w:val="both"/>
                    <w:rPr>
                      <w:color w:val="auto"/>
                      <w:kern w:val="0"/>
                      <w:sz w:val="21"/>
                      <w:szCs w:val="21"/>
                    </w:rPr>
                  </w:pPr>
                  <w:r>
                    <w:rPr>
                      <w:rFonts w:hint="eastAsia"/>
                      <w:color w:val="auto"/>
                      <w:kern w:val="0"/>
                      <w:sz w:val="21"/>
                      <w:szCs w:val="21"/>
                    </w:rPr>
                    <w:t>已</w:t>
                  </w:r>
                  <w:r>
                    <w:rPr>
                      <w:color w:val="auto"/>
                      <w:kern w:val="0"/>
                      <w:sz w:val="21"/>
                      <w:szCs w:val="21"/>
                    </w:rPr>
                    <w:t>拆除燃煤锅炉房，改用电锅炉加热导热油的方式加热沥青储罐。</w:t>
                  </w:r>
                </w:p>
              </w:tc>
              <w:tc>
                <w:tcPr>
                  <w:tcW w:w="2277" w:type="dxa"/>
                  <w:vAlign w:val="center"/>
                </w:tcPr>
                <w:p w14:paraId="198BEB1F">
                  <w:pPr>
                    <w:pStyle w:val="75"/>
                    <w:spacing w:line="240" w:lineRule="auto"/>
                    <w:ind w:firstLine="0" w:firstLineChars="0"/>
                    <w:jc w:val="both"/>
                    <w:rPr>
                      <w:color w:val="auto"/>
                      <w:kern w:val="0"/>
                      <w:sz w:val="21"/>
                      <w:szCs w:val="21"/>
                    </w:rPr>
                  </w:pPr>
                  <w:r>
                    <w:rPr>
                      <w:color w:val="auto"/>
                      <w:kern w:val="0"/>
                      <w:sz w:val="21"/>
                      <w:szCs w:val="21"/>
                    </w:rPr>
                    <w:t>使用清洁能源，不产生有害燃煤烟气。</w:t>
                  </w:r>
                </w:p>
              </w:tc>
            </w:tr>
            <w:tr w14:paraId="63813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1" w:type="dxa"/>
                  <w:vAlign w:val="center"/>
                </w:tcPr>
                <w:p w14:paraId="3EAB774C">
                  <w:pPr>
                    <w:pStyle w:val="75"/>
                    <w:spacing w:line="240" w:lineRule="auto"/>
                    <w:ind w:firstLine="0" w:firstLineChars="0"/>
                    <w:jc w:val="both"/>
                    <w:rPr>
                      <w:kern w:val="0"/>
                      <w:sz w:val="21"/>
                      <w:szCs w:val="21"/>
                    </w:rPr>
                  </w:pPr>
                  <w:r>
                    <w:rPr>
                      <w:kern w:val="0"/>
                      <w:sz w:val="21"/>
                      <w:szCs w:val="21"/>
                    </w:rPr>
                    <w:t>原有员工生活区</w:t>
                  </w:r>
                  <w:r>
                    <w:rPr>
                      <w:rFonts w:hint="eastAsia"/>
                      <w:kern w:val="0"/>
                      <w:sz w:val="21"/>
                      <w:szCs w:val="21"/>
                    </w:rPr>
                    <w:t>为一层，且食堂无油烟净化器。</w:t>
                  </w:r>
                </w:p>
              </w:tc>
              <w:tc>
                <w:tcPr>
                  <w:tcW w:w="3421" w:type="dxa"/>
                  <w:vAlign w:val="center"/>
                </w:tcPr>
                <w:p w14:paraId="55FF3830">
                  <w:pPr>
                    <w:pStyle w:val="75"/>
                    <w:spacing w:line="240" w:lineRule="auto"/>
                    <w:ind w:firstLine="0" w:firstLineChars="0"/>
                    <w:jc w:val="both"/>
                    <w:rPr>
                      <w:kern w:val="0"/>
                      <w:sz w:val="21"/>
                      <w:szCs w:val="21"/>
                    </w:rPr>
                  </w:pPr>
                  <w:r>
                    <w:rPr>
                      <w:kern w:val="0"/>
                      <w:sz w:val="21"/>
                      <w:szCs w:val="21"/>
                    </w:rPr>
                    <w:t>建设</w:t>
                  </w:r>
                  <w:r>
                    <w:rPr>
                      <w:rFonts w:hint="eastAsia"/>
                      <w:kern w:val="0"/>
                      <w:sz w:val="21"/>
                      <w:szCs w:val="21"/>
                    </w:rPr>
                    <w:t>办公用房，</w:t>
                  </w:r>
                  <w:r>
                    <w:rPr>
                      <w:kern w:val="0"/>
                      <w:sz w:val="21"/>
                      <w:szCs w:val="21"/>
                    </w:rPr>
                    <w:t>作为员工专用生活办公区，包含员工食堂，在食堂设置油烟净化器。</w:t>
                  </w:r>
                </w:p>
              </w:tc>
              <w:tc>
                <w:tcPr>
                  <w:tcW w:w="2277" w:type="dxa"/>
                  <w:vAlign w:val="center"/>
                </w:tcPr>
                <w:p w14:paraId="3858CE79">
                  <w:pPr>
                    <w:pStyle w:val="75"/>
                    <w:spacing w:line="240" w:lineRule="auto"/>
                    <w:ind w:firstLine="0" w:firstLineChars="0"/>
                    <w:jc w:val="both"/>
                    <w:rPr>
                      <w:kern w:val="0"/>
                      <w:sz w:val="21"/>
                      <w:szCs w:val="21"/>
                    </w:rPr>
                  </w:pPr>
                  <w:r>
                    <w:rPr>
                      <w:kern w:val="0"/>
                      <w:sz w:val="21"/>
                      <w:szCs w:val="21"/>
                    </w:rPr>
                    <w:t>减少食堂油烟的产生。</w:t>
                  </w:r>
                </w:p>
              </w:tc>
            </w:tr>
            <w:tr w14:paraId="43917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1" w:type="dxa"/>
                  <w:vAlign w:val="center"/>
                </w:tcPr>
                <w:p w14:paraId="1999237C">
                  <w:pPr>
                    <w:pStyle w:val="75"/>
                    <w:spacing w:line="240" w:lineRule="auto"/>
                    <w:ind w:firstLine="0" w:firstLineChars="0"/>
                    <w:jc w:val="both"/>
                    <w:rPr>
                      <w:kern w:val="0"/>
                      <w:sz w:val="21"/>
                      <w:szCs w:val="21"/>
                    </w:rPr>
                  </w:pPr>
                  <w:r>
                    <w:rPr>
                      <w:kern w:val="0"/>
                      <w:sz w:val="21"/>
                      <w:szCs w:val="21"/>
                    </w:rPr>
                    <w:t>沥青拌合站生产线原有骨料上料斗未加除尘装置</w:t>
                  </w:r>
                </w:p>
              </w:tc>
              <w:tc>
                <w:tcPr>
                  <w:tcW w:w="3421" w:type="dxa"/>
                  <w:vAlign w:val="center"/>
                </w:tcPr>
                <w:p w14:paraId="64D82265">
                  <w:pPr>
                    <w:pStyle w:val="75"/>
                    <w:spacing w:line="240" w:lineRule="auto"/>
                    <w:ind w:firstLine="0" w:firstLineChars="0"/>
                    <w:jc w:val="both"/>
                    <w:rPr>
                      <w:kern w:val="0"/>
                      <w:sz w:val="21"/>
                      <w:szCs w:val="21"/>
                    </w:rPr>
                  </w:pPr>
                  <w:r>
                    <w:rPr>
                      <w:kern w:val="0"/>
                      <w:sz w:val="21"/>
                      <w:szCs w:val="21"/>
                    </w:rPr>
                    <w:t>在沥青拌合站生产线骨料上料斗加设布袋除尘装置+15m高排气筒（DA001）</w:t>
                  </w:r>
                </w:p>
              </w:tc>
              <w:tc>
                <w:tcPr>
                  <w:tcW w:w="2277" w:type="dxa"/>
                  <w:vAlign w:val="center"/>
                </w:tcPr>
                <w:p w14:paraId="75496814">
                  <w:pPr>
                    <w:pStyle w:val="75"/>
                    <w:spacing w:line="240" w:lineRule="auto"/>
                    <w:ind w:firstLine="0" w:firstLineChars="0"/>
                    <w:jc w:val="both"/>
                    <w:rPr>
                      <w:kern w:val="0"/>
                      <w:sz w:val="21"/>
                      <w:szCs w:val="21"/>
                    </w:rPr>
                  </w:pPr>
                  <w:r>
                    <w:rPr>
                      <w:kern w:val="0"/>
                      <w:sz w:val="21"/>
                      <w:szCs w:val="21"/>
                    </w:rPr>
                    <w:t>抑制粉尘无组织扩散。</w:t>
                  </w:r>
                </w:p>
              </w:tc>
            </w:tr>
            <w:tr w14:paraId="0D5FC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1" w:type="dxa"/>
                  <w:vAlign w:val="center"/>
                </w:tcPr>
                <w:p w14:paraId="6D90F3F2">
                  <w:pPr>
                    <w:pStyle w:val="75"/>
                    <w:spacing w:line="240" w:lineRule="auto"/>
                    <w:ind w:firstLine="0" w:firstLineChars="0"/>
                    <w:jc w:val="both"/>
                    <w:rPr>
                      <w:kern w:val="0"/>
                      <w:sz w:val="21"/>
                      <w:szCs w:val="21"/>
                    </w:rPr>
                  </w:pPr>
                  <w:r>
                    <w:rPr>
                      <w:kern w:val="0"/>
                      <w:sz w:val="21"/>
                      <w:szCs w:val="21"/>
                    </w:rPr>
                    <w:t>沥青拌合站生产线原有骨料烘干筒加热热源为燃煤锅炉</w:t>
                  </w:r>
                  <w:r>
                    <w:rPr>
                      <w:rFonts w:hint="eastAsia"/>
                      <w:kern w:val="0"/>
                      <w:sz w:val="21"/>
                      <w:szCs w:val="21"/>
                    </w:rPr>
                    <w:t>，依据《关于奎屯-独山子-乌苏区域大气污染联防联控工作方案的批复》（新函〔2015〕99号）、《关于印发&lt;兵团打赢蓝天保卫战三年行动计划（2018-2020）年&gt;的通知》及《新疆生产建设兵团“三线一单”生态环境分区管控方案》的通知</w:t>
                  </w:r>
                  <w:r>
                    <w:rPr>
                      <w:rFonts w:hint="eastAsia"/>
                      <w:color w:val="auto"/>
                      <w:kern w:val="0"/>
                      <w:sz w:val="21"/>
                      <w:szCs w:val="21"/>
                    </w:rPr>
                    <w:t>（新兵发【2021】16号）、</w:t>
                  </w:r>
                  <w:r>
                    <w:rPr>
                      <w:rFonts w:hint="eastAsia"/>
                      <w:color w:val="auto"/>
                      <w:kern w:val="0"/>
                      <w:sz w:val="21"/>
                      <w:szCs w:val="21"/>
                      <w:lang w:val="en-US" w:eastAsia="zh-CN"/>
                    </w:rPr>
                    <w:t>第七师胡杨河市“三线一单”生态环境分区管控方案》（师市发[2021]8号）</w:t>
                  </w:r>
                  <w:r>
                    <w:rPr>
                      <w:rFonts w:hint="eastAsia"/>
                      <w:kern w:val="0"/>
                      <w:sz w:val="21"/>
                      <w:szCs w:val="21"/>
                    </w:rPr>
                    <w:t>，贯彻淘汰燃煤锅炉的方针，拆除</w:t>
                  </w:r>
                  <w:r>
                    <w:rPr>
                      <w:kern w:val="0"/>
                      <w:sz w:val="21"/>
                      <w:szCs w:val="21"/>
                    </w:rPr>
                    <w:t>燃煤锅炉</w:t>
                  </w:r>
                  <w:r>
                    <w:rPr>
                      <w:rFonts w:hint="eastAsia"/>
                      <w:kern w:val="0"/>
                      <w:sz w:val="21"/>
                      <w:szCs w:val="21"/>
                    </w:rPr>
                    <w:t>。</w:t>
                  </w:r>
                </w:p>
              </w:tc>
              <w:tc>
                <w:tcPr>
                  <w:tcW w:w="3421" w:type="dxa"/>
                  <w:vAlign w:val="center"/>
                </w:tcPr>
                <w:p w14:paraId="245B6901">
                  <w:pPr>
                    <w:pStyle w:val="75"/>
                    <w:spacing w:line="240" w:lineRule="auto"/>
                    <w:ind w:firstLine="0" w:firstLineChars="0"/>
                    <w:jc w:val="both"/>
                    <w:rPr>
                      <w:kern w:val="0"/>
                      <w:sz w:val="21"/>
                      <w:szCs w:val="21"/>
                    </w:rPr>
                  </w:pPr>
                  <w:r>
                    <w:rPr>
                      <w:kern w:val="0"/>
                      <w:sz w:val="21"/>
                      <w:szCs w:val="21"/>
                    </w:rPr>
                    <w:t>改为已</w:t>
                  </w:r>
                  <w:r>
                    <w:rPr>
                      <w:rFonts w:hint="eastAsia"/>
                      <w:kern w:val="0"/>
                      <w:sz w:val="21"/>
                      <w:szCs w:val="21"/>
                    </w:rPr>
                    <w:t>天然气</w:t>
                  </w:r>
                  <w:r>
                    <w:rPr>
                      <w:kern w:val="0"/>
                      <w:sz w:val="21"/>
                      <w:szCs w:val="21"/>
                    </w:rPr>
                    <w:t>为原料的</w:t>
                  </w:r>
                  <w:r>
                    <w:rPr>
                      <w:rFonts w:hint="eastAsia"/>
                      <w:kern w:val="0"/>
                      <w:sz w:val="21"/>
                      <w:szCs w:val="21"/>
                    </w:rPr>
                    <w:t>烘干筒</w:t>
                  </w:r>
                </w:p>
              </w:tc>
              <w:tc>
                <w:tcPr>
                  <w:tcW w:w="2277" w:type="dxa"/>
                  <w:vAlign w:val="center"/>
                </w:tcPr>
                <w:p w14:paraId="6857F4BC">
                  <w:pPr>
                    <w:pStyle w:val="75"/>
                    <w:spacing w:line="240" w:lineRule="auto"/>
                    <w:ind w:firstLine="0" w:firstLineChars="0"/>
                    <w:jc w:val="both"/>
                    <w:rPr>
                      <w:kern w:val="0"/>
                      <w:sz w:val="21"/>
                      <w:szCs w:val="21"/>
                    </w:rPr>
                  </w:pPr>
                  <w:r>
                    <w:rPr>
                      <w:color w:val="auto"/>
                      <w:kern w:val="0"/>
                      <w:sz w:val="21"/>
                      <w:szCs w:val="21"/>
                    </w:rPr>
                    <w:t>减少燃烧烟气中二氧化硫</w:t>
                  </w:r>
                  <w:r>
                    <w:rPr>
                      <w:rFonts w:hint="eastAsia"/>
                      <w:color w:val="auto"/>
                      <w:kern w:val="0"/>
                      <w:sz w:val="21"/>
                      <w:szCs w:val="21"/>
                      <w:lang w:eastAsia="zh-CN"/>
                    </w:rPr>
                    <w:t>、</w:t>
                  </w:r>
                  <w:r>
                    <w:rPr>
                      <w:color w:val="auto"/>
                      <w:kern w:val="0"/>
                      <w:sz w:val="21"/>
                      <w:szCs w:val="21"/>
                    </w:rPr>
                    <w:t>氮氧化物</w:t>
                  </w:r>
                  <w:r>
                    <w:rPr>
                      <w:rFonts w:hint="eastAsia"/>
                      <w:color w:val="auto"/>
                      <w:kern w:val="0"/>
                      <w:sz w:val="21"/>
                      <w:szCs w:val="21"/>
                      <w:lang w:val="en-US" w:eastAsia="zh-CN"/>
                    </w:rPr>
                    <w:t>和颗粒物</w:t>
                  </w:r>
                  <w:r>
                    <w:rPr>
                      <w:color w:val="auto"/>
                      <w:kern w:val="0"/>
                      <w:sz w:val="21"/>
                      <w:szCs w:val="21"/>
                    </w:rPr>
                    <w:t>的产生。</w:t>
                  </w:r>
                </w:p>
              </w:tc>
            </w:tr>
            <w:tr w14:paraId="2F90C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1" w:type="dxa"/>
                  <w:vAlign w:val="center"/>
                </w:tcPr>
                <w:p w14:paraId="77E8AAD3">
                  <w:pPr>
                    <w:pStyle w:val="75"/>
                    <w:spacing w:line="240" w:lineRule="auto"/>
                    <w:ind w:firstLine="0" w:firstLineChars="0"/>
                    <w:jc w:val="both"/>
                    <w:rPr>
                      <w:kern w:val="0"/>
                      <w:sz w:val="21"/>
                      <w:szCs w:val="21"/>
                    </w:rPr>
                  </w:pPr>
                  <w:r>
                    <w:rPr>
                      <w:kern w:val="0"/>
                      <w:sz w:val="21"/>
                      <w:szCs w:val="21"/>
                    </w:rPr>
                    <w:t>沥青拌合站生产线未封闭</w:t>
                  </w:r>
                  <w:r>
                    <w:rPr>
                      <w:rFonts w:hint="eastAsia"/>
                      <w:kern w:val="0"/>
                      <w:sz w:val="21"/>
                      <w:szCs w:val="21"/>
                    </w:rPr>
                    <w:t>会导致</w:t>
                  </w:r>
                  <w:r>
                    <w:rPr>
                      <w:rFonts w:hint="eastAsia"/>
                      <w:sz w:val="21"/>
                      <w:szCs w:val="21"/>
                    </w:rPr>
                    <w:t>骨料进入烘干筒以柴油作为热源加热时产生的粉尘、柴油燃烧器加热烘干筒时产生的燃油烟气及卸料时产生苯并[a]</w:t>
                  </w:r>
                  <w:r>
                    <w:rPr>
                      <w:rFonts w:hint="eastAsia" w:eastAsia="Times New Roman"/>
                      <w:sz w:val="21"/>
                      <w:szCs w:val="21"/>
                    </w:rPr>
                    <w:t>芘、沥青烟、非甲烷总烃无组织排放增加。</w:t>
                  </w:r>
                </w:p>
              </w:tc>
              <w:tc>
                <w:tcPr>
                  <w:tcW w:w="3421" w:type="dxa"/>
                  <w:vAlign w:val="center"/>
                </w:tcPr>
                <w:p w14:paraId="7B2AC223">
                  <w:pPr>
                    <w:jc w:val="both"/>
                    <w:rPr>
                      <w:color w:val="auto"/>
                      <w:kern w:val="0"/>
                      <w:sz w:val="21"/>
                      <w:szCs w:val="21"/>
                      <w:highlight w:val="yellow"/>
                    </w:rPr>
                  </w:pPr>
                  <w:r>
                    <w:rPr>
                      <w:rFonts w:hint="eastAsia"/>
                      <w:color w:val="auto"/>
                      <w:kern w:val="0"/>
                      <w:szCs w:val="21"/>
                      <w:lang w:val="en-US" w:eastAsia="zh-CN"/>
                    </w:rPr>
                    <w:t>沥青混凝土生产过程中骨料进入烘干筒后，以天然气作为热源加热烘干筒时产生的燃气废气与骨料进入烘干筒、粉料提升工序和振动筛分工序产生的粉尘，在采取封闭措施的沥青混凝土生产线中，一同</w:t>
                  </w:r>
                  <w:r>
                    <w:rPr>
                      <w:rFonts w:hint="eastAsia"/>
                      <w:color w:val="auto"/>
                      <w:kern w:val="0"/>
                      <w:szCs w:val="21"/>
                    </w:rPr>
                    <w:t>经“布袋除尘器+</w:t>
                  </w:r>
                  <w:r>
                    <w:rPr>
                      <w:rFonts w:hint="eastAsia"/>
                      <w:color w:val="auto"/>
                      <w:kern w:val="0"/>
                      <w:szCs w:val="21"/>
                      <w:lang w:val="en-US" w:eastAsia="zh-CN"/>
                    </w:rPr>
                    <w:t>二级</w:t>
                  </w:r>
                  <w:r>
                    <w:rPr>
                      <w:rFonts w:hint="eastAsia"/>
                      <w:color w:val="auto"/>
                      <w:kern w:val="0"/>
                      <w:szCs w:val="21"/>
                    </w:rPr>
                    <w:t>活性炭吸附装置”进行处理后，由15m高排气筒（DA002）排放；</w:t>
                  </w:r>
                  <w:r>
                    <w:rPr>
                      <w:rFonts w:hint="eastAsia"/>
                      <w:color w:val="auto"/>
                      <w:kern w:val="0"/>
                      <w:szCs w:val="21"/>
                      <w:lang w:val="en-US" w:eastAsia="zh-CN"/>
                    </w:rPr>
                    <w:t>在采取封闭措施的沥青混凝土生产线中，</w:t>
                  </w:r>
                  <w:r>
                    <w:rPr>
                      <w:rFonts w:hint="eastAsia"/>
                      <w:color w:val="auto"/>
                      <w:kern w:val="0"/>
                      <w:szCs w:val="21"/>
                    </w:rPr>
                    <w:t>搅拌设备产生的沥青烟气通过管道收集后利用负压风机引至天然气烘干筒</w:t>
                  </w:r>
                  <w:r>
                    <w:rPr>
                      <w:rFonts w:hint="eastAsia"/>
                      <w:color w:val="auto"/>
                      <w:kern w:val="0"/>
                      <w:szCs w:val="21"/>
                      <w:lang w:val="en-US" w:eastAsia="zh-CN"/>
                    </w:rPr>
                    <w:t>焚烧</w:t>
                  </w:r>
                  <w:r>
                    <w:rPr>
                      <w:rFonts w:hint="eastAsia"/>
                      <w:color w:val="auto"/>
                      <w:kern w:val="0"/>
                      <w:szCs w:val="21"/>
                    </w:rPr>
                    <w:t>处理，与烘干</w:t>
                  </w:r>
                  <w:r>
                    <w:rPr>
                      <w:rFonts w:hint="eastAsia"/>
                      <w:color w:val="auto"/>
                      <w:kern w:val="0"/>
                      <w:szCs w:val="21"/>
                      <w:lang w:val="en-US" w:eastAsia="zh-CN"/>
                    </w:rPr>
                    <w:t>废气</w:t>
                  </w:r>
                  <w:r>
                    <w:rPr>
                      <w:rFonts w:hint="eastAsia"/>
                      <w:color w:val="auto"/>
                      <w:kern w:val="0"/>
                      <w:szCs w:val="21"/>
                      <w:lang w:eastAsia="zh-CN"/>
                    </w:rPr>
                    <w:t>、</w:t>
                  </w:r>
                  <w:r>
                    <w:rPr>
                      <w:rFonts w:hint="eastAsia"/>
                      <w:color w:val="auto"/>
                      <w:kern w:val="0"/>
                      <w:szCs w:val="21"/>
                    </w:rPr>
                    <w:t>筛分废气、燃气废气一起经“布袋除尘器+</w:t>
                  </w:r>
                  <w:r>
                    <w:rPr>
                      <w:rFonts w:hint="eastAsia"/>
                      <w:color w:val="auto"/>
                      <w:kern w:val="0"/>
                      <w:szCs w:val="21"/>
                      <w:lang w:val="en-US" w:eastAsia="zh-CN"/>
                    </w:rPr>
                    <w:t>二级</w:t>
                  </w:r>
                  <w:r>
                    <w:rPr>
                      <w:rFonts w:hint="eastAsia"/>
                      <w:color w:val="auto"/>
                      <w:kern w:val="0"/>
                      <w:szCs w:val="21"/>
                    </w:rPr>
                    <w:t>活性炭吸附装置”进行处理后，由15m高排气筒（DA002）排放；</w:t>
                  </w:r>
                </w:p>
              </w:tc>
              <w:tc>
                <w:tcPr>
                  <w:tcW w:w="2277" w:type="dxa"/>
                  <w:vAlign w:val="center"/>
                </w:tcPr>
                <w:p w14:paraId="1F34356E">
                  <w:pPr>
                    <w:pStyle w:val="75"/>
                    <w:spacing w:line="240" w:lineRule="auto"/>
                    <w:ind w:firstLine="0" w:firstLineChars="0"/>
                    <w:jc w:val="both"/>
                    <w:rPr>
                      <w:color w:val="auto"/>
                      <w:kern w:val="0"/>
                      <w:sz w:val="21"/>
                      <w:szCs w:val="21"/>
                    </w:rPr>
                  </w:pPr>
                  <w:r>
                    <w:rPr>
                      <w:color w:val="auto"/>
                      <w:kern w:val="0"/>
                      <w:sz w:val="21"/>
                      <w:szCs w:val="21"/>
                    </w:rPr>
                    <w:t>抑制粉尘、沥青烟气无组织扩散。</w:t>
                  </w:r>
                </w:p>
              </w:tc>
            </w:tr>
            <w:tr w14:paraId="4484F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1" w:type="dxa"/>
                  <w:vAlign w:val="center"/>
                </w:tcPr>
                <w:p w14:paraId="378A6FCD">
                  <w:pPr>
                    <w:pStyle w:val="75"/>
                    <w:spacing w:line="240" w:lineRule="auto"/>
                    <w:ind w:firstLine="0" w:firstLineChars="0"/>
                    <w:jc w:val="both"/>
                    <w:rPr>
                      <w:kern w:val="0"/>
                      <w:sz w:val="21"/>
                      <w:szCs w:val="21"/>
                    </w:rPr>
                  </w:pPr>
                  <w:r>
                    <w:rPr>
                      <w:kern w:val="0"/>
                      <w:sz w:val="21"/>
                      <w:szCs w:val="21"/>
                    </w:rPr>
                    <w:t>原有水稳拌合站生产线未封闭</w:t>
                  </w:r>
                </w:p>
              </w:tc>
              <w:tc>
                <w:tcPr>
                  <w:tcW w:w="3421" w:type="dxa"/>
                  <w:vAlign w:val="center"/>
                </w:tcPr>
                <w:p w14:paraId="3A9AED95">
                  <w:pPr>
                    <w:jc w:val="both"/>
                    <w:rPr>
                      <w:color w:val="auto"/>
                      <w:kern w:val="0"/>
                      <w:szCs w:val="21"/>
                      <w:highlight w:val="yellow"/>
                    </w:rPr>
                  </w:pPr>
                  <w:r>
                    <w:rPr>
                      <w:color w:val="auto"/>
                      <w:kern w:val="0"/>
                      <w:szCs w:val="21"/>
                      <w:highlight w:val="none"/>
                    </w:rPr>
                    <w:t>采取生产线封闭措施，</w:t>
                  </w:r>
                  <w:r>
                    <w:rPr>
                      <w:color w:val="auto"/>
                      <w:szCs w:val="21"/>
                      <w:highlight w:val="none"/>
                    </w:rPr>
                    <w:t>产生的粉尘经布袋除尘收集后由15m高排气筒（DA00</w:t>
                  </w:r>
                  <w:r>
                    <w:rPr>
                      <w:rFonts w:hint="eastAsia"/>
                      <w:color w:val="auto"/>
                      <w:szCs w:val="21"/>
                      <w:highlight w:val="none"/>
                    </w:rPr>
                    <w:t>3</w:t>
                  </w:r>
                  <w:r>
                    <w:rPr>
                      <w:color w:val="auto"/>
                      <w:szCs w:val="21"/>
                      <w:highlight w:val="none"/>
                    </w:rPr>
                    <w:t>）排放；</w:t>
                  </w:r>
                </w:p>
              </w:tc>
              <w:tc>
                <w:tcPr>
                  <w:tcW w:w="2277" w:type="dxa"/>
                  <w:vAlign w:val="center"/>
                </w:tcPr>
                <w:p w14:paraId="77BCB748">
                  <w:pPr>
                    <w:pStyle w:val="75"/>
                    <w:spacing w:line="240" w:lineRule="auto"/>
                    <w:ind w:firstLine="0" w:firstLineChars="0"/>
                    <w:jc w:val="both"/>
                    <w:rPr>
                      <w:color w:val="auto"/>
                      <w:kern w:val="0"/>
                      <w:sz w:val="21"/>
                      <w:szCs w:val="21"/>
                    </w:rPr>
                  </w:pPr>
                  <w:r>
                    <w:rPr>
                      <w:color w:val="auto"/>
                      <w:kern w:val="0"/>
                      <w:sz w:val="21"/>
                      <w:szCs w:val="21"/>
                    </w:rPr>
                    <w:t>抑制粉尘无组织扩散。</w:t>
                  </w:r>
                </w:p>
              </w:tc>
            </w:tr>
            <w:tr w14:paraId="307F6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1" w:type="dxa"/>
                  <w:vAlign w:val="center"/>
                </w:tcPr>
                <w:p w14:paraId="1127503A">
                  <w:pPr>
                    <w:pStyle w:val="75"/>
                    <w:spacing w:line="240" w:lineRule="auto"/>
                    <w:ind w:firstLine="0" w:firstLineChars="0"/>
                    <w:jc w:val="both"/>
                    <w:rPr>
                      <w:kern w:val="0"/>
                      <w:sz w:val="21"/>
                      <w:szCs w:val="21"/>
                    </w:rPr>
                  </w:pPr>
                  <w:r>
                    <w:rPr>
                      <w:rFonts w:hint="eastAsia"/>
                      <w:kern w:val="0"/>
                      <w:sz w:val="21"/>
                      <w:szCs w:val="21"/>
                    </w:rPr>
                    <w:t>无贮存危险废物的指定场所，增加危险废物带来的环境风险。</w:t>
                  </w:r>
                </w:p>
              </w:tc>
              <w:tc>
                <w:tcPr>
                  <w:tcW w:w="3421" w:type="dxa"/>
                  <w:vAlign w:val="center"/>
                </w:tcPr>
                <w:p w14:paraId="541E4447">
                  <w:pPr>
                    <w:jc w:val="both"/>
                    <w:rPr>
                      <w:kern w:val="0"/>
                      <w:szCs w:val="21"/>
                    </w:rPr>
                  </w:pPr>
                  <w:r>
                    <w:rPr>
                      <w:rFonts w:hint="eastAsia"/>
                      <w:kern w:val="0"/>
                      <w:szCs w:val="21"/>
                    </w:rPr>
                    <w:t>在机修及材料库房中隔出一间</w:t>
                  </w:r>
                  <w:r>
                    <w:rPr>
                      <w:kern w:val="0"/>
                      <w:szCs w:val="21"/>
                    </w:rPr>
                    <w:t>6</w:t>
                  </w:r>
                  <w:r>
                    <w:rPr>
                      <w:rFonts w:hint="eastAsia"/>
                      <w:kern w:val="0"/>
                      <w:szCs w:val="21"/>
                    </w:rPr>
                    <w:t>m</w:t>
                  </w:r>
                  <w:r>
                    <w:rPr>
                      <w:rFonts w:hint="eastAsia"/>
                      <w:kern w:val="0"/>
                      <w:szCs w:val="21"/>
                      <w:vertAlign w:val="superscript"/>
                    </w:rPr>
                    <w:t>2</w:t>
                  </w:r>
                  <w:r>
                    <w:rPr>
                      <w:rFonts w:hint="eastAsia"/>
                      <w:kern w:val="0"/>
                      <w:szCs w:val="21"/>
                    </w:rPr>
                    <w:t>的危废暂存间。</w:t>
                  </w:r>
                </w:p>
              </w:tc>
              <w:tc>
                <w:tcPr>
                  <w:tcW w:w="2277" w:type="dxa"/>
                  <w:vAlign w:val="center"/>
                </w:tcPr>
                <w:p w14:paraId="469F49BA">
                  <w:pPr>
                    <w:pStyle w:val="75"/>
                    <w:spacing w:line="240" w:lineRule="auto"/>
                    <w:ind w:firstLine="0" w:firstLineChars="0"/>
                    <w:jc w:val="both"/>
                    <w:rPr>
                      <w:kern w:val="0"/>
                      <w:sz w:val="21"/>
                      <w:szCs w:val="21"/>
                    </w:rPr>
                  </w:pPr>
                  <w:r>
                    <w:rPr>
                      <w:rFonts w:hint="eastAsia"/>
                      <w:kern w:val="0"/>
                      <w:sz w:val="21"/>
                      <w:szCs w:val="21"/>
                    </w:rPr>
                    <w:t>做好危废暂存间的防渗措施，合理分区储存不同类型的危险废物。</w:t>
                  </w:r>
                </w:p>
              </w:tc>
            </w:tr>
          </w:tbl>
          <w:p w14:paraId="56913868">
            <w:pPr>
              <w:pStyle w:val="75"/>
              <w:ind w:firstLine="420"/>
            </w:pPr>
            <w:r>
              <w:rPr>
                <w:rFonts w:hint="eastAsia" w:eastAsia="Times New Roman"/>
                <w:sz w:val="21"/>
                <w:szCs w:val="21"/>
              </w:rPr>
              <w:t>以上问题在此次环评工作提出，要求企业在本项目取得批复并将环保措施整改落实到位后方可正式投入生产。</w:t>
            </w:r>
          </w:p>
        </w:tc>
      </w:tr>
    </w:tbl>
    <w:p w14:paraId="4841D820">
      <w:pPr>
        <w:pStyle w:val="25"/>
        <w:jc w:val="center"/>
        <w:rPr>
          <w:rFonts w:ascii="黑体" w:hAnsi="黑体" w:eastAsia="黑体"/>
          <w:snapToGrid w:val="0"/>
          <w:sz w:val="36"/>
          <w:szCs w:val="36"/>
        </w:rPr>
        <w:sectPr>
          <w:pgSz w:w="11906" w:h="16838"/>
          <w:pgMar w:top="1701" w:right="1531" w:bottom="1701" w:left="1531" w:header="851" w:footer="851" w:gutter="0"/>
          <w:cols w:space="720" w:num="1"/>
          <w:docGrid w:linePitch="312" w:charSpace="0"/>
        </w:sectPr>
      </w:pPr>
    </w:p>
    <w:p w14:paraId="0C95CE28">
      <w:pPr>
        <w:pStyle w:val="7"/>
        <w:ind w:firstLine="0"/>
      </w:pPr>
      <w:r>
        <w:rPr>
          <w:sz w:val="24"/>
        </w:rPr>
        <mc:AlternateContent>
          <mc:Choice Requires="wps">
            <w:drawing>
              <wp:anchor distT="0" distB="0" distL="114300" distR="114300" simplePos="0" relativeHeight="251671552" behindDoc="0" locked="0" layoutInCell="1" allowOverlap="1">
                <wp:simplePos x="0" y="0"/>
                <wp:positionH relativeFrom="column">
                  <wp:posOffset>1363345</wp:posOffset>
                </wp:positionH>
                <wp:positionV relativeFrom="paragraph">
                  <wp:posOffset>2704465</wp:posOffset>
                </wp:positionV>
                <wp:extent cx="1148715" cy="338455"/>
                <wp:effectExtent l="12700" t="746760" r="800735" b="19685"/>
                <wp:wrapNone/>
                <wp:docPr id="39" name="矩形标注 39"/>
                <wp:cNvGraphicFramePr/>
                <a:graphic xmlns:a="http://schemas.openxmlformats.org/drawingml/2006/main">
                  <a:graphicData uri="http://schemas.microsoft.com/office/word/2010/wordprocessingShape">
                    <wps:wsp>
                      <wps:cNvSpPr/>
                      <wps:spPr>
                        <a:xfrm>
                          <a:off x="0" y="0"/>
                          <a:ext cx="1148715" cy="338455"/>
                        </a:xfrm>
                        <a:prstGeom prst="wedgeRectCallout">
                          <a:avLst>
                            <a:gd name="adj1" fmla="val 117330"/>
                            <a:gd name="adj2" fmla="val -266885"/>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19E4BE">
                            <w:pPr>
                              <w:rPr>
                                <w:rFonts w:eastAsia="仿宋"/>
                              </w:rPr>
                            </w:pPr>
                            <w:r>
                              <w:rPr>
                                <w:rFonts w:hint="eastAsia"/>
                                <w:b/>
                                <w:bCs/>
                                <w:color w:val="376092" w:themeColor="accent1" w:themeShade="BF"/>
                              </w:rPr>
                              <w:t>项目区所在地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07.35pt;margin-top:212.95pt;height:26.65pt;width:90.45pt;z-index:251671552;v-text-anchor:middle;mso-width-relative:page;mso-height-relative:page;" fillcolor="#E6E0EC [663]" filled="t" stroked="t" coordsize="21600,21600" o:gfxdata="UEsDBAoAAAAAAIdO4kAAAAAAAAAAAAAAAAAEAAAAZHJzL1BLAwQUAAAACACHTuJAgbB1LdoAAAAL&#10;AQAADwAAAGRycy9kb3ducmV2LnhtbE2Py07DMBBF90j8gzVIbBB1Etq0CXGqgoSEBBvSfoATD0mE&#10;PY5i98HfM6xgOTNHd86tthdnxQnnMHpSkC4SEEidNyP1Cg77l/sNiBA1GW09oYJvDLCtr68qXRp/&#10;pg88NbEXHEKh1AqGGKdSytAN6HRY+AmJb59+djryOPfSzPrM4c7KLEly6fRI/GHQEz4P2H01R6fg&#10;7Z163Bde7+525rXJrW2fglXq9iZNHkFEvMQ/GH71WR1qdmr9kUwQVkGWLteMKlhmqwIEEw/FKgfR&#10;8mZdZCDrSv7vUP8AUEsDBBQAAAAIAIdO4kD3GM8pyQIAAKoFAAAOAAAAZHJzL2Uyb0RvYy54bWyt&#10;VMtuEzEU3SPxD5b37WSSTDqNOkFR0iKkQisKYu14PA/kF7aTSfkBPgPECtas+RzKb3BtT9q0sOiC&#10;zcx9+dz3PXm2FRxtmLGtkgVODwcYMUlV2cq6wG/fnB3kGFlHZEm4kqzA18ziZ7OnT046PWVD1She&#10;MoMARNpppwvcOKenSWJpwwSxh0ozCcpKGUEcsKZOSkM6QBc8GQ4Gk6RTptRGUWYtSJdRiXtE8xhA&#10;VVUtZUtF14JJF1EN48RBSrZptcWzEG1VMeouqsoyh3iBIVMXvuAE6JX/JrMTMq0N0U1L+xDIY0J4&#10;kJMgrQSnt1BL4gham/YvKNFSo6yq3CFVIomJhIpAFungQW2uGqJZyAVKbfVt0e3/g6WvNpcGtWWB&#10;R8cYSSKg478/f//18+vNl083P74hEEONOm2nYHqlL03PWSB9wtvKCP+HVNA21PX6tq5s6xAFYZqO&#10;86M0w4iCbjTKx1nmQZO719pY95wpgTxR4I6VNXsNzVsQztXahdKSzbl1ocZlHygp36cYVYJDyzaE&#10;ozQ9Go12Pd0zGu4bHQwnkzzfBdCDQii7ELwHq3hbnrWcB8bUqwU3CDwU+HRyOjhdhHj4WrxUZRTD&#10;YA96xyCGkYvifCcGfBthQtr38LlEXYGH2RgQECWwUhWMMpBCQ1usrDEivIZdpc4Ex/de97DR3yjP&#10;lvk8GjWkZFGaPSYKn/6S2CY+CS76HnEJMfsBiC33lNuutv0crFR5DRNkVFwtq+lZC1DnxLpLYqAx&#10;kBRcG3cBn4oryFT1FEaNMh//Jff2MOKgxaiD3YQqfFgTwzDiLyQM/3E6HvtlDsw4OxoCY/Y1q32N&#10;XIuFgtbBqEB0gfT2ju/IyijxDo7S3HsFFZEUfMd698zCxZsBZ42y+TyYwQJr4s7llaYe3I+KVPO1&#10;U1Xr/HT7QsXq9AyscOh+f278jdjng9XdiZ3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IGwdS3a&#10;AAAACwEAAA8AAAAAAAAAAQAgAAAAIgAAAGRycy9kb3ducmV2LnhtbFBLAQIUABQAAAAIAIdO4kD3&#10;GM8pyQIAAKoFAAAOAAAAAAAAAAEAIAAAACkBAABkcnMvZTJvRG9jLnhtbFBLBQYAAAAABgAGAFkB&#10;AABkBgAAAAA=&#10;" adj="36143,-46847">
                <v:fill on="t" focussize="0,0"/>
                <v:stroke weight="2pt" color="#385D8A [3204]" joinstyle="round"/>
                <v:imagedata o:title=""/>
                <o:lock v:ext="edit" aspectratio="f"/>
                <v:textbox>
                  <w:txbxContent>
                    <w:p w14:paraId="5F19E4BE">
                      <w:pPr>
                        <w:rPr>
                          <w:rFonts w:eastAsia="仿宋"/>
                        </w:rPr>
                      </w:pPr>
                      <w:r>
                        <w:rPr>
                          <w:rFonts w:hint="eastAsia"/>
                          <w:b/>
                          <w:bCs/>
                          <w:color w:val="376092" w:themeColor="accent1" w:themeShade="BF"/>
                        </w:rPr>
                        <w:t>项目区所在地</w:t>
                      </w:r>
                    </w:p>
                  </w:txbxContent>
                </v:textbox>
              </v:shape>
            </w:pict>
          </mc:Fallback>
        </mc:AlternateContent>
      </w:r>
      <w:r>
        <w:drawing>
          <wp:anchor distT="0" distB="0" distL="114300" distR="114300" simplePos="0" relativeHeight="251672576" behindDoc="0" locked="0" layoutInCell="1" allowOverlap="1">
            <wp:simplePos x="0" y="0"/>
            <wp:positionH relativeFrom="column">
              <wp:posOffset>8909050</wp:posOffset>
            </wp:positionH>
            <wp:positionV relativeFrom="paragraph">
              <wp:posOffset>48895</wp:posOffset>
            </wp:positionV>
            <wp:extent cx="852170" cy="923925"/>
            <wp:effectExtent l="0" t="0" r="5080" b="9525"/>
            <wp:wrapNone/>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11"/>
                    <a:stretch>
                      <a:fillRect/>
                    </a:stretch>
                  </pic:blipFill>
                  <pic:spPr>
                    <a:xfrm>
                      <a:off x="0" y="0"/>
                      <a:ext cx="852170" cy="923925"/>
                    </a:xfrm>
                    <a:prstGeom prst="rect">
                      <a:avLst/>
                    </a:prstGeom>
                    <a:noFill/>
                    <a:ln>
                      <a:noFill/>
                    </a:ln>
                  </pic:spPr>
                </pic:pic>
              </a:graphicData>
            </a:graphic>
          </wp:anchor>
        </w:drawing>
      </w:r>
    </w:p>
    <w:p w14:paraId="2446C029">
      <w:pPr>
        <w:ind w:firstLine="422" w:firstLineChars="200"/>
        <w:jc w:val="center"/>
      </w:pPr>
      <w:r>
        <w:rPr>
          <w:rFonts w:hint="eastAsia"/>
          <w:b/>
          <w:bCs/>
          <w:szCs w:val="21"/>
        </w:rPr>
        <w:t>图2-1 项目区地理位置图</w:t>
      </w:r>
      <w:r>
        <w:rPr>
          <w:sz w:val="24"/>
        </w:rPr>
        <mc:AlternateContent>
          <mc:Choice Requires="wps">
            <w:drawing>
              <wp:anchor distT="0" distB="0" distL="114300" distR="114300" simplePos="0" relativeHeight="251700224" behindDoc="0" locked="0" layoutInCell="1" allowOverlap="1">
                <wp:simplePos x="0" y="0"/>
                <wp:positionH relativeFrom="column">
                  <wp:posOffset>4231640</wp:posOffset>
                </wp:positionH>
                <wp:positionV relativeFrom="paragraph">
                  <wp:posOffset>2797175</wp:posOffset>
                </wp:positionV>
                <wp:extent cx="1099820" cy="1556385"/>
                <wp:effectExtent l="0" t="0" r="5080" b="5715"/>
                <wp:wrapNone/>
                <wp:docPr id="9" name="直接箭头连接符 9"/>
                <wp:cNvGraphicFramePr/>
                <a:graphic xmlns:a="http://schemas.openxmlformats.org/drawingml/2006/main">
                  <a:graphicData uri="http://schemas.microsoft.com/office/word/2010/wordprocessingShape">
                    <wps:wsp>
                      <wps:cNvCnPr/>
                      <wps:spPr>
                        <a:xfrm>
                          <a:off x="4885690" y="3645535"/>
                          <a:ext cx="1099820" cy="1556385"/>
                        </a:xfrm>
                        <a:prstGeom prst="straightConnector1">
                          <a:avLst/>
                        </a:prstGeom>
                        <a:ln w="19050">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3.2pt;margin-top:220.25pt;height:122.55pt;width:86.6pt;z-index:251700224;mso-width-relative:page;mso-height-relative:page;" filled="f" stroked="t" coordsize="21600,21600" o:gfxdata="UEsDBAoAAAAAAIdO4kAAAAAAAAAAAAAAAAAEAAAAZHJzL1BLAwQUAAAACACHTuJAnT2sldkAAAAL&#10;AQAADwAAAGRycy9kb3ducmV2LnhtbE2PwU7DMBBE70j8g7VIXBC1C6kVQpweEJxArQiRuG7jJQ7E&#10;dhQ7Tfl7zAmOq3maeVtuT3ZgR5pC752C9UoAI9d63btOQfP2dJ0DCxGdxsE7UvBNAbbV+VmJhfaL&#10;e6VjHTuWSlwoUIGJcSw4D60hi2HlR3Ip+/CTxZjOqeN6wiWV24HfCCG5xd6lBYMjPRhqv+rZKojj&#10;O98tLwab7rl+/GzCvOx3V0pdXqzFPbBIp/gHw69+UocqOR387HRggwIpZZZQBVkmNsASkd/eSWCH&#10;FOUbCbwq+f8fqh9QSwMEFAAAAAgAh07iQCZOknoVAgAA8wMAAA4AAABkcnMvZTJvRG9jLnhtbK1T&#10;zY7TMBC+I/EOlu806XZTNVXTPbSUC4JKwAO4jpNY8p/G3qZ9CV4AiRNwgj3tnaeB5TEYO2UXFg57&#10;IAdn7Jn5Zr7P48XFQSuyF+ClNRUdj3JKhOG2lqat6JvXmyczSnxgpmbKGlHRo/D0Yvn40aJ3c3Fm&#10;O6tqAQRBjJ/3rqJdCG6eZZ53QjM/sk4YdDYWNAu4hTargfWIrlV2lufTrLdQO7BceI+n68FJT4jw&#10;EEDbNJKLteWXWpgwoIJQLCAl30nn6TJ12zSCh5dN40UgqqLINKQVi6C9i2u2XLB5C8x1kp9aYA9p&#10;4R4nzaTBordQaxYYuQT5F5SWHKy3TRhxq7OBSFIEWYzze9q86pgTiQtK7d2t6P7/wfIX+y0QWVe0&#10;pMQwjRd+8+76+9uPN1dfvn24/vH1fbQ/fyJllKp3fo4ZK7OF0867LUTehwZ0/CMjcqjo+WxWTEsU&#10;+VjRyfS8KCbFILU4BMIxYJyX5ewMAzhGjItiOpmliOwOyoEPz4TVJBoV9QGYbLuwssbgtVoYJ8HZ&#10;/rkP2Awm/kqIfRi7kUql21WG9FijzItYjuHINjgqaGqHtL1pKWGqxbfAAyRIb5WsY3oE8tDuVgrI&#10;nuEEbTY5fpEJlvsjLNZeM98Ncck1EO4Eq5+amoSjQ20ZgO0HR2BS/cOBwMogfpR6EDdaO1sfk+bp&#10;HGchdXCa2zhsv+9T9t1bXf4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T2sldkAAAALAQAADwAA&#10;AAAAAAABACAAAAAiAAAAZHJzL2Rvd25yZXYueG1sUEsBAhQAFAAAAAgAh07iQCZOknoVAgAA8wMA&#10;AA4AAAAAAAAAAQAgAAAAKAEAAGRycy9lMm9Eb2MueG1sUEsFBgAAAAAGAAYAWQEAAK8FAAAAAA==&#10;">
                <v:fill on="f" focussize="0,0"/>
                <v:stroke weight="1.5pt" color="#FF0000 [3204]" joinstyle="round" startarrow="open" endarrow="open"/>
                <v:imagedata o:title=""/>
                <o:lock v:ext="edit" aspectratio="f"/>
              </v:shape>
            </w:pict>
          </mc:Fallback>
        </mc:AlternateContent>
      </w:r>
      <w:r>
        <w:rPr>
          <w:sz w:val="24"/>
        </w:rPr>
        <mc:AlternateContent>
          <mc:Choice Requires="wps">
            <w:drawing>
              <wp:anchor distT="0" distB="0" distL="114300" distR="114300" simplePos="0" relativeHeight="251696128" behindDoc="0" locked="0" layoutInCell="1" allowOverlap="1">
                <wp:simplePos x="0" y="0"/>
                <wp:positionH relativeFrom="column">
                  <wp:posOffset>4617085</wp:posOffset>
                </wp:positionH>
                <wp:positionV relativeFrom="paragraph">
                  <wp:posOffset>664210</wp:posOffset>
                </wp:positionV>
                <wp:extent cx="1254125" cy="326390"/>
                <wp:effectExtent l="4445" t="4445" r="17780" b="12065"/>
                <wp:wrapNone/>
                <wp:docPr id="96" name="文本框 96"/>
                <wp:cNvGraphicFramePr/>
                <a:graphic xmlns:a="http://schemas.openxmlformats.org/drawingml/2006/main">
                  <a:graphicData uri="http://schemas.microsoft.com/office/word/2010/wordprocessingShape">
                    <wps:wsp>
                      <wps:cNvSpPr txBox="1"/>
                      <wps:spPr>
                        <a:xfrm>
                          <a:off x="0" y="0"/>
                          <a:ext cx="1254125" cy="32639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B98EA9A">
                            <w:pPr>
                              <w:jc w:val="center"/>
                              <w:rPr>
                                <w:b/>
                                <w:bCs/>
                                <w:color w:val="FFFF00"/>
                              </w:rPr>
                            </w:pPr>
                            <w:r>
                              <w:rPr>
                                <w:rFonts w:hint="eastAsia" w:ascii="宋体" w:hAnsi="宋体" w:cs="宋体"/>
                                <w:b/>
                                <w:bCs/>
                                <w:color w:val="FFFF00"/>
                              </w:rPr>
                              <w:t>◎</w:t>
                            </w:r>
                            <w:r>
                              <w:rPr>
                                <w:rFonts w:hint="eastAsia"/>
                                <w:b/>
                                <w:bCs/>
                                <w:color w:val="FFFF00"/>
                              </w:rPr>
                              <w:t>五五工业园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3.55pt;margin-top:52.3pt;height:25.7pt;width:98.75pt;z-index:251696128;mso-width-relative:page;mso-height-relative:page;" filled="f" stroked="t" coordsize="21600,21600" o:gfxdata="UEsDBAoAAAAAAIdO4kAAAAAAAAAAAAAAAAAEAAAAZHJzL1BLAwQUAAAACACHTuJArox3j9oAAAAL&#10;AQAADwAAAGRycy9kb3ducmV2LnhtbE2PzU7DMBCE70i8g7VI3KidiCYQ4vSA6AEJIVEQ5ejESxzh&#10;nxC7aeHp2Z7obXdnNPtNvTo4y2ac4hC8hGwhgKHvgh58L+HtdX11Aywm5bWywaOEH4ywas7PalXp&#10;sPcvOG9SzyjEx0pJMCmNFeexM+hUXIQRPWmfYXIq0Tr1XE9qT+HO8lyIgjs1ePpg1Ij3Bruvzc5J&#10;eHrffj+snz/EFls7LGdbmsffVsrLi0zcAUt4SP9mOOITOjTE1Iad15FZCWVeZmQlQVwXwMhxmx+H&#10;li7LQgBvan7aofkDUEsDBBQAAAAIAIdO4kBaGc3BUwIAAJAEAAAOAAAAZHJzL2Uyb0RvYy54bWyt&#10;VMFuEzEQvSPxD5bvdJM0DTTqpgqtipAqWqkgzo7X211he4ztZLd8APwBJy7c+a5+B8/epI2AQw8c&#10;4oxnxjPz3szsyWlvNNsoH1qyJR8fjDhTVlLV2tuSf3h/8eIVZyEKWwlNVpX8TgV+unj+7KRzczWh&#10;hnSlPEMQG+adK3kTo5sXRZCNMiIckFMWxpq8ERFXf1tUXnSIbnQxGY1mRUe+cp6kCgHa88HItxH9&#10;UwJSXbdSnZNcG2XjENUrLSIghaZ1gS9ytXWtZLyq66Ai0yUH0phPJIG8SmexOBHzWy9c08ptCeIp&#10;JfyByYjWIulDqHMRBVv79q9QppWeAtXxQJIpBiCZEaAYj/7g5qYRTmUsoDq4B9LD/wsr322uPWur&#10;kh/POLPCoOP337/d//h1//Mrgw4EdS7M4Xfj4Bn719RjbHb6AGXC3dfepH8gYrCD3rsHelUfmUyP&#10;JkdT/DiTsB1OZofHmf/i8bXzIb5RZFgSSu7Rvsyq2FyGiErgunNJySxdtFrnFmrLupLPDo9G+UEg&#10;3VbJmNzSkzPt2UZgCFZayE+pesTa88JNWygT1gFTkmK/6rcErKi6A35PwwgFJy9axL0UIV4Lj5kB&#10;ZGxVvMJRa0IxtJU4a8h/+Zc++aOVsHLWYQZLHj6vhVec6bcWTT4eT6dpaPNlevRygovft6z2LXZt&#10;zggIx9hfJ7OY/KPeibUn8xHLt0xZYRJWInfJ4048i8NmYHmlWi6zE8bUiXhpb5xMoQfal+tIdZs7&#10;kmgauNmyh0HN5G6XKm3C/j17PX5IF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rox3j9oAAAAL&#10;AQAADwAAAAAAAAABACAAAAAiAAAAZHJzL2Rvd25yZXYueG1sUEsBAhQAFAAAAAgAh07iQFoZzcFT&#10;AgAAkAQAAA4AAAAAAAAAAQAgAAAAKQEAAGRycy9lMm9Eb2MueG1sUEsFBgAAAAAGAAYAWQEAAO4F&#10;AAAAAA==&#10;">
                <v:fill on="f" focussize="0,0"/>
                <v:stroke weight="0.5pt" color="#000000 [3204]" joinstyle="round"/>
                <v:imagedata o:title=""/>
                <o:lock v:ext="edit" aspectratio="f"/>
                <v:textbox>
                  <w:txbxContent>
                    <w:p w14:paraId="6B98EA9A">
                      <w:pPr>
                        <w:jc w:val="center"/>
                        <w:rPr>
                          <w:b/>
                          <w:bCs/>
                          <w:color w:val="FFFF00"/>
                        </w:rPr>
                      </w:pPr>
                      <w:r>
                        <w:rPr>
                          <w:rFonts w:hint="eastAsia" w:ascii="宋体" w:hAnsi="宋体" w:cs="宋体"/>
                          <w:b/>
                          <w:bCs/>
                          <w:color w:val="FFFF00"/>
                        </w:rPr>
                        <w:t>◎</w:t>
                      </w:r>
                      <w:r>
                        <w:rPr>
                          <w:rFonts w:hint="eastAsia"/>
                          <w:b/>
                          <w:bCs/>
                          <w:color w:val="FFFF00"/>
                        </w:rPr>
                        <w:t>五五工业园</w:t>
                      </w:r>
                    </w:p>
                  </w:txbxContent>
                </v:textbox>
              </v:shape>
            </w:pict>
          </mc:Fallback>
        </mc:AlternateContent>
      </w:r>
      <w:r>
        <w:rPr>
          <w:sz w:val="24"/>
        </w:rPr>
        <mc:AlternateContent>
          <mc:Choice Requires="wps">
            <w:drawing>
              <wp:anchor distT="0" distB="0" distL="114300" distR="114300" simplePos="0" relativeHeight="251702272" behindDoc="0" locked="0" layoutInCell="1" allowOverlap="1">
                <wp:simplePos x="0" y="0"/>
                <wp:positionH relativeFrom="column">
                  <wp:posOffset>3786505</wp:posOffset>
                </wp:positionH>
                <wp:positionV relativeFrom="paragraph">
                  <wp:posOffset>1691640</wp:posOffset>
                </wp:positionV>
                <wp:extent cx="1000125" cy="326390"/>
                <wp:effectExtent l="337185" t="0" r="0" b="0"/>
                <wp:wrapNone/>
                <wp:docPr id="36" name="文本框 36"/>
                <wp:cNvGraphicFramePr/>
                <a:graphic xmlns:a="http://schemas.openxmlformats.org/drawingml/2006/main">
                  <a:graphicData uri="http://schemas.microsoft.com/office/word/2010/wordprocessingShape">
                    <wps:wsp>
                      <wps:cNvSpPr txBox="1"/>
                      <wps:spPr>
                        <a:xfrm rot="4320000">
                          <a:off x="0" y="0"/>
                          <a:ext cx="1000125" cy="326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2F50C9">
                            <w:pPr>
                              <w:rPr>
                                <w:b/>
                                <w:bCs/>
                                <w:color w:val="FFFF00"/>
                                <w:sz w:val="22"/>
                                <w:szCs w:val="28"/>
                              </w:rPr>
                            </w:pPr>
                            <w:r>
                              <w:rPr>
                                <w:rFonts w:hint="eastAsia" w:ascii="宋体" w:hAnsi="宋体" w:cs="宋体"/>
                                <w:b/>
                                <w:bCs/>
                                <w:color w:val="FFFF00"/>
                                <w:sz w:val="22"/>
                                <w:szCs w:val="28"/>
                              </w:rPr>
                              <w:t>18km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8.15pt;margin-top:133.2pt;height:25.7pt;width:78.75pt;rotation:4718592f;z-index:251702272;mso-width-relative:page;mso-height-relative:page;" filled="f" stroked="f" coordsize="21600,21600" o:gfxdata="UEsDBAoAAAAAAIdO4kAAAAAAAAAAAAAAAAAEAAAAZHJzL1BLAwQUAAAACACHTuJARpb479wAAAAL&#10;AQAADwAAAGRycy9kb3ducmV2LnhtbE2PwU7DMBBE70j8g7VI3KidhqYhxOkBhAQSFRCoxHFrb5OI&#10;2A6x27R/jznBcbVPM2/K1dH07ECj75yVkMwEMLLK6c42Ej7eH65yYD6g1dg7SxJO5GFVnZ+VWGg3&#10;2Tc61KFhMcT6AiW0IQwF5161ZNDP3EA2/nZuNBjiOTZcjzjFcNPzuRAZN9jZ2NDiQHctqa96byRs&#10;nja75+9J1J8vCu+n9Umpx9dcysuLRNwCC3QMfzD86kd1qKLT1u2t9qyXsLjJ0ohKmGfZNbBILBdp&#10;HLOVkCbLHHhV8v8bqh9QSwMEFAAAAAgAh07iQDdP/YJEAgAAdgQAAA4AAABkcnMvZTJvRG9jLnht&#10;bK1UzW7UMBC+I/EOlu80+9eFrpqtllZFSBWtVBBnr+M0kWyPsb1NygPAG/TEhTvP1efgs7O7VIVD&#10;D1ys8czkm/m+Gef4pDea3SofWrIlHx+MOFNWUtXam5J/+nj+6g1nIQpbCU1WlfxOBX6yfPniuHML&#10;NaGGdKU8A4gNi86VvInRLYoiyEYZEQ7IKYtgTd6IiKu/KSovOqAbXUxGo3nRka+cJ6lCgPdsCPIt&#10;on8OINV1K9UZyY1RNg6oXmkRQSk0rQt8mbutayXjZV0HFZkuOZjGfKII7HU6i+WxWNx44ZpWblsQ&#10;z2nhCScjWouie6gzEQXb+PYvKNNKT4HqeCDJFAORrAhYjEdPtLluhFOZC6QObi96+H+w8sPtlWdt&#10;VfLpnDMrDCb+cP/94cevh5/fGHwQqHNhgbxrh8zYv6Uea7PzBzgT7772hnmCvrMppjwaZTXAjyEb&#10;Yt/txVZ9ZDJBIGk8OeRMIjadzKdHeRrFgJUwnQ/xnSLDklFyj2FmVHF7ESL6QuouJaVbOm+1zgPV&#10;lnUln08Phzb2EXyhLT5MjIbOkxX7db+luabqDiwzEXQdnDxvUfxChHglPDYDTrydeImj1oQitLU4&#10;a8h//Zc/5WNgiHLWYdNKHr5shFec6fcWozwaz2aAjfkyO3w9wcU/jqwfR+zGnBKWeZy7y2bKj3pn&#10;1p7MZzyxVaqKkLAStUsed+ZpHPYfT1Sq1SonYRmdiBf22skEPci52kSq26x0kmnQZqse1jEPYPt0&#10;0r4/vuesP7+L5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Glvjv3AAAAAsBAAAPAAAAAAAAAAEA&#10;IAAAACIAAABkcnMvZG93bnJldi54bWxQSwECFAAUAAAACACHTuJAN0/9gkQCAAB2BAAADgAAAAAA&#10;AAABACAAAAArAQAAZHJzL2Uyb0RvYy54bWxQSwUGAAAAAAYABgBZAQAA4QUAAAAA&#10;">
                <v:fill on="f" focussize="0,0"/>
                <v:stroke on="f" weight="0.5pt"/>
                <v:imagedata o:title=""/>
                <o:lock v:ext="edit" aspectratio="f"/>
                <v:textbox>
                  <w:txbxContent>
                    <w:p w14:paraId="322F50C9">
                      <w:pPr>
                        <w:rPr>
                          <w:b/>
                          <w:bCs/>
                          <w:color w:val="FFFF00"/>
                          <w:sz w:val="22"/>
                          <w:szCs w:val="28"/>
                        </w:rPr>
                      </w:pPr>
                      <w:r>
                        <w:rPr>
                          <w:rFonts w:hint="eastAsia" w:ascii="宋体" w:hAnsi="宋体" w:cs="宋体"/>
                          <w:b/>
                          <w:bCs/>
                          <w:color w:val="FFFF00"/>
                          <w:sz w:val="22"/>
                          <w:szCs w:val="28"/>
                        </w:rPr>
                        <w:t>18km</w:t>
                      </w:r>
                    </w:p>
                  </w:txbxContent>
                </v:textbox>
              </v:shape>
            </w:pict>
          </mc:Fallback>
        </mc:AlternateContent>
      </w:r>
      <w:r>
        <w:rPr>
          <w:sz w:val="24"/>
        </w:rPr>
        <mc:AlternateContent>
          <mc:Choice Requires="wps">
            <w:drawing>
              <wp:anchor distT="0" distB="0" distL="114300" distR="114300" simplePos="0" relativeHeight="251703296" behindDoc="0" locked="0" layoutInCell="1" allowOverlap="1">
                <wp:simplePos x="0" y="0"/>
                <wp:positionH relativeFrom="column">
                  <wp:posOffset>4153535</wp:posOffset>
                </wp:positionH>
                <wp:positionV relativeFrom="paragraph">
                  <wp:posOffset>3167380</wp:posOffset>
                </wp:positionV>
                <wp:extent cx="1000125" cy="326390"/>
                <wp:effectExtent l="337185" t="0" r="0" b="0"/>
                <wp:wrapNone/>
                <wp:docPr id="42" name="文本框 42"/>
                <wp:cNvGraphicFramePr/>
                <a:graphic xmlns:a="http://schemas.openxmlformats.org/drawingml/2006/main">
                  <a:graphicData uri="http://schemas.microsoft.com/office/word/2010/wordprocessingShape">
                    <wps:wsp>
                      <wps:cNvSpPr txBox="1"/>
                      <wps:spPr>
                        <a:xfrm rot="3720000">
                          <a:off x="0" y="0"/>
                          <a:ext cx="1000125" cy="326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5BD475">
                            <w:pPr>
                              <w:rPr>
                                <w:b/>
                                <w:bCs/>
                                <w:color w:val="FFFF00"/>
                                <w:sz w:val="22"/>
                                <w:szCs w:val="28"/>
                              </w:rPr>
                            </w:pPr>
                            <w:r>
                              <w:rPr>
                                <w:rFonts w:hint="eastAsia" w:ascii="宋体" w:hAnsi="宋体" w:cs="宋体"/>
                                <w:b/>
                                <w:bCs/>
                                <w:color w:val="FFFF00"/>
                                <w:sz w:val="22"/>
                                <w:szCs w:val="28"/>
                              </w:rPr>
                              <w:t>10km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05pt;margin-top:249.4pt;height:25.7pt;width:78.75pt;rotation:4063232f;z-index:251703296;mso-width-relative:page;mso-height-relative:page;" filled="f" stroked="f" coordsize="21600,21600" o:gfxdata="UEsDBAoAAAAAAIdO4kAAAAAAAAAAAAAAAAAEAAAAZHJzL1BLAwQUAAAACACHTuJAoK8C4NsAAAAL&#10;AQAADwAAAGRycy9kb3ducmV2LnhtbE2Py2rDMBBF94X+g5hCd42kYBvH9TiU0hRCIVAnm+4US7FN&#10;9DCS4qR/X3XVLoc53Htuvb4ZTWblw+gsAl8wIMp2To62RzjsN08lkBCFlUI7qxC+VYB1c39Xi0q6&#10;q/1Ucxt7kkJsqATCEONUURq6QRkRFm5SNv1OzhsR0+l7Kr24pnCj6ZKxghox2tQwiEm9Dqo7txeD&#10;MLV6/7bbZrsv/z53q7j5eDlsPeLjA2fPQKK6xT8YfvWTOjTJ6eguVgaiEYo84wlFyFZl2pCIkvMC&#10;yBEhz9kSaFPT/xuaH1BLAwQUAAAACACHTuJA9SslYEQCAAB2BAAADgAAAGRycy9lMm9Eb2MueG1s&#10;rVTNbtQwEL4j8Q6W7zT710JXzVZLqyKkilZaEGev4zSRbI+xvU3KA8Ab9MSFO8/V5+Czs7tUhUMP&#10;XKzxzOSb+b4Z5+S0N5rdKh9asiUfH4w4U1ZS1dqbkn/6ePHqDWchClsJTVaV/E4Ffrp4+eKkc3M1&#10;oYZ0pTwDiA3zzpW8idHNiyLIRhkRDsgpi2BN3oiIq78pKi86oBtdTEajo6IjXzlPUoUA7/kQ5FtE&#10;/xxAqutWqnOSG6NsHFC90iKCUmhaF/gid1vXSsarug4qMl1yMI35RBHY63QWixMxv/HCNa3ctiCe&#10;08ITTka0FkX3UOciCrbx7V9QppWeAtXxQJIpBiJZEbAYj55os2qEU5kLpA5uL3r4f7Dyw+21Z21V&#10;8tmEMysMJv5w//3hx6+Hn98YfBCoc2GOvJVDZuzfUo+12fkDnIl3X3vDPEHf6WtMeTTKaoAfQzbE&#10;vtuLrfrIZIJA0nhyyJlEbDo5mh7naRQDVsJ0PsR3igxLRsk9hplRxe1liOgLqbuUlG7potU6D1Rb&#10;1pX8aHo4tLGP4Att8WFiNHSerNiv+y3NNVV3YJmJoOvg5EWL4pcixGvhsRlw4u3EKxy1JhShrcVZ&#10;Q/7rv/wpHwNDlLMOm1by8GUjvOJMv7cY5fF4NgNszJfZIeTjzD+OrB9H7MacEZZ5nLvLZsqPemfW&#10;nsxnPLFlqoqQsBK1Sx535lkc9h9PVKrlMidhGZ2Il3blZIIe5FxuItVtVjrJNGizVQ/rmAewfTpp&#10;3x/fc9af38X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CvAuDbAAAACwEAAA8AAAAAAAAAAQAg&#10;AAAAIgAAAGRycy9kb3ducmV2LnhtbFBLAQIUABQAAAAIAIdO4kD1KyVgRAIAAHYEAAAOAAAAAAAA&#10;AAEAIAAAACoBAABkcnMvZTJvRG9jLnhtbFBLBQYAAAAABgAGAFkBAADgBQAAAAA=&#10;">
                <v:fill on="f" focussize="0,0"/>
                <v:stroke on="f" weight="0.5pt"/>
                <v:imagedata o:title=""/>
                <o:lock v:ext="edit" aspectratio="f"/>
                <v:textbox>
                  <w:txbxContent>
                    <w:p w14:paraId="395BD475">
                      <w:pPr>
                        <w:rPr>
                          <w:b/>
                          <w:bCs/>
                          <w:color w:val="FFFF00"/>
                          <w:sz w:val="22"/>
                          <w:szCs w:val="28"/>
                        </w:rPr>
                      </w:pPr>
                      <w:r>
                        <w:rPr>
                          <w:rFonts w:hint="eastAsia" w:ascii="宋体" w:hAnsi="宋体" w:cs="宋体"/>
                          <w:b/>
                          <w:bCs/>
                          <w:color w:val="FFFF00"/>
                          <w:sz w:val="22"/>
                          <w:szCs w:val="28"/>
                        </w:rPr>
                        <w:t>10km</w:t>
                      </w:r>
                    </w:p>
                  </w:txbxContent>
                </v:textbox>
              </v:shape>
            </w:pict>
          </mc:Fallback>
        </mc:AlternateContent>
      </w:r>
      <w:r>
        <w:rPr>
          <w:sz w:val="24"/>
        </w:rPr>
        <mc:AlternateContent>
          <mc:Choice Requires="wps">
            <w:drawing>
              <wp:anchor distT="0" distB="0" distL="114300" distR="114300" simplePos="0" relativeHeight="251701248" behindDoc="0" locked="0" layoutInCell="1" allowOverlap="1">
                <wp:simplePos x="0" y="0"/>
                <wp:positionH relativeFrom="column">
                  <wp:posOffset>3504565</wp:posOffset>
                </wp:positionH>
                <wp:positionV relativeFrom="paragraph">
                  <wp:posOffset>427355</wp:posOffset>
                </wp:positionV>
                <wp:extent cx="1821180" cy="3927475"/>
                <wp:effectExtent l="9525" t="0" r="17145" b="15875"/>
                <wp:wrapNone/>
                <wp:docPr id="27" name="直接箭头连接符 27"/>
                <wp:cNvGraphicFramePr/>
                <a:graphic xmlns:a="http://schemas.openxmlformats.org/drawingml/2006/main">
                  <a:graphicData uri="http://schemas.microsoft.com/office/word/2010/wordprocessingShape">
                    <wps:wsp>
                      <wps:cNvCnPr/>
                      <wps:spPr>
                        <a:xfrm>
                          <a:off x="4435475" y="1134110"/>
                          <a:ext cx="1821180" cy="3927475"/>
                        </a:xfrm>
                        <a:prstGeom prst="straightConnector1">
                          <a:avLst/>
                        </a:prstGeom>
                        <a:ln w="19050">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5.95pt;margin-top:33.65pt;height:309.25pt;width:143.4pt;z-index:251701248;mso-width-relative:page;mso-height-relative:page;" filled="f" stroked="t" coordsize="21600,21600" o:gfxdata="UEsDBAoAAAAAAIdO4kAAAAAAAAAAAAAAAAAEAAAAZHJzL1BLAwQUAAAACACHTuJAFwOrktkAAAAK&#10;AQAADwAAAGRycy9kb3ducmV2LnhtbE2PwU7DMAyG70i8Q2QkLoilZepWStMdEJxAQ5RKXL3GNIUm&#10;qZp0HW+POcHR9qff31/uTnYQR5pC752CdJWAINd63btOQfP2eJ2DCBGdxsE7UvBNAXbV+VmJhfaL&#10;e6VjHTvBIS4UqMDEOBZShtaQxbDyIzm+ffjJYuRx6qSecOFwO8ibJNlIi73jDwZHujfUftWzVRDH&#10;d7lfng023VP98NmEeXnZXyl1eZEmdyAineIfDL/6rA4VOx387HQQg4IsS28ZVbDZrkEwkK/zLYgD&#10;L/IsB1mV8n+F6gdQSwMEFAAAAAgAh07iQCgRtTcWAgAA9QMAAA4AAABkcnMvZTJvRG9jLnhtbK1T&#10;zY7TMBC+I/EOlu80TX/obtR0Dy3lgqAS8ABTx0ksObY19jbtS/ACSJyAE3DaO08Dy2MwTsIuLBz2&#10;QA7O2DPzzXyfx8uLY6PZQaJX1uQ8HY05k0bYQpkq569fbR+dceYDmAK0NTLnJ+n5xerhg2XrMjmx&#10;tdWFREYgxmety3kdgsuSxItaNuBH1klDztJiA4G2WCUFQkvojU4m4/HjpLVYOLRCek+nm97JB0S8&#10;D6AtSyXkxorLRprQo6LUEIiSr5XzfNV1W5ZShBdl6WVgOufENHQrFSF7H9dktYSsQnC1EkMLcJ8W&#10;7nBqQBkqegO1gQDsEtVfUI0SaL0tw0jYJumJdIoQi3R8R5uXNTjZcSGpvbsR3f8/WPH8sEOmipxP&#10;FpwZaOjGr99efX/z4frL52/vr358fRftTx8Z+Ums1vmMctZmh8POux1G5scSm/gnTuyY89lsOp8t&#10;5pydaMjS6SxNB7HlMTBBAenZJE3P6B4ERUzPJ4sYTZjJLZRDH55K27Bo5NwHBFXVYW2NoYu1mHaS&#10;w+GZD33ir4TYh7FbpTWdQ6YNa6ng+XgeywENbUnDQmbjiLg3FWegK3oNImAH6a1WRUyP2R6r/Voj&#10;OwDN0HY7pm/o84+wWHsDvu7jOlcMg6yWUDwxBQsnR+ICom17RwCl/+EgAbQhHaLUvbjR2tvi1Gne&#10;ndM0dEoNkxvH7fd9l337Wl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cDq5LZAAAACgEAAA8A&#10;AAAAAAAAAQAgAAAAIgAAAGRycy9kb3ducmV2LnhtbFBLAQIUABQAAAAIAIdO4kAoEbU3FgIAAPUD&#10;AAAOAAAAAAAAAAEAIAAAACgBAABkcnMvZTJvRG9jLnhtbFBLBQYAAAAABgAGAFkBAACwBQAAAAA=&#10;">
                <v:fill on="f" focussize="0,0"/>
                <v:stroke weight="1.5pt" color="#FF0000 [3204]" joinstyle="round" startarrow="open" endarrow="open"/>
                <v:imagedata o:title=""/>
                <o:lock v:ext="edit" aspectratio="f"/>
              </v:shape>
            </w:pict>
          </mc:Fallback>
        </mc:AlternateContent>
      </w:r>
      <w:r>
        <w:rPr>
          <w:sz w:val="24"/>
        </w:rPr>
        <mc:AlternateContent>
          <mc:Choice Requires="wps">
            <w:drawing>
              <wp:anchor distT="0" distB="0" distL="114300" distR="114300" simplePos="0" relativeHeight="251695104" behindDoc="0" locked="0" layoutInCell="1" allowOverlap="1">
                <wp:simplePos x="0" y="0"/>
                <wp:positionH relativeFrom="column">
                  <wp:posOffset>3363595</wp:posOffset>
                </wp:positionH>
                <wp:positionV relativeFrom="paragraph">
                  <wp:posOffset>3579495</wp:posOffset>
                </wp:positionV>
                <wp:extent cx="1148715" cy="338455"/>
                <wp:effectExtent l="12700" t="12700" r="857885" b="525145"/>
                <wp:wrapNone/>
                <wp:docPr id="71" name="矩形标注 71"/>
                <wp:cNvGraphicFramePr/>
                <a:graphic xmlns:a="http://schemas.openxmlformats.org/drawingml/2006/main">
                  <a:graphicData uri="http://schemas.microsoft.com/office/word/2010/wordprocessingShape">
                    <wps:wsp>
                      <wps:cNvSpPr/>
                      <wps:spPr>
                        <a:xfrm>
                          <a:off x="0" y="0"/>
                          <a:ext cx="1148715" cy="338455"/>
                        </a:xfrm>
                        <a:prstGeom prst="wedgeRectCallout">
                          <a:avLst>
                            <a:gd name="adj1" fmla="val 122581"/>
                            <a:gd name="adj2" fmla="val 196153"/>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7DF9BE">
                            <w:pPr>
                              <w:rPr>
                                <w:rFonts w:eastAsia="仿宋"/>
                              </w:rPr>
                            </w:pPr>
                            <w:r>
                              <w:rPr>
                                <w:rFonts w:hint="eastAsia"/>
                                <w:b/>
                                <w:bCs/>
                                <w:color w:val="376092" w:themeColor="accent1" w:themeShade="BF"/>
                              </w:rPr>
                              <w:t>项目区所在地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64.85pt;margin-top:281.85pt;height:26.65pt;width:90.45pt;z-index:251695104;v-text-anchor:middle;mso-width-relative:page;mso-height-relative:page;" fillcolor="#E6E0EC [663]" filled="t" stroked="t" coordsize="21600,21600" o:gfxdata="UEsDBAoAAAAAAIdO4kAAAAAAAAAAAAAAAAAEAAAAZHJzL1BLAwQUAAAACACHTuJAm8wCZNcAAAAL&#10;AQAADwAAAGRycy9kb3ducmV2LnhtbE2PwU7DMAyG70i8Q2QkbizJEC2UppOGBjckGINz1pi2onGq&#10;JuvWt8ec2O23/Ovz53J18r2YcIxdIAN6oUAg1cF11BjYfTzf3IOIyZKzfSA0MGOEVXV5UdrChSO9&#10;47RNjWAIxcIaaFMaCilj3aK3cREGJN59h9HbxOPYSDfaI8N9L5dKZdLbjvhCawd8arH+2R48U3w3&#10;fb6Oud5s1rs3/fJVz+s5GnN9pdUjiISn9F+GP31Wh4qd9uFALorewN3yIecqh+yWAzdyrTIQewOZ&#10;zhXIqpTnP1S/UEsDBBQAAAAIAIdO4kCe7NOWyQIAAKkFAAAOAAAAZHJzL2Uyb0RvYy54bWytVMtu&#10;EzEU3SPxD5b3dDKTTDuNOqmipEVIhVYUxNrxeB7IL2wnk/IDfAaIFaxZ8zmU3+DanrZpYdEFm5n7&#10;8rnve3S8FRxtmLGdkiVO90YYMUlV1cmmxG/fnD4rMLKOyIpwJVmJr5jFx7OnT456PWWZahWvmEEA&#10;Iu201yVundPTJLG0ZYLYPaWZBGWtjCAOWNMklSE9oAueZKPRftIrU2mjKLMWpMuoxAOieQygquuO&#10;sqWia8Gki6iGceIgJdt22uJZiLauGXXndW2ZQ7zEkKkLX3AC9Mp/k9kRmTaG6LajQwjkMSE8yEmQ&#10;ToLTW6glcQStTfcXlOioUVbVbo8qkcREQkUgi3T0oDaXLdEs5AKltvq26Pb/wdJXmwuDuqrEBylG&#10;kgjo+O/P33/9/Hr95dP1j28IxFCjXtspmF7qCzNwFkif8LY2wv8hFbQNdb26rSvbOkRBmKaT4iDN&#10;MaKgG4+LSZ570OTutTbWPWdKIE+UuGdVw15D8xaEc7V2obRkc2ZdqHE1BEqq9xB0LTi0bEM4SrMs&#10;L0K80Igdo+ye0eF+mo8H/wMmRHITgXdgFe+q047zwJhmteAGgYMSn+yfjE4WIRy+Fi9VFcUw16Nh&#10;lkAMExfFxY0Y8G2ECVnfw+cS9SXO8gkgIEpgo2qYZCCFhq5Y2WBEeAOrSp0Jju+9HmCjv3GRL4t5&#10;NGpJxaI0f0wUPv0lsW18ElwMJeISYvb9jx33lNuutsMYrFR1BQNkVNwsq+lpB1BnxLoLYqAvkBQc&#10;G3cOn5oryFQNFEatMh//Jff2MOGgxaiH1YQqfFgTwzDiLyTM/mE6mfhdDswkP8iAMbua1a5GrsVC&#10;QetgUiC6QHp7x2/I2ijxDm7S3HsFFZEUfMd6D8zCxZMBV42y+TyYwf5q4s7kpaYe3I+KVPO1U3Xn&#10;/HD7QsXqDAxscOj+cG38idjlg9XdhZ3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JvMAmTXAAAA&#10;CwEAAA8AAAAAAAAAAQAgAAAAIgAAAGRycy9kb3ducmV2LnhtbFBLAQIUABQAAAAIAIdO4kCe7NOW&#10;yQIAAKkFAAAOAAAAAAAAAAEAIAAAACYBAABkcnMvZTJvRG9jLnhtbFBLBQYAAAAABgAGAFkBAABh&#10;BgAAAAA=&#10;" adj="37277,53169">
                <v:fill on="t" focussize="0,0"/>
                <v:stroke weight="2pt" color="#385D8A [3204]" joinstyle="round"/>
                <v:imagedata o:title=""/>
                <o:lock v:ext="edit" aspectratio="f"/>
                <v:textbox>
                  <w:txbxContent>
                    <w:p w14:paraId="387DF9BE">
                      <w:pPr>
                        <w:rPr>
                          <w:rFonts w:eastAsia="仿宋"/>
                        </w:rPr>
                      </w:pPr>
                      <w:r>
                        <w:rPr>
                          <w:rFonts w:hint="eastAsia"/>
                          <w:b/>
                          <w:bCs/>
                          <w:color w:val="376092" w:themeColor="accent1" w:themeShade="BF"/>
                        </w:rPr>
                        <w:t>项目区所在地</w:t>
                      </w:r>
                    </w:p>
                  </w:txbxContent>
                </v:textbox>
              </v:shape>
            </w:pict>
          </mc:Fallback>
        </mc:AlternateContent>
      </w:r>
      <w:r>
        <w:drawing>
          <wp:anchor distT="0" distB="0" distL="114300" distR="114300" simplePos="0" relativeHeight="251694080" behindDoc="0" locked="0" layoutInCell="1" allowOverlap="1">
            <wp:simplePos x="0" y="0"/>
            <wp:positionH relativeFrom="column">
              <wp:posOffset>8815070</wp:posOffset>
            </wp:positionH>
            <wp:positionV relativeFrom="paragraph">
              <wp:posOffset>4527550</wp:posOffset>
            </wp:positionV>
            <wp:extent cx="914400" cy="742950"/>
            <wp:effectExtent l="0" t="0" r="0" b="0"/>
            <wp:wrapNone/>
            <wp:docPr id="7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
                    <pic:cNvPicPr>
                      <a:picLocks noChangeAspect="1"/>
                    </pic:cNvPicPr>
                  </pic:nvPicPr>
                  <pic:blipFill>
                    <a:blip r:embed="rId20"/>
                    <a:stretch>
                      <a:fillRect/>
                    </a:stretch>
                  </pic:blipFill>
                  <pic:spPr>
                    <a:xfrm>
                      <a:off x="0" y="0"/>
                      <a:ext cx="914400" cy="742950"/>
                    </a:xfrm>
                    <a:prstGeom prst="rect">
                      <a:avLst/>
                    </a:prstGeom>
                    <a:noFill/>
                    <a:ln>
                      <a:noFill/>
                    </a:ln>
                  </pic:spPr>
                </pic:pic>
              </a:graphicData>
            </a:graphic>
          </wp:anchor>
        </w:drawing>
      </w:r>
      <w:r>
        <w:drawing>
          <wp:anchor distT="0" distB="0" distL="114300" distR="114300" simplePos="0" relativeHeight="251693056" behindDoc="0" locked="0" layoutInCell="1" allowOverlap="1">
            <wp:simplePos x="0" y="0"/>
            <wp:positionH relativeFrom="column">
              <wp:posOffset>8909050</wp:posOffset>
            </wp:positionH>
            <wp:positionV relativeFrom="paragraph">
              <wp:posOffset>48895</wp:posOffset>
            </wp:positionV>
            <wp:extent cx="852170" cy="923925"/>
            <wp:effectExtent l="0" t="0" r="5080" b="9525"/>
            <wp:wrapNone/>
            <wp:docPr id="6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
                    <pic:cNvPicPr>
                      <a:picLocks noChangeAspect="1"/>
                    </pic:cNvPicPr>
                  </pic:nvPicPr>
                  <pic:blipFill>
                    <a:blip r:embed="rId11"/>
                    <a:stretch>
                      <a:fillRect/>
                    </a:stretch>
                  </pic:blipFill>
                  <pic:spPr>
                    <a:xfrm>
                      <a:off x="0" y="0"/>
                      <a:ext cx="852170" cy="923925"/>
                    </a:xfrm>
                    <a:prstGeom prst="rect">
                      <a:avLst/>
                    </a:prstGeom>
                    <a:noFill/>
                    <a:ln>
                      <a:noFill/>
                    </a:ln>
                  </pic:spPr>
                </pic:pic>
              </a:graphicData>
            </a:graphic>
          </wp:anchor>
        </w:drawing>
      </w:r>
    </w:p>
    <w:p w14:paraId="0B8229BC">
      <w:pPr>
        <w:pStyle w:val="5"/>
        <w:jc w:val="center"/>
        <w:rPr>
          <w:color w:val="auto"/>
        </w:rPr>
      </w:pPr>
      <w:r>
        <w:rPr>
          <w:rFonts w:hint="eastAsia"/>
          <w:color w:val="auto"/>
          <w:szCs w:val="21"/>
        </w:rPr>
        <w:t>图2-2 项目区卫星图</w:t>
      </w:r>
    </w:p>
    <w:p w14:paraId="66613265"/>
    <w:p w14:paraId="4E4A05C5">
      <w:pPr>
        <w:pStyle w:val="5"/>
        <w:sectPr>
          <w:pgSz w:w="16838" w:h="11906" w:orient="landscape"/>
          <w:pgMar w:top="720" w:right="720" w:bottom="720" w:left="720" w:header="851" w:footer="992" w:gutter="0"/>
          <w:cols w:space="425" w:num="1"/>
          <w:docGrid w:type="lines" w:linePitch="312" w:charSpace="0"/>
        </w:sectPr>
      </w:pPr>
    </w:p>
    <w:p w14:paraId="4C543C9F">
      <w:pPr>
        <w:pStyle w:val="7"/>
        <w:ind w:firstLine="0"/>
        <w:jc w:val="center"/>
        <w:rPr>
          <w:rFonts w:eastAsia="仿宋"/>
        </w:rPr>
      </w:pPr>
      <w:r>
        <mc:AlternateContent>
          <mc:Choice Requires="wps">
            <w:drawing>
              <wp:anchor distT="0" distB="0" distL="114300" distR="114300" simplePos="0" relativeHeight="251716608" behindDoc="0" locked="0" layoutInCell="1" allowOverlap="1">
                <wp:simplePos x="0" y="0"/>
                <wp:positionH relativeFrom="column">
                  <wp:posOffset>117475</wp:posOffset>
                </wp:positionH>
                <wp:positionV relativeFrom="paragraph">
                  <wp:posOffset>4977130</wp:posOffset>
                </wp:positionV>
                <wp:extent cx="1057275" cy="277495"/>
                <wp:effectExtent l="4445" t="4445" r="5080" b="22860"/>
                <wp:wrapNone/>
                <wp:docPr id="86" name="文本框 86"/>
                <wp:cNvGraphicFramePr/>
                <a:graphic xmlns:a="http://schemas.openxmlformats.org/drawingml/2006/main">
                  <a:graphicData uri="http://schemas.microsoft.com/office/word/2010/wordprocessingShape">
                    <wps:wsp>
                      <wps:cNvSpPr txBox="1"/>
                      <wps:spPr>
                        <a:xfrm>
                          <a:off x="0" y="0"/>
                          <a:ext cx="1057275" cy="277495"/>
                        </a:xfrm>
                        <a:prstGeom prst="rect">
                          <a:avLst/>
                        </a:prstGeom>
                        <a:solidFill>
                          <a:schemeClr val="bg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200AC062">
                            <w:pPr>
                              <w:spacing w:line="240" w:lineRule="atLeast"/>
                              <w:jc w:val="center"/>
                              <w:rPr>
                                <w:rFonts w:hint="eastAsia" w:ascii="仿宋" w:hAnsi="仿宋" w:eastAsia="仿宋" w:cs="仿宋"/>
                                <w:b/>
                                <w:bCs/>
                                <w:color w:val="FF0000"/>
                                <w:sz w:val="18"/>
                                <w:szCs w:val="18"/>
                                <w:lang w:val="en-US" w:eastAsia="zh-CN"/>
                              </w:rPr>
                            </w:pPr>
                            <w:r>
                              <w:rPr>
                                <w:rFonts w:hint="eastAsia" w:ascii="仿宋" w:hAnsi="仿宋" w:eastAsia="仿宋" w:cs="仿宋"/>
                                <w:b/>
                                <w:bCs/>
                                <w:color w:val="FF0000"/>
                                <w:sz w:val="18"/>
                                <w:szCs w:val="18"/>
                                <w:lang w:val="en-US" w:eastAsia="zh-CN"/>
                              </w:rPr>
                              <w:t>消防水池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5pt;margin-top:391.9pt;height:21.85pt;width:83.25pt;z-index:251716608;mso-width-relative:page;mso-height-relative:page;" fillcolor="#FFFFFF [3212]" filled="t" stroked="t" coordsize="21600,21600" o:gfxdata="UEsDBAoAAAAAAIdO4kAAAAAAAAAAAAAAAAAEAAAAZHJzL1BLAwQUAAAACACHTuJAEEeRDNYAAAAK&#10;AQAADwAAAGRycy9kb3ducmV2LnhtbE2PwU7DMBBE70j8g7VI3KjTRGmtEKcSSEiIGyWX3tx4m0TE&#10;68h2m/L3bE9wHO1o9r16d3WTuGCIoycN61UGAqnzdqReQ/v19qRAxGTImskTavjBCLvm/q42lfUL&#10;feJln3rBIxQro2FIaa6kjN2AzsSVn5H4dvLBmcQx9NIGs/C4m2SeZRvpzEj8YTAzvg7Yfe/PTsP7&#10;5iUdsLUftsgLv7SyC6cpav34sM6eQSS8pr8y3PAZHRpmOvoz2SgmzqrkpoatKljhVlAlyx01qHxb&#10;gmxq+V+h+QVQSwMEFAAAAAgAh07iQCZy8ZxXAgAAugQAAA4AAABkcnMvZTJvRG9jLnhtbK1UwW7b&#10;MAy9D9g/CLqvdrKkaYM4RZYiw4BiLdANOyuyHAuQRE1SYncfsP3BTrvsvu/Kd4ySnTZtd+hhPsik&#10;SD+Sj6RnF61WZCecl2AKOjjJKRGGQynNpqCfP63enFHiAzMlU2BEQe+Epxfz169mjZ2KIdSgSuEI&#10;ghg/bWxB6xDsNMs8r4Vm/gSsMGiswGkWUHWbrHSsQXStsmGen2YNuNI64MJ7vL3sjLRHdC8BhKqS&#10;XFwC32phQofqhGIBS/K1tJ7OU7ZVJXi4riovAlEFxUpDOjEIyut4ZvMZm24cs7XkfQrsJSk8qUkz&#10;aTDoPdQlC4xsnXwGpSV34KEKJxx01hWSGMEqBvkTbm5rZkWqBan29p50//9g+cfdjSOyLOjZKSWG&#10;aez4/ueP/a8/+9/fCd4hQY31U/S7tegZ2nfQ4tgc7j1exrrbyun4xooI2pHeu3t6RRsIjx/l48lw&#10;MqaEo204mYzOxxEme/jaOh/eC9AkCgV12L7EKttd+dC5HlxiMA9KliupVFLcZr1UjuwYtnqVnh79&#10;kZsypCno6dtxnpAf2fwxRJ6e5xCYrjKYdWSlqz5KoV23PVVrKO+QKQfdsHnLVxLLuWI+3DCH04Xk&#10;4P6FazwqBZgN9BIlNbhv/7qP/th0tFLS4LQW1H/dMicoUR8MjsP5YDSK452UEdKMiju2rI8tZquX&#10;gCwNcNMtT2L0D+ogVg70F1zTRYyKJmY4xi5oOIjL0O0QrjkXi0VywoG2LFyZW8sjdOyJgcU2QCVT&#10;7yJNHTc9ezjSqfv9+sWdOdaT18MvZ/4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EEeRDNYAAAAK&#10;AQAADwAAAAAAAAABACAAAAAiAAAAZHJzL2Rvd25yZXYueG1sUEsBAhQAFAAAAAgAh07iQCZy8ZxX&#10;AgAAugQAAA4AAAAAAAAAAQAgAAAAJQEAAGRycy9lMm9Eb2MueG1sUEsFBgAAAAAGAAYAWQEAAO4F&#10;AAAAAA==&#10;">
                <v:fill on="t" focussize="0,0"/>
                <v:stroke weight="0.5pt" color="#000000 [3213]" joinstyle="round"/>
                <v:imagedata o:title=""/>
                <o:lock v:ext="edit" aspectratio="f"/>
                <v:textbox>
                  <w:txbxContent>
                    <w:p w14:paraId="200AC062">
                      <w:pPr>
                        <w:spacing w:line="240" w:lineRule="atLeast"/>
                        <w:jc w:val="center"/>
                        <w:rPr>
                          <w:rFonts w:hint="eastAsia" w:ascii="仿宋" w:hAnsi="仿宋" w:eastAsia="仿宋" w:cs="仿宋"/>
                          <w:b/>
                          <w:bCs/>
                          <w:color w:val="FF0000"/>
                          <w:sz w:val="18"/>
                          <w:szCs w:val="18"/>
                          <w:lang w:val="en-US" w:eastAsia="zh-CN"/>
                        </w:rPr>
                      </w:pPr>
                      <w:r>
                        <w:rPr>
                          <w:rFonts w:hint="eastAsia" w:ascii="仿宋" w:hAnsi="仿宋" w:eastAsia="仿宋" w:cs="仿宋"/>
                          <w:b/>
                          <w:bCs/>
                          <w:color w:val="FF0000"/>
                          <w:sz w:val="18"/>
                          <w:szCs w:val="18"/>
                          <w:lang w:val="en-US" w:eastAsia="zh-CN"/>
                        </w:rPr>
                        <w:t>消防水池</w:t>
                      </w:r>
                    </w:p>
                  </w:txbxContent>
                </v:textbox>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932180</wp:posOffset>
                </wp:positionH>
                <wp:positionV relativeFrom="paragraph">
                  <wp:posOffset>5280025</wp:posOffset>
                </wp:positionV>
                <wp:extent cx="893445" cy="563880"/>
                <wp:effectExtent l="0" t="0" r="20955" b="7620"/>
                <wp:wrapNone/>
                <wp:docPr id="85" name="直接箭头连接符 85"/>
                <wp:cNvGraphicFramePr/>
                <a:graphic xmlns:a="http://schemas.openxmlformats.org/drawingml/2006/main">
                  <a:graphicData uri="http://schemas.microsoft.com/office/word/2010/wordprocessingShape">
                    <wps:wsp>
                      <wps:cNvCnPr/>
                      <wps:spPr>
                        <a:xfrm flipH="1" flipV="1">
                          <a:off x="0" y="0"/>
                          <a:ext cx="893445" cy="563880"/>
                        </a:xfrm>
                        <a:prstGeom prst="straightConnector1">
                          <a:avLst/>
                        </a:prstGeom>
                        <a:ln>
                          <a:solidFill>
                            <a:srgbClr val="FF0000"/>
                          </a:solidFill>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 y;margin-left:73.4pt;margin-top:415.75pt;height:44.4pt;width:70.35pt;z-index:251715584;mso-width-relative:page;mso-height-relative:page;" filled="f" stroked="t" coordsize="21600,21600" o:gfxdata="UEsDBAoAAAAAAIdO4kAAAAAAAAAAAAAAAAAEAAAAZHJzL1BLAwQUAAAACACHTuJAYT9zbtsAAAAL&#10;AQAADwAAAGRycy9kb3ducmV2LnhtbE2PQU+DQBCF7yb+h82YeLML1LaILE1jgh48NFQPHrfsFFB2&#10;lrBLi//e8aS39/Je3nyTb2fbizOOvnOkIF5EIJBqZzpqFLy/lXcpCB80Gd07QgXf6GFbXF/lOjPu&#10;QhWeD6ERPEI+0wraEIZMSl+3aLVfuAGJs5MbrQ5sx0aaUV943PYyiaK1tLojvtDqAZ9arL8Ok1Xw&#10;+jztzH5KT6XfrT7nzUtVfjSVUrc3cfQIIuAc/srwi8/oUDDT0U1kvOjZ368ZPShIl/EKBDeSdMPi&#10;qOAhiZYgi1z+/6H4AVBLAwQUAAAACACHTuJAV3mSjRUCAADzAwAADgAAAGRycy9lMm9Eb2MueG1s&#10;rVO9jhMxEO6ReAfLPdlc7nLKRdlckRAoEETip3e83l1L/tOML5u8BC+ARAVUB9X1PA0cj8HYGwIc&#10;zRVsYY09O9833+fx7HJnDdsqQO1dyU8GQ86Uk77Srin561erRxPOMApXCeOdKvleIb+cP3ww68JU&#10;jXzrTaWAEYjDaRdK3sYYpkWBslVW4MAH5ShZe7Ai0haaogLREbo1xWg4PC86D1UALxUinS77JD8g&#10;wn0AfV1rqZZeXlnlYo8KyohIkrDVAfk8d1vXSsYXdY0qMlNyUhrzSiQUb9JazGdi2oAIrZaHFsR9&#10;WrijyQrtiPQItRRRsCvQ/0BZLcGjr+NAelv0QrIjpOJkeMebl60IKmshqzEcTcf/Byufb9fAdFXy&#10;yZgzJyzd+O27m+9vP95++fztw82Pr+9TfP2JUZ7M6gJOqWbh1nDYYVhDUr6rwbLa6PCUporn6E2K&#10;Uo50sl02fX80Xe0ik3Q4uTg9OyNuSanx+elkki+l6AFTcQCMT5S3LAUlxwhCN21ceOfoej30FGL7&#10;DCO1RIW/ClKx8yttTL5l41hX8ovxKJEJmtyaJoZCG0g9uoYzYRp6EjJCbhq90VWqTjgIzWZhgG0F&#10;DdJqNaQv2UFsf/2WqJcC2/6/nOpHLAptHruKxX0ghwWA73hqx6qKM6OINkU9onEEnIzurU3Rxlf7&#10;7Hg+p1nI1Ie5TcP25z5X/36r8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hP3Nu2wAAAAsBAAAP&#10;AAAAAAAAAAEAIAAAACIAAABkcnMvZG93bnJldi54bWxQSwECFAAUAAAACACHTuJAV3mSjRUCAADz&#10;AwAADgAAAAAAAAABACAAAAAqAQAAZHJzL2Uyb0RvYy54bWxQSwUGAAAAAAYABgBZAQAAsQUAAAAA&#10;">
                <v:fill on="f" focussize="0,0"/>
                <v:stroke color="#FF0000 [3205]" joinstyle="round" endarrow="open"/>
                <v:imagedata o:title=""/>
                <o:lock v:ext="edit" aspectratio="f"/>
              </v:shape>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1768475</wp:posOffset>
                </wp:positionH>
                <wp:positionV relativeFrom="paragraph">
                  <wp:posOffset>5693410</wp:posOffset>
                </wp:positionV>
                <wp:extent cx="271145" cy="301625"/>
                <wp:effectExtent l="33020" t="36830" r="46355" b="53975"/>
                <wp:wrapNone/>
                <wp:docPr id="83" name="矩形 83"/>
                <wp:cNvGraphicFramePr/>
                <a:graphic xmlns:a="http://schemas.openxmlformats.org/drawingml/2006/main">
                  <a:graphicData uri="http://schemas.microsoft.com/office/word/2010/wordprocessingShape">
                    <wps:wsp>
                      <wps:cNvSpPr/>
                      <wps:spPr>
                        <a:xfrm rot="15420000">
                          <a:off x="0" y="0"/>
                          <a:ext cx="271145" cy="3016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1B85A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25pt;margin-top:448.3pt;height:23.75pt;width:21.35pt;rotation:-6750208f;z-index:251714560;v-text-anchor:middle;mso-width-relative:page;mso-height-relative:page;" fillcolor="#FFFFFF [3212]" filled="t" stroked="t" coordsize="21600,21600" o:gfxdata="UEsDBAoAAAAAAIdO4kAAAAAAAAAAAAAAAAAEAAAAZHJzL1BLAwQUAAAACACHTuJA+UQDhtoAAAAL&#10;AQAADwAAAGRycy9kb3ducmV2LnhtbE2Py07DMBBF90j8gzVIbBC1E0qahkwqhFTollJ1PUncJCUe&#10;R7HTx99jVrAc3aN7z+Sri+nFSY+us4wQzRQIzZWtO24Qdl/rxxSE88Q19ZY1wlU7WBW3NzlltT3z&#10;pz5tfSNCCbuMEFrvh0xKV7XakJvZQXPIDnY05MM5NrIe6RzKTS9jpRJpqOOw0NKg31pdfW8ng/C+&#10;O3YbUh+mvKo9Da/Hh8XaT4j3d5F6AeH1xf/B8Ksf1KEITqWduHaiR4gX6XNAEdJlkoAIxFMcxSBK&#10;hOV8HoEscvn/h+IHUEsDBBQAAAAIAIdO4kBpbUrtdAIAAPgEAAAOAAAAZHJzL2Uyb0RvYy54bWyt&#10;VEtu2zAQ3RfoHQjua0mOnaRG5MCw4aJA0ARIi65pirIE8FeStpxepkB3PUSOU/QafaSU1Em7yKJe&#10;EPPzm5k3M7q4PChJ9sL51uiSFqOcEqG5qVq9Lemnj+s355T4wHTFpNGipHfC08v561cXnZ2JsWmM&#10;rIQjANF+1tmSNiHYWZZ53gjF/MhYoeGsjVMsQHXbrHKsA7qS2TjPT7POuMo6w4X3sK56Jx0Q3UsA&#10;TV23XKwM3ymhQ4/qhGQBLfmmtZ7OU7V1LXi4rmsvApElRachvUgCeRPfbH7BZlvHbNPyoQT2khKe&#10;9aRYq5H0EWrFAiM71/4FpVrujDd1GHGjsr6RxAi6KPJn3Nw2zIrUC6j29pF0//9g+Yf9jSNtVdLz&#10;E0o0U5j4r28/ft5/JzCAnc76GYJu7Y0bNA8xtnqonSLOgNJiOsFk8zwxgJ7IIRF890iwOATCYRyf&#10;FcVkSgmH6yQvTsfTmCLrsSKmdT68E0aRKJTUYX4JlO2vfOhDH0JiuDeyrdatlElx281SOrJnmPU6&#10;/Qb0J2FSkw4lj89QL+EMG1xjcyAqCxa83lLC5BanwYNLuZ/82x8niT0Dpa/rSVgscsV80xeTXEOY&#10;1Gg4ktrTGKVw2BwGbjemusM8Eqsoz1u+bgF1xXy4YQ6bCSNuN1zjqaVBI2aQKGmM+/ove4zHwsBL&#10;SYdNR5NfdswJSuR7jVV6W0wmgA1JmUzPxlDcsWdz7NE7tTQguEjVJTHGB/kg1s6ozzjxRcwKF9Mc&#10;uXs6B2UZ+gvER4KLxSKF4RwsC1f61vIIHgeqzWIXTN2mwUeienYG/nAQaXWG440Xd6ynqD8frP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UQDhtoAAAALAQAADwAAAAAAAAABACAAAAAiAAAAZHJz&#10;L2Rvd25yZXYueG1sUEsBAhQAFAAAAAgAh07iQGltSu10AgAA+AQAAA4AAAAAAAAAAQAgAAAAKQEA&#10;AGRycy9lMm9Eb2MueG1sUEsFBgAAAAAGAAYAWQEAAA8GAAAAAA==&#10;">
                <v:fill on="t" focussize="0,0"/>
                <v:stroke weight="1pt" color="#000000 [3213]" joinstyle="round"/>
                <v:imagedata o:title=""/>
                <o:lock v:ext="edit" aspectratio="f"/>
                <v:textbox>
                  <w:txbxContent>
                    <w:p w14:paraId="051B85A2">
                      <w:pPr>
                        <w:jc w:val="center"/>
                      </w:pPr>
                    </w:p>
                  </w:txbxContent>
                </v:textbox>
              </v:rect>
            </w:pict>
          </mc:Fallback>
        </mc:AlternateContent>
      </w:r>
      <w:r>
        <w:drawing>
          <wp:anchor distT="0" distB="0" distL="114300" distR="114300" simplePos="0" relativeHeight="251713536" behindDoc="0" locked="0" layoutInCell="1" allowOverlap="1">
            <wp:simplePos x="0" y="0"/>
            <wp:positionH relativeFrom="column">
              <wp:posOffset>4545965</wp:posOffset>
            </wp:positionH>
            <wp:positionV relativeFrom="paragraph">
              <wp:posOffset>5779135</wp:posOffset>
            </wp:positionV>
            <wp:extent cx="1311275" cy="980440"/>
            <wp:effectExtent l="0" t="0" r="3175" b="1016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1"/>
                    <a:stretch>
                      <a:fillRect/>
                    </a:stretch>
                  </pic:blipFill>
                  <pic:spPr>
                    <a:xfrm>
                      <a:off x="0" y="0"/>
                      <a:ext cx="1311275" cy="980440"/>
                    </a:xfrm>
                    <a:prstGeom prst="rect">
                      <a:avLst/>
                    </a:prstGeom>
                    <a:noFill/>
                    <a:ln>
                      <a:noFill/>
                    </a:ln>
                  </pic:spPr>
                </pic:pic>
              </a:graphicData>
            </a:graphic>
          </wp:anchor>
        </w:drawing>
      </w:r>
      <w:r>
        <mc:AlternateContent>
          <mc:Choice Requires="wps">
            <w:drawing>
              <wp:anchor distT="0" distB="0" distL="114300" distR="114300" simplePos="0" relativeHeight="251709440" behindDoc="0" locked="0" layoutInCell="1" allowOverlap="1">
                <wp:simplePos x="0" y="0"/>
                <wp:positionH relativeFrom="column">
                  <wp:posOffset>431800</wp:posOffset>
                </wp:positionH>
                <wp:positionV relativeFrom="paragraph">
                  <wp:posOffset>6634480</wp:posOffset>
                </wp:positionV>
                <wp:extent cx="1057275" cy="277495"/>
                <wp:effectExtent l="4445" t="4445" r="5080" b="22860"/>
                <wp:wrapNone/>
                <wp:docPr id="125" name="文本框 125"/>
                <wp:cNvGraphicFramePr/>
                <a:graphic xmlns:a="http://schemas.openxmlformats.org/drawingml/2006/main">
                  <a:graphicData uri="http://schemas.microsoft.com/office/word/2010/wordprocessingShape">
                    <wps:wsp>
                      <wps:cNvSpPr txBox="1"/>
                      <wps:spPr>
                        <a:xfrm>
                          <a:off x="0" y="0"/>
                          <a:ext cx="1057275" cy="277495"/>
                        </a:xfrm>
                        <a:prstGeom prst="rect">
                          <a:avLst/>
                        </a:prstGeom>
                        <a:solidFill>
                          <a:schemeClr val="bg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1E65FDC3">
                            <w:pPr>
                              <w:spacing w:line="240" w:lineRule="atLeast"/>
                              <w:jc w:val="center"/>
                              <w:rPr>
                                <w:rFonts w:ascii="仿宋" w:hAnsi="仿宋" w:eastAsia="仿宋" w:cs="仿宋"/>
                                <w:b/>
                                <w:bCs/>
                                <w:color w:val="FF0000"/>
                                <w:sz w:val="18"/>
                                <w:szCs w:val="18"/>
                              </w:rPr>
                            </w:pPr>
                            <w:r>
                              <w:rPr>
                                <w:rFonts w:hint="eastAsia" w:ascii="仿宋" w:hAnsi="仿宋" w:eastAsia="仿宋" w:cs="仿宋"/>
                                <w:b/>
                                <w:bCs/>
                                <w:color w:val="FF0000"/>
                                <w:sz w:val="18"/>
                                <w:szCs w:val="18"/>
                              </w:rPr>
                              <w:t>天然气撬装站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pt;margin-top:522.4pt;height:21.85pt;width:83.25pt;z-index:251709440;mso-width-relative:page;mso-height-relative:page;" fillcolor="#FFFFFF [3212]" filled="t" stroked="t" coordsize="21600,21600" o:gfxdata="UEsDBAoAAAAAAIdO4kAAAAAAAAAAAAAAAAAEAAAAZHJzL1BLAwQUAAAACACHTuJATRqBh9gAAAAM&#10;AQAADwAAAGRycy9kb3ducmV2LnhtbE2PzWrDMBCE74W8g9hAb40U2zHGtRxooVB6a+pLboq1sU31&#10;YyQlTt++m1N73NlhZr5mf7OGXTHEyTsJ240Ahq73enKDhO7r7akCFpNyWhnvUMIPRti3q4dG1dov&#10;7hOvhzQwCnGxVhLGlOaa89iPaFXc+Bkd/c4+WJXoDAPXQS0Ubg3PhCi5VZOjhlHN+Dpi/324WAnv&#10;5Us6Yqc/dJ7lful4H84mSvm43opnYAlv6c8M9/k0HVradPIXpyMzEsqKUBLpoiiIgRxZXuyAne5S&#10;Ve2Atw3/D9H+AlBLAwQUAAAACACHTuJA+Q+CX1gCAAC8BAAADgAAAGRycy9lMm9Eb2MueG1srVTB&#10;bhMxEL0j8Q+W73Q3IW1o1E0VEgUhVbRSQZwdrzdryWsb28lu+QD4g564cOe7+h08e5M2bTn0wB6c&#10;Gc/4zcybmZydd40iW+G8NLqgg6OcEqG5KaVeF/TL5+Wbd5T4wHTJlNGioDfC0/Pp61dnrZ2IoamN&#10;KoUjANF+0tqC1iHYSZZ5XouG+SNjhYaxMq5hAapbZ6VjLdAblQ3z/CRrjSutM1x4j9tFb6Q7RPcS&#10;QFNVkouF4ZtG6NCjOqFYQEm+ltbTacq2qgQPl1XlRSCqoKg0pBNBIK/imU3P2GTtmK0l36XAXpLC&#10;k5oaJjWC3kMtWGBk4+QzqEZyZ7ypwhE3TdYXkhhBFYP8CTfXNbMi1QKqvb0n3f8/WP5pe+WILDEJ&#10;w2NKNGvQ8rvbn3e//tz9/kHiJShqrZ/A89rCN3TvTQf3/b3HZay8q1wTf1ETgR0E39wTLLpAeHyU&#10;H4+HY8ThsA3H49Fpgs8eXlvnwwdhGhKFgjo0MPHKthc+IBO47l1iMG+ULJdSqaS49WquHNkyNHuZ&#10;vpgknjxyU5q0BT15e5wn5Ec2fwiRp+85BACVBm5kpa8+SqFbdTuqVqa8AVPO9OPmLV9KlHPBfLhi&#10;DvMFcrCB4RJHpQyyMTuJktq47/+6j/5oO6yUtJjXgvpvG+YEJeqjxkCcDkajOOBJGYFmKO7Qsjq0&#10;6E0zN2BpgF23PInRP6i9WDnTfMWizmJUmJjmiF3QsBfnod8iLDoXs1lywkhbFi70teUROvZEm9km&#10;mEqm3kWaem527GGoU392Cxi35lBPXg9/Ot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RqBh9gA&#10;AAAMAQAADwAAAAAAAAABACAAAAAiAAAAZHJzL2Rvd25yZXYueG1sUEsBAhQAFAAAAAgAh07iQPkP&#10;gl9YAgAAvAQAAA4AAAAAAAAAAQAgAAAAJwEAAGRycy9lMm9Eb2MueG1sUEsFBgAAAAAGAAYAWQEA&#10;APEFAAAAAA==&#10;">
                <v:fill on="t" focussize="0,0"/>
                <v:stroke weight="0.5pt" color="#000000 [3213]" joinstyle="round"/>
                <v:imagedata o:title=""/>
                <o:lock v:ext="edit" aspectratio="f"/>
                <v:textbox>
                  <w:txbxContent>
                    <w:p w14:paraId="1E65FDC3">
                      <w:pPr>
                        <w:spacing w:line="240" w:lineRule="atLeast"/>
                        <w:jc w:val="center"/>
                        <w:rPr>
                          <w:rFonts w:ascii="仿宋" w:hAnsi="仿宋" w:eastAsia="仿宋" w:cs="仿宋"/>
                          <w:b/>
                          <w:bCs/>
                          <w:color w:val="FF0000"/>
                          <w:sz w:val="18"/>
                          <w:szCs w:val="18"/>
                        </w:rPr>
                      </w:pPr>
                      <w:r>
                        <w:rPr>
                          <w:rFonts w:hint="eastAsia" w:ascii="仿宋" w:hAnsi="仿宋" w:eastAsia="仿宋" w:cs="仿宋"/>
                          <w:b/>
                          <w:bCs/>
                          <w:color w:val="FF0000"/>
                          <w:sz w:val="18"/>
                          <w:szCs w:val="18"/>
                        </w:rPr>
                        <w:t>天然气撬装站</w:t>
                      </w:r>
                    </w:p>
                  </w:txbxContent>
                </v:textbox>
              </v:shape>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1174750</wp:posOffset>
                </wp:positionH>
                <wp:positionV relativeFrom="paragraph">
                  <wp:posOffset>6918960</wp:posOffset>
                </wp:positionV>
                <wp:extent cx="803275" cy="572770"/>
                <wp:effectExtent l="0" t="0" r="15875" b="17780"/>
                <wp:wrapNone/>
                <wp:docPr id="124" name="直接箭头连接符 124"/>
                <wp:cNvGraphicFramePr/>
                <a:graphic xmlns:a="http://schemas.openxmlformats.org/drawingml/2006/main">
                  <a:graphicData uri="http://schemas.microsoft.com/office/word/2010/wordprocessingShape">
                    <wps:wsp>
                      <wps:cNvCnPr/>
                      <wps:spPr>
                        <a:xfrm flipH="1" flipV="1">
                          <a:off x="0" y="0"/>
                          <a:ext cx="803275" cy="572770"/>
                        </a:xfrm>
                        <a:prstGeom prst="straightConnector1">
                          <a:avLst/>
                        </a:prstGeom>
                        <a:ln>
                          <a:solidFill>
                            <a:srgbClr val="FF0000"/>
                          </a:solidFill>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 y;margin-left:92.5pt;margin-top:544.8pt;height:45.1pt;width:63.25pt;z-index:251708416;mso-width-relative:page;mso-height-relative:page;" filled="f" stroked="t" coordsize="21600,21600" o:gfxdata="UEsDBAoAAAAAAIdO4kAAAAAAAAAAAAAAAAAEAAAAZHJzL1BLAwQUAAAACACHTuJAHErEUdwAAAAN&#10;AQAADwAAAGRycy9kb3ducmV2LnhtbE2PMU/DMBCFdyT+g3VIbNQOKK2bxqkqpMDAgFIYGN3YTVLi&#10;cxQ7bfj3HFPZ7t09vftevp1dz852DJ1HBclCALNYe9Nho+Dzo3yQwELUaHTv0Sr4sQG2xe1NrjPj&#10;L1jZ8z42jEIwZFpBG+OQcR7q1jodFn6wSLejH52OJMeGm1FfKNz1/FGIJXe6Q/rQ6sE+t7b+3k9O&#10;wdvLtDPvkzyWYZee5tVrVX41lVL3d4nYAIt2jlcz/OETOhTEdPATmsB60jKlLpEGIddLYGR5SpIU&#10;2IFWyWotgRc5/9+i+AVQSwMEFAAAAAgAh07iQLNdQZ0WAgAA9QMAAA4AAABkcnMvZTJvRG9jLnht&#10;bK1TvY4TMRDukXgHyz3ZvUDIEWVzRUKgQHASP73j9e5a8p9mfNnkJXgBJCq4Cqiu52ngeAzG3hDg&#10;aK5gi9XY4/m++T6P52c7a9hWAWrvKn4yKjlTTvpau7bir1+t751yhlG4WhjvVMX3CvnZ4u6deR9m&#10;auw7b2oFjEAczvpQ8S7GMCsKlJ2yAkc+KEfJxoMVkZbQFjWIntCtKcZl+bDoPdQBvFSItLsakvyA&#10;CLcB9E2jpVp5eWGViwMqKCMiScJOB+SL3G3TKBlfNA2qyEzFSWnMfyKheJP+xWIuZi2I0Gl5aEHc&#10;poUbmqzQjkiPUCsRBbsA/Q+U1RI8+iaOpLfFICQ7QipOyhvevOxEUFkLWY3haDr+P1j5fHsOTNc0&#10;CeMHnDlh6cqv3119f/vx+svnbx+ufnx9n+JPlywdILv6gDOqWrpzOKwwnEPSvmvAssbo8JTQeI7e&#10;pCjlSCnbZdv3R9vVLjJJm6fl/fF0wpmk1GQ6nk7ztRQDYCoOgPGJ8paloOIYQei2i0vvHF2wh4FC&#10;bJ9hpJao8FdBKnZ+rY3J92wc6yv+aDJOZIJmt6GZodAG0o+u5UyYlh6FjJCbRm90naoTDkK7WRpg&#10;W0GjtF6X9CU7iO2vY4l6JbAbzuXUMGRRaPPY1SzuA1ksAHzPUztW1ZwZRbQpGhCNI+Bk9GBtija+&#10;3mfH8z5NQ6Y+TG4atz/Xufr3a138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xKxFHcAAAADQEA&#10;AA8AAAAAAAAAAQAgAAAAIgAAAGRycy9kb3ducmV2LnhtbFBLAQIUABQAAAAIAIdO4kCzXUGdFgIA&#10;APUDAAAOAAAAAAAAAAEAIAAAACsBAABkcnMvZTJvRG9jLnhtbFBLBQYAAAAABgAGAFkBAACzBQAA&#10;AAA=&#10;">
                <v:fill on="f" focussize="0,0"/>
                <v:stroke color="#FF0000 [3205]" joinstyle="round" endarrow="open"/>
                <v:imagedata o:title=""/>
                <o:lock v:ext="edit" aspectratio="f"/>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1633220</wp:posOffset>
                </wp:positionH>
                <wp:positionV relativeFrom="paragraph">
                  <wp:posOffset>7258685</wp:posOffset>
                </wp:positionV>
                <wp:extent cx="636270" cy="276860"/>
                <wp:effectExtent l="74295" t="29210" r="86995" b="39370"/>
                <wp:wrapNone/>
                <wp:docPr id="48" name="矩形 48"/>
                <wp:cNvGraphicFramePr/>
                <a:graphic xmlns:a="http://schemas.openxmlformats.org/drawingml/2006/main">
                  <a:graphicData uri="http://schemas.microsoft.com/office/word/2010/wordprocessingShape">
                    <wps:wsp>
                      <wps:cNvSpPr/>
                      <wps:spPr>
                        <a:xfrm rot="15420000">
                          <a:off x="0" y="0"/>
                          <a:ext cx="636270" cy="27686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D31D8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8.6pt;margin-top:571.55pt;height:21.8pt;width:50.1pt;rotation:-6750208f;z-index:251707392;v-text-anchor:middle;mso-width-relative:page;mso-height-relative:page;" fillcolor="#FFFFFF [3212]" filled="t" stroked="t" coordsize="21600,21600" o:gfxdata="UEsDBAoAAAAAAIdO4kAAAAAAAAAAAAAAAAAEAAAAZHJzL1BLAwQUAAAACACHTuJAacVbWtoAAAAN&#10;AQAADwAAAGRycy9kb3ducmV2LnhtbE2Py07DMBBF90j8gzVIbBC1kz5ShTgVQiqwpVSsJ7FJUuJx&#10;FDt9/D3TFSxn7tGdM8Xm7HpxtGPoPGlIZgqEpdqbjhoN+8/t4xpEiEgGe09Ww8UG2JS3NwXmxp/o&#10;wx53sRFcQiFHDW2MQy5lqFvrMMz8YImzbz86jDyOjTQjnrjc9TJVaiUddsQXWhzsS2vrn93kNLzu&#10;D907qjdXXdQXDs+Hh2wbJ63v7xL1BCLac/yD4arP6lCyU+UnMkH0GtJlljLKQbKYJyAYmS+zBYjq&#10;ulqvMpBlIf9/Uf4CUEsDBBQAAAAIAIdO4kBdDQOpdAIAAPgEAAAOAAAAZHJzL2Uyb0RvYy54bWyt&#10;VEtu2zAQ3RfoHQjua9mu46RG5MCI4aJA0ARIi65pirQE8FeStuxepkB3PUSOU/QafaSU1EmzyKJa&#10;CDOc0Zt5bzg6v9hrRXbCh8aako4GQ0qE4bZqzKaknz+t3pxREiIzFVPWiJIeRKAX89evzls3E2Nb&#10;W1UJTwBiwqx1Ja1jdLOiCLwWmoWBdcIgKK3XLML1m6LyrAW6VsV4OJwWrfWV85aLEHC67IK0R/Qv&#10;AbRSNlwsLd9qYWKH6oViEZRC3bhA57lbKQWP11IGEYkqKZjG/EYR2Ov0LubnbLbxzNUN71tgL2nh&#10;CSfNGoOiD1BLFhnZ+uYfKN1wb4OVccCtLjoiWRGwGA2faHNbMycyF0gd3IPo4f/B8o+7G0+aqqQT&#10;zN0wjYn//v7z190PggOo07owQ9Ktu/G9F2AmqnvpNfEWko5OJpjscJgVACeyzwIfHgQW+0g4Dqdv&#10;p+NTSM8RGp9Oz6Z5AEWHlTCdD/G9sJoko6Qe88ugbHcVIuoj9T4lpQermmrVKJUdv1lfKk92DLNe&#10;5ScRwCeP0pQhLVpGH6kRhhsscXNgagcVgtlQwtQGq8Gjz7UffR2OiyTOQHmmSGpyyULdNZMR+jRl&#10;0FIStZMxWXG/3vfarm11wDyyqmgvOL5qAHXFQrxhHjcTh9jdeI2XVBZEbG9RUlv/7bnzlI8Lgygl&#10;LW46SH7dMi8oUR8MrtK70WQC2JidycnpGI4/jqyPI2arLy0EHuXuspnyo7o3pbf6C1Z8kaoixAxH&#10;7U7O3rmM3QbiJ8HFYpHTsA6OxStz63gCTwM1drGNVjZ58EmoTp1ePyxEHm6/vGnjjv2c9feHNf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acVbWtoAAAANAQAADwAAAAAAAAABACAAAAAiAAAAZHJz&#10;L2Rvd25yZXYueG1sUEsBAhQAFAAAAAgAh07iQF0NA6l0AgAA+AQAAA4AAAAAAAAAAQAgAAAAKQEA&#10;AGRycy9lMm9Eb2MueG1sUEsFBgAAAAAGAAYAWQEAAA8GAAAAAA==&#10;">
                <v:fill on="t" focussize="0,0"/>
                <v:stroke weight="1pt" color="#000000 [3213]" joinstyle="round"/>
                <v:imagedata o:title=""/>
                <o:lock v:ext="edit" aspectratio="f"/>
                <v:textbox>
                  <w:txbxContent>
                    <w:p w14:paraId="22D31D8B">
                      <w:pPr>
                        <w:jc w:val="center"/>
                      </w:pPr>
                    </w:p>
                  </w:txbxContent>
                </v:textbox>
              </v:rect>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2715260</wp:posOffset>
                </wp:positionH>
                <wp:positionV relativeFrom="paragraph">
                  <wp:posOffset>1692910</wp:posOffset>
                </wp:positionV>
                <wp:extent cx="440690" cy="177165"/>
                <wp:effectExtent l="3810" t="15240" r="12700" b="17145"/>
                <wp:wrapNone/>
                <wp:docPr id="84" name="直接箭头连接符 84"/>
                <wp:cNvGraphicFramePr/>
                <a:graphic xmlns:a="http://schemas.openxmlformats.org/drawingml/2006/main">
                  <a:graphicData uri="http://schemas.microsoft.com/office/word/2010/wordprocessingShape">
                    <wps:wsp>
                      <wps:cNvCnPr/>
                      <wps:spPr>
                        <a:xfrm flipV="1">
                          <a:off x="3172460" y="2386965"/>
                          <a:ext cx="440690" cy="17716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13.8pt;margin-top:133.3pt;height:13.95pt;width:34.7pt;z-index:251706368;mso-width-relative:page;mso-height-relative:page;" filled="f" stroked="t" coordsize="21600,21600" o:gfxdata="UEsDBAoAAAAAAIdO4kAAAAAAAAAAAAAAAAAEAAAAZHJzL1BLAwQUAAAACACHTuJAOUKLL9sAAAAL&#10;AQAADwAAAGRycy9kb3ducmV2LnhtbE2PzU7DMBCE70i8g7VI3KjTEFIS4lSoCHHggCgVFTc3XpyI&#10;eB3Z7g9vz3KC2+7OaPabZnlyozhgiIMnBfNZBgKp82Ygq2Dz9nh1CyImTUaPnlDBN0ZYtudnja6N&#10;P9IrHtbJCg6hWGsFfUpTLWXsenQ6zvyExNqnD04nXoOVJugjh7tR5llWSqcH4g+9nnDVY/e13jsF&#10;zw9WhpfqfnP9sTUr6+WW3qsnpS4v5tkdiISn9GeGX3xGh5aZdn5PJopRQZEvSrYqyMuSB3YU1YLb&#10;7fhSFTcg20b+79D+AFBLAwQUAAAACACHTuJArD0fHxMCAADkAwAADgAAAGRycy9lMm9Eb2MueG1s&#10;rVO9jhMxEO6ReAfLPdlNLpc/ZXNFQmgQnMRP73jtXUv+09iXTV6CF0CiAiqgup6ngeMxGHvDAUdz&#10;BVusxp6Zb+b7Zry8OBhN9gKCcraiw0FJibDc1co2FX31cvtoRkmIzNZMOysqehSBXqwePlh2fiFG&#10;rnW6FkAQxIZF5yvaxugXRRF4KwwLA+eFRad0YFjEIzRFDaxDdKOLUVlOis5B7cFxEQLebnonPSHC&#10;fQCdlIqLjeNXRtjYo4LQLCKl0Cof6Cp3K6Xg8bmUQUSiK4pMY/5jEbR36V+slmzRAPOt4qcW2H1a&#10;uMPJMGWx6C3UhkVGrkD9A2UUBxecjAPuTNETyYogi2F5R5sXLfMic0Gpg78VPfw/WP5sfwlE1RWd&#10;jSmxzODEb95ef3/z4ebL52/vr398fZfsTx8J+lGszocF5qztJZxOwV9CYn6QYIjUyr/GrcpaIDty&#10;qOjZcDoaT1DwY0VHZ7PJfHLeyy4OkXAMGI/LyRz9HAOG0+mw9xc9ZIL2EOIT4QxJRkVDBKaaNq6d&#10;tThgB305tn8aIjaFib8SUrJ1W6V1nrO2pMMS8/I8VWO4vBKXBk3jUYBgG0qYbvBV8AiZQXBa1Sk9&#10;AQVodmsNZM9wl7bbEr/EA8v9FZZqb1ho+7js6ulGpvRjW5N49CgyA3DdKV9bhEnK9loma+fqY5Y4&#10;3+Pwc6HToqbt+vOcs38/zt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UKLL9sAAAALAQAADwAA&#10;AAAAAAABACAAAAAiAAAAZHJzL2Rvd25yZXYueG1sUEsBAhQAFAAAAAgAh07iQKw9Hx8TAgAA5AMA&#10;AA4AAAAAAAAAAQAgAAAAKgEAAGRycy9lMm9Eb2MueG1sUEsFBgAAAAAGAAYAWQEAAK8FAAAAAA==&#10;">
                <v:fill on="f" focussize="0,0"/>
                <v:stroke weight="1.5pt" color="#FF0000 [3204]" joinstyle="round" endarrow="open"/>
                <v:imagedata o:title=""/>
                <o:lock v:ext="edit" aspectratio="f"/>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3155950</wp:posOffset>
                </wp:positionH>
                <wp:positionV relativeFrom="paragraph">
                  <wp:posOffset>1546860</wp:posOffset>
                </wp:positionV>
                <wp:extent cx="723900" cy="292100"/>
                <wp:effectExtent l="4445" t="4445" r="14605" b="8255"/>
                <wp:wrapNone/>
                <wp:docPr id="79" name="文本框 79"/>
                <wp:cNvGraphicFramePr/>
                <a:graphic xmlns:a="http://schemas.openxmlformats.org/drawingml/2006/main">
                  <a:graphicData uri="http://schemas.microsoft.com/office/word/2010/wordprocessingShape">
                    <wps:wsp>
                      <wps:cNvSpPr txBox="1"/>
                      <wps:spPr>
                        <a:xfrm>
                          <a:off x="0" y="0"/>
                          <a:ext cx="723900" cy="29210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6569E7AC">
                            <w:pPr>
                              <w:spacing w:line="240" w:lineRule="atLeast"/>
                              <w:jc w:val="center"/>
                              <w:rPr>
                                <w:rFonts w:ascii="仿宋" w:hAnsi="仿宋" w:eastAsia="仿宋" w:cs="仿宋"/>
                                <w:b/>
                                <w:bCs/>
                                <w:color w:val="FF0000"/>
                                <w:sz w:val="20"/>
                                <w:szCs w:val="20"/>
                              </w:rPr>
                            </w:pPr>
                            <w:r>
                              <w:rPr>
                                <w:rFonts w:hint="eastAsia" w:ascii="仿宋" w:hAnsi="仿宋" w:eastAsia="仿宋" w:cs="仿宋"/>
                                <w:b/>
                                <w:bCs/>
                                <w:color w:val="FF0000"/>
                                <w:sz w:val="20"/>
                                <w:szCs w:val="20"/>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5pt;margin-top:121.8pt;height:23pt;width:57pt;z-index:251705344;mso-width-relative:page;mso-height-relative:page;" fillcolor="#FFFFFF [3201]" filled="t" stroked="t" coordsize="21600,21600" o:gfxdata="UEsDBAoAAAAAAIdO4kAAAAAAAAAAAAAAAAAEAAAAZHJzL1BLAwQUAAAACACHTuJALaGoZNgAAAAL&#10;AQAADwAAAGRycy9kb3ducmV2LnhtbE2PzU7DMBCE70i8g7VI3KjzU5k2xKkEEhLiRpsLNzfeJhHx&#10;OrLdprw9ywmOOzua+abeXd0kLhji6ElDvspAIHXejtRraA+vDxsQMRmyZvKEGr4xwq65valNZf1C&#10;H3jZp15wCMXKaBhSmispYzegM3HlZyT+nXxwJvEZemmDWTjcTbLIMiWdGYkbBjPjy4Dd1/7sNLyp&#10;5/SJrX23ZVH6pZVdOE1R6/u7PHsCkfCa/szwi8/o0DDT0Z/JRjFpWG8feUvSUKxLBYIdKs9ZObKy&#10;2SqQTS3/b2h+AFBLAwQUAAAACACHTuJAVheFd1YCAAC5BAAADgAAAGRycy9lMm9Eb2MueG1srVTN&#10;btswDL4P2DsIuq920r8lqFNkLTIMKNYC3bCzIsuxAFnSJCV29wDbG+y0y+57rj7HPslOmrY79DAf&#10;ZIqkP5IfSZ+dd40iG+G8NLqgo4OcEqG5KaVeFfTzp8Wbt5T4wHTJlNGioHfC0/PZ61dnrZ2KsamN&#10;KoUjANF+2tqC1iHYaZZ5XouG+QNjhYaxMq5hAVe3ykrHWqA3Khvn+UnWGldaZ7jwHtrL3kgHRPcS&#10;QFNVkotLw9eN0KFHdUKxgJJ8La2ns5RtVQkerqvKi0BUQVFpSCeCQF7GM5udsenKMVtLPqTAXpLC&#10;k5oaJjWC7qAuWWBk7eQzqEZyZ7ypwgE3TdYXkhhBFaP8CTe3NbMi1QKqvd2R7v8fLP+4uXFElgU9&#10;nVCiWYOO3//8cf/rz/3v7wQ6ENRaP4XfrYVn6N6ZDmOz1XsoY91d5Zr4RkUEdtB7t6NXdIFwKE/H&#10;h5McFg7TeDIeQQZ69vCxdT68F6YhUSioQ/cSqWxz5UPvunWJsbxRslxIpdLFrZYXypENQ6cX6RnQ&#10;H7kpTdqCnhwe5wn5kc3vQ+TpeQ6BdJVG1pGUvvgohW7ZDUwtTXkHopzpZ81bvpAo54r5cMMchgsM&#10;YP3CNY5KGWRjBomS2rhv/9JHf/QcVkpaDGtB/dc1c4IS9UFjGiajoyPAhnQ5Oj4d4+L2Lct9i143&#10;FwYsjbDolicx+ge1FStnmi/Y0nmMChPTHLELGrbiRehXCFvOxXyenDDPloUrfWt5hI490Wa+DqaS&#10;qXeRpp6bgT1MdOr+sH1xZfbvyevhjzP7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2hqGTYAAAA&#10;CwEAAA8AAAAAAAAAAQAgAAAAIgAAAGRycy9kb3ducmV2LnhtbFBLAQIUABQAAAAIAIdO4kBWF4V3&#10;VgIAALkEAAAOAAAAAAAAAAEAIAAAACcBAABkcnMvZTJvRG9jLnhtbFBLBQYAAAAABgAGAFkBAADv&#10;BQAAAAA=&#10;">
                <v:fill on="t" focussize="0,0"/>
                <v:stroke weight="0.5pt" color="#000000 [3213]" joinstyle="round"/>
                <v:imagedata o:title=""/>
                <o:lock v:ext="edit" aspectratio="f"/>
                <v:textbox>
                  <w:txbxContent>
                    <w:p w14:paraId="6569E7AC">
                      <w:pPr>
                        <w:spacing w:line="240" w:lineRule="atLeast"/>
                        <w:jc w:val="center"/>
                        <w:rPr>
                          <w:rFonts w:ascii="仿宋" w:hAnsi="仿宋" w:eastAsia="仿宋" w:cs="仿宋"/>
                          <w:b/>
                          <w:bCs/>
                          <w:color w:val="FF0000"/>
                          <w:sz w:val="20"/>
                          <w:szCs w:val="20"/>
                        </w:rPr>
                      </w:pPr>
                      <w:r>
                        <w:rPr>
                          <w:rFonts w:hint="eastAsia" w:ascii="仿宋" w:hAnsi="仿宋" w:eastAsia="仿宋" w:cs="仿宋"/>
                          <w:b/>
                          <w:bCs/>
                          <w:color w:val="FF0000"/>
                          <w:sz w:val="20"/>
                          <w:szCs w:val="20"/>
                        </w:rPr>
                        <w:t>化粪池</w:t>
                      </w:r>
                    </w:p>
                  </w:txbxContent>
                </v:textbox>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2586355</wp:posOffset>
                </wp:positionH>
                <wp:positionV relativeFrom="paragraph">
                  <wp:posOffset>1824355</wp:posOffset>
                </wp:positionV>
                <wp:extent cx="130175" cy="114300"/>
                <wp:effectExtent l="18415" t="19685" r="22860" b="37465"/>
                <wp:wrapNone/>
                <wp:docPr id="73" name="矩形 73"/>
                <wp:cNvGraphicFramePr/>
                <a:graphic xmlns:a="http://schemas.openxmlformats.org/drawingml/2006/main">
                  <a:graphicData uri="http://schemas.microsoft.com/office/word/2010/wordprocessingShape">
                    <wps:wsp>
                      <wps:cNvSpPr/>
                      <wps:spPr>
                        <a:xfrm rot="21000000">
                          <a:off x="0" y="0"/>
                          <a:ext cx="130175" cy="1143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CB169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3.65pt;margin-top:143.65pt;height:9pt;width:10.25pt;rotation:-655360f;z-index:251704320;v-text-anchor:middle;mso-width-relative:page;mso-height-relative:page;" fillcolor="#FFFFFF [3212]" filled="t" stroked="t" coordsize="21600,21600" o:gfxdata="UEsDBAoAAAAAAIdO4kAAAAAAAAAAAAAAAAAEAAAAZHJzL1BLAwQUAAAACACHTuJAZ8UPK9oAAAAL&#10;AQAADwAAAGRycy9kb3ducmV2LnhtbE2PQU7DMBBF90jcwRokdtRO0tIoxKkEAjaISm05gBubOCIe&#10;R7HTJpye6arsZjRPf94vN5Pr2MkMofUoIVkIYAZrr1tsJHwd3h5yYCEq1KrzaCTMJsCmur0pVaH9&#10;GXfmtI8NoxAMhZJgY+wLzkNtjVNh4XuDdPv2g1OR1qHhelBnCncdT4V45E61SB+s6s2LNfXPfnQS&#10;djlPPnH1Wr/P2zjZ58N2/vgdpby/S8QTsGimeIXhok/qUJHT0Y+oA+skLMU6I1RCml8GIpbpmsoc&#10;JWRilQGvSv6/Q/UHUEsDBBQAAAAIAIdO4kBCTuJPcgIAAPgEAAAOAAAAZHJzL2Uyb0RvYy54bWyt&#10;VM1uEzEQviPxDpbvdHfTlNKomypqFIRUQaWCODteb9aS/7CdbMrLIHHjIXgcxGvw2bstaemhB/Zg&#10;zXhmv5n5ZsbnF3utyE74IK2paXVUUiIMt400m5p++rh69YaSEJlpmLJG1PRWBHoxf/nivHczMbGd&#10;VY3wBCAmzHpX0y5GNyuKwDuhWTiyThgYW+s1i1D9pmg864GuVTEpy9dFb33jvOUiBNwuByMdEf1z&#10;AG3bSi6Wlm+1MHFA9UKxiJJCJ12g85xt2woeP7RtEJGomqLSmE8EgbxOZzE/Z7ONZ66TfEyBPSeF&#10;RzVpJg2C3kMtWWRk6+U/UFpyb4Nt4xG3uhgKyYygiqp8xM1Nx5zItYDq4O5JD/8Plr/fXXsim5qe&#10;HlNimEbHf3/78evnd4ILsNO7MIPTjbv2oxYgplL3rdfEW1A6qcr8ZQZQE9lngm/vCRb7SDguq+Oy&#10;Oj2hhMNUVdPjMjegGLASpvMhvhVWkyTU1KN/GZTtrkJEfLjeuST3YJVsVlKprPjN+lJ5smPo9Sp/&#10;qQD88sBNGdIj+ll5ghngDBPcYnIgagcWgtlQwtQGq8Gjz7Ef/B0Og4xVPxEkJblkoRuSyQhjLsog&#10;pUTqQGOS4n69H7ld2+YW/cisIr3g+EoC6oqFeM08JhOX2N34AUerLAqxo0RJZ/3Xp+6TPwYGVkp6&#10;TDqK/LJlXlCi3hmM0lk1nQI2ZmV6cjqB4g8t60OL2epLC4KrnF0Wk39Ud2Lrrf6MFV+kqDAxwxF7&#10;oHNULuOwgXgkuFgsshvWwbF4ZW4cT+CpocYuttG2Mjc+ETWwM/KHhcjNHZc3bdyhnr3+Plj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GfFDyvaAAAACwEAAA8AAAAAAAAAAQAgAAAAIgAAAGRycy9k&#10;b3ducmV2LnhtbFBLAQIUABQAAAAIAIdO4kBCTuJPcgIAAPgEAAAOAAAAAAAAAAEAIAAAACkBAABk&#10;cnMvZTJvRG9jLnhtbFBLBQYAAAAABgAGAFkBAAANBgAAAAA=&#10;">
                <v:fill on="t" focussize="0,0"/>
                <v:stroke weight="1.5pt" color="#000000 [3213]" joinstyle="round"/>
                <v:imagedata o:title=""/>
                <o:lock v:ext="edit" aspectratio="f"/>
                <v:textbox>
                  <w:txbxContent>
                    <w:p w14:paraId="68CB169A">
                      <w:pPr>
                        <w:jc w:val="center"/>
                      </w:pPr>
                    </w:p>
                  </w:txbxContent>
                </v:textbox>
              </v:rect>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3585210</wp:posOffset>
                </wp:positionH>
                <wp:positionV relativeFrom="paragraph">
                  <wp:posOffset>3437255</wp:posOffset>
                </wp:positionV>
                <wp:extent cx="637540" cy="292100"/>
                <wp:effectExtent l="4445" t="4445" r="5715" b="8255"/>
                <wp:wrapNone/>
                <wp:docPr id="46" name="文本框 46"/>
                <wp:cNvGraphicFramePr/>
                <a:graphic xmlns:a="http://schemas.openxmlformats.org/drawingml/2006/main">
                  <a:graphicData uri="http://schemas.microsoft.com/office/word/2010/wordprocessingShape">
                    <wps:wsp>
                      <wps:cNvSpPr txBox="1"/>
                      <wps:spPr>
                        <a:xfrm>
                          <a:off x="0" y="0"/>
                          <a:ext cx="637540" cy="29210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0253E95F">
                            <w:pPr>
                              <w:spacing w:line="240" w:lineRule="atLeast"/>
                              <w:jc w:val="center"/>
                              <w:rPr>
                                <w:rFonts w:ascii="仿宋" w:hAnsi="仿宋" w:eastAsia="仿宋" w:cs="仿宋"/>
                                <w:b/>
                                <w:bCs/>
                                <w:color w:val="FF0000"/>
                                <w:sz w:val="20"/>
                                <w:szCs w:val="20"/>
                              </w:rPr>
                            </w:pPr>
                            <w:r>
                              <w:rPr>
                                <w:rFonts w:hint="eastAsia" w:ascii="仿宋" w:hAnsi="仿宋" w:eastAsia="仿宋" w:cs="仿宋"/>
                                <w:b/>
                                <w:bCs/>
                                <w:color w:val="FF0000"/>
                                <w:sz w:val="20"/>
                                <w:szCs w:val="20"/>
                              </w:rPr>
                              <w:t>危废间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3pt;margin-top:270.65pt;height:23pt;width:50.2pt;z-index:251683840;mso-width-relative:page;mso-height-relative:page;" fillcolor="#FFFFFF [3201]" filled="t" stroked="t" coordsize="21600,21600" o:gfxdata="UEsDBAoAAAAAAIdO4kAAAAAAAAAAAAAAAAAEAAAAZHJzL1BLAwQUAAAACACHTuJACVZNedgAAAAL&#10;AQAADwAAAGRycy9kb3ducmV2LnhtbE2PQU/DMAyF70j8h8hI3FjadQtT13QSSEiIG1sv3LLGa6s1&#10;TpVk6/j3mBPcbL+n5+9Vu5sbxRVDHDxpyBcZCKTW24E6Dc3h7WkDIiZD1oyeUMM3RtjV93eVKa2f&#10;6ROv+9QJDqFYGg19SlMpZWx7dCYu/ITE2skHZxKvoZM2mJnD3SiXWaakMwPxh95M+Npje95fnIZ3&#10;9ZK+sLEftlgWfm5kG05j1PrxIc+2IBLe0p8ZfvEZHWpmOvoL2ShGDWu1UmzlYZUXINih1JrbHfmy&#10;eS5A1pX836H+AVBLAwQUAAAACACHTuJAn2bP1VcCAAC5BAAADgAAAGRycy9lMm9Eb2MueG1srVTN&#10;bhMxEL4j8Q6W73Q3IS006qYKrYKQKlqpIM6O15u15D9sJ7vlAeANOHHhznP1OfjsTdq05dADe/CO&#10;Z2a/mflmZk9Oe63IRvggrano6KCkRBhua2lWFf38afHqLSUhMlMzZY2o6I0I9HT28sVJ56ZibFur&#10;auEJQEyYdq6ibYxuWhSBt0KzcGCdMDA21msWcfWrovasA7pWxbgsj4rO+tp5y0UI0J4PRrpF9M8B&#10;tE0juTi3fK2FiQOqF4pFlBRa6QKd5WybRvB42TRBRKIqikpjPhEE8jKdxeyETVeeuVbybQrsOSk8&#10;qkkzaRD0DuqcRUbWXj6B0pJ7G2wTD7jVxVBIZgRVjMpH3Fy3zIlcC6gO7o708P9g+cfNlSeyrujk&#10;iBLDNDp++/PH7a8/t7+/E+hAUOfCFH7XDp6xf2d7jM1OH6BMdfeN1+mNigjsoPfmjl7RR8KhPHr9&#10;5nACC4dpfDwelZn+4v5j50N8L6wmSaioR/cyqWxzESISgevOJcUKVsl6IZXKF79anilPNgydXuQn&#10;5YhPHrgpQ7qUyWGZkR/Ywj5EmZ+nEABUBriJlKH4JMV+2W+ZWtr6BkR5O8xacHwhUc4FC/GKeQwX&#10;GMD6xUscjbLIxm4lSlrrv/1Ln/zRc1gp6TCsFQ1f18wLStQHg2k4Hk0SsTFfJodvxrj4fcty32LW&#10;+syCpREW3fEsJv+odmLjrf6CLZ2nqDAxwxG7onEnnsVhhbDlXMzn2Qnz7Fi8MNeOJ+jUE2Pn62gb&#10;mXuXaBq42bKHic792W5fWpn9e/a6/+PM/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JVk152AAA&#10;AAsBAAAPAAAAAAAAAAEAIAAAACIAAABkcnMvZG93bnJldi54bWxQSwECFAAUAAAACACHTuJAn2bP&#10;1VcCAAC5BAAADgAAAAAAAAABACAAAAAnAQAAZHJzL2Uyb0RvYy54bWxQSwUGAAAAAAYABgBZAQAA&#10;8AUAAAAA&#10;">
                <v:fill on="t" focussize="0,0"/>
                <v:stroke weight="0.5pt" color="#000000 [3213]" joinstyle="round"/>
                <v:imagedata o:title=""/>
                <o:lock v:ext="edit" aspectratio="f"/>
                <v:textbox>
                  <w:txbxContent>
                    <w:p w14:paraId="0253E95F">
                      <w:pPr>
                        <w:spacing w:line="240" w:lineRule="atLeast"/>
                        <w:jc w:val="center"/>
                        <w:rPr>
                          <w:rFonts w:ascii="仿宋" w:hAnsi="仿宋" w:eastAsia="仿宋" w:cs="仿宋"/>
                          <w:b/>
                          <w:bCs/>
                          <w:color w:val="FF0000"/>
                          <w:sz w:val="20"/>
                          <w:szCs w:val="20"/>
                        </w:rPr>
                      </w:pPr>
                      <w:r>
                        <w:rPr>
                          <w:rFonts w:hint="eastAsia" w:ascii="仿宋" w:hAnsi="仿宋" w:eastAsia="仿宋" w:cs="仿宋"/>
                          <w:b/>
                          <w:bCs/>
                          <w:color w:val="FF0000"/>
                          <w:sz w:val="20"/>
                          <w:szCs w:val="20"/>
                        </w:rPr>
                        <w:t>危废间</w:t>
                      </w:r>
                    </w:p>
                  </w:txbxContent>
                </v:textbox>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3353435</wp:posOffset>
                </wp:positionH>
                <wp:positionV relativeFrom="paragraph">
                  <wp:posOffset>2618740</wp:posOffset>
                </wp:positionV>
                <wp:extent cx="723900" cy="292100"/>
                <wp:effectExtent l="4445" t="4445" r="14605" b="8255"/>
                <wp:wrapNone/>
                <wp:docPr id="45" name="文本框 45"/>
                <wp:cNvGraphicFramePr/>
                <a:graphic xmlns:a="http://schemas.openxmlformats.org/drawingml/2006/main">
                  <a:graphicData uri="http://schemas.microsoft.com/office/word/2010/wordprocessingShape">
                    <wps:wsp>
                      <wps:cNvSpPr txBox="1"/>
                      <wps:spPr>
                        <a:xfrm>
                          <a:off x="0" y="0"/>
                          <a:ext cx="723900" cy="29210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3B515F8D">
                            <w:pPr>
                              <w:spacing w:line="240" w:lineRule="atLeast"/>
                              <w:jc w:val="center"/>
                              <w:rPr>
                                <w:rFonts w:ascii="仿宋" w:hAnsi="仿宋" w:eastAsia="仿宋" w:cs="仿宋"/>
                                <w:b/>
                                <w:bCs/>
                                <w:color w:val="FF0000"/>
                                <w:sz w:val="20"/>
                                <w:szCs w:val="20"/>
                              </w:rPr>
                            </w:pPr>
                            <w:r>
                              <w:rPr>
                                <w:rFonts w:hint="eastAsia" w:ascii="仿宋" w:hAnsi="仿宋" w:eastAsia="仿宋" w:cs="仿宋"/>
                                <w:b/>
                                <w:bCs/>
                                <w:color w:val="FF0000"/>
                                <w:sz w:val="20"/>
                                <w:szCs w:val="20"/>
                              </w:rPr>
                              <w:t>设备库房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05pt;margin-top:206.2pt;height:23pt;width:57pt;z-index:251682816;mso-width-relative:page;mso-height-relative:page;" fillcolor="#FFFFFF [3201]" filled="t" stroked="t" coordsize="21600,21600" o:gfxdata="UEsDBAoAAAAAAIdO4kAAAAAAAAAAAAAAAAAEAAAAZHJzL1BLAwQUAAAACACHTuJARKYw09cAAAAL&#10;AQAADwAAAGRycy9kb3ducmV2LnhtbE2PwU7DMAyG70i8Q2Qkbixt11VVaToJJCTEjdELt6zx2orE&#10;qZJsHW+POcHRvz/9/tzur86KC4Y4e1KQbzIQSIM3M40K+o+XhxpETJqMtp5QwTdG2He3N61ujF/p&#10;HS+HNAouodhoBVNKSyNlHCZ0Om78gsS7kw9OJx7DKE3QK5c7K4ssq6TTM/GFSS/4POHwdTg7Ba/V&#10;U/rE3ryZbbH1ay+HcLJRqfu7PHsEkfCa/mD41Wd16Njp6M9korAKdkWdM6qgzIsSBBNVWXBy5GRX&#10;lyC7Vv7/ofsBUEsDBBQAAAAIAIdO4kAi+xGNVgIAALkEAAAOAAAAZHJzL2Uyb0RvYy54bWytVM1u&#10;2zAMvg/YOwi6r3bStF2DOkXWIsOAYi3QDTsrshwb0N8kJXb3ANsb7LTL7nuuPsc+yU6atjv0MB9k&#10;iqQ/kh9Jn513SpKNcL4xuqCjg5wSobkpG70q6OdPizdvKfGB6ZJJo0VB74Sn57PXr85aOxVjUxtZ&#10;CkcAov20tQWtQ7DTLPO8For5A2OFhrEyTrGAq1tlpWMt0JXMxnl+nLXGldYZLryH9rI30gHRvQTQ&#10;VFXDxaXhayV06FGdkCygJF831tNZyraqBA/XVeVFILKgqDSkE0EgL+OZzc7YdOWYrRs+pMBeksKT&#10;mhRrNILuoC5ZYGTtmmdQquHOeFOFA25U1heSGEEVo/wJN7c1syLVAqq93ZHu/x8s/7i5caQpCzo5&#10;okQzhY7f//xx/+vP/e/vBDoQ1Fo/hd+thWfo3pkOY7PVeyhj3V3lVHyjIgI76L3b0Su6QDiUJ+PD&#10;0xwWDtP4dDyCDPTs4WPrfHgvjCJRKKhD9xKpbHPlQ++6dYmxvJFNuWikTBe3Wl5IRzYMnV6kZ0B/&#10;5CY1aQt6fHiUJ+RHNr8PkafnOQTSlRpZR1L64qMUumU3MLU05R2IcqafNW/5okE5V8yHG+YwXGAA&#10;6xeucVTSIBszSJTUxn37lz76o+ewUtJiWAvqv66ZE5TIDxrTcDqaTAAb0mVydDLGxe1blvsWvVYX&#10;BiyNsOiWJzH6B7kVK2fUF2zpPEaFiWmO2AUNW/Ei9CuELediPk9OmGfLwpW+tTxCx55oM18HUzWp&#10;d5GmnpuBPUx06v6wfXFl9u/J6+GPM/s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RKYw09cAAAAL&#10;AQAADwAAAAAAAAABACAAAAAiAAAAZHJzL2Rvd25yZXYueG1sUEsBAhQAFAAAAAgAh07iQCL7EY1W&#10;AgAAuQQAAA4AAAAAAAAAAQAgAAAAJgEAAGRycy9lMm9Eb2MueG1sUEsFBgAAAAAGAAYAWQEAAO4F&#10;AAAAAA==&#10;">
                <v:fill on="t" focussize="0,0"/>
                <v:stroke weight="0.5pt" color="#000000 [3213]" joinstyle="round"/>
                <v:imagedata o:title=""/>
                <o:lock v:ext="edit" aspectratio="f"/>
                <v:textbox>
                  <w:txbxContent>
                    <w:p w14:paraId="3B515F8D">
                      <w:pPr>
                        <w:spacing w:line="240" w:lineRule="atLeast"/>
                        <w:jc w:val="center"/>
                        <w:rPr>
                          <w:rFonts w:ascii="仿宋" w:hAnsi="仿宋" w:eastAsia="仿宋" w:cs="仿宋"/>
                          <w:b/>
                          <w:bCs/>
                          <w:color w:val="FF0000"/>
                          <w:sz w:val="20"/>
                          <w:szCs w:val="20"/>
                        </w:rPr>
                      </w:pPr>
                      <w:r>
                        <w:rPr>
                          <w:rFonts w:hint="eastAsia" w:ascii="仿宋" w:hAnsi="仿宋" w:eastAsia="仿宋" w:cs="仿宋"/>
                          <w:b/>
                          <w:bCs/>
                          <w:color w:val="FF0000"/>
                          <w:sz w:val="20"/>
                          <w:szCs w:val="20"/>
                        </w:rPr>
                        <w:t>设备库房</w:t>
                      </w:r>
                    </w:p>
                  </w:txbxContent>
                </v:textbox>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2816225</wp:posOffset>
                </wp:positionH>
                <wp:positionV relativeFrom="paragraph">
                  <wp:posOffset>3359785</wp:posOffset>
                </wp:positionV>
                <wp:extent cx="212090" cy="37465"/>
                <wp:effectExtent l="635" t="4445" r="15875" b="15240"/>
                <wp:wrapNone/>
                <wp:docPr id="57" name="直接连接符 57"/>
                <wp:cNvGraphicFramePr/>
                <a:graphic xmlns:a="http://schemas.openxmlformats.org/drawingml/2006/main">
                  <a:graphicData uri="http://schemas.microsoft.com/office/word/2010/wordprocessingShape">
                    <wps:wsp>
                      <wps:cNvCnPr/>
                      <wps:spPr>
                        <a:xfrm flipV="1">
                          <a:off x="3256280" y="3984625"/>
                          <a:ext cx="212090" cy="374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21.75pt;margin-top:264.55pt;height:2.95pt;width:16.7pt;z-index:251692032;mso-width-relative:page;mso-height-relative:page;" filled="f" stroked="t" coordsize="21600,21600" o:gfxdata="UEsDBAoAAAAAAIdO4kAAAAAAAAAAAAAAAAAEAAAAZHJzL1BLAwQUAAAACACHTuJAJ4yTh9kAAAAL&#10;AQAADwAAAGRycy9kb3ducmV2LnhtbE2PTUvEMBCG74L/IYzgzU36tdradBFRL4LgWj2nzdgWk0lp&#10;st313xtPepyZh3eet96drGErLn5yJCHZCGBIvdMTDRLat8erG2A+KNLKOEIJ3+hh15yf1arS7kiv&#10;uO7DwGII+UpJGEOYK859P6JVfuNmpHj7dItVIY7LwPWijjHcGp4KseVWTRQ/jGrG+xH7r/3BSrj7&#10;eH7IXtbOOqPLoX3XthVPqZSXF4m4BRbwFP5g+NWP6tBEp84dSHtmJOR5VkRUQpGWCbBI5NfbElgX&#10;N1khgDc1/9+h+QFQSwMEFAAAAAgAh07iQA1Mg7EKAgAA7gMAAA4AAABkcnMvZTJvRG9jLnhtbK1T&#10;O47bMBDtA+QOBPtYsrL22oLlLdbYNPkYyKenKVIiwB84XMu+RC4QIF1Spdw+t8nmGBlS3k2yabaI&#10;Cmo4M3yc9/S0ujgYTfYigHK2odNJSYmw3LXKdg19/+7q2YISiMy2TDsrGnoUQC/WT5+sBl+LyvVO&#10;tyIQBLFQD76hfYy+LgrgvTAMJs4Li0XpgmERt6Er2sAGRDe6qMpyXgwutD44LgAwuxmL9IQYHgPo&#10;pFRcbBy/NsLGETUIzSJSgl55oOs8rZSCxzdSgohENxSZxrziJRjv0lqsV6zuAvO94qcR2GNGeMDJ&#10;MGXx0nuoDYuMXAf1D5RRPDhwMk64M8VIJCuCLKblA23e9syLzAWlBn8vOvw/WP56vw1EtQ2dnVNi&#10;mcEvfvvp5sfHLz+/f8b19ttXghWUafBQY/el3YbTDvw2JM4HGQyRWvkP6KesAvIih4Y+r2bzaoFS&#10;HzFeLs7m1WwUXBwi4dhQTatyiXWeGs7P5rlcjIgJ2QeIL4QzJAUN1comOVjN9i8h4hTYeteS0tZd&#10;Ka3zJ9WWDA1dzvBGwhnaVKI9MDQeqYLtKGG6Q//zGDIiOK3adDrhQOh2lzqQPUuuyc/Y1LNWjNnl&#10;DNMjGWDxlWvH9LS8y+NoJ5g85l/4aeYNg348k0sJCo9oi6+k9KhtinauPWbJcx5tkBtPlk0++3Of&#10;T//+Td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eMk4fZAAAACwEAAA8AAAAAAAAAAQAgAAAA&#10;IgAAAGRycy9kb3ducmV2LnhtbFBLAQIUABQAAAAIAIdO4kANTIOxCgIAAO4DAAAOAAAAAAAAAAEA&#10;IAAAACgBAABkcnMvZTJvRG9jLnhtbFBLBQYAAAAABgAGAFkBAACkBQAAAAA=&#10;">
                <v:fill on="f" focussize="0,0"/>
                <v:stroke color="#000000 [3200]" joinstyle="round"/>
                <v:imagedata o:title=""/>
                <o:lock v:ext="edit" aspectratio="f"/>
              </v:lin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2797175</wp:posOffset>
                </wp:positionH>
                <wp:positionV relativeFrom="paragraph">
                  <wp:posOffset>3114040</wp:posOffset>
                </wp:positionV>
                <wp:extent cx="215900" cy="390525"/>
                <wp:effectExtent l="41910" t="25400" r="46990" b="41275"/>
                <wp:wrapNone/>
                <wp:docPr id="56" name="矩形 56"/>
                <wp:cNvGraphicFramePr/>
                <a:graphic xmlns:a="http://schemas.openxmlformats.org/drawingml/2006/main">
                  <a:graphicData uri="http://schemas.microsoft.com/office/word/2010/wordprocessingShape">
                    <wps:wsp>
                      <wps:cNvSpPr/>
                      <wps:spPr>
                        <a:xfrm rot="21000000">
                          <a:off x="3180715" y="3839210"/>
                          <a:ext cx="215900" cy="3905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3D1EB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0.25pt;margin-top:245.2pt;height:30.75pt;width:17pt;rotation:-655360f;z-index:251691008;v-text-anchor:middle;mso-width-relative:page;mso-height-relative:page;" filled="f" stroked="t" coordsize="21600,21600" o:gfxdata="UEsDBAoAAAAAAIdO4kAAAAAAAAAAAAAAAAAEAAAAZHJzL1BLAwQUAAAACACHTuJAKcUsqdsAAAAL&#10;AQAADwAAAGRycy9kb3ducmV2LnhtbE2Py07DMBBF90j8gzVI7Kht5JQ2xOkCCSFRCdRAJZZOYuJA&#10;PA6x25S/Z1jBbh5Hd84Um5Mf2NFOsQ+oQS4EMItNaHvsNLy+3F+tgMVksDVDQKvh20bYlOdnhcnb&#10;MOPOHqvUMQrBmBsNLqUx5zw2znoTF2G0SLv3MHmTqJ063k5mpnA/8GshltybHumCM6O9c7b5rA5e&#10;w9feieZ5WT+F1aP8eHuo9tvtLLW+vJDiFliyp/QHw68+qUNJTnU4YBvZoEEpkRFKxVooYESoG0WT&#10;WkOWyTXwsuD/fyh/AFBLAwQUAAAACACHTuJAWLTE3XQCAADbBAAADgAAAGRycy9lMm9Eb2MueG1s&#10;rVRLbtswFNwX6B0I7htJTpzERuTAiJGiQNAESIuuaYqyCPBXkracXqZAdz1Ej1P0Gh1SyqdpF1lU&#10;C+E9vtE8zvBRZ+d7rchO+CCtqWl1UFIiDLeNNJuafvxw+eaUkhCZaZiyRtT0TgR6vnj96qx3czGx&#10;nVWN8AQkJsx7V9MuRjcvisA7oVk4sE4YFFvrNYtI/aZoPOvBrlUxKcvjore+cd5yEQJWV0ORjoz+&#10;JYS2bSUXK8u3Wpg4sHqhWISk0EkX6CLvtm0Fj9dtG0QkqqZQGvMbTRCv07tYnLH5xjPXST5ugb1k&#10;C880aSYNmj5QrVhkZOvlX1Racm+DbeMBt7oYhGRHoKIqn3lz2zEnshZYHdyD6eH/0fL3uxtPZFPT&#10;6TElhmmc+K+v33/++EawAHd6F+YA3bobP2YBYZK6b70m3sLSSVXmJzsATWRf08PqtDypppTcIT49&#10;nAEzmC32kXAAJtV0VuIYeALMyulkmurFwJv4nQ/xrbCapKCmHmeZG7DdVYgD9B6S4MZeSqWwzubK&#10;kB6jDdLEzzCkLYYDoXYQGsyGEqY2mH4efaYMVskmfZ6+Dn6zvlCe7FiamUHY0O4PWOq9YqEbcLk0&#10;ClAGOpJvg1Mpivv1HhwpXNvmDpZn47C94PilBNUVC/GGeQwfFnE94zVerbIQYseIks76L/9aT3jM&#10;BKqU9BhmiPy8ZV5Qot4ZTMusOjoCbczJ0fRkgsQ/rayfVsxWX1hor/LucpjwUd2Hrbf6E27xMnVF&#10;iRmO3oOdY3IRh0uG/wAXy2WGYeIdi1fm1vFEPhzachttK/N5Proz+oeZzxMx3s90qZ7mGfX4T1r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nFLKnbAAAACwEAAA8AAAAAAAAAAQAgAAAAIgAAAGRy&#10;cy9kb3ducmV2LnhtbFBLAQIUABQAAAAIAIdO4kBYtMTddAIAANsEAAAOAAAAAAAAAAEAIAAAACoB&#10;AABkcnMvZTJvRG9jLnhtbFBLBQYAAAAABgAGAFkBAAAQBgAAAAA=&#10;">
                <v:fill on="f" focussize="0,0"/>
                <v:stroke weight="1.5pt" color="#000000 [3213]" joinstyle="round"/>
                <v:imagedata o:title=""/>
                <o:lock v:ext="edit" aspectratio="f"/>
                <v:textbox>
                  <w:txbxContent>
                    <w:p w14:paraId="203D1EB3">
                      <w:pPr>
                        <w:jc w:val="center"/>
                      </w:pPr>
                    </w:p>
                  </w:txbxContent>
                </v:textbox>
              </v:rect>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2633345</wp:posOffset>
                </wp:positionH>
                <wp:positionV relativeFrom="paragraph">
                  <wp:posOffset>3204210</wp:posOffset>
                </wp:positionV>
                <wp:extent cx="444500" cy="251460"/>
                <wp:effectExtent l="21590" t="43180" r="29210" b="48260"/>
                <wp:wrapNone/>
                <wp:docPr id="55" name="文本框 55"/>
                <wp:cNvGraphicFramePr/>
                <a:graphic xmlns:a="http://schemas.openxmlformats.org/drawingml/2006/main">
                  <a:graphicData uri="http://schemas.microsoft.com/office/word/2010/wordprocessingShape">
                    <wps:wsp>
                      <wps:cNvSpPr txBox="1"/>
                      <wps:spPr>
                        <a:xfrm rot="20880000">
                          <a:off x="2990215" y="3908425"/>
                          <a:ext cx="444500" cy="25146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5AE63A7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35pt;margin-top:252.3pt;height:19.8pt;width:35pt;rotation:-786432f;z-index:251689984;mso-width-relative:page;mso-height-relative:page;" fillcolor="#FFFFFF [3212]" filled="t" stroked="f" coordsize="21600,21600" o:gfxdata="UEsDBAoAAAAAAIdO4kAAAAAAAAAAAAAAAAAEAAAAZHJzL1BLAwQUAAAACACHTuJAsHvnu9oAAAAL&#10;AQAADwAAAGRycy9kb3ducmV2LnhtbE2P3UrDQBBG7wXfYRnBG7G7KWutMZuCARGkBVv7ANvsNAlm&#10;Z0N2+6NP7/RKL+ebwzdnisXZ9+KIY+wCGcgmCgRSHVxHjYHt5+v9HERMlpztA6GBb4ywKK+vCpu7&#10;cKI1HjepEVxCMbcG2pSGXMpYt+htnIQBiXf7MHqbeBwb6UZ74nLfy6lSM+ltR3yhtQNWLdZfm4M3&#10;sF/Fj7enZvmz9tULvm8rHJd4Z8ztTaaeQSQ8pz8YLvqsDiU77cKBXBS9AZ3pR0YNPCg9A8GEnl+S&#10;HSdaT0GWhfz/Q/kLUEsDBBQAAAAIAIdO4kDIvLzwZwIAAKsEAAAOAAAAZHJzL2Uyb0RvYy54bWyt&#10;VEFu2zAQvBfoHwjeG8mKnNpG5MC14aJA0ARIi55pirIEUCRL0pbSB7Q/yKmX3vuuvKNDyk7TtIcc&#10;qgOx3B3O7g65Or/oW0n2wrpGq4KOTlJKhOK6bNS2oB8/rF9NKHGeqZJJrURBb4WjF/OXL847MxOZ&#10;rrUshSUgUW7WmYLW3ptZkjhei5a5E22EQrDStmUeW7tNSss6sLcyydL0LOm0LY3VXDgH72oI0gOj&#10;fQ6hrqqGi5Xmu1YoP7BaIZlHS65ujKPzWG1VCe6vqsoJT2RB0amPK5LA3oQ1mZ+z2dYyUzf8UAJ7&#10;TglPempZo5D0gWrFPCM72/xF1Tbcaqcrf8J1mwyNREXQxSh9os1NzYyIvUBqZx5Ed/+Plr/fX1vS&#10;lAUdjylRrMWN3999u//+8/7HVwIfBOqMmwF3Y4D0/Rvd49kc/Q7O0Hdf2ZZYDX2zdDJJ8UU50CAB&#10;PJtO02yEBLcFPZ2mkzyLxGwmek84AHmej3GEcACy8Sg/izeTDLyB31jn3wrdkmAU1OJiYwK2v3Qe&#10;NQJ6hAS407Ip142UcWO3m6W0ZM/wCNbxC+XjyB8wqUhX0LPT8VC60uH8gJMK8CDD0G6wfL/pD9ps&#10;dHkLaWL36MEZvm5Q5SVz/ppZPCc4MXD+CkslNZLog0VJre2Xf/kDHreMKCUdnmdB3ecds4IS+U7h&#10;/qejPAetj5t8/DrDxj6ObB5H1K5dajQ/itVFM+C9PJqV1e0nzOUiZEWIKY7cBfVHc+mHocFcc7FY&#10;RBBesGH+Ut0YHqiD1Eovdl5XTbySINOgzUE9vOEo+2HewpA83kfU73/M/B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we+e72gAAAAsBAAAPAAAAAAAAAAEAIAAAACIAAABkcnMvZG93bnJldi54bWxQ&#10;SwECFAAUAAAACACHTuJAyLy88GcCAACrBAAADgAAAAAAAAABACAAAAApAQAAZHJzL2Uyb0RvYy54&#10;bWxQSwUGAAAAAAYABgBZAQAAAgYAAAAA&#10;">
                <v:fill on="t" focussize="0,0"/>
                <v:stroke on="f" weight="0.5pt"/>
                <v:imagedata o:title=""/>
                <o:lock v:ext="edit" aspectratio="f"/>
                <v:textbox>
                  <w:txbxContent>
                    <w:p w14:paraId="5AE63A72"/>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2835275</wp:posOffset>
                </wp:positionH>
                <wp:positionV relativeFrom="paragraph">
                  <wp:posOffset>2764790</wp:posOffset>
                </wp:positionV>
                <wp:extent cx="518160" cy="501650"/>
                <wp:effectExtent l="6350" t="0" r="8890" b="12700"/>
                <wp:wrapNone/>
                <wp:docPr id="49" name="直接箭头连接符 49"/>
                <wp:cNvGraphicFramePr/>
                <a:graphic xmlns:a="http://schemas.openxmlformats.org/drawingml/2006/main">
                  <a:graphicData uri="http://schemas.microsoft.com/office/word/2010/wordprocessingShape">
                    <wps:wsp>
                      <wps:cNvCnPr/>
                      <wps:spPr>
                        <a:xfrm flipV="1">
                          <a:off x="3267075" y="3995420"/>
                          <a:ext cx="518160" cy="5016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23.25pt;margin-top:217.7pt;height:39.5pt;width:40.8pt;z-index:251684864;mso-width-relative:page;mso-height-relative:page;" filled="f" stroked="t" coordsize="21600,21600" o:gfxdata="UEsDBAoAAAAAAIdO4kAAAAAAAAAAAAAAAAAEAAAAZHJzL1BLAwQUAAAACACHTuJAwbAmntsAAAAL&#10;AQAADwAAAGRycy9kb3ducmV2LnhtbE2PTU/DMAyG70j8h8hI3FjarZ220nRCQ4gDB7QxMXHLGpNW&#10;NE6VZB/8e8wJbq/lR68f16uLG8QJQ+w9KcgnGQik1puerILd29PdAkRMmowePKGCb4ywaq6val0Z&#10;f6YNnrbJCi6hWGkFXUpjJWVsO3Q6TvyIxLtPH5xOPAYrTdBnLneDnGbZXDrdE1/o9IjrDtuv7dEp&#10;eHm0MrwuH3azj71ZWy/39L58Vur2Js/uQSS8pD8YfvVZHRp2OvgjmSgGBUUxLxnlMCsLEEyU00UO&#10;4sAhLwqQTS3//9D8AFBLAwQUAAAACACHTuJAOiR2RhQCAADkAwAADgAAAGRycy9lMm9Eb2MueG1s&#10;rVO9jhMxEO6ReAfLPdlNuOQuUTZXJIQGwUn89I7X3rXkP4192eQleAEkKqA6qK7naeB4DMbe5YCj&#10;uYItVmPPzDfzfTNenh+MJnsBQTlb0fGopERY7mplm4q+frV9dEZJiMzWTDsrKnoUgZ6vHj5Ydn4h&#10;Jq51uhZAEMSGRecr2sboF0UReCsMCyPnhUWndGBYxCM0RQ2sQ3Sji0lZzorOQe3BcREC3m56Jx0Q&#10;4T6ATkrFxcbxSyNs7FFBaBaRUmiVD3SVu5VS8PhCyiAi0RVFpjH/sQjau/QvVku2aID5VvGhBXaf&#10;Fu5wMkxZLHoLtWGRkUtQ/0AZxcEFJ+OIO1P0RLIiyGJc3tHmZcu8yFxQ6uBvRQ//D5Y/318AUXVF&#10;T+aUWGZw4jfvrr+//Xjz5fO3D9c/vr5P9tUngn4Uq/NhgTlrewHDKfgLSMwPEgyRWvk3uFVZC2RH&#10;DhV9PJmdlqdTSo5oz+fTk8kguzhEwjFgOj4bz3AgHAOm5Xg2zf6ih0zQHkJ8KpwhyahoiMBU08a1&#10;sxYH7KAvx/bPQsSmMPFXQkq2bqu0znPWlnTY3LzECoQzXF6JS4Om8ShAsA0lTDf4KniEzCA4reqU&#10;noACNLu1BrJnuEvbbYlfUgTL/RWWam9YaPu47Oq3LDKln9iaxKNHkRmA64Z8bREmKdtrmaydq49Z&#10;4nyPw8+FhkVN2/XnOWf/fpyr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GwJp7bAAAACwEAAA8A&#10;AAAAAAAAAQAgAAAAIgAAAGRycy9kb3ducmV2LnhtbFBLAQIUABQAAAAIAIdO4kA6JHZGFAIAAOQD&#10;AAAOAAAAAAAAAAEAIAAAACoBAABkcnMvZTJvRG9jLnhtbFBLBQYAAAAABgAGAFkBAACwBQAAAAA=&#10;">
                <v:fill on="f" focussize="0,0"/>
                <v:stroke weight="1.5pt" color="#FF0000 [3204]" joinstyle="round" endarrow="open"/>
                <v:imagedata o:title=""/>
                <o:lock v:ext="edit" aspectratio="f"/>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1564005</wp:posOffset>
                </wp:positionH>
                <wp:positionV relativeFrom="paragraph">
                  <wp:posOffset>3377565</wp:posOffset>
                </wp:positionV>
                <wp:extent cx="1010920" cy="251460"/>
                <wp:effectExtent l="19685" t="99060" r="36195" b="106680"/>
                <wp:wrapNone/>
                <wp:docPr id="31" name="文本框 31"/>
                <wp:cNvGraphicFramePr/>
                <a:graphic xmlns:a="http://schemas.openxmlformats.org/drawingml/2006/main">
                  <a:graphicData uri="http://schemas.microsoft.com/office/word/2010/wordprocessingShape">
                    <wps:wsp>
                      <wps:cNvSpPr txBox="1"/>
                      <wps:spPr>
                        <a:xfrm rot="20940000">
                          <a:off x="0" y="0"/>
                          <a:ext cx="1010920" cy="25146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330420E8">
                            <w:pPr>
                              <w:spacing w:line="240" w:lineRule="atLeast"/>
                              <w:jc w:val="center"/>
                              <w:rPr>
                                <w:rFonts w:ascii="仿宋" w:hAnsi="仿宋" w:eastAsia="仿宋" w:cs="仿宋"/>
                                <w:b/>
                                <w:bCs/>
                                <w:color w:val="auto"/>
                                <w:sz w:val="20"/>
                                <w:szCs w:val="20"/>
                              </w:rPr>
                            </w:pPr>
                            <w:r>
                              <w:rPr>
                                <w:rFonts w:hint="eastAsia" w:ascii="仿宋" w:hAnsi="仿宋" w:eastAsia="仿宋" w:cs="仿宋"/>
                                <w:b/>
                                <w:bCs/>
                                <w:color w:val="auto"/>
                                <w:sz w:val="20"/>
                                <w:szCs w:val="20"/>
                              </w:rPr>
                              <w:t>水稳拌合车间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15pt;margin-top:265.95pt;height:19.8pt;width:79.6pt;rotation:-720896f;z-index:251677696;mso-width-relative:page;mso-height-relative:page;" fillcolor="#FFFFFF [3201]" filled="t" stroked="t" coordsize="21600,21600" o:gfxdata="UEsDBAoAAAAAAIdO4kAAAAAAAAAAAAAAAAAEAAAAZHJzL1BLAwQUAAAACACHTuJAfC/sRtwAAAAL&#10;AQAADwAAAGRycy9kb3ducmV2LnhtbE2Py07DMBBF90j8gzVIbBC1kzYtDXEq8ciKBaKw6c5Npkmo&#10;PQ6x++DvGVawnJmjO+cWq7Oz4ohj6D1pSCYKBFLtm55aDR/v1e0diBANNcZ6Qg3fGGBVXl4UJm/8&#10;id7wuI6t4BAKudHQxTjkUoa6Q2fCxA9IfNv50ZnI49jKZjQnDndWpkrNpTM98YfODPjYYb1fH5yG&#10;55eN3Sw/q+rr9eHpxlQ7lS7SvdbXV4m6BxHxHP9g+NVndSjZaesP1ARhNaSz+ZRRDdk0WYJgYqay&#10;DMSWN4skA1kW8n+H8gdQSwMEFAAAAAgAh07iQAcZ7VthAgAAyQQAAA4AAABkcnMvZTJvRG9jLnht&#10;bK1UzW4TMRC+I/EOlu90kzQtNOqmComCkCpaqSDOjtebteQ/bCe75QHgDThx4c5z9Tn47E1K2nLo&#10;gT1Y45nJ5/m+mcn5RacV2QofpDUlHR4NKBGG20qadUk/fVy+ekNJiMxUTFkjSnorAr2Yvnxx3rqJ&#10;GNnGqkp4AhATJq0raROjmxRF4I3QLBxZJwyCtfWaRVz9uqg8a4GuVTEaDE6L1vrKectFCPAu+iDd&#10;IfrnANq6llwsLN9oYWKP6oViEZRCI12g01xtXQser+o6iEhUScE05hOPwF6ls5ies8naM9dIviuB&#10;PaeER5w0kwaP3kMtWGRk4+UTKC25t8HW8YhbXfREsiJgMRw80uamYU5kLpA6uHvRw/+D5R+2157I&#10;qqTHQ0oM0+j43Y/vdz9/3/36RuCDQK0LE+TdOGTG7q3tMDZ7f4Az8e5qr4m30Hc0OBsP8GU5QJAg&#10;HWrf3qstukh4wgDhsxFCHLHRyXB8mttR9GAJ1PkQ3wmrSTJK6tHNjMq2lyGiMKTuU1J6sEpWS6lU&#10;vvj1aq482TJ0fpm/VDN+8iBNGdKW9PT4pK/3QSwcQiRKIPUEAoDKADeJ1IuRrNitup1yK1vdQris&#10;DcgGx5cSdC5ZiNfMY9jgxDrGKxy1sqjG7ixKGuu//suf8jEDiFLSYnhLGr5smBeUqPcG03E2HI8B&#10;G/NlfPI6qewPI6vDiNnouYVKGABUl82UH9XerL3Vn7G1s/QqQsxwvF3SuDfnsV8pbD0Xs1lOwnw7&#10;Fi/NjeMJOvXE2Nkm2lrm3iWZem126mHCc39225hW6PCes/7+A03/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wv7EbcAAAACwEAAA8AAAAAAAAAAQAgAAAAIgAAAGRycy9kb3ducmV2LnhtbFBLAQIU&#10;ABQAAAAIAIdO4kAHGe1bYQIAAMkEAAAOAAAAAAAAAAEAIAAAACsBAABkcnMvZTJvRG9jLnhtbFBL&#10;BQYAAAAABgAGAFkBAAD+BQAAAAA=&#10;">
                <v:fill on="t" focussize="0,0"/>
                <v:stroke weight="0.5pt" color="#000000 [3213]" joinstyle="round"/>
                <v:imagedata o:title=""/>
                <o:lock v:ext="edit" aspectratio="f"/>
                <v:textbox>
                  <w:txbxContent>
                    <w:p w14:paraId="330420E8">
                      <w:pPr>
                        <w:spacing w:line="240" w:lineRule="atLeast"/>
                        <w:jc w:val="center"/>
                        <w:rPr>
                          <w:rFonts w:ascii="仿宋" w:hAnsi="仿宋" w:eastAsia="仿宋" w:cs="仿宋"/>
                          <w:b/>
                          <w:bCs/>
                          <w:color w:val="auto"/>
                          <w:sz w:val="20"/>
                          <w:szCs w:val="20"/>
                        </w:rPr>
                      </w:pPr>
                      <w:r>
                        <w:rPr>
                          <w:rFonts w:hint="eastAsia" w:ascii="仿宋" w:hAnsi="仿宋" w:eastAsia="仿宋" w:cs="仿宋"/>
                          <w:b/>
                          <w:bCs/>
                          <w:color w:val="auto"/>
                          <w:sz w:val="20"/>
                          <w:szCs w:val="20"/>
                        </w:rPr>
                        <w:t>水稳拌合车间</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2047875</wp:posOffset>
                </wp:positionH>
                <wp:positionV relativeFrom="paragraph">
                  <wp:posOffset>6073140</wp:posOffset>
                </wp:positionV>
                <wp:extent cx="1658620" cy="1337310"/>
                <wp:effectExtent l="116840" t="150495" r="129540" b="169545"/>
                <wp:wrapNone/>
                <wp:docPr id="54" name="文本框 54"/>
                <wp:cNvGraphicFramePr/>
                <a:graphic xmlns:a="http://schemas.openxmlformats.org/drawingml/2006/main">
                  <a:graphicData uri="http://schemas.microsoft.com/office/word/2010/wordprocessingShape">
                    <wps:wsp>
                      <wps:cNvSpPr txBox="1"/>
                      <wps:spPr>
                        <a:xfrm rot="20940000">
                          <a:off x="0" y="0"/>
                          <a:ext cx="1658620" cy="133731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4064C728">
                            <w:pPr>
                              <w:rPr>
                                <w:rFonts w:ascii="仿宋" w:hAnsi="仿宋" w:eastAsia="仿宋" w:cs="仿宋"/>
                                <w:b/>
                                <w:bCs/>
                                <w:color w:val="FF0000"/>
                              </w:rPr>
                            </w:pPr>
                            <w:r>
                              <w:rPr>
                                <w:rFonts w:hint="eastAsia" w:ascii="仿宋" w:hAnsi="仿宋" w:eastAsia="仿宋" w:cs="仿宋"/>
                                <w:b/>
                                <w:bCs/>
                                <w:color w:val="FF0000"/>
                                <w:szCs w:val="21"/>
                              </w:rPr>
                              <w:t>沥青混凝土拌合车间</w:t>
                            </w:r>
                          </w:p>
                          <w:p w14:paraId="38784AD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1.25pt;margin-top:478.2pt;height:105.3pt;width:130.6pt;rotation:-720896f;z-index:251688960;mso-width-relative:page;mso-height-relative:page;" fillcolor="#FFFFFF [3201]" filled="t" stroked="t" coordsize="21600,21600" o:gfxdata="UEsDBAoAAAAAAIdO4kAAAAAAAAAAAAAAAAAEAAAAZHJzL1BLAwQUAAAACACHTuJAapcPL90AAAAM&#10;AQAADwAAAGRycy9kb3ducmV2LnhtbE2Py07DMBBF90j8gzVIbBC1k5KkDXEq8ciKBaKw6c6Np0mo&#10;PQ6x++DvMStYju7RvWeq1dkadsTJD44kJDMBDKl1eqBOwsd7c7sA5oMirYwjlPCNHlb15UWlSu1O&#10;9IbHdehYLCFfKgl9CGPJuW97tMrP3IgUs52brArxnDquJ3WK5dbwVIicWzVQXOjViI89tvv1wUp4&#10;ftmYzfKzab5eH55uVLMTaZHupby+SsQ9sIDn8AfDr35Uhzo6bd2BtGdGwjxNs4hKWGb5HbBIZIt5&#10;AWwb0SQvBPC64v+fqH8AUEsDBBQAAAAIAIdO4kDa2uh9YgIAAMoEAAAOAAAAZHJzL2Uyb0RvYy54&#10;bWytVM1uEzEQviPxDpbvdPPfNuqmComCkCpaqSDOjtebXcl/2E52ywPAG3Diwp3n6nPw2ZuUtOXQ&#10;A3uwxjOTz/N9M5OLy1ZJshPO10bntH/So0Robopab3L66ePqzRklPjBdMGm0yOmd8PRy9vrVRWOn&#10;YmAqIwvhCEC0nzY2p1UIdpplnldCMX9irNAIlsYpFnB1m6xwrAG6ktmg15tkjXGFdYYL7+FddkG6&#10;R3QvATRlWXOxNHyrhA4dqhOSBVDyVW09naVqy1LwcF2WXgQicwqmIZ14BPY6ntnsgk03jtmq5vsS&#10;2EtKeMJJsVrj0QeoJQuMbF39DErV3BlvynDCjco6IkkRsOj3nmhzWzErEhdI7e2D6P7/wfIPuxtH&#10;6iKn4xElmil0/P7H9/ufv+9/fSPwQaDG+inybi0yQ/vWtBibg9/DGXm3pVPEGeg76J2PeviSHCBI&#10;kA617x7UFm0gPGJMxmeTAUIcsf5weDrsp35kHVpEtc6Hd8IoEo2cOrQzwbLdlQ+oDKmHlJjujayL&#10;VS1lurjNeiEd2TG0fpW+WDR+8ihNatLkdDIcdwU/ivljiMgJrJ5BAFBq4EaVOjWiFdp1u5dubYo7&#10;KJfEAVtv+aoGnSvmww1zmDY4sY/hGkcpDaoxe4uSyriv//LHfAwBopQ0mN6c+i9b5gQl8r3GeJz3&#10;RyPAhnQZjU+jzO44sj6O6K1aGKjUT9UlM+YHeTBLZ9RnrO08vooQ0xxv5zQczEXodgprz8V8npIw&#10;4JaFK31reYSOPdFmvg2mrFPvokydNnv1MOKpP/t1jDt0fE9Zf/+CZ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apcPL90AAAAMAQAADwAAAAAAAAABACAAAAAiAAAAZHJzL2Rvd25yZXYueG1sUEsB&#10;AhQAFAAAAAgAh07iQNra6H1iAgAAygQAAA4AAAAAAAAAAQAgAAAALAEAAGRycy9lMm9Eb2MueG1s&#10;UEsFBgAAAAAGAAYAWQEAAAAGAAAAAA==&#10;">
                <v:fill on="t" focussize="0,0"/>
                <v:stroke weight="0.5pt" color="#000000 [3213]" joinstyle="round"/>
                <v:imagedata o:title=""/>
                <o:lock v:ext="edit" aspectratio="f"/>
                <v:textbox>
                  <w:txbxContent>
                    <w:p w14:paraId="4064C728">
                      <w:pPr>
                        <w:rPr>
                          <w:rFonts w:ascii="仿宋" w:hAnsi="仿宋" w:eastAsia="仿宋" w:cs="仿宋"/>
                          <w:b/>
                          <w:bCs/>
                          <w:color w:val="FF0000"/>
                        </w:rPr>
                      </w:pPr>
                      <w:r>
                        <w:rPr>
                          <w:rFonts w:hint="eastAsia" w:ascii="仿宋" w:hAnsi="仿宋" w:eastAsia="仿宋" w:cs="仿宋"/>
                          <w:b/>
                          <w:bCs/>
                          <w:color w:val="FF0000"/>
                          <w:szCs w:val="21"/>
                        </w:rPr>
                        <w:t>沥青混凝土拌合车间</w:t>
                      </w:r>
                    </w:p>
                    <w:p w14:paraId="38784AD6"/>
                  </w:txbxContent>
                </v:textbox>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2027555</wp:posOffset>
                </wp:positionH>
                <wp:positionV relativeFrom="paragraph">
                  <wp:posOffset>4340225</wp:posOffset>
                </wp:positionV>
                <wp:extent cx="1324610" cy="1372235"/>
                <wp:effectExtent l="123190" t="118745" r="133350" b="128270"/>
                <wp:wrapNone/>
                <wp:docPr id="53" name="文本框 53"/>
                <wp:cNvGraphicFramePr/>
                <a:graphic xmlns:a="http://schemas.openxmlformats.org/drawingml/2006/main">
                  <a:graphicData uri="http://schemas.microsoft.com/office/word/2010/wordprocessingShape">
                    <wps:wsp>
                      <wps:cNvSpPr txBox="1"/>
                      <wps:spPr>
                        <a:xfrm rot="20940000">
                          <a:off x="0" y="0"/>
                          <a:ext cx="1324610" cy="137223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7DEA5E27">
                            <w:pPr>
                              <w:spacing w:line="240" w:lineRule="atLeast"/>
                              <w:jc w:val="center"/>
                              <w:rPr>
                                <w:rFonts w:ascii="仿宋" w:hAnsi="仿宋" w:eastAsia="仿宋" w:cs="仿宋"/>
                                <w:b/>
                                <w:bCs/>
                                <w:color w:val="FF0000"/>
                                <w:sz w:val="20"/>
                                <w:szCs w:val="20"/>
                              </w:rPr>
                            </w:pPr>
                            <w:r>
                              <w:rPr>
                                <w:rFonts w:hint="eastAsia" w:ascii="仿宋" w:hAnsi="仿宋" w:eastAsia="仿宋" w:cs="仿宋"/>
                                <w:b/>
                                <w:bCs/>
                                <w:color w:val="FF0000"/>
                                <w:sz w:val="20"/>
                                <w:szCs w:val="20"/>
                              </w:rPr>
                              <w:t>沥青拌合料仓棚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65pt;margin-top:341.75pt;height:108.05pt;width:104.3pt;rotation:-720896f;z-index:251687936;mso-width-relative:page;mso-height-relative:page;" fillcolor="#FFFFFF [3201]" filled="t" stroked="t" coordsize="21600,21600" o:gfxdata="UEsDBAoAAAAAAIdO4kAAAAAAAAAAAAAAAAAEAAAAZHJzL1BLAwQUAAAACACHTuJA0c5GDN0AAAAL&#10;AQAADwAAAGRycy9kb3ducmV2LnhtbE2Py07DMBBF90j8gzVIbBC1k6hpnMapxCMrFhWlm+7c2E1C&#10;7XGI3Qd/j1nBcnSP7j1Tra7WkLOe/OBQQDJjQDS2Tg3YCdh+NI8FEB8kKmkcagHf2sOqvr2pZKnc&#10;Bd/1eRM6EkvQl1JAH8JYUurbXlvpZ27UGLODm6wM8Zw6qiZ5ieXW0JSxnFo5YFzo5aife90eNycr&#10;4PVtZ3b8s2m+1k8vD7I5sHSRHoW4v0vYEkjQ1/AHw69+VIc6Ou3dCZUnRkCW8CyiAvIimwOJxDxd&#10;cCB7AQXnOdC6ov9/qH8AUEsDBBQAAAAIAIdO4kCLMdtlYgIAAMoEAAAOAAAAZHJzL2Uyb0RvYy54&#10;bWytVM1uEzEQviPxDpbvdJNN0tKomyq0CkKqaKWCODteb3Yl/2E72S0PAG/AiQt3nqvPwWfvpqSF&#10;Qw/swRrPfPo8883Mnp13SpKdcL4xuqDjoxElQnNTNnpT0I8fVq9eU+ID0yWTRouC3glPzxcvX5y1&#10;di5yUxtZCkdAov28tQWtQ7DzLPO8For5I2OFRrAyTrGAq9tkpWMt2JXM8tHoOGuNK60zXHgP72Uf&#10;pAOjew6hqaqGi0vDt0ro0LM6IVlASb5urKeLlG1VCR6uq8qLQGRBUWlIJx6BvY5ntjhj841jtm74&#10;kAJ7TgpPalKs0Xj0geqSBUa2rvmLSjXcGW+qcMSNyvpCkiKoYjx6os1tzaxItUBqbx9E9/+Plr/f&#10;3TjSlAWdTSjRTKHj99+/3f/4df/zK4EPArXWz4G7tUCG7o3pMDZ7v4cz1t1VThFnoG8+Op2O8CU5&#10;UCABHGrfPagtukB45Jjk0+MxQhyx8eQkzyezSJv1bJHVOh/eCqNINArq0M5Ey3ZXPvTQPSTCvZFN&#10;uWqkTBe3WV9IR3YMrV+lb2B/BJOatAU9nsz6hB/F/CFFrAlV9a8ewJCu1Mg6qtSrEa3QrbtBurUp&#10;76BcEgfVestXDcq5Yj7cMIdpgxP7GK5xVNIgGzNYlNTGffmXP+IxBIhS0mJ6C+o/b5kTlMh3GuNx&#10;Op5OQRvSZTo7yXFxh5H1YURv1YWBSuOUXTIjPsi9WTmjPmFtl/FVhJjmeLugYW9ehH6nsPZcLJcJ&#10;hAG3LFzpW8sjdeyJNsttMFWTehdl6rUZ1MOIp+4P6xh36PCeUH9+QY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0c5GDN0AAAALAQAADwAAAAAAAAABACAAAAAiAAAAZHJzL2Rvd25yZXYueG1sUEsB&#10;AhQAFAAAAAgAh07iQIsx22ViAgAAygQAAA4AAAAAAAAAAQAgAAAALAEAAGRycy9lMm9Eb2MueG1s&#10;UEsFBgAAAAAGAAYAWQEAAAAGAAAAAA==&#10;">
                <v:fill on="t" focussize="0,0"/>
                <v:stroke weight="0.5pt" color="#000000 [3213]" joinstyle="round"/>
                <v:imagedata o:title=""/>
                <o:lock v:ext="edit" aspectratio="f"/>
                <v:textbox>
                  <w:txbxContent>
                    <w:p w14:paraId="7DEA5E27">
                      <w:pPr>
                        <w:spacing w:line="240" w:lineRule="atLeast"/>
                        <w:jc w:val="center"/>
                        <w:rPr>
                          <w:rFonts w:ascii="仿宋" w:hAnsi="仿宋" w:eastAsia="仿宋" w:cs="仿宋"/>
                          <w:b/>
                          <w:bCs/>
                          <w:color w:val="FF0000"/>
                          <w:sz w:val="20"/>
                          <w:szCs w:val="20"/>
                        </w:rPr>
                      </w:pPr>
                      <w:r>
                        <w:rPr>
                          <w:rFonts w:hint="eastAsia" w:ascii="仿宋" w:hAnsi="仿宋" w:eastAsia="仿宋" w:cs="仿宋"/>
                          <w:b/>
                          <w:bCs/>
                          <w:color w:val="FF0000"/>
                          <w:sz w:val="20"/>
                          <w:szCs w:val="20"/>
                        </w:rPr>
                        <w:t>沥青拌合料仓棚</w:t>
                      </w: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1833880</wp:posOffset>
                </wp:positionH>
                <wp:positionV relativeFrom="paragraph">
                  <wp:posOffset>3779520</wp:posOffset>
                </wp:positionV>
                <wp:extent cx="1321435" cy="572770"/>
                <wp:effectExtent l="46990" t="125730" r="60325" b="139700"/>
                <wp:wrapNone/>
                <wp:docPr id="52" name="文本框 52"/>
                <wp:cNvGraphicFramePr/>
                <a:graphic xmlns:a="http://schemas.openxmlformats.org/drawingml/2006/main">
                  <a:graphicData uri="http://schemas.microsoft.com/office/word/2010/wordprocessingShape">
                    <wps:wsp>
                      <wps:cNvSpPr txBox="1"/>
                      <wps:spPr>
                        <a:xfrm rot="20940000">
                          <a:off x="0" y="0"/>
                          <a:ext cx="1321435" cy="57277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46A9DEE9">
                            <w:pPr>
                              <w:spacing w:line="240" w:lineRule="atLeast"/>
                              <w:jc w:val="center"/>
                              <w:rPr>
                                <w:rFonts w:ascii="仿宋" w:hAnsi="仿宋" w:eastAsia="仿宋" w:cs="仿宋"/>
                                <w:b/>
                                <w:bCs/>
                                <w:color w:val="FF0000"/>
                                <w:sz w:val="20"/>
                                <w:szCs w:val="20"/>
                              </w:rPr>
                            </w:pPr>
                            <w:r>
                              <w:rPr>
                                <w:rFonts w:hint="eastAsia" w:ascii="仿宋" w:hAnsi="仿宋" w:eastAsia="仿宋" w:cs="仿宋"/>
                                <w:b/>
                                <w:bCs/>
                                <w:color w:val="FF0000"/>
                                <w:sz w:val="20"/>
                                <w:szCs w:val="20"/>
                              </w:rPr>
                              <w:t>水稳料仓棚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4pt;margin-top:297.6pt;height:45.1pt;width:104.05pt;rotation:-720896f;z-index:251686912;mso-width-relative:page;mso-height-relative:page;" fillcolor="#FFFFFF [3201]" filled="t" stroked="t" coordsize="21600,21600" o:gfxdata="UEsDBAoAAAAAAIdO4kAAAAAAAAAAAAAAAAAEAAAAZHJzL1BLAwQUAAAACACHTuJArQbWANwAAAAL&#10;AQAADwAAAGRycy9kb3ducmV2LnhtbE2Py07DMBRE90j8g3WR2KDWbtSkSYhTiUdWLBCFTXe3sZuE&#10;2tchdh/8PWYFy9GMZs5U64s17KQnPziSsJgLYJpapwbqJHy8N7McmA9ICo0jLeFbe1jX11cVlsqd&#10;6U2fNqFjsYR8iRL6EMaSc9/22qKfu1FT9PZushiinDquJjzHcmt4IkTGLQ4UF3oc9WOv28PmaCU8&#10;v2zNtvhsmq/Xh6c7bPYiWSUHKW9vFuIeWNCX8BeGX/yIDnVk2rkjKc+MhCTPI3qQkBZpAiwmlkVW&#10;ANtJyPJ0Cbyu+P8P9Q9QSwMEFAAAAAgAh07iQLb6cTZiAgAAyQQAAA4AAABkcnMvZTJvRG9jLnht&#10;bK1UzW4TMRC+I/EOlu90kzRpadRNFVoFIVW0UkGcHa83a8l/2E52ywPAG/TEhTvP1efgszcpacuh&#10;B/ZgjWe+fJ75ZianZ51WZCN8kNaUdHgwoEQYbitpViX9/Gnx5i0lITJTMWWNKOmtCPRs9vrVaeum&#10;YmQbqyrhCUhMmLaupE2MbloUgTdCs3BgnTAI1tZrFnH1q6LyrAW7VsVoMDgqWusr5y0XIcB70Qfp&#10;ltG/hNDWteTiwvK1Fib2rF4oFlFSaKQLdJazrWvB41VdBxGJKikqjfnEI7CX6Sxmp2y68sw1km9T&#10;YC9J4UlNmkmDRx+oLlhkZO3lMyotubfB1vGAW130hWRFUMVw8ESbm4Y5kWuB1ME9iB7+Hy3/uLn2&#10;RFYlnYwoMUyj4/d3P+5//r7/9Z3AB4FaF6bA3TggY/fOdhibnT/Ameruaq+Jt9B3NDgZD/BlOVAg&#10;ARxq3z6oLbpIeOI4HA3HhxNKOGKT49HxcW5H0ZMlUudDfC+sJskoqUc3MyvbXIaIxADdQRI8WCWr&#10;hVQqX/xqea482TB0fpG/lDN+8gimDGlLenQ46fN9FAv7FKkkFPWMAoTKgDeJ1IuRrNgtu61yS1vd&#10;QrisDXQIji8kyrlkIV4zj2GDE+sYr3DUyiIbu7Uoaaz/9i9/wmMGEKWkxfCWNHxdMy8oUR8MpuNk&#10;OB6DNubLGNri4vcjy/2IWetzC5WGObtsJnxUO7P2Vn/B1s7Tqwgxw/F2SePOPI/9SmHruZjPMwjz&#10;7Vi8NDeOJ+rUE2Pn62hrmXuXZOq12aqHCc/92W5jWqH9e0b9/Qea/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tBtYA3AAAAAsBAAAPAAAAAAAAAAEAIAAAACIAAABkcnMvZG93bnJldi54bWxQSwEC&#10;FAAUAAAACACHTuJAtvpxNmICAADJBAAADgAAAAAAAAABACAAAAArAQAAZHJzL2Uyb0RvYy54bWxQ&#10;SwUGAAAAAAYABgBZAQAA/wUAAAAA&#10;">
                <v:fill on="t" focussize="0,0"/>
                <v:stroke weight="0.5pt" color="#000000 [3213]" joinstyle="round"/>
                <v:imagedata o:title=""/>
                <o:lock v:ext="edit" aspectratio="f"/>
                <v:textbox>
                  <w:txbxContent>
                    <w:p w14:paraId="46A9DEE9">
                      <w:pPr>
                        <w:spacing w:line="240" w:lineRule="atLeast"/>
                        <w:jc w:val="center"/>
                        <w:rPr>
                          <w:rFonts w:ascii="仿宋" w:hAnsi="仿宋" w:eastAsia="仿宋" w:cs="仿宋"/>
                          <w:b/>
                          <w:bCs/>
                          <w:color w:val="FF0000"/>
                          <w:sz w:val="20"/>
                          <w:szCs w:val="20"/>
                        </w:rPr>
                      </w:pPr>
                      <w:r>
                        <w:rPr>
                          <w:rFonts w:hint="eastAsia" w:ascii="仿宋" w:hAnsi="仿宋" w:eastAsia="仿宋" w:cs="仿宋"/>
                          <w:b/>
                          <w:bCs/>
                          <w:color w:val="FF0000"/>
                          <w:sz w:val="20"/>
                          <w:szCs w:val="20"/>
                        </w:rPr>
                        <w:t>水稳料仓棚</w:t>
                      </w:r>
                    </w:p>
                  </w:txbxContent>
                </v:textbox>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2922905</wp:posOffset>
                </wp:positionH>
                <wp:positionV relativeFrom="paragraph">
                  <wp:posOffset>3439160</wp:posOffset>
                </wp:positionV>
                <wp:extent cx="662305" cy="144145"/>
                <wp:effectExtent l="1905" t="9525" r="2540" b="36830"/>
                <wp:wrapNone/>
                <wp:docPr id="51" name="直接箭头连接符 51"/>
                <wp:cNvGraphicFramePr/>
                <a:graphic xmlns:a="http://schemas.openxmlformats.org/drawingml/2006/main">
                  <a:graphicData uri="http://schemas.microsoft.com/office/word/2010/wordprocessingShape">
                    <wps:wsp>
                      <wps:cNvCnPr/>
                      <wps:spPr>
                        <a:xfrm>
                          <a:off x="3206750" y="4090670"/>
                          <a:ext cx="662305" cy="14414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0.15pt;margin-top:270.8pt;height:11.35pt;width:52.15pt;z-index:251685888;mso-width-relative:page;mso-height-relative:page;" filled="f" stroked="t" coordsize="21600,21600" o:gfxdata="UEsDBAoAAAAAAIdO4kAAAAAAAAAAAAAAAAAEAAAAZHJzL1BLAwQUAAAACACHTuJAT7EvZdoAAAAL&#10;AQAADwAAAGRycy9kb3ducmV2LnhtbE2PTUvEMBCG74L/IYzgRdyk9gOpTRcr7MGDoKsi3rLt2Fab&#10;SU2yH/57Ry96e4d5eOeZanmwk9ihD6MjDclCgUBqXTdSr+HpcXV+CSJEQ52ZHKGGLwywrI+PKlN2&#10;bk8PuFvHXnAJhdJoGGKcSylDO6A1YeFmJN69OW9N5NH3svNmz+V2khdKFdKakfjCYGa8GbD9WG+t&#10;hnv72eRzdt2kZ8376sXfvfrx+Vbr05NEXYGIeIh/MPzoszrU7LRxW+qCmDRkhUoZ1ZBnSQGCibzI&#10;OGx+QwqyruT/H+pvUEsDBBQAAAAIAIdO4kCorYXNDAIAANoDAAAOAAAAZHJzL2Uyb0RvYy54bWyt&#10;U8GO0zAQvSPxD5bvNEm3LWzUdA8t5YKgEvABU8dJLDm2NfY27U/wA0icgBNw2jtfA8tnME7CLiyX&#10;PZCDM2PPvJn3PF5eHFvNDhK9sqbg2STlTBphS2Xqgr95vX30hDMfwJSgrZEFP0nPL1YPHyw7l8up&#10;bawuJTICMT7vXMGbEFyeJF40sgU/sU4aOqwsthDIxTopETpCb3UyTdNF0lksHVohvafdzXDIR0S8&#10;D6CtKiXkxorLVpowoKLUEIiSb5TzfNV3W1VShJdV5WVguuDENPQrFSF7H9dktYS8RnCNEmMLcJ8W&#10;7nBqQRkqegO1gQDsEtU/UK0SaL2twkTYNhmI9IoQiyy9o82rBpzsuZDU3t2I7v8frHhx2CFTZcHn&#10;GWcGWrrx63dXP95+vP765fuHq5/f3kf78ydG5yRW53xOOWuzw9HzboeR+bHCNv6JEzsW/GyaLh7P&#10;SeZTwWfpOTmj2PIYmKCAxWJ6ls45ExSQzWbZbB7xk1sghz48k7Zl0Si4DwiqbsLaGkPXajHrBYfD&#10;cx+GxN8JsQtjt0pr2odcG9ZRifM0diOARraiUSGzdUTbm5oz0DW9BRGwh/RWqzKmx2yP9X6tkR2A&#10;Jmi7Tekb+/wrLNbegG+GuP4ohkEeQOmnpmTh5EhaQLTdmK8N0Y16DgpGa2/LUy9sv09X3gsyjmec&#10;qT/9Pvv2Sa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xL2XaAAAACwEAAA8AAAAAAAAAAQAg&#10;AAAAIgAAAGRycy9kb3ducmV2LnhtbFBLAQIUABQAAAAIAIdO4kCorYXNDAIAANoDAAAOAAAAAAAA&#10;AAEAIAAAACkBAABkcnMvZTJvRG9jLnhtbFBLBQYAAAAABgAGAFkBAACnBQAAAAA=&#10;">
                <v:fill on="f" focussize="0,0"/>
                <v:stroke weight="1.5pt" color="#FF0000 [3204]" joinstyle="round" endarrow="open"/>
                <v:imagedata o:title=""/>
                <o:lock v:ext="edit" aspectratio="f"/>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825500</wp:posOffset>
                </wp:positionH>
                <wp:positionV relativeFrom="paragraph">
                  <wp:posOffset>2345055</wp:posOffset>
                </wp:positionV>
                <wp:extent cx="561340" cy="215265"/>
                <wp:effectExtent l="0" t="8890" r="10160" b="23495"/>
                <wp:wrapNone/>
                <wp:docPr id="44" name="直接箭头连接符 44"/>
                <wp:cNvGraphicFramePr/>
                <a:graphic xmlns:a="http://schemas.openxmlformats.org/drawingml/2006/main">
                  <a:graphicData uri="http://schemas.microsoft.com/office/word/2010/wordprocessingShape">
                    <wps:wsp>
                      <wps:cNvCnPr/>
                      <wps:spPr>
                        <a:xfrm flipH="1">
                          <a:off x="0" y="0"/>
                          <a:ext cx="561340" cy="215265"/>
                        </a:xfrm>
                        <a:prstGeom prst="straightConnector1">
                          <a:avLst/>
                        </a:prstGeom>
                        <a:ln w="19050">
                          <a:solidFill>
                            <a:srgbClr val="FF0000"/>
                          </a:solidFill>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65pt;margin-top:184.65pt;height:16.95pt;width:44.2pt;z-index:251681792;mso-width-relative:page;mso-height-relative:page;" filled="f" stroked="t" coordsize="21600,21600" o:gfxdata="UEsDBAoAAAAAAIdO4kAAAAAAAAAAAAAAAAAEAAAAZHJzL1BLAwQUAAAACACHTuJASSN9FNoAAAAL&#10;AQAADwAAAGRycy9kb3ducmV2LnhtbE2PzU7DMBCE70i8g7VI3KiduKqaEKdCRYgDB0SpqLi5sXEi&#10;4nVkuz+8PcuJHkczmvmmWZ39yI42piGggmImgFnsghnQKdi+P90tgaWs0egxoFXwYxOs2uurRtcm&#10;nPDNHjfZMSrBVGsFfc5TzXnqeut1moXJInlfIXqdSUbHTdQnKvcjL4VYcK8HpIVeT3bd2+57c/AK&#10;Xh4dj6/Vw1Z+7szaBb7Dj+pZqdubQtwDy/ac/8Pwh0/o0BLTPhzQJDaSloK+ZAVyUUlglCiL5RzY&#10;XsFcyBJ42/DLD+0vUEsDBBQAAAAIAIdO4kAwbL+QEQIAAOoDAAAOAAAAZHJzL2Uyb0RvYy54bWyt&#10;U82O0zAQviPxDpbvNGlpK4ia7qGlcEBQCXiAqeMklvynsbdpX4IXQOIEnFhOe+dpYHkMxkkpsFz2&#10;gA/WeMbzzXyfx4uLg9FsLzEoZ0s+HuWcSStcpWxT8jevNw8ecRYi2Aq0s7LkRxn4xfL+vUXnCzlx&#10;rdOVREYgNhSdL3kboy+yLIhWGggj56WlYO3QQKQjNlmF0BG60dkkz+dZ57Dy6IQMgbzrIchPiHgX&#10;QFfXSsi1E5dG2jigotQQiVJolQ982Xdb11LEl3UdZGS65MQ09jsVIXuX9my5gKJB8K0SpxbgLi3c&#10;4mRAWSp6hlpDBHaJ6h8oowS64Oo4Es5kA5FeEWIxzm9p86oFL3suJHXwZ9HD/4MVL/ZbZKoq+XTK&#10;mQVDL37z7vr72483X66+fbj+8fV9sj9/YhQnsTofCspZ2S2eTsFvMTE/1GhYrZV/RlPVa0Hs2KGX&#10;+niWWh4iE+SczccPp/QIgkKT8WwynyX0bIBJcB5DfCqdYckoeYgIqmnjyllLj+pwKAH75yEOib8S&#10;UrJ1G6U1+aHQlnXU0ON8lqoBDWxNg0Km8UQ62IYz0A39BBGx7zo4raqUnrIDNruVRrYHmp/NJqd1&#10;6vOva6n2GkI73OtD6RoUEZR+YisWj56EBUTX8dSPkRVnWlLZZA0EtCUBkr6DosnauerYC937aQR6&#10;iU7jmmbsz3Of/fuLLn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SN9FNoAAAALAQAADwAAAAAA&#10;AAABACAAAAAiAAAAZHJzL2Rvd25yZXYueG1sUEsBAhQAFAAAAAgAh07iQDBsv5ARAgAA6gMAAA4A&#10;AAAAAAAAAQAgAAAAKQEAAGRycy9lMm9Eb2MueG1sUEsFBgAAAAAGAAYAWQEAAKwFAAAAAA==&#10;">
                <v:fill on="f" focussize="0,0"/>
                <v:stroke weight="1.5pt" color="#FF0000 [3205]" joinstyle="round" endarrow="open"/>
                <v:imagedata o:title=""/>
                <o:lock v:ext="edit" aspectratio="f"/>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907415</wp:posOffset>
                </wp:positionH>
                <wp:positionV relativeFrom="paragraph">
                  <wp:posOffset>1577975</wp:posOffset>
                </wp:positionV>
                <wp:extent cx="327025" cy="335915"/>
                <wp:effectExtent l="0" t="6350" r="15875" b="635"/>
                <wp:wrapNone/>
                <wp:docPr id="43" name="直接箭头连接符 43"/>
                <wp:cNvGraphicFramePr/>
                <a:graphic xmlns:a="http://schemas.openxmlformats.org/drawingml/2006/main">
                  <a:graphicData uri="http://schemas.microsoft.com/office/word/2010/wordprocessingShape">
                    <wps:wsp>
                      <wps:cNvCnPr/>
                      <wps:spPr>
                        <a:xfrm flipH="1">
                          <a:off x="1691640" y="2272030"/>
                          <a:ext cx="327025" cy="335915"/>
                        </a:xfrm>
                        <a:prstGeom prst="straightConnector1">
                          <a:avLst/>
                        </a:prstGeom>
                        <a:ln w="19050">
                          <a:solidFill>
                            <a:srgbClr val="FF0000"/>
                          </a:solidFill>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71.45pt;margin-top:124.25pt;height:26.45pt;width:25.75pt;z-index:251680768;mso-width-relative:page;mso-height-relative:page;" filled="f" stroked="t" coordsize="21600,21600" o:gfxdata="UEsDBAoAAAAAAIdO4kAAAAAAAAAAAAAAAAAEAAAAZHJzL1BLAwQUAAAACACHTuJA9z3GqtoAAAAL&#10;AQAADwAAAGRycy9kb3ducmV2LnhtbE2Py07DMBBF90j8gzVI7Kid1KAmxKlQEWLBAlEqKnZuPDgR&#10;8Tiy3Qd/j7uC5dUc3XumWZ7cyA4Y4uBJQTETwJA6bwayCjbvTzcLYDFpMnr0hAp+MMKyvbxodG38&#10;kd7wsE6W5RKKtVbQpzTVnMeuR6fjzE9I+fblg9Mpx2C5CfqYy93ISyHuuNMD5YVeT7jqsfte752C&#10;l0fLw2v1sJl/bs3Ker6lj+pZqeurQtwDS3hKfzCc9bM6tNlp5/dkIhtzlmWVUQWlXNwCOxOVlMB2&#10;CuaikMDbhv//of0FUEsDBBQAAAAIAIdO4kDjXzapHwIAAPYDAAAOAAAAZHJzL2Uyb0RvYy54bWyt&#10;U81u00AQviPxDqu9EztOk1KrTg8NgQOCSsADTNZre6X90+w2Tl6CF0DiBJwKp955GiiPwawdCpRL&#10;D/iwmtmZ+Wa+z7OnZzuj2VZiUM5WfDrJOZNWuFrZtuJvXq8fPeYsRLA1aGdlxfcy8LPlwwenvS9l&#10;4Tqna4mMQGwoe1/xLkZfZlkQnTQQJs5LS8HGoYFILrZZjdATutFZkeeLrHdYe3RChkC3qzHID4h4&#10;H0DXNErIlROXRto4oqLUEIlS6JQPfDlM2zRSxJdNE2RkuuLENA4nNSF7k85seQpli+A7JQ4jwH1G&#10;uMPJgLLU9BZqBRHYJap/oIwS6IJr4kQ4k41EBkWIxTS/o82rDrwcuJDUwd+KHv4frHixvUCm6oof&#10;zTizYOiP37y7/v72482Xz98+XP/4+j7ZV58YxUms3oeSas7tBR684C8wMd81aFijlX9GWzVoQezY&#10;jpzFyXRxRILvK14Ux0U+O8gud5EJSpgVx3kx50xQwmw2P5nOU6dshEzQHkN8Kp1hyah4iAiq7eK5&#10;s5Z+sMOxHWyfhzgW/ipIxdatldZ0D6W2rKd5TvI5TSOAlrehpSHTeBIg2JYz0C29ChFxYBCcVnUq&#10;T9UB2825RrYF2qX1OqfvMOdfaan3CkI35g2hlAZlBKWf2JrFvSeRAdH1PM1jZM2ZltQ2WSMBbUmA&#10;pPWobrI2rt4Pog/3tA6DRIfVTfv2pz9U/36uy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3Pcaq&#10;2gAAAAsBAAAPAAAAAAAAAAEAIAAAACIAAABkcnMvZG93bnJldi54bWxQSwECFAAUAAAACACHTuJA&#10;4182qR8CAAD2AwAADgAAAAAAAAABACAAAAApAQAAZHJzL2Uyb0RvYy54bWxQSwUGAAAAAAYABgBZ&#10;AQAAugUAAAAA&#10;">
                <v:fill on="f" focussize="0,0"/>
                <v:stroke weight="1.5pt" color="#FF0000 [3205]" joinstyle="round" endarrow="open"/>
                <v:imagedata o:title=""/>
                <o:lock v:ext="edit" aspectratio="f"/>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361315</wp:posOffset>
                </wp:positionH>
                <wp:positionV relativeFrom="paragraph">
                  <wp:posOffset>2414270</wp:posOffset>
                </wp:positionV>
                <wp:extent cx="464185" cy="292100"/>
                <wp:effectExtent l="4445" t="4445" r="7620" b="8255"/>
                <wp:wrapNone/>
                <wp:docPr id="38" name="文本框 38"/>
                <wp:cNvGraphicFramePr/>
                <a:graphic xmlns:a="http://schemas.openxmlformats.org/drawingml/2006/main">
                  <a:graphicData uri="http://schemas.microsoft.com/office/word/2010/wordprocessingShape">
                    <wps:wsp>
                      <wps:cNvSpPr txBox="1"/>
                      <wps:spPr>
                        <a:xfrm>
                          <a:off x="0" y="0"/>
                          <a:ext cx="464185" cy="29210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0DE1F7CB">
                            <w:pPr>
                              <w:spacing w:line="240" w:lineRule="atLeast"/>
                              <w:jc w:val="center"/>
                              <w:rPr>
                                <w:rFonts w:ascii="仿宋" w:hAnsi="仿宋" w:eastAsia="仿宋" w:cs="仿宋"/>
                                <w:b/>
                                <w:bCs/>
                                <w:color w:val="FF0000"/>
                                <w:sz w:val="20"/>
                                <w:szCs w:val="20"/>
                              </w:rPr>
                            </w:pPr>
                            <w:r>
                              <w:rPr>
                                <w:rFonts w:hint="eastAsia" w:ascii="仿宋" w:hAnsi="仿宋" w:eastAsia="仿宋" w:cs="仿宋"/>
                                <w:b/>
                                <w:bCs/>
                                <w:color w:val="FF0000"/>
                                <w:sz w:val="20"/>
                                <w:szCs w:val="20"/>
                              </w:rPr>
                              <w:t>磅房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5pt;margin-top:190.1pt;height:23pt;width:36.55pt;z-index:251679744;mso-width-relative:page;mso-height-relative:page;" fillcolor="#FFFFFF [3201]" filled="t" stroked="t" coordsize="21600,21600" o:gfxdata="UEsDBAoAAAAAAIdO4kAAAAAAAAAAAAAAAAAEAAAAZHJzL1BLAwQUAAAACACHTuJAmmW53tYAAAAK&#10;AQAADwAAAGRycy9kb3ducmV2LnhtbE2PwU7DMBBE70j8g7VI3KhdB6ISsqkEEhLiRsmFmxtvkwh7&#10;HcVuU/4e9wTH1T7NvKm3Z+/EieY4BkZYrxQI4i7YkXuE9vP1bgMiJsPWuMCE8EMRts31VW0qGxb+&#10;oNMu9SKHcKwMwpDSVEkZu4G8iaswEeffIczepHzOvbSzWXK4d1IrVUpvRs4Ng5noZaDue3f0CG/l&#10;c/qi1r7bQhdhaWU3H1xEvL1ZqycQic7pD4aLflaHJjvtw5FtFA7hoXzMJEKxURrEBShUHrdHuNel&#10;BtnU8v+E5hdQSwMEFAAAAAgAh07iQEBRf3lZAgAAuQQAAA4AAABkcnMvZTJvRG9jLnhtbK1UwW7b&#10;MAy9D9g/CLqvdtK0a4M4RZYiw4BiLdANOyuyHAuQJU1SYncfsP3BTrvsvu/Kd+xJTtq03aGH+SBT&#10;JP1IPpKeXHSNIhvhvDS6oIOjnBKhuSmlXhX086fFmzNKfGC6ZMpoUdA74enF9PWrSWvHYmhqo0rh&#10;CEC0H7e2oHUIdpxlnteiYf7IWKFhrIxrWMDVrbLSsRbojcqGeX6atcaV1hkuvIf2sjfSHaJ7CaCp&#10;KsnFpeHrRujQozqhWEBJvpbW02nKtqoED9dV5UUgqqCoNKQTQSAv45lNJ2y8cszWku9SYC9J4UlN&#10;DZMaQe+hLllgZO3kM6hGcme8qcIRN03WF5IYQRWD/Ak3tzWzItUCqr29J93/P1j+cXPjiCwLeoy+&#10;a9ag49ufP7a//mx/fyfQgaDW+jH8bi08Q/fOdBibvd5DGevuKtfENyoisIPeu3t6RRcIh3J0Ohqc&#10;nVDCYRqeDwd5oj97+Ng6H94L05AoFNShe4lUtrnyAYnAde8SY3mjZLmQSqWLWy3nypENQ6cX6Yk5&#10;4pNHbkqTtqCnxyd5Qn5k84cQeXqeQwBQaeBGUvrioxS6ZbdjamnKOxDlTD9r3vKFRDlXzIcb5jBc&#10;4AbrF65xVMogG7OTKKmN+/YvffRHz2GlpMWwFtR/XTMnKFEfNKbhfDAaxelOl9HJ2yEu7tCyPLTo&#10;dTM3YGmARbc8idE/qL1YOdN8wZbOYlSYmOaIXdCwF+ehXyFsORezWXLCPFsWrvSt5RE69kSb2TqY&#10;SqbeRZp6bnbsYaJTf3bbF1fm8J68Hv440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aZbne1gAA&#10;AAoBAAAPAAAAAAAAAAEAIAAAACIAAABkcnMvZG93bnJldi54bWxQSwECFAAUAAAACACHTuJAQFF/&#10;eVkCAAC5BAAADgAAAAAAAAABACAAAAAlAQAAZHJzL2Uyb0RvYy54bWxQSwUGAAAAAAYABgBZAQAA&#10;8AUAAAAA&#10;">
                <v:fill on="t" focussize="0,0"/>
                <v:stroke weight="0.5pt" color="#000000 [3213]" joinstyle="round"/>
                <v:imagedata o:title=""/>
                <o:lock v:ext="edit" aspectratio="f"/>
                <v:textbox>
                  <w:txbxContent>
                    <w:p w14:paraId="0DE1F7CB">
                      <w:pPr>
                        <w:spacing w:line="240" w:lineRule="atLeast"/>
                        <w:jc w:val="center"/>
                        <w:rPr>
                          <w:rFonts w:ascii="仿宋" w:hAnsi="仿宋" w:eastAsia="仿宋" w:cs="仿宋"/>
                          <w:b/>
                          <w:bCs/>
                          <w:color w:val="FF0000"/>
                          <w:sz w:val="20"/>
                          <w:szCs w:val="20"/>
                        </w:rPr>
                      </w:pPr>
                      <w:r>
                        <w:rPr>
                          <w:rFonts w:hint="eastAsia" w:ascii="仿宋" w:hAnsi="仿宋" w:eastAsia="仿宋" w:cs="仿宋"/>
                          <w:b/>
                          <w:bCs/>
                          <w:color w:val="FF0000"/>
                          <w:sz w:val="20"/>
                          <w:szCs w:val="20"/>
                        </w:rPr>
                        <w:t>磅房</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313055</wp:posOffset>
                </wp:positionH>
                <wp:positionV relativeFrom="paragraph">
                  <wp:posOffset>1767840</wp:posOffset>
                </wp:positionV>
                <wp:extent cx="594360" cy="292100"/>
                <wp:effectExtent l="4445" t="4445" r="10795" b="8255"/>
                <wp:wrapNone/>
                <wp:docPr id="32" name="文本框 32"/>
                <wp:cNvGraphicFramePr/>
                <a:graphic xmlns:a="http://schemas.openxmlformats.org/drawingml/2006/main">
                  <a:graphicData uri="http://schemas.microsoft.com/office/word/2010/wordprocessingShape">
                    <wps:wsp>
                      <wps:cNvSpPr txBox="1"/>
                      <wps:spPr>
                        <a:xfrm>
                          <a:off x="0" y="0"/>
                          <a:ext cx="594360" cy="29210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78CE037E">
                            <w:pPr>
                              <w:spacing w:line="240" w:lineRule="atLeast"/>
                              <w:jc w:val="center"/>
                              <w:rPr>
                                <w:rFonts w:ascii="仿宋" w:hAnsi="仿宋" w:eastAsia="仿宋" w:cs="仿宋"/>
                                <w:b/>
                                <w:bCs/>
                                <w:sz w:val="20"/>
                                <w:szCs w:val="20"/>
                              </w:rPr>
                            </w:pPr>
                            <w:r>
                              <w:rPr>
                                <w:rFonts w:hint="eastAsia" w:ascii="仿宋" w:hAnsi="仿宋" w:eastAsia="仿宋" w:cs="仿宋"/>
                                <w:b/>
                                <w:bCs/>
                                <w:color w:val="FF0000"/>
                                <w:sz w:val="20"/>
                                <w:szCs w:val="20"/>
                              </w:rPr>
                              <w:t>警卫室</w:t>
                            </w:r>
                            <w:r>
                              <w:rPr>
                                <w:rFonts w:hint="eastAsia" w:ascii="仿宋" w:hAnsi="仿宋" w:eastAsia="仿宋" w:cs="仿宋"/>
                                <w:b/>
                                <w:bCs/>
                                <w:sz w:val="20"/>
                                <w:szCs w:val="20"/>
                              </w:rPr>
                              <w:t>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5pt;margin-top:139.2pt;height:23pt;width:46.8pt;z-index:251678720;mso-width-relative:page;mso-height-relative:page;" fillcolor="#FFFFFF [3201]" filled="t" stroked="t" coordsize="21600,21600" o:gfxdata="UEsDBAoAAAAAAIdO4kAAAAAAAAAAAAAAAAAEAAAAZHJzL1BLAwQUAAAACACHTuJAdDcPptcAAAAK&#10;AQAADwAAAGRycy9kb3ducmV2LnhtbE2Py07DMBBF90j8gzWV2FGnjlXakEklkJAQO0o27Nx4mkT1&#10;I7Ldpvw97gqWo3t075l6d7WGXSjE0TuE1bIARq7zenQ9Qvv19rgBFpNyWhnvCOGHIuya+7taVdrP&#10;7pMu+9SzXOJipRCGlKaK89gNZFVc+olczo4+WJXyGXqug5pzuTVcFMWaWzW6vDCoiV4H6k77s0V4&#10;X7+kb2r1hy5F6eeWd+FoIuLDYlU8A0t0TX8w3PSzOjTZ6eDPTkdmEOS2zCSCeNpIYDdAii2wA0Ip&#10;pATe1Pz/C80vUEsDBBQAAAAIAIdO4kCsBgE/WQIAALkEAAAOAAAAZHJzL2Uyb0RvYy54bWytVM1u&#10;EzEQviPxDpbvdDdpWmjUTRVaBSFVtFJBnB2vN2vJf9hOdssDwBtw4sKd5+pz8NmbtCnl0AN78I5n&#10;Zr+Z+WZmT896rchG+CCtqejooKREGG5raVYV/fRx8eoNJSEyUzNljajorQj0bPbyxWnnpmJsW6tq&#10;4QlATJh2rqJtjG5aFIG3QrNwYJ0wMDbWaxZx9aui9qwDulbFuCyPi8762nnLRQjQXgxGukX0zwG0&#10;TSO5uLB8rYWJA6oXikWUFFrpAp3lbJtG8HjVNEFEoiqKSmM+EQTyMp3F7JRNV565VvJtCuw5KfxV&#10;k2bSIOg91AWLjKy9fAKlJfc22CYecKuLoZDMCKoYlX9xc9MyJ3ItoDq4e9LD/4PlHzbXnsi6oodj&#10;SgzT6Pjdj+93P3/f/fpGoANBnQtT+N04eMb+re0xNjt9gDLV3TdepzcqIrCD3tt7ekUfCYfy6GRy&#10;eAwLh2l8Mh6Vmf7i4WPnQ3wnrCZJqKhH9zKpbHMZIhKB684lxQpWyXohlcoXv1qeK082DJ1e5Cfl&#10;iE8euSlDuooeHx6VGfmRLexDlPl5CgFAZYCbSBmKT1Lsl/2WqaWtb0GUt8OsBccXEuVcshCvmcdw&#10;gQGsX7zC0SiLbOxWoqS1/uu/9MkfPYeVkg7DWtHwZc28oES9N5iGk9FkAtiYL5Oj12Nc/L5luW8x&#10;a31uwdIIi+54FpN/VDux8VZ/xpbOU1SYmOGIXdG4E8/jsELYci7m8+yEeXYsXpobxxN06omx83W0&#10;jcy9SzQN3GzZw0Tn/my3L63M/j17PfxxZ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dDcPptcA&#10;AAAKAQAADwAAAAAAAAABACAAAAAiAAAAZHJzL2Rvd25yZXYueG1sUEsBAhQAFAAAAAgAh07iQKwG&#10;AT9ZAgAAuQQAAA4AAAAAAAAAAQAgAAAAJgEAAGRycy9lMm9Eb2MueG1sUEsFBgAAAAAGAAYAWQEA&#10;APEFAAAAAA==&#10;">
                <v:fill on="t" focussize="0,0"/>
                <v:stroke weight="0.5pt" color="#000000 [3213]" joinstyle="round"/>
                <v:imagedata o:title=""/>
                <o:lock v:ext="edit" aspectratio="f"/>
                <v:textbox>
                  <w:txbxContent>
                    <w:p w14:paraId="78CE037E">
                      <w:pPr>
                        <w:spacing w:line="240" w:lineRule="atLeast"/>
                        <w:jc w:val="center"/>
                        <w:rPr>
                          <w:rFonts w:ascii="仿宋" w:hAnsi="仿宋" w:eastAsia="仿宋" w:cs="仿宋"/>
                          <w:b/>
                          <w:bCs/>
                          <w:sz w:val="20"/>
                          <w:szCs w:val="20"/>
                        </w:rPr>
                      </w:pPr>
                      <w:r>
                        <w:rPr>
                          <w:rFonts w:hint="eastAsia" w:ascii="仿宋" w:hAnsi="仿宋" w:eastAsia="仿宋" w:cs="仿宋"/>
                          <w:b/>
                          <w:bCs/>
                          <w:color w:val="FF0000"/>
                          <w:sz w:val="20"/>
                          <w:szCs w:val="20"/>
                        </w:rPr>
                        <w:t>警卫室</w:t>
                      </w:r>
                      <w:r>
                        <w:rPr>
                          <w:rFonts w:hint="eastAsia" w:ascii="仿宋" w:hAnsi="仿宋" w:eastAsia="仿宋" w:cs="仿宋"/>
                          <w:b/>
                          <w:bCs/>
                          <w:sz w:val="20"/>
                          <w:szCs w:val="20"/>
                        </w:rPr>
                        <w:t>房</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1554480</wp:posOffset>
                </wp:positionH>
                <wp:positionV relativeFrom="paragraph">
                  <wp:posOffset>1417320</wp:posOffset>
                </wp:positionV>
                <wp:extent cx="836295" cy="292100"/>
                <wp:effectExtent l="24765" t="81915" r="34290" b="83185"/>
                <wp:wrapNone/>
                <wp:docPr id="50" name="文本框 50"/>
                <wp:cNvGraphicFramePr/>
                <a:graphic xmlns:a="http://schemas.openxmlformats.org/drawingml/2006/main">
                  <a:graphicData uri="http://schemas.microsoft.com/office/word/2010/wordprocessingShape">
                    <wps:wsp>
                      <wps:cNvSpPr txBox="1"/>
                      <wps:spPr>
                        <a:xfrm rot="20940000">
                          <a:off x="1812925" y="1564005"/>
                          <a:ext cx="836295" cy="29210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77F813D0">
                            <w:pPr>
                              <w:spacing w:line="240" w:lineRule="atLeast"/>
                              <w:jc w:val="center"/>
                              <w:rPr>
                                <w:rFonts w:ascii="仿宋" w:hAnsi="仿宋" w:eastAsia="仿宋" w:cs="仿宋"/>
                                <w:b/>
                                <w:bCs/>
                                <w:color w:val="FF0000"/>
                                <w:sz w:val="20"/>
                                <w:szCs w:val="20"/>
                              </w:rPr>
                            </w:pPr>
                            <w:r>
                              <w:rPr>
                                <w:rFonts w:hint="eastAsia" w:ascii="仿宋" w:hAnsi="仿宋" w:eastAsia="仿宋" w:cs="仿宋"/>
                                <w:b/>
                                <w:bCs/>
                                <w:color w:val="FF0000"/>
                                <w:sz w:val="20"/>
                                <w:szCs w:val="20"/>
                              </w:rPr>
                              <w:t>办公用房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4pt;margin-top:111.6pt;height:23pt;width:65.85pt;rotation:-720896f;z-index:251674624;mso-width-relative:page;mso-height-relative:page;" fillcolor="#FFFFFF [3201]" filled="t" stroked="t" coordsize="21600,21600" o:gfxdata="UEsDBAoAAAAAAIdO4kAAAAAAAAAAAAAAAAAEAAAAZHJzL1BLAwQUAAAACACHTuJAOGqCu9wAAAAL&#10;AQAADwAAAGRycy9kb3ducmV2LnhtbE2PS0/DMBCE70j8B2uRuKDWrltSGuJU4pFTD4iWS2/b2E1C&#10;/Qix++Dfs5zgtjs7mvm2WF6cZSczxC54BZOxAGZ8HXTnGwUfm2r0ACwm9Bpt8EbBt4mwLK+vCsx1&#10;OPt3c1qnhlGIjzkqaFPqc85j3RqHcRx64+m2D4PDROvQcD3gmcKd5VKIjDvsPDW02Jvn1tSH9dEp&#10;eF1t7XbxWVVfb08vd1jthZzLg1K3NxPxCCyZS/ozwy8+oUNJTLtw9Doyq0DOZoSeaJBTCYwc03l2&#10;D2xHSraQwMuC//+h/AFQSwMEFAAAAAgAh07iQMpInYVlAgAA1AQAAA4AAABkcnMvZTJvRG9jLnht&#10;bK1UwY7TMBC9I/EPlu9s2mxb2qrpquyqCGnFrrQgzq7jNJEc29huk+UD4A84ceHOd+138OykpSwI&#10;7YEcrPHMy5uZ57EXF20tyV5YV2mV0eHZgBKhuM4rtc3o+3frF1NKnGcqZ1IrkdF74ejF8vmzRWPm&#10;ItWllrmwBCTKzRuT0dJ7M08Sx0tRM3emjVAIFtrWzGNrt0luWQP2WibpYDBJGm1zYzUXzsF71QVp&#10;z2ifQqiLouLiSvNdLZTvWK2QzKMlV1bG0WWstigE9zdF4YQnMqPo1McVSWBvwposF2y+tcyUFe9L&#10;YE8p4VFPNasUkh6prphnZGerP6jqilvtdOHPuK6TrpGoCLoYDh5pc1cyI2IvkNqZo+ju/9Hyt/tb&#10;S6o8o2NIoliNE3/4+uXh24+H758JfBCoMW4O3J0B0revdIuxOfgdnKHvtrA1sRr6poPZaIAvyoEG&#10;SYBPh+ksHVNyD3s8QXzcKS9aTzgA0/NJOkOcAwDkEL8jcdLxBn5jnX8tdE2CkVGLg40J2P7a+Q56&#10;gAS407LK15WUcWO3m0tpyZ5hCNbx69l/g0lFmoxOztH0vylCd8cCTyhQrlSoOujV6RIs327aXsSN&#10;zu+hYZQJajvD1xXauWbO3zKLuYMTN9PfYCmkRjW6tygptf30N3/AYxwQpaTBHGfUfdwxKyiRbxQG&#10;ZTYcjUDr42Y0fpliY08jm9OI2tWXGioNY3XRDHgvD2Zhdf0BF3gVsiLEFEfujPqDeem724UHgIvV&#10;KoIw6ob5a3VneKAO6iq92nldVPHsgkydNr16GPZ4+v3FDLfpdB9Rvx6j5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4aoK73AAAAAsBAAAPAAAAAAAAAAEAIAAAACIAAABkcnMvZG93bnJldi54bWxQ&#10;SwECFAAUAAAACACHTuJAykidhWUCAADUBAAADgAAAAAAAAABACAAAAArAQAAZHJzL2Uyb0RvYy54&#10;bWxQSwUGAAAAAAYABgBZAQAAAgYAAAAA&#10;">
                <v:fill on="t" focussize="0,0"/>
                <v:stroke weight="0.5pt" color="#000000 [3213]" joinstyle="round"/>
                <v:imagedata o:title=""/>
                <o:lock v:ext="edit" aspectratio="f"/>
                <v:textbox>
                  <w:txbxContent>
                    <w:p w14:paraId="77F813D0">
                      <w:pPr>
                        <w:spacing w:line="240" w:lineRule="atLeast"/>
                        <w:jc w:val="center"/>
                        <w:rPr>
                          <w:rFonts w:ascii="仿宋" w:hAnsi="仿宋" w:eastAsia="仿宋" w:cs="仿宋"/>
                          <w:b/>
                          <w:bCs/>
                          <w:color w:val="FF0000"/>
                          <w:sz w:val="20"/>
                          <w:szCs w:val="20"/>
                        </w:rPr>
                      </w:pPr>
                      <w:r>
                        <w:rPr>
                          <w:rFonts w:hint="eastAsia" w:ascii="仿宋" w:hAnsi="仿宋" w:eastAsia="仿宋" w:cs="仿宋"/>
                          <w:b/>
                          <w:bCs/>
                          <w:color w:val="FF0000"/>
                          <w:sz w:val="20"/>
                          <w:szCs w:val="20"/>
                        </w:rPr>
                        <w:t>办公用房</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1788160</wp:posOffset>
                </wp:positionH>
                <wp:positionV relativeFrom="paragraph">
                  <wp:posOffset>2442210</wp:posOffset>
                </wp:positionV>
                <wp:extent cx="962660" cy="292100"/>
                <wp:effectExtent l="23495" t="93980" r="42545" b="109220"/>
                <wp:wrapNone/>
                <wp:docPr id="26" name="文本框 26"/>
                <wp:cNvGraphicFramePr/>
                <a:graphic xmlns:a="http://schemas.openxmlformats.org/drawingml/2006/main">
                  <a:graphicData uri="http://schemas.microsoft.com/office/word/2010/wordprocessingShape">
                    <wps:wsp>
                      <wps:cNvSpPr txBox="1"/>
                      <wps:spPr>
                        <a:xfrm rot="20940000">
                          <a:off x="0" y="0"/>
                          <a:ext cx="962660" cy="29210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7AEB478A">
                            <w:pPr>
                              <w:spacing w:line="240" w:lineRule="atLeast"/>
                              <w:jc w:val="center"/>
                              <w:rPr>
                                <w:rFonts w:ascii="仿宋" w:hAnsi="仿宋" w:eastAsia="仿宋" w:cs="仿宋"/>
                                <w:b/>
                                <w:bCs/>
                                <w:color w:val="auto"/>
                                <w:sz w:val="20"/>
                                <w:szCs w:val="20"/>
                              </w:rPr>
                            </w:pPr>
                            <w:r>
                              <w:rPr>
                                <w:rFonts w:hint="eastAsia" w:ascii="仿宋" w:hAnsi="仿宋" w:eastAsia="仿宋" w:cs="仿宋"/>
                                <w:b/>
                                <w:bCs/>
                                <w:color w:val="auto"/>
                                <w:sz w:val="20"/>
                                <w:szCs w:val="20"/>
                              </w:rPr>
                              <w:t>料仓棚（待检）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8pt;margin-top:192.3pt;height:23pt;width:75.8pt;rotation:-720896f;z-index:251676672;mso-width-relative:page;mso-height-relative:page;" fillcolor="#FFFFFF [3201]" filled="t" stroked="t" coordsize="21600,21600" o:gfxdata="UEsDBAoAAAAAAIdO4kAAAAAAAAAAAAAAAAAEAAAAZHJzL1BLAwQUAAAACACHTuJAZwzpq9sAAAAL&#10;AQAADwAAAGRycy9kb3ducmV2LnhtbE2Py07DMBBF90j8gzVIbFBrJ6nSEOJU4pEVC0Rh0900niah&#10;foTYffD3uCvY3dEc3TlTrc5GsyNNfnBWQjIXwMi2Tg22k/D50cwKYD6gVaidJQk/5GFVX19VWCp3&#10;su90XIeOxRLrS5TQhzCWnPu2J4N+7kaycbdzk8EQx6njasJTLDeap0Lk3OBg44UeR3rqqd2vD0bC&#10;y+tGb+6/mub77fH5DpudSJfpXsrbm0Q8AAt0Dn8wXPSjOtTRaesOVnmmJaRFkkdUQlYsYojEIstS&#10;YNtLEDnwuuL/f6h/AVBLAwQUAAAACACHTuJAW+o5il8CAADIBAAADgAAAGRycy9lMm9Eb2MueG1s&#10;rVTBbhMxEL0j8Q+W73STJQ0k6qYKrYKQKlqpIM6O15u15LWN7WS3fAD8AScu3PmufgfP3k1IC4ce&#10;2IM1nnl5nnkzk7PzrlFkJ5yXRhd0fDKiRGhuSqk3Bf34YfXiNSU+MF0yZbQo6J3w9Hzx/NlZa+ci&#10;N7VRpXAEJNrPW1vQOgQ7zzLPa9Ewf2Ks0AhWxjUs4Oo2WelYC/ZGZfloNM1a40rrDBfew3vZB+nA&#10;6J5CaKpKcnFp+LYROvSsTigWUJKvpfV0kbKtKsHDdVV5EYgqKCoN6cQjsNfxzBZnbL5xzNaSDymw&#10;p6TwqKaGSY1HD1SXLDCydfIvqkZyZ7ypwgk3TdYXkhRBFePRI21ua2ZFqgVSe3sQ3f8/Wv5+d+OI&#10;LAuaTynRrEHH779/u//x6/7nVwIfBGqtnwN3a4EM3RvTYWz2fg9nrLurXEOcgb75aDYZ4UtyoEAC&#10;ONS+O6gtukA4nLNpPp0iwhHKZ/kYP8FjWc8VOa3z4a0wDYlGQR2amUjZ7sqHHrqHRLg3SpYrqVS6&#10;uM36QjmyY2j8Kn0D+wOY0qQt6PTlaZ/ug5g/pogVHRI8giFdpZF11KjXIlqhW3eDcGtT3kG3JA2K&#10;9ZavJMq5Yj7cMIdZgxPbGK5xVMogGzNYlNTGffmXP+IxAohS0mJ2C+o/b5kTlKh3GsMxG08moA3p&#10;Mjl9lePijiPr44jeNhcGKo1TdsmM+KD2ZuVM8wlLu4yvIsQ0x9sFDXvzIvQbhaXnYrlMIIy3ZeFK&#10;31oeqWNPtFlug6lk6l2UqddmUA8Dnro/LGPcoON7Qv35A1r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cM6avbAAAACwEAAA8AAAAAAAAAAQAgAAAAIgAAAGRycy9kb3ducmV2LnhtbFBLAQIUABQA&#10;AAAIAIdO4kBb6jmKXwIAAMgEAAAOAAAAAAAAAAEAIAAAACoBAABkcnMvZTJvRG9jLnhtbFBLBQYA&#10;AAAABgAGAFkBAAD7BQAAAAA=&#10;">
                <v:fill on="t" focussize="0,0"/>
                <v:stroke weight="0.5pt" color="#000000 [3213]" joinstyle="round"/>
                <v:imagedata o:title=""/>
                <o:lock v:ext="edit" aspectratio="f"/>
                <v:textbox>
                  <w:txbxContent>
                    <w:p w14:paraId="7AEB478A">
                      <w:pPr>
                        <w:spacing w:line="240" w:lineRule="atLeast"/>
                        <w:jc w:val="center"/>
                        <w:rPr>
                          <w:rFonts w:ascii="仿宋" w:hAnsi="仿宋" w:eastAsia="仿宋" w:cs="仿宋"/>
                          <w:b/>
                          <w:bCs/>
                          <w:color w:val="auto"/>
                          <w:sz w:val="20"/>
                          <w:szCs w:val="20"/>
                        </w:rPr>
                      </w:pPr>
                      <w:r>
                        <w:rPr>
                          <w:rFonts w:hint="eastAsia" w:ascii="仿宋" w:hAnsi="仿宋" w:eastAsia="仿宋" w:cs="仿宋"/>
                          <w:b/>
                          <w:bCs/>
                          <w:color w:val="auto"/>
                          <w:sz w:val="20"/>
                          <w:szCs w:val="20"/>
                        </w:rPr>
                        <w:t>料仓棚（待检）</w:t>
                      </w:r>
                    </w:p>
                  </w:txbxContent>
                </v:textbox>
              </v:shape>
            </w:pict>
          </mc:Fallback>
        </mc:AlternateContent>
      </w:r>
      <w:r>
        <w:drawing>
          <wp:anchor distT="0" distB="0" distL="114300" distR="114300" simplePos="0" relativeHeight="251673600" behindDoc="0" locked="0" layoutInCell="1" allowOverlap="1">
            <wp:simplePos x="0" y="0"/>
            <wp:positionH relativeFrom="column">
              <wp:posOffset>5477510</wp:posOffset>
            </wp:positionH>
            <wp:positionV relativeFrom="paragraph">
              <wp:posOffset>86360</wp:posOffset>
            </wp:positionV>
            <wp:extent cx="852170" cy="923925"/>
            <wp:effectExtent l="0" t="0" r="5080" b="9525"/>
            <wp:wrapNone/>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11"/>
                    <a:stretch>
                      <a:fillRect/>
                    </a:stretch>
                  </pic:blipFill>
                  <pic:spPr>
                    <a:xfrm>
                      <a:off x="0" y="0"/>
                      <a:ext cx="852170" cy="923925"/>
                    </a:xfrm>
                    <a:prstGeom prst="rect">
                      <a:avLst/>
                    </a:prstGeom>
                    <a:noFill/>
                    <a:ln>
                      <a:noFill/>
                    </a:ln>
                  </pic:spPr>
                </pic:pic>
              </a:graphicData>
            </a:graphic>
          </wp:anchor>
        </w:drawing>
      </w:r>
    </w:p>
    <w:p w14:paraId="27775CB8">
      <w:pPr>
        <w:pStyle w:val="7"/>
        <w:jc w:val="center"/>
        <w:rPr>
          <w:color w:val="C0504D" w:themeColor="accent2"/>
          <w14:textFill>
            <w14:solidFill>
              <w14:schemeClr w14:val="accent2"/>
            </w14:solidFill>
          </w14:textFill>
        </w:rPr>
        <w:sectPr>
          <w:pgSz w:w="11906" w:h="16838"/>
          <w:pgMar w:top="720" w:right="720" w:bottom="720" w:left="720" w:header="851" w:footer="992" w:gutter="0"/>
          <w:cols w:space="425" w:num="1"/>
          <w:docGrid w:type="lines" w:linePitch="312" w:charSpace="0"/>
        </w:sectPr>
      </w:pPr>
      <w:r>
        <w:rPr>
          <w:rFonts w:hint="eastAsia"/>
          <w:b/>
          <w:bCs/>
          <w:color w:val="auto"/>
          <w:szCs w:val="21"/>
        </w:rPr>
        <w:t>图2-3 项目区平面布置图</w:t>
      </w:r>
    </w:p>
    <w:p w14:paraId="59AFBE88">
      <w:pPr>
        <w:pStyle w:val="25"/>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154D8C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87" w:hRule="atLeast"/>
          <w:jc w:val="center"/>
        </w:trPr>
        <w:tc>
          <w:tcPr>
            <w:tcW w:w="800" w:type="dxa"/>
            <w:vAlign w:val="center"/>
          </w:tcPr>
          <w:p w14:paraId="0E947276">
            <w:pPr>
              <w:adjustRightInd w:val="0"/>
              <w:snapToGrid w:val="0"/>
              <w:jc w:val="center"/>
              <w:rPr>
                <w:rFonts w:ascii="宋体" w:hAnsi="宋体" w:cs="宋体"/>
                <w:kern w:val="0"/>
                <w:szCs w:val="21"/>
              </w:rPr>
            </w:pPr>
            <w:r>
              <w:rPr>
                <w:rFonts w:hint="eastAsia" w:ascii="宋体" w:hAnsi="宋体" w:cs="宋体"/>
                <w:kern w:val="0"/>
                <w:szCs w:val="21"/>
              </w:rPr>
              <w:t>区域</w:t>
            </w:r>
          </w:p>
          <w:p w14:paraId="7066F011">
            <w:pPr>
              <w:adjustRightInd w:val="0"/>
              <w:snapToGrid w:val="0"/>
              <w:jc w:val="center"/>
              <w:rPr>
                <w:rFonts w:ascii="宋体" w:hAnsi="宋体" w:cs="宋体"/>
                <w:kern w:val="0"/>
                <w:szCs w:val="21"/>
              </w:rPr>
            </w:pPr>
            <w:r>
              <w:rPr>
                <w:rFonts w:hint="eastAsia" w:ascii="宋体" w:hAnsi="宋体" w:cs="宋体"/>
                <w:kern w:val="0"/>
                <w:szCs w:val="21"/>
              </w:rPr>
              <w:t>环境</w:t>
            </w:r>
          </w:p>
          <w:p w14:paraId="20B3705C">
            <w:pPr>
              <w:adjustRightInd w:val="0"/>
              <w:snapToGrid w:val="0"/>
              <w:jc w:val="center"/>
              <w:rPr>
                <w:rFonts w:ascii="宋体" w:hAnsi="宋体" w:cs="宋体"/>
                <w:kern w:val="0"/>
                <w:szCs w:val="21"/>
              </w:rPr>
            </w:pPr>
            <w:r>
              <w:rPr>
                <w:rFonts w:hint="eastAsia" w:ascii="宋体" w:hAnsi="宋体" w:cs="宋体"/>
                <w:kern w:val="0"/>
                <w:szCs w:val="21"/>
              </w:rPr>
              <w:t>质量</w:t>
            </w:r>
          </w:p>
          <w:p w14:paraId="576DC17C">
            <w:pPr>
              <w:adjustRightInd w:val="0"/>
              <w:snapToGrid w:val="0"/>
              <w:jc w:val="center"/>
              <w:rPr>
                <w:rFonts w:ascii="宋体" w:hAnsi="宋体" w:cs="宋体"/>
                <w:kern w:val="0"/>
                <w:szCs w:val="21"/>
              </w:rPr>
            </w:pPr>
            <w:r>
              <w:rPr>
                <w:rFonts w:hint="eastAsia" w:ascii="宋体" w:hAnsi="宋体" w:cs="宋体"/>
                <w:kern w:val="0"/>
                <w:szCs w:val="21"/>
              </w:rPr>
              <w:t>现状</w:t>
            </w:r>
          </w:p>
        </w:tc>
        <w:tc>
          <w:tcPr>
            <w:tcW w:w="8190" w:type="dxa"/>
            <w:vAlign w:val="center"/>
          </w:tcPr>
          <w:p w14:paraId="205CD596">
            <w:pPr>
              <w:widowControl/>
              <w:spacing w:line="360" w:lineRule="auto"/>
            </w:pPr>
            <w:r>
              <w:rPr>
                <w:rFonts w:hint="eastAsia"/>
              </w:rPr>
              <w:t>1、大气环境质量现状与评价</w:t>
            </w:r>
          </w:p>
          <w:p w14:paraId="12550DBE">
            <w:pPr>
              <w:widowControl/>
              <w:spacing w:line="360" w:lineRule="auto"/>
              <w:ind w:firstLine="420" w:firstLineChars="200"/>
            </w:pPr>
            <w:r>
              <w:rPr>
                <w:rFonts w:hint="eastAsia"/>
              </w:rPr>
              <w:t>（1）空气质量达标区判定</w:t>
            </w:r>
          </w:p>
          <w:p w14:paraId="6F9DC6FD">
            <w:pPr>
              <w:spacing w:line="360" w:lineRule="auto"/>
              <w:ind w:firstLine="420" w:firstLineChars="200"/>
            </w:pPr>
            <w:r>
              <w:t>根据《环境影响评价技术导则大气环境》（</w:t>
            </w:r>
            <w:r>
              <w:rPr>
                <w:rFonts w:hint="eastAsia"/>
              </w:rPr>
              <w:t xml:space="preserve">HJ </w:t>
            </w:r>
            <w:r>
              <w:t>2.2-2018），本项目可直接采用国家或地方生态环保主管部门公开发布的评价基准年环境质量公告或环境质量报告中的数据或结论。</w:t>
            </w:r>
          </w:p>
          <w:p w14:paraId="16960FD1">
            <w:pPr>
              <w:widowControl/>
              <w:spacing w:line="360" w:lineRule="auto"/>
              <w:ind w:firstLine="420" w:firstLineChars="200"/>
            </w:pPr>
            <w:r>
              <w:rPr>
                <w:rFonts w:hint="eastAsia"/>
              </w:rPr>
              <w:t>项目所在地空气为环境质量二类功能区，环境空气质量执行</w:t>
            </w:r>
            <w:r>
              <w:t>《环境空气质量标准》（</w:t>
            </w:r>
            <w:r>
              <w:rPr>
                <w:rFonts w:hint="eastAsia"/>
              </w:rPr>
              <w:t xml:space="preserve">GB </w:t>
            </w:r>
            <w:r>
              <w:t>3095-2012）中的二级标准</w:t>
            </w:r>
            <w:r>
              <w:rPr>
                <w:rFonts w:hint="eastAsia"/>
              </w:rPr>
              <w:t>，为了解项目所在区域的环境空气质量现状，</w:t>
            </w:r>
            <w:r>
              <w:t>本次</w:t>
            </w:r>
            <w:r>
              <w:rPr>
                <w:rFonts w:hint="eastAsia"/>
              </w:rPr>
              <w:t>环评</w:t>
            </w:r>
            <w:r>
              <w:t>数据引用</w:t>
            </w:r>
            <w:r>
              <w:rPr>
                <w:rFonts w:hint="eastAsia"/>
              </w:rPr>
              <w:t>奎屯市生态环境分局发布的伊犁州奎屯市奎屯站点（地方站点）2021年的环境质量数据，项目区距离奎屯市30公里，</w:t>
            </w:r>
            <w:r>
              <w:t>全年</w:t>
            </w:r>
            <w:r>
              <w:rPr>
                <w:rFonts w:hint="eastAsia"/>
              </w:rPr>
              <w:t>的</w:t>
            </w:r>
            <w:r>
              <w:t>可吸入颗粒物（PM</w:t>
            </w:r>
            <w:r>
              <w:rPr>
                <w:vertAlign w:val="subscript"/>
              </w:rPr>
              <w:t>10</w:t>
            </w:r>
            <w:r>
              <w:t>）、细颗粒物（PM</w:t>
            </w:r>
            <w:r>
              <w:rPr>
                <w:vertAlign w:val="subscript"/>
              </w:rPr>
              <w:t>2.5</w:t>
            </w:r>
            <w:r>
              <w:t>）、二氧化硫（SO</w:t>
            </w:r>
            <w:r>
              <w:rPr>
                <w:vertAlign w:val="subscript"/>
              </w:rPr>
              <w:t>2</w:t>
            </w:r>
            <w:r>
              <w:t>）、二氧化氮（NO</w:t>
            </w:r>
            <w:r>
              <w:rPr>
                <w:vertAlign w:val="subscript"/>
              </w:rPr>
              <w:t>2</w:t>
            </w:r>
            <w:r>
              <w:t>）、一氧化碳（CO）、臭氧（O</w:t>
            </w:r>
            <w:r>
              <w:rPr>
                <w:vertAlign w:val="subscript"/>
              </w:rPr>
              <w:t>3</w:t>
            </w:r>
            <w:r>
              <w:t>）六项基本因子的监测数据</w:t>
            </w:r>
            <w:r>
              <w:rPr>
                <w:rFonts w:hint="eastAsia"/>
              </w:rPr>
              <w:t>。详见表3-1。</w:t>
            </w:r>
          </w:p>
          <w:p w14:paraId="5F68C5B8">
            <w:pPr>
              <w:pStyle w:val="106"/>
              <w:widowControl w:val="0"/>
              <w:adjustRightInd/>
            </w:pPr>
            <w:r>
              <w:t>表</w:t>
            </w:r>
            <w:r>
              <w:rPr>
                <w:rFonts w:hint="eastAsia"/>
              </w:rPr>
              <w:t xml:space="preserve">3-1  </w:t>
            </w:r>
            <w:r>
              <w:t>空气质量监测及评价结果</w:t>
            </w:r>
            <w:r>
              <w:rPr>
                <w:rFonts w:hint="eastAsia"/>
              </w:rPr>
              <w:t xml:space="preserve">  </w:t>
            </w:r>
            <w:r>
              <w:t>单位：ug/m</w:t>
            </w:r>
            <w:r>
              <w:rPr>
                <w:vertAlign w:val="superscript"/>
              </w:rPr>
              <w:t>3</w:t>
            </w:r>
          </w:p>
          <w:p w14:paraId="0C1AB05B">
            <w:pPr>
              <w:spacing w:before="7" w:line="30" w:lineRule="exact"/>
              <w:jc w:val="left"/>
            </w:pPr>
          </w:p>
          <w:tbl>
            <w:tblPr>
              <w:tblStyle w:val="30"/>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799"/>
              <w:gridCol w:w="2341"/>
              <w:gridCol w:w="1145"/>
              <w:gridCol w:w="996"/>
              <w:gridCol w:w="782"/>
              <w:gridCol w:w="902"/>
            </w:tblGrid>
            <w:tr w14:paraId="24D6E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8" w:type="pct"/>
                  <w:tcBorders>
                    <w:tl2br w:val="nil"/>
                    <w:tr2bl w:val="nil"/>
                  </w:tcBorders>
                  <w:vAlign w:val="center"/>
                </w:tcPr>
                <w:p w14:paraId="0CFDAAC3">
                  <w:pPr>
                    <w:pStyle w:val="107"/>
                    <w:rPr>
                      <w:b/>
                      <w:bCs/>
                    </w:rPr>
                  </w:pPr>
                  <w:r>
                    <w:rPr>
                      <w:b/>
                      <w:bCs/>
                    </w:rPr>
                    <w:t>污染物名称</w:t>
                  </w:r>
                </w:p>
              </w:tc>
              <w:tc>
                <w:tcPr>
                  <w:tcW w:w="1468" w:type="pct"/>
                  <w:tcBorders>
                    <w:tl2br w:val="nil"/>
                    <w:tr2bl w:val="nil"/>
                  </w:tcBorders>
                  <w:vAlign w:val="center"/>
                </w:tcPr>
                <w:p w14:paraId="072F3865">
                  <w:pPr>
                    <w:pStyle w:val="107"/>
                    <w:rPr>
                      <w:b/>
                      <w:bCs/>
                    </w:rPr>
                  </w:pPr>
                  <w:r>
                    <w:rPr>
                      <w:b/>
                      <w:bCs/>
                    </w:rPr>
                    <w:t>年评价指标</w:t>
                  </w:r>
                </w:p>
              </w:tc>
              <w:tc>
                <w:tcPr>
                  <w:tcW w:w="719" w:type="pct"/>
                  <w:tcBorders>
                    <w:tl2br w:val="nil"/>
                    <w:tr2bl w:val="nil"/>
                  </w:tcBorders>
                  <w:vAlign w:val="center"/>
                </w:tcPr>
                <w:p w14:paraId="026337BB">
                  <w:pPr>
                    <w:pStyle w:val="107"/>
                    <w:rPr>
                      <w:b/>
                      <w:bCs/>
                    </w:rPr>
                  </w:pPr>
                  <w:r>
                    <w:rPr>
                      <w:b/>
                      <w:bCs/>
                    </w:rPr>
                    <w:t>评价标准</w:t>
                  </w:r>
                </w:p>
                <w:p w14:paraId="059DC984">
                  <w:pPr>
                    <w:pStyle w:val="107"/>
                    <w:rPr>
                      <w:b/>
                      <w:bCs/>
                    </w:rPr>
                  </w:pPr>
                  <w:r>
                    <w:rPr>
                      <w:b/>
                      <w:bCs/>
                    </w:rPr>
                    <w:t>（μg/m</w:t>
                  </w:r>
                  <w:r>
                    <w:rPr>
                      <w:b/>
                      <w:bCs/>
                      <w:vertAlign w:val="superscript"/>
                    </w:rPr>
                    <w:t>3</w:t>
                  </w:r>
                  <w:r>
                    <w:rPr>
                      <w:b/>
                      <w:bCs/>
                    </w:rPr>
                    <w:t>）</w:t>
                  </w:r>
                </w:p>
              </w:tc>
              <w:tc>
                <w:tcPr>
                  <w:tcW w:w="625" w:type="pct"/>
                  <w:tcBorders>
                    <w:tl2br w:val="nil"/>
                    <w:tr2bl w:val="nil"/>
                  </w:tcBorders>
                  <w:vAlign w:val="center"/>
                </w:tcPr>
                <w:p w14:paraId="24E317BB">
                  <w:pPr>
                    <w:pStyle w:val="107"/>
                    <w:rPr>
                      <w:b/>
                      <w:bCs/>
                    </w:rPr>
                  </w:pPr>
                  <w:r>
                    <w:rPr>
                      <w:b/>
                      <w:bCs/>
                    </w:rPr>
                    <w:t>现状浓度</w:t>
                  </w:r>
                </w:p>
                <w:p w14:paraId="19E0AA2F">
                  <w:pPr>
                    <w:pStyle w:val="107"/>
                    <w:rPr>
                      <w:b/>
                      <w:bCs/>
                    </w:rPr>
                  </w:pPr>
                  <w:r>
                    <w:rPr>
                      <w:b/>
                      <w:bCs/>
                    </w:rPr>
                    <w:t>（μg/m</w:t>
                  </w:r>
                  <w:r>
                    <w:rPr>
                      <w:b/>
                      <w:bCs/>
                      <w:vertAlign w:val="superscript"/>
                    </w:rPr>
                    <w:t>3</w:t>
                  </w:r>
                  <w:r>
                    <w:rPr>
                      <w:b/>
                      <w:bCs/>
                    </w:rPr>
                    <w:t>）</w:t>
                  </w:r>
                </w:p>
              </w:tc>
              <w:tc>
                <w:tcPr>
                  <w:tcW w:w="491" w:type="pct"/>
                  <w:tcBorders>
                    <w:tl2br w:val="nil"/>
                    <w:tr2bl w:val="nil"/>
                  </w:tcBorders>
                </w:tcPr>
                <w:p w14:paraId="15E2A0C2">
                  <w:pPr>
                    <w:autoSpaceDE w:val="0"/>
                    <w:autoSpaceDN w:val="0"/>
                    <w:snapToGrid w:val="0"/>
                    <w:jc w:val="center"/>
                    <w:rPr>
                      <w:b/>
                      <w:bCs/>
                    </w:rPr>
                  </w:pPr>
                  <w:r>
                    <w:rPr>
                      <w:rFonts w:hint="eastAsia"/>
                      <w:b/>
                      <w:bCs/>
                      <w:lang w:val="zh-CN"/>
                    </w:rPr>
                    <w:t>占标率/%</w:t>
                  </w:r>
                </w:p>
              </w:tc>
              <w:tc>
                <w:tcPr>
                  <w:tcW w:w="566" w:type="pct"/>
                  <w:tcBorders>
                    <w:tl2br w:val="nil"/>
                    <w:tr2bl w:val="nil"/>
                  </w:tcBorders>
                  <w:vAlign w:val="center"/>
                </w:tcPr>
                <w:p w14:paraId="19B80873">
                  <w:pPr>
                    <w:pStyle w:val="107"/>
                    <w:rPr>
                      <w:b/>
                      <w:bCs/>
                    </w:rPr>
                  </w:pPr>
                  <w:r>
                    <w:rPr>
                      <w:b/>
                      <w:bCs/>
                    </w:rPr>
                    <w:t>达标情况</w:t>
                  </w:r>
                </w:p>
              </w:tc>
            </w:tr>
            <w:tr w14:paraId="3E2FF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8" w:type="pct"/>
                  <w:tcBorders>
                    <w:tl2br w:val="nil"/>
                    <w:tr2bl w:val="nil"/>
                  </w:tcBorders>
                  <w:vAlign w:val="center"/>
                </w:tcPr>
                <w:p w14:paraId="6CFDAB10">
                  <w:pPr>
                    <w:pStyle w:val="107"/>
                  </w:pPr>
                  <w:r>
                    <w:t>二氧化硫SO</w:t>
                  </w:r>
                  <w:r>
                    <w:rPr>
                      <w:vertAlign w:val="subscript"/>
                    </w:rPr>
                    <w:t>2</w:t>
                  </w:r>
                </w:p>
              </w:tc>
              <w:tc>
                <w:tcPr>
                  <w:tcW w:w="1468" w:type="pct"/>
                  <w:tcBorders>
                    <w:tl2br w:val="nil"/>
                    <w:tr2bl w:val="nil"/>
                  </w:tcBorders>
                  <w:vAlign w:val="center"/>
                </w:tcPr>
                <w:p w14:paraId="3073DE14">
                  <w:pPr>
                    <w:pStyle w:val="107"/>
                  </w:pPr>
                  <w:r>
                    <w:t>年平均</w:t>
                  </w:r>
                </w:p>
              </w:tc>
              <w:tc>
                <w:tcPr>
                  <w:tcW w:w="719" w:type="pct"/>
                  <w:tcBorders>
                    <w:tl2br w:val="nil"/>
                    <w:tr2bl w:val="nil"/>
                  </w:tcBorders>
                  <w:vAlign w:val="center"/>
                </w:tcPr>
                <w:p w14:paraId="6F3F7D73">
                  <w:pPr>
                    <w:pStyle w:val="107"/>
                  </w:pPr>
                  <w:r>
                    <w:t>60</w:t>
                  </w:r>
                </w:p>
              </w:tc>
              <w:tc>
                <w:tcPr>
                  <w:tcW w:w="625" w:type="pct"/>
                  <w:tcBorders>
                    <w:tl2br w:val="nil"/>
                    <w:tr2bl w:val="nil"/>
                  </w:tcBorders>
                </w:tcPr>
                <w:p w14:paraId="22E7674A">
                  <w:pPr>
                    <w:pStyle w:val="107"/>
                  </w:pPr>
                  <w:r>
                    <w:rPr>
                      <w:rFonts w:hint="eastAsia"/>
                    </w:rPr>
                    <w:t>6</w:t>
                  </w:r>
                </w:p>
              </w:tc>
              <w:tc>
                <w:tcPr>
                  <w:tcW w:w="491" w:type="pct"/>
                  <w:tcBorders>
                    <w:tl2br w:val="nil"/>
                    <w:tr2bl w:val="nil"/>
                  </w:tcBorders>
                </w:tcPr>
                <w:p w14:paraId="5CE2FFCC">
                  <w:pPr>
                    <w:pStyle w:val="107"/>
                  </w:pPr>
                  <w:r>
                    <w:rPr>
                      <w:rFonts w:hint="eastAsia"/>
                    </w:rPr>
                    <w:t>10</w:t>
                  </w:r>
                </w:p>
              </w:tc>
              <w:tc>
                <w:tcPr>
                  <w:tcW w:w="566" w:type="pct"/>
                  <w:tcBorders>
                    <w:tl2br w:val="nil"/>
                    <w:tr2bl w:val="nil"/>
                  </w:tcBorders>
                  <w:vAlign w:val="center"/>
                </w:tcPr>
                <w:p w14:paraId="0D45737B">
                  <w:pPr>
                    <w:pStyle w:val="107"/>
                  </w:pPr>
                  <w:r>
                    <w:t>达标</w:t>
                  </w:r>
                </w:p>
              </w:tc>
            </w:tr>
            <w:tr w14:paraId="708E1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8" w:type="pct"/>
                  <w:tcBorders>
                    <w:tl2br w:val="nil"/>
                    <w:tr2bl w:val="nil"/>
                  </w:tcBorders>
                  <w:vAlign w:val="center"/>
                </w:tcPr>
                <w:p w14:paraId="72F94A13">
                  <w:pPr>
                    <w:pStyle w:val="107"/>
                  </w:pPr>
                  <w:r>
                    <w:t>二氧化氮NO</w:t>
                  </w:r>
                  <w:r>
                    <w:rPr>
                      <w:vertAlign w:val="subscript"/>
                    </w:rPr>
                    <w:t>2</w:t>
                  </w:r>
                </w:p>
              </w:tc>
              <w:tc>
                <w:tcPr>
                  <w:tcW w:w="1468" w:type="pct"/>
                  <w:tcBorders>
                    <w:tl2br w:val="nil"/>
                    <w:tr2bl w:val="nil"/>
                  </w:tcBorders>
                  <w:vAlign w:val="center"/>
                </w:tcPr>
                <w:p w14:paraId="55E14D42">
                  <w:pPr>
                    <w:pStyle w:val="107"/>
                  </w:pPr>
                  <w:r>
                    <w:t>年平均</w:t>
                  </w:r>
                </w:p>
              </w:tc>
              <w:tc>
                <w:tcPr>
                  <w:tcW w:w="719" w:type="pct"/>
                  <w:tcBorders>
                    <w:tl2br w:val="nil"/>
                    <w:tr2bl w:val="nil"/>
                  </w:tcBorders>
                  <w:vAlign w:val="center"/>
                </w:tcPr>
                <w:p w14:paraId="6AF5B26A">
                  <w:pPr>
                    <w:pStyle w:val="107"/>
                  </w:pPr>
                  <w:r>
                    <w:t>40</w:t>
                  </w:r>
                </w:p>
              </w:tc>
              <w:tc>
                <w:tcPr>
                  <w:tcW w:w="625" w:type="pct"/>
                  <w:tcBorders>
                    <w:tl2br w:val="nil"/>
                    <w:tr2bl w:val="nil"/>
                  </w:tcBorders>
                  <w:vAlign w:val="center"/>
                </w:tcPr>
                <w:p w14:paraId="5A56E8CA">
                  <w:pPr>
                    <w:pStyle w:val="107"/>
                    <w:rPr>
                      <w:rFonts w:eastAsia="仿宋"/>
                    </w:rPr>
                  </w:pPr>
                  <w:r>
                    <w:rPr>
                      <w:rFonts w:hint="eastAsia"/>
                    </w:rPr>
                    <w:t>27</w:t>
                  </w:r>
                </w:p>
              </w:tc>
              <w:tc>
                <w:tcPr>
                  <w:tcW w:w="491" w:type="pct"/>
                  <w:tcBorders>
                    <w:tl2br w:val="nil"/>
                    <w:tr2bl w:val="nil"/>
                  </w:tcBorders>
                  <w:vAlign w:val="center"/>
                </w:tcPr>
                <w:p w14:paraId="0C1F6C15">
                  <w:pPr>
                    <w:pStyle w:val="107"/>
                  </w:pPr>
                  <w:r>
                    <w:rPr>
                      <w:rFonts w:hint="eastAsia"/>
                    </w:rPr>
                    <w:t>67.5</w:t>
                  </w:r>
                </w:p>
              </w:tc>
              <w:tc>
                <w:tcPr>
                  <w:tcW w:w="566" w:type="pct"/>
                  <w:tcBorders>
                    <w:tl2br w:val="nil"/>
                    <w:tr2bl w:val="nil"/>
                  </w:tcBorders>
                  <w:vAlign w:val="center"/>
                </w:tcPr>
                <w:p w14:paraId="749F8AB8">
                  <w:pPr>
                    <w:pStyle w:val="107"/>
                  </w:pPr>
                  <w:r>
                    <w:t>达标</w:t>
                  </w:r>
                </w:p>
              </w:tc>
            </w:tr>
            <w:tr w14:paraId="31A349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95" w:hRule="atLeast"/>
                <w:jc w:val="center"/>
              </w:trPr>
              <w:tc>
                <w:tcPr>
                  <w:tcW w:w="1128" w:type="pct"/>
                  <w:tcBorders>
                    <w:tl2br w:val="nil"/>
                    <w:tr2bl w:val="nil"/>
                  </w:tcBorders>
                  <w:vAlign w:val="center"/>
                </w:tcPr>
                <w:p w14:paraId="060D7AAB">
                  <w:pPr>
                    <w:pStyle w:val="107"/>
                  </w:pPr>
                  <w:r>
                    <w:t>可吸入颗粒物PM</w:t>
                  </w:r>
                  <w:r>
                    <w:rPr>
                      <w:vertAlign w:val="subscript"/>
                    </w:rPr>
                    <w:t>10</w:t>
                  </w:r>
                </w:p>
              </w:tc>
              <w:tc>
                <w:tcPr>
                  <w:tcW w:w="1468" w:type="pct"/>
                  <w:tcBorders>
                    <w:tl2br w:val="nil"/>
                    <w:tr2bl w:val="nil"/>
                  </w:tcBorders>
                  <w:vAlign w:val="center"/>
                </w:tcPr>
                <w:p w14:paraId="7AA3A7DC">
                  <w:pPr>
                    <w:pStyle w:val="107"/>
                  </w:pPr>
                  <w:r>
                    <w:t>年平均</w:t>
                  </w:r>
                </w:p>
              </w:tc>
              <w:tc>
                <w:tcPr>
                  <w:tcW w:w="719" w:type="pct"/>
                  <w:tcBorders>
                    <w:tl2br w:val="nil"/>
                    <w:tr2bl w:val="nil"/>
                  </w:tcBorders>
                  <w:vAlign w:val="center"/>
                </w:tcPr>
                <w:p w14:paraId="5D1DDE13">
                  <w:pPr>
                    <w:pStyle w:val="107"/>
                  </w:pPr>
                  <w:r>
                    <w:t>70</w:t>
                  </w:r>
                </w:p>
              </w:tc>
              <w:tc>
                <w:tcPr>
                  <w:tcW w:w="625" w:type="pct"/>
                  <w:tcBorders>
                    <w:tl2br w:val="nil"/>
                    <w:tr2bl w:val="nil"/>
                  </w:tcBorders>
                  <w:vAlign w:val="center"/>
                </w:tcPr>
                <w:p w14:paraId="073EE774">
                  <w:pPr>
                    <w:pStyle w:val="107"/>
                  </w:pPr>
                  <w:r>
                    <w:rPr>
                      <w:rFonts w:hint="eastAsia"/>
                    </w:rPr>
                    <w:t>74</w:t>
                  </w:r>
                </w:p>
              </w:tc>
              <w:tc>
                <w:tcPr>
                  <w:tcW w:w="491" w:type="pct"/>
                  <w:tcBorders>
                    <w:tl2br w:val="nil"/>
                    <w:tr2bl w:val="nil"/>
                  </w:tcBorders>
                  <w:vAlign w:val="center"/>
                </w:tcPr>
                <w:p w14:paraId="5451C24E">
                  <w:pPr>
                    <w:pStyle w:val="107"/>
                  </w:pPr>
                  <w:r>
                    <w:rPr>
                      <w:rFonts w:hint="eastAsia"/>
                    </w:rPr>
                    <w:t>105</w:t>
                  </w:r>
                </w:p>
              </w:tc>
              <w:tc>
                <w:tcPr>
                  <w:tcW w:w="566" w:type="pct"/>
                  <w:tcBorders>
                    <w:tl2br w:val="nil"/>
                    <w:tr2bl w:val="nil"/>
                  </w:tcBorders>
                  <w:vAlign w:val="center"/>
                </w:tcPr>
                <w:p w14:paraId="332814C3">
                  <w:pPr>
                    <w:pStyle w:val="107"/>
                  </w:pPr>
                  <w:r>
                    <w:rPr>
                      <w:rFonts w:hint="eastAsia"/>
                    </w:rPr>
                    <w:t>不</w:t>
                  </w:r>
                  <w:r>
                    <w:t>达标</w:t>
                  </w:r>
                </w:p>
              </w:tc>
            </w:tr>
            <w:tr w14:paraId="66BFF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8" w:type="pct"/>
                  <w:tcBorders>
                    <w:tl2br w:val="nil"/>
                    <w:tr2bl w:val="nil"/>
                  </w:tcBorders>
                  <w:vAlign w:val="center"/>
                </w:tcPr>
                <w:p w14:paraId="326E441F">
                  <w:pPr>
                    <w:pStyle w:val="107"/>
                  </w:pPr>
                  <w:r>
                    <w:t>细颗粒物PM</w:t>
                  </w:r>
                  <w:r>
                    <w:rPr>
                      <w:vertAlign w:val="subscript"/>
                    </w:rPr>
                    <w:t>2.5</w:t>
                  </w:r>
                </w:p>
              </w:tc>
              <w:tc>
                <w:tcPr>
                  <w:tcW w:w="1468" w:type="pct"/>
                  <w:tcBorders>
                    <w:tl2br w:val="nil"/>
                    <w:tr2bl w:val="nil"/>
                  </w:tcBorders>
                  <w:vAlign w:val="center"/>
                </w:tcPr>
                <w:p w14:paraId="5E23FB7A">
                  <w:pPr>
                    <w:pStyle w:val="107"/>
                  </w:pPr>
                  <w:r>
                    <w:t>年平均</w:t>
                  </w:r>
                </w:p>
              </w:tc>
              <w:tc>
                <w:tcPr>
                  <w:tcW w:w="719" w:type="pct"/>
                  <w:tcBorders>
                    <w:tl2br w:val="nil"/>
                    <w:tr2bl w:val="nil"/>
                  </w:tcBorders>
                  <w:vAlign w:val="center"/>
                </w:tcPr>
                <w:p w14:paraId="572E73D9">
                  <w:pPr>
                    <w:pStyle w:val="107"/>
                  </w:pPr>
                  <w:r>
                    <w:t>35</w:t>
                  </w:r>
                </w:p>
              </w:tc>
              <w:tc>
                <w:tcPr>
                  <w:tcW w:w="625" w:type="pct"/>
                  <w:tcBorders>
                    <w:tl2br w:val="nil"/>
                    <w:tr2bl w:val="nil"/>
                  </w:tcBorders>
                  <w:vAlign w:val="center"/>
                </w:tcPr>
                <w:p w14:paraId="3AB605B2">
                  <w:pPr>
                    <w:pStyle w:val="107"/>
                  </w:pPr>
                  <w:r>
                    <w:rPr>
                      <w:rFonts w:hint="eastAsia"/>
                    </w:rPr>
                    <w:t>39</w:t>
                  </w:r>
                </w:p>
              </w:tc>
              <w:tc>
                <w:tcPr>
                  <w:tcW w:w="491" w:type="pct"/>
                  <w:tcBorders>
                    <w:tl2br w:val="nil"/>
                    <w:tr2bl w:val="nil"/>
                  </w:tcBorders>
                  <w:vAlign w:val="center"/>
                </w:tcPr>
                <w:p w14:paraId="3F043A1E">
                  <w:pPr>
                    <w:pStyle w:val="107"/>
                  </w:pPr>
                  <w:r>
                    <w:rPr>
                      <w:rFonts w:hint="eastAsia"/>
                    </w:rPr>
                    <w:t>111</w:t>
                  </w:r>
                </w:p>
              </w:tc>
              <w:tc>
                <w:tcPr>
                  <w:tcW w:w="566" w:type="pct"/>
                  <w:tcBorders>
                    <w:tl2br w:val="nil"/>
                    <w:tr2bl w:val="nil"/>
                  </w:tcBorders>
                  <w:vAlign w:val="center"/>
                </w:tcPr>
                <w:p w14:paraId="53371545">
                  <w:pPr>
                    <w:pStyle w:val="107"/>
                  </w:pPr>
                  <w:r>
                    <w:rPr>
                      <w:rFonts w:hint="eastAsia"/>
                    </w:rPr>
                    <w:t>不达</w:t>
                  </w:r>
                  <w:r>
                    <w:t>标</w:t>
                  </w:r>
                </w:p>
              </w:tc>
            </w:tr>
            <w:tr w14:paraId="6A22C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8" w:type="pct"/>
                  <w:tcBorders>
                    <w:tl2br w:val="nil"/>
                    <w:tr2bl w:val="nil"/>
                  </w:tcBorders>
                  <w:vAlign w:val="center"/>
                </w:tcPr>
                <w:p w14:paraId="40A2347F">
                  <w:pPr>
                    <w:pStyle w:val="107"/>
                  </w:pPr>
                  <w:r>
                    <w:t>一氧化碳CO</w:t>
                  </w:r>
                </w:p>
              </w:tc>
              <w:tc>
                <w:tcPr>
                  <w:tcW w:w="1468" w:type="pct"/>
                  <w:tcBorders>
                    <w:tl2br w:val="nil"/>
                    <w:tr2bl w:val="nil"/>
                  </w:tcBorders>
                  <w:vAlign w:val="center"/>
                </w:tcPr>
                <w:p w14:paraId="478FE6CB">
                  <w:pPr>
                    <w:pStyle w:val="107"/>
                  </w:pPr>
                  <w:r>
                    <w:t>24h平均第95百分位数</w:t>
                  </w:r>
                </w:p>
              </w:tc>
              <w:tc>
                <w:tcPr>
                  <w:tcW w:w="719" w:type="pct"/>
                  <w:tcBorders>
                    <w:tl2br w:val="nil"/>
                    <w:tr2bl w:val="nil"/>
                  </w:tcBorders>
                  <w:vAlign w:val="center"/>
                </w:tcPr>
                <w:p w14:paraId="74BFBB31">
                  <w:pPr>
                    <w:pStyle w:val="107"/>
                  </w:pPr>
                  <w:r>
                    <w:t>4</w:t>
                  </w:r>
                  <w:r>
                    <w:rPr>
                      <w:rFonts w:hint="eastAsia"/>
                    </w:rPr>
                    <w:t>000</w:t>
                  </w:r>
                </w:p>
              </w:tc>
              <w:tc>
                <w:tcPr>
                  <w:tcW w:w="625" w:type="pct"/>
                  <w:tcBorders>
                    <w:tl2br w:val="nil"/>
                    <w:tr2bl w:val="nil"/>
                  </w:tcBorders>
                  <w:vAlign w:val="center"/>
                </w:tcPr>
                <w:p w14:paraId="4EAD4C65">
                  <w:pPr>
                    <w:pStyle w:val="107"/>
                  </w:pPr>
                  <w:r>
                    <w:rPr>
                      <w:rFonts w:hint="eastAsia"/>
                    </w:rPr>
                    <w:t>1700</w:t>
                  </w:r>
                </w:p>
              </w:tc>
              <w:tc>
                <w:tcPr>
                  <w:tcW w:w="491" w:type="pct"/>
                  <w:tcBorders>
                    <w:tl2br w:val="nil"/>
                    <w:tr2bl w:val="nil"/>
                  </w:tcBorders>
                  <w:vAlign w:val="center"/>
                </w:tcPr>
                <w:p w14:paraId="4F3778EE">
                  <w:pPr>
                    <w:pStyle w:val="107"/>
                  </w:pPr>
                  <w:r>
                    <w:rPr>
                      <w:rFonts w:hint="eastAsia"/>
                    </w:rPr>
                    <w:t>12</w:t>
                  </w:r>
                </w:p>
              </w:tc>
              <w:tc>
                <w:tcPr>
                  <w:tcW w:w="566" w:type="pct"/>
                  <w:tcBorders>
                    <w:tl2br w:val="nil"/>
                    <w:tr2bl w:val="nil"/>
                  </w:tcBorders>
                  <w:vAlign w:val="center"/>
                </w:tcPr>
                <w:p w14:paraId="2B5E23CF">
                  <w:pPr>
                    <w:pStyle w:val="107"/>
                  </w:pPr>
                  <w:r>
                    <w:t>达标</w:t>
                  </w:r>
                </w:p>
              </w:tc>
            </w:tr>
            <w:tr w14:paraId="25FCB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8" w:type="pct"/>
                  <w:tcBorders>
                    <w:tl2br w:val="nil"/>
                    <w:tr2bl w:val="nil"/>
                  </w:tcBorders>
                  <w:vAlign w:val="center"/>
                </w:tcPr>
                <w:p w14:paraId="0AD6BF0D">
                  <w:pPr>
                    <w:pStyle w:val="107"/>
                  </w:pPr>
                  <w:r>
                    <w:t>臭氧O</w:t>
                  </w:r>
                  <w:r>
                    <w:rPr>
                      <w:vertAlign w:val="subscript"/>
                    </w:rPr>
                    <w:t>3</w:t>
                  </w:r>
                </w:p>
              </w:tc>
              <w:tc>
                <w:tcPr>
                  <w:tcW w:w="1468" w:type="pct"/>
                  <w:tcBorders>
                    <w:tl2br w:val="nil"/>
                    <w:tr2bl w:val="nil"/>
                  </w:tcBorders>
                  <w:vAlign w:val="center"/>
                </w:tcPr>
                <w:p w14:paraId="67533390">
                  <w:pPr>
                    <w:pStyle w:val="107"/>
                  </w:pPr>
                  <w:r>
                    <w:t>日最大8h平均值的第90百分位数</w:t>
                  </w:r>
                </w:p>
              </w:tc>
              <w:tc>
                <w:tcPr>
                  <w:tcW w:w="719" w:type="pct"/>
                  <w:tcBorders>
                    <w:tl2br w:val="nil"/>
                    <w:tr2bl w:val="nil"/>
                  </w:tcBorders>
                  <w:vAlign w:val="center"/>
                </w:tcPr>
                <w:p w14:paraId="1941AC80">
                  <w:pPr>
                    <w:pStyle w:val="107"/>
                  </w:pPr>
                  <w:r>
                    <w:t>160</w:t>
                  </w:r>
                </w:p>
              </w:tc>
              <w:tc>
                <w:tcPr>
                  <w:tcW w:w="625" w:type="pct"/>
                  <w:tcBorders>
                    <w:tl2br w:val="nil"/>
                    <w:tr2bl w:val="nil"/>
                  </w:tcBorders>
                  <w:vAlign w:val="center"/>
                </w:tcPr>
                <w:p w14:paraId="453297EA">
                  <w:pPr>
                    <w:pStyle w:val="107"/>
                  </w:pPr>
                  <w:r>
                    <w:rPr>
                      <w:rFonts w:hint="eastAsia"/>
                    </w:rPr>
                    <w:t>123</w:t>
                  </w:r>
                </w:p>
              </w:tc>
              <w:tc>
                <w:tcPr>
                  <w:tcW w:w="491" w:type="pct"/>
                  <w:tcBorders>
                    <w:tl2br w:val="nil"/>
                    <w:tr2bl w:val="nil"/>
                  </w:tcBorders>
                  <w:vAlign w:val="center"/>
                </w:tcPr>
                <w:p w14:paraId="6FF34E3E">
                  <w:pPr>
                    <w:pStyle w:val="107"/>
                  </w:pPr>
                  <w:r>
                    <w:rPr>
                      <w:rFonts w:hint="eastAsia"/>
                    </w:rPr>
                    <w:t>76.8</w:t>
                  </w:r>
                </w:p>
              </w:tc>
              <w:tc>
                <w:tcPr>
                  <w:tcW w:w="566" w:type="pct"/>
                  <w:tcBorders>
                    <w:tl2br w:val="nil"/>
                    <w:tr2bl w:val="nil"/>
                  </w:tcBorders>
                  <w:vAlign w:val="center"/>
                </w:tcPr>
                <w:p w14:paraId="4DA6D2F0">
                  <w:pPr>
                    <w:pStyle w:val="107"/>
                  </w:pPr>
                  <w:r>
                    <w:t>达标</w:t>
                  </w:r>
                </w:p>
              </w:tc>
            </w:tr>
          </w:tbl>
          <w:p w14:paraId="35181136">
            <w:pPr>
              <w:spacing w:line="360" w:lineRule="auto"/>
              <w:ind w:firstLine="420" w:firstLineChars="200"/>
            </w:pPr>
            <w:r>
              <w:rPr>
                <w:rFonts w:hint="eastAsia"/>
              </w:rPr>
              <w:t>（2）</w:t>
            </w:r>
            <w:r>
              <w:t>根据</w:t>
            </w:r>
            <w:r>
              <w:rPr>
                <w:rFonts w:hint="eastAsia"/>
              </w:rPr>
              <w:t>《</w:t>
            </w:r>
            <w:r>
              <w:t>环境空气质量标准》（</w:t>
            </w:r>
            <w:r>
              <w:rPr>
                <w:rFonts w:hint="eastAsia"/>
              </w:rPr>
              <w:t xml:space="preserve">GB </w:t>
            </w:r>
            <w:r>
              <w:t>3095</w:t>
            </w:r>
            <w:r>
              <w:rPr>
                <w:rFonts w:hint="eastAsia"/>
              </w:rPr>
              <w:t>-</w:t>
            </w:r>
            <w:r>
              <w:t>2012）二级标准，</w:t>
            </w:r>
            <w:bookmarkStart w:id="1" w:name="_Hlk534364146"/>
            <w:bookmarkStart w:id="2" w:name="_Hlk534364089"/>
            <w:r>
              <w:rPr>
                <w:rFonts w:hint="eastAsia"/>
              </w:rPr>
              <w:t>2021年期间</w:t>
            </w:r>
            <w:r>
              <w:t>奎屯市是不达标区</w:t>
            </w:r>
            <w:r>
              <w:rPr>
                <w:rFonts w:hint="eastAsia"/>
              </w:rPr>
              <w:t>，项目所在区域SO</w:t>
            </w:r>
            <w:r>
              <w:rPr>
                <w:rFonts w:hint="eastAsia"/>
                <w:vertAlign w:val="subscript"/>
              </w:rPr>
              <w:t>2</w:t>
            </w:r>
            <w:r>
              <w:rPr>
                <w:rFonts w:hint="eastAsia"/>
              </w:rPr>
              <w:t>、NO</w:t>
            </w:r>
            <w:r>
              <w:rPr>
                <w:rFonts w:hint="eastAsia"/>
                <w:vertAlign w:val="subscript"/>
              </w:rPr>
              <w:t>2</w:t>
            </w:r>
            <w:r>
              <w:rPr>
                <w:rFonts w:hint="eastAsia"/>
              </w:rPr>
              <w:t>、CO和O</w:t>
            </w:r>
            <w:r>
              <w:rPr>
                <w:rFonts w:hint="eastAsia"/>
                <w:vertAlign w:val="subscript"/>
              </w:rPr>
              <w:t>3</w:t>
            </w:r>
            <w:r>
              <w:rPr>
                <w:rFonts w:hint="eastAsia"/>
              </w:rPr>
              <w:t>等四项污染物达标，PM</w:t>
            </w:r>
            <w:r>
              <w:rPr>
                <w:rFonts w:hint="eastAsia"/>
                <w:vertAlign w:val="subscript"/>
              </w:rPr>
              <w:t>10</w:t>
            </w:r>
            <w:r>
              <w:rPr>
                <w:rFonts w:hint="eastAsia"/>
              </w:rPr>
              <w:t>和PM</w:t>
            </w:r>
            <w:r>
              <w:rPr>
                <w:rFonts w:hint="eastAsia"/>
                <w:vertAlign w:val="subscript"/>
              </w:rPr>
              <w:t>2.5</w:t>
            </w:r>
            <w:r>
              <w:rPr>
                <w:rFonts w:hint="eastAsia"/>
              </w:rPr>
              <w:t>在2021年均不达标</w:t>
            </w:r>
            <w:bookmarkEnd w:id="1"/>
            <w:r>
              <w:rPr>
                <w:rFonts w:hint="eastAsia"/>
              </w:rPr>
              <w:t>。</w:t>
            </w:r>
            <w:bookmarkEnd w:id="2"/>
            <w:r>
              <w:t>项目所在</w:t>
            </w:r>
            <w:r>
              <w:rPr>
                <w:rFonts w:hint="eastAsia"/>
              </w:rPr>
              <w:t>区域</w:t>
            </w:r>
            <w:r>
              <w:t>属于</w:t>
            </w:r>
            <w:r>
              <w:rPr>
                <w:rFonts w:hint="eastAsia"/>
              </w:rPr>
              <w:t>不</w:t>
            </w:r>
            <w:r>
              <w:t>达标区。</w:t>
            </w:r>
          </w:p>
          <w:p w14:paraId="67866D28">
            <w:pPr>
              <w:widowControl/>
              <w:spacing w:line="360" w:lineRule="auto"/>
              <w:ind w:left="420" w:leftChars="200"/>
              <w:jc w:val="left"/>
            </w:pPr>
            <w:r>
              <w:rPr>
                <w:rFonts w:hint="eastAsia"/>
              </w:rPr>
              <w:t>（3）特征污染物监测</w:t>
            </w:r>
          </w:p>
          <w:p w14:paraId="4FFDE3E7">
            <w:pPr>
              <w:spacing w:line="360" w:lineRule="auto"/>
              <w:ind w:firstLine="420" w:firstLineChars="200"/>
            </w:pPr>
            <w:r>
              <w:rPr>
                <w:rFonts w:hint="eastAsia"/>
              </w:rPr>
              <w:t>本项目总悬浮颗粒物、苯并芘和非甲烷总烃由新疆天辰环境技术有限公</w:t>
            </w:r>
            <w:r>
              <w:t>司于202</w:t>
            </w:r>
            <w:r>
              <w:rPr>
                <w:rFonts w:hint="eastAsia"/>
              </w:rPr>
              <w:t>2</w:t>
            </w:r>
            <w:r>
              <w:t>年</w:t>
            </w:r>
            <w:r>
              <w:rPr>
                <w:rFonts w:hint="eastAsia"/>
              </w:rPr>
              <w:t>3</w:t>
            </w:r>
            <w:r>
              <w:t>月</w:t>
            </w:r>
            <w:r>
              <w:rPr>
                <w:rFonts w:hint="eastAsia"/>
              </w:rPr>
              <w:t>29</w:t>
            </w:r>
            <w:r>
              <w:t>日--</w:t>
            </w:r>
            <w:r>
              <w:rPr>
                <w:rFonts w:hint="eastAsia"/>
              </w:rPr>
              <w:t>3</w:t>
            </w:r>
            <w:r>
              <w:t>月</w:t>
            </w:r>
            <w:r>
              <w:rPr>
                <w:rFonts w:hint="eastAsia"/>
              </w:rPr>
              <w:t>31</w:t>
            </w:r>
            <w:r>
              <w:t>日对项目区进行的监测，</w:t>
            </w:r>
            <w:r>
              <w:rPr>
                <w:rFonts w:hint="eastAsia"/>
              </w:rPr>
              <w:t>监测点位位于当季主导风向下风向，设置一个监测点位，</w:t>
            </w:r>
            <w:r>
              <w:t>监测结果详见表3-2</w:t>
            </w:r>
            <w:r>
              <w:rPr>
                <w:rFonts w:hint="eastAsia"/>
              </w:rPr>
              <w:t>、3-3、3.4</w:t>
            </w:r>
            <w:r>
              <w:t>。</w:t>
            </w:r>
          </w:p>
          <w:p w14:paraId="5C029157">
            <w:pPr>
              <w:spacing w:line="360" w:lineRule="auto"/>
              <w:jc w:val="center"/>
              <w:rPr>
                <w:b/>
                <w:kern w:val="0"/>
              </w:rPr>
            </w:pPr>
            <w:r>
              <w:rPr>
                <w:b/>
                <w:kern w:val="0"/>
              </w:rPr>
              <w:t>表</w:t>
            </w:r>
            <w:r>
              <w:rPr>
                <w:rFonts w:hint="eastAsia"/>
                <w:b/>
                <w:kern w:val="0"/>
              </w:rPr>
              <w:t xml:space="preserve">3-2  </w:t>
            </w:r>
            <w:r>
              <w:rPr>
                <w:b/>
                <w:kern w:val="0"/>
              </w:rPr>
              <w:t>项目环境现状检测数据一览表</w:t>
            </w:r>
            <w:r>
              <w:rPr>
                <w:rFonts w:hint="eastAsia"/>
                <w:b/>
                <w:kern w:val="0"/>
              </w:rPr>
              <w:t>（1）</w:t>
            </w:r>
          </w:p>
          <w:tbl>
            <w:tblPr>
              <w:tblStyle w:val="31"/>
              <w:tblW w:w="79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1214"/>
              <w:gridCol w:w="1760"/>
              <w:gridCol w:w="1159"/>
              <w:gridCol w:w="1609"/>
              <w:gridCol w:w="719"/>
            </w:tblGrid>
            <w:tr w14:paraId="2D79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8" w:type="dxa"/>
                  <w:tcBorders>
                    <w:tl2br w:val="nil"/>
                    <w:tr2bl w:val="nil"/>
                  </w:tcBorders>
                  <w:vAlign w:val="center"/>
                </w:tcPr>
                <w:p w14:paraId="41330974">
                  <w:pPr>
                    <w:snapToGrid w:val="0"/>
                    <w:spacing w:line="360" w:lineRule="auto"/>
                    <w:jc w:val="center"/>
                    <w:rPr>
                      <w:b/>
                      <w:bCs/>
                    </w:rPr>
                  </w:pPr>
                  <w:r>
                    <w:rPr>
                      <w:rFonts w:hint="eastAsia"/>
                      <w:b/>
                      <w:bCs/>
                    </w:rPr>
                    <w:t>污染物</w:t>
                  </w:r>
                </w:p>
              </w:tc>
              <w:tc>
                <w:tcPr>
                  <w:tcW w:w="2974" w:type="dxa"/>
                  <w:gridSpan w:val="2"/>
                  <w:tcBorders>
                    <w:tl2br w:val="nil"/>
                    <w:tr2bl w:val="nil"/>
                  </w:tcBorders>
                  <w:vAlign w:val="center"/>
                </w:tcPr>
                <w:p w14:paraId="0B393B9E">
                  <w:pPr>
                    <w:snapToGrid w:val="0"/>
                    <w:spacing w:line="360" w:lineRule="auto"/>
                    <w:jc w:val="center"/>
                    <w:rPr>
                      <w:b/>
                      <w:bCs/>
                    </w:rPr>
                  </w:pPr>
                  <w:r>
                    <w:rPr>
                      <w:rFonts w:hint="eastAsia"/>
                    </w:rPr>
                    <w:t>非甲烷总烃</w:t>
                  </w:r>
                </w:p>
              </w:tc>
              <w:tc>
                <w:tcPr>
                  <w:tcW w:w="1159" w:type="dxa"/>
                  <w:tcBorders>
                    <w:tl2br w:val="nil"/>
                    <w:tr2bl w:val="nil"/>
                  </w:tcBorders>
                  <w:vAlign w:val="center"/>
                </w:tcPr>
                <w:p w14:paraId="52CADDB2">
                  <w:pPr>
                    <w:snapToGrid w:val="0"/>
                    <w:spacing w:line="360" w:lineRule="auto"/>
                    <w:jc w:val="center"/>
                    <w:rPr>
                      <w:b/>
                      <w:bCs/>
                    </w:rPr>
                  </w:pPr>
                  <w:r>
                    <w:rPr>
                      <w:rFonts w:hint="eastAsia"/>
                      <w:b/>
                      <w:bCs/>
                    </w:rPr>
                    <w:t>平均时间</w:t>
                  </w:r>
                </w:p>
              </w:tc>
              <w:tc>
                <w:tcPr>
                  <w:tcW w:w="2328" w:type="dxa"/>
                  <w:gridSpan w:val="2"/>
                  <w:tcBorders>
                    <w:tl2br w:val="nil"/>
                    <w:tr2bl w:val="nil"/>
                  </w:tcBorders>
                  <w:vAlign w:val="center"/>
                </w:tcPr>
                <w:p w14:paraId="72CE13CA">
                  <w:pPr>
                    <w:snapToGrid w:val="0"/>
                    <w:spacing w:line="360" w:lineRule="auto"/>
                    <w:jc w:val="center"/>
                    <w:rPr>
                      <w:b/>
                      <w:bCs/>
                    </w:rPr>
                  </w:pPr>
                  <w:r>
                    <w:t>1小时均值</w:t>
                  </w:r>
                </w:p>
              </w:tc>
            </w:tr>
            <w:tr w14:paraId="473F3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508" w:type="dxa"/>
                  <w:tcBorders>
                    <w:tl2br w:val="nil"/>
                    <w:tr2bl w:val="nil"/>
                  </w:tcBorders>
                  <w:vAlign w:val="center"/>
                </w:tcPr>
                <w:p w14:paraId="7452D3C6">
                  <w:pPr>
                    <w:snapToGrid w:val="0"/>
                    <w:spacing w:line="360" w:lineRule="auto"/>
                    <w:jc w:val="center"/>
                    <w:rPr>
                      <w:b/>
                      <w:bCs/>
                    </w:rPr>
                  </w:pPr>
                  <w:r>
                    <w:rPr>
                      <w:b/>
                      <w:bCs/>
                    </w:rPr>
                    <w:t>监测点位</w:t>
                  </w:r>
                </w:p>
              </w:tc>
              <w:tc>
                <w:tcPr>
                  <w:tcW w:w="1214" w:type="dxa"/>
                  <w:tcBorders>
                    <w:tl2br w:val="nil"/>
                    <w:tr2bl w:val="nil"/>
                  </w:tcBorders>
                  <w:vAlign w:val="center"/>
                </w:tcPr>
                <w:p w14:paraId="54DA084F">
                  <w:pPr>
                    <w:snapToGrid w:val="0"/>
                    <w:spacing w:line="360" w:lineRule="auto"/>
                    <w:jc w:val="center"/>
                    <w:rPr>
                      <w:b/>
                      <w:bCs/>
                    </w:rPr>
                  </w:pPr>
                  <w:r>
                    <w:rPr>
                      <w:b/>
                      <w:bCs/>
                    </w:rPr>
                    <w:t>监测</w:t>
                  </w:r>
                  <w:r>
                    <w:rPr>
                      <w:rFonts w:hint="eastAsia"/>
                      <w:b/>
                      <w:bCs/>
                    </w:rPr>
                    <w:t>日期</w:t>
                  </w:r>
                </w:p>
              </w:tc>
              <w:tc>
                <w:tcPr>
                  <w:tcW w:w="1760" w:type="dxa"/>
                  <w:tcBorders>
                    <w:tl2br w:val="nil"/>
                    <w:tr2bl w:val="nil"/>
                  </w:tcBorders>
                  <w:vAlign w:val="center"/>
                </w:tcPr>
                <w:p w14:paraId="2996E815">
                  <w:pPr>
                    <w:snapToGrid w:val="0"/>
                    <w:spacing w:line="360" w:lineRule="auto"/>
                    <w:jc w:val="center"/>
                    <w:rPr>
                      <w:b/>
                      <w:bCs/>
                    </w:rPr>
                  </w:pPr>
                  <w:r>
                    <w:rPr>
                      <w:rFonts w:hint="eastAsia"/>
                      <w:b/>
                      <w:bCs/>
                    </w:rPr>
                    <w:t>采样时间</w:t>
                  </w:r>
                </w:p>
              </w:tc>
              <w:tc>
                <w:tcPr>
                  <w:tcW w:w="1159" w:type="dxa"/>
                  <w:tcBorders>
                    <w:tl2br w:val="nil"/>
                    <w:tr2bl w:val="nil"/>
                  </w:tcBorders>
                  <w:vAlign w:val="center"/>
                </w:tcPr>
                <w:p w14:paraId="760996B5">
                  <w:pPr>
                    <w:snapToGrid w:val="0"/>
                    <w:spacing w:line="360" w:lineRule="auto"/>
                    <w:jc w:val="center"/>
                    <w:rPr>
                      <w:b/>
                      <w:bCs/>
                    </w:rPr>
                  </w:pPr>
                  <w:r>
                    <w:rPr>
                      <w:b/>
                      <w:bCs/>
                    </w:rPr>
                    <w:t>评价标准</w:t>
                  </w:r>
                </w:p>
              </w:tc>
              <w:tc>
                <w:tcPr>
                  <w:tcW w:w="1609" w:type="dxa"/>
                  <w:tcBorders>
                    <w:tl2br w:val="nil"/>
                    <w:tr2bl w:val="nil"/>
                  </w:tcBorders>
                  <w:vAlign w:val="center"/>
                </w:tcPr>
                <w:p w14:paraId="243D8578">
                  <w:pPr>
                    <w:snapToGrid w:val="0"/>
                    <w:spacing w:line="360" w:lineRule="auto"/>
                    <w:jc w:val="center"/>
                    <w:rPr>
                      <w:b/>
                      <w:bCs/>
                    </w:rPr>
                  </w:pPr>
                  <w:r>
                    <w:rPr>
                      <w:b/>
                      <w:bCs/>
                    </w:rPr>
                    <w:t>测值浓度范围</w:t>
                  </w:r>
                </w:p>
              </w:tc>
              <w:tc>
                <w:tcPr>
                  <w:tcW w:w="719" w:type="dxa"/>
                  <w:tcBorders>
                    <w:tl2br w:val="nil"/>
                    <w:tr2bl w:val="nil"/>
                  </w:tcBorders>
                  <w:vAlign w:val="center"/>
                </w:tcPr>
                <w:p w14:paraId="22B76FEA">
                  <w:pPr>
                    <w:snapToGrid w:val="0"/>
                    <w:spacing w:line="360" w:lineRule="auto"/>
                    <w:jc w:val="center"/>
                    <w:rPr>
                      <w:b/>
                      <w:bCs/>
                    </w:rPr>
                  </w:pPr>
                  <w:r>
                    <w:rPr>
                      <w:b/>
                      <w:bCs/>
                    </w:rPr>
                    <w:t>达标情况</w:t>
                  </w:r>
                </w:p>
              </w:tc>
            </w:tr>
            <w:tr w14:paraId="469C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508" w:type="dxa"/>
                  <w:vMerge w:val="restart"/>
                  <w:tcBorders>
                    <w:tl2br w:val="nil"/>
                    <w:tr2bl w:val="nil"/>
                  </w:tcBorders>
                  <w:vAlign w:val="center"/>
                </w:tcPr>
                <w:p w14:paraId="62F839DC">
                  <w:pPr>
                    <w:snapToGrid w:val="0"/>
                    <w:spacing w:line="360" w:lineRule="auto"/>
                    <w:jc w:val="center"/>
                  </w:pPr>
                  <w:r>
                    <w:t>拟建项目厂区下风向0.5km处N44°38'1.51"</w:t>
                  </w:r>
                </w:p>
                <w:p w14:paraId="170DE391">
                  <w:pPr>
                    <w:snapToGrid w:val="0"/>
                    <w:spacing w:line="360" w:lineRule="auto"/>
                    <w:jc w:val="center"/>
                  </w:pPr>
                  <w:r>
                    <w:t>E84°53′26.93"</w:t>
                  </w:r>
                </w:p>
              </w:tc>
              <w:tc>
                <w:tcPr>
                  <w:tcW w:w="1214" w:type="dxa"/>
                  <w:vMerge w:val="restart"/>
                  <w:tcBorders>
                    <w:tl2br w:val="nil"/>
                    <w:tr2bl w:val="nil"/>
                  </w:tcBorders>
                  <w:vAlign w:val="center"/>
                </w:tcPr>
                <w:p w14:paraId="5FDA0DBF">
                  <w:pPr>
                    <w:snapToGrid w:val="0"/>
                    <w:spacing w:line="360" w:lineRule="auto"/>
                    <w:jc w:val="center"/>
                  </w:pPr>
                  <w:r>
                    <w:t>202</w:t>
                  </w:r>
                  <w:r>
                    <w:rPr>
                      <w:rFonts w:hint="eastAsia"/>
                    </w:rPr>
                    <w:t>2.3.28-2022.3.29</w:t>
                  </w:r>
                </w:p>
              </w:tc>
              <w:tc>
                <w:tcPr>
                  <w:tcW w:w="1760" w:type="dxa"/>
                  <w:tcBorders>
                    <w:tl2br w:val="nil"/>
                    <w:tr2bl w:val="nil"/>
                  </w:tcBorders>
                  <w:vAlign w:val="center"/>
                </w:tcPr>
                <w:p w14:paraId="3996BE20">
                  <w:pPr>
                    <w:snapToGrid w:val="0"/>
                    <w:spacing w:line="360" w:lineRule="auto"/>
                    <w:jc w:val="center"/>
                  </w:pPr>
                  <w:r>
                    <w:rPr>
                      <w:rFonts w:hint="eastAsia"/>
                    </w:rPr>
                    <w:t>14:03</w:t>
                  </w:r>
                </w:p>
              </w:tc>
              <w:tc>
                <w:tcPr>
                  <w:tcW w:w="1159" w:type="dxa"/>
                  <w:vMerge w:val="restart"/>
                  <w:tcBorders>
                    <w:tl2br w:val="nil"/>
                    <w:tr2bl w:val="nil"/>
                  </w:tcBorders>
                  <w:vAlign w:val="center"/>
                </w:tcPr>
                <w:p w14:paraId="03D2D5C2">
                  <w:pPr>
                    <w:snapToGrid w:val="0"/>
                    <w:spacing w:line="360" w:lineRule="auto"/>
                    <w:jc w:val="center"/>
                  </w:pPr>
                  <w:r>
                    <w:t>2.0mg/m</w:t>
                  </w:r>
                  <w:r>
                    <w:rPr>
                      <w:vertAlign w:val="superscript"/>
                    </w:rPr>
                    <w:t>3</w:t>
                  </w:r>
                </w:p>
              </w:tc>
              <w:tc>
                <w:tcPr>
                  <w:tcW w:w="1609" w:type="dxa"/>
                  <w:tcBorders>
                    <w:tl2br w:val="nil"/>
                    <w:tr2bl w:val="nil"/>
                  </w:tcBorders>
                  <w:vAlign w:val="center"/>
                </w:tcPr>
                <w:p w14:paraId="5DD9C616">
                  <w:pPr>
                    <w:snapToGrid w:val="0"/>
                    <w:spacing w:line="360" w:lineRule="auto"/>
                    <w:jc w:val="center"/>
                  </w:pPr>
                  <w:r>
                    <w:t>0.</w:t>
                  </w:r>
                  <w:r>
                    <w:rPr>
                      <w:rFonts w:hint="eastAsia"/>
                    </w:rPr>
                    <w:t>63</w:t>
                  </w:r>
                  <w:r>
                    <w:t>mg/m</w:t>
                  </w:r>
                  <w:r>
                    <w:rPr>
                      <w:vertAlign w:val="superscript"/>
                    </w:rPr>
                    <w:t>3</w:t>
                  </w:r>
                </w:p>
              </w:tc>
              <w:tc>
                <w:tcPr>
                  <w:tcW w:w="719" w:type="dxa"/>
                  <w:tcBorders>
                    <w:tl2br w:val="nil"/>
                    <w:tr2bl w:val="nil"/>
                  </w:tcBorders>
                  <w:vAlign w:val="center"/>
                </w:tcPr>
                <w:p w14:paraId="40F221EE">
                  <w:pPr>
                    <w:snapToGrid w:val="0"/>
                    <w:spacing w:line="360" w:lineRule="auto"/>
                    <w:jc w:val="center"/>
                  </w:pPr>
                  <w:r>
                    <w:t>达标</w:t>
                  </w:r>
                </w:p>
              </w:tc>
            </w:tr>
            <w:tr w14:paraId="6CA3C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508" w:type="dxa"/>
                  <w:vMerge w:val="continue"/>
                  <w:tcBorders>
                    <w:tl2br w:val="nil"/>
                    <w:tr2bl w:val="nil"/>
                  </w:tcBorders>
                  <w:vAlign w:val="center"/>
                </w:tcPr>
                <w:p w14:paraId="447BE246">
                  <w:pPr>
                    <w:snapToGrid w:val="0"/>
                    <w:spacing w:line="360" w:lineRule="auto"/>
                    <w:jc w:val="center"/>
                  </w:pPr>
                </w:p>
              </w:tc>
              <w:tc>
                <w:tcPr>
                  <w:tcW w:w="1214" w:type="dxa"/>
                  <w:vMerge w:val="continue"/>
                  <w:tcBorders>
                    <w:tl2br w:val="nil"/>
                    <w:tr2bl w:val="nil"/>
                  </w:tcBorders>
                  <w:vAlign w:val="center"/>
                </w:tcPr>
                <w:p w14:paraId="443DB403">
                  <w:pPr>
                    <w:snapToGrid w:val="0"/>
                    <w:spacing w:line="360" w:lineRule="auto"/>
                    <w:jc w:val="center"/>
                  </w:pPr>
                </w:p>
              </w:tc>
              <w:tc>
                <w:tcPr>
                  <w:tcW w:w="1760" w:type="dxa"/>
                  <w:tcBorders>
                    <w:tl2br w:val="nil"/>
                    <w:tr2bl w:val="nil"/>
                  </w:tcBorders>
                  <w:vAlign w:val="center"/>
                </w:tcPr>
                <w:p w14:paraId="03CDC759">
                  <w:pPr>
                    <w:snapToGrid w:val="0"/>
                    <w:spacing w:line="360" w:lineRule="auto"/>
                    <w:jc w:val="center"/>
                  </w:pPr>
                  <w:r>
                    <w:rPr>
                      <w:rFonts w:hint="eastAsia"/>
                    </w:rPr>
                    <w:t>20:06</w:t>
                  </w:r>
                </w:p>
              </w:tc>
              <w:tc>
                <w:tcPr>
                  <w:tcW w:w="1159" w:type="dxa"/>
                  <w:vMerge w:val="continue"/>
                  <w:tcBorders>
                    <w:tl2br w:val="nil"/>
                    <w:tr2bl w:val="nil"/>
                  </w:tcBorders>
                  <w:vAlign w:val="center"/>
                </w:tcPr>
                <w:p w14:paraId="0942361E">
                  <w:pPr>
                    <w:snapToGrid w:val="0"/>
                    <w:spacing w:line="360" w:lineRule="auto"/>
                    <w:jc w:val="center"/>
                  </w:pPr>
                </w:p>
              </w:tc>
              <w:tc>
                <w:tcPr>
                  <w:tcW w:w="1609" w:type="dxa"/>
                  <w:tcBorders>
                    <w:tl2br w:val="nil"/>
                    <w:tr2bl w:val="nil"/>
                  </w:tcBorders>
                  <w:vAlign w:val="center"/>
                </w:tcPr>
                <w:p w14:paraId="378E44B6">
                  <w:pPr>
                    <w:snapToGrid w:val="0"/>
                    <w:spacing w:line="360" w:lineRule="auto"/>
                    <w:jc w:val="center"/>
                  </w:pPr>
                  <w:r>
                    <w:rPr>
                      <w:rFonts w:hint="eastAsia"/>
                    </w:rPr>
                    <w:t>0.60</w:t>
                  </w:r>
                </w:p>
              </w:tc>
              <w:tc>
                <w:tcPr>
                  <w:tcW w:w="719" w:type="dxa"/>
                  <w:tcBorders>
                    <w:tl2br w:val="nil"/>
                    <w:tr2bl w:val="nil"/>
                  </w:tcBorders>
                  <w:vAlign w:val="center"/>
                </w:tcPr>
                <w:p w14:paraId="465D8D82">
                  <w:pPr>
                    <w:snapToGrid w:val="0"/>
                    <w:spacing w:line="360" w:lineRule="auto"/>
                    <w:jc w:val="center"/>
                  </w:pPr>
                  <w:r>
                    <w:t>达标</w:t>
                  </w:r>
                </w:p>
              </w:tc>
            </w:tr>
            <w:tr w14:paraId="6C51F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508" w:type="dxa"/>
                  <w:vMerge w:val="continue"/>
                  <w:tcBorders>
                    <w:tl2br w:val="nil"/>
                    <w:tr2bl w:val="nil"/>
                  </w:tcBorders>
                  <w:vAlign w:val="center"/>
                </w:tcPr>
                <w:p w14:paraId="00C810A0">
                  <w:pPr>
                    <w:snapToGrid w:val="0"/>
                    <w:spacing w:line="360" w:lineRule="auto"/>
                    <w:jc w:val="center"/>
                  </w:pPr>
                </w:p>
              </w:tc>
              <w:tc>
                <w:tcPr>
                  <w:tcW w:w="1214" w:type="dxa"/>
                  <w:vMerge w:val="continue"/>
                  <w:tcBorders>
                    <w:tl2br w:val="nil"/>
                    <w:tr2bl w:val="nil"/>
                  </w:tcBorders>
                  <w:vAlign w:val="center"/>
                </w:tcPr>
                <w:p w14:paraId="092177EC">
                  <w:pPr>
                    <w:snapToGrid w:val="0"/>
                    <w:spacing w:line="360" w:lineRule="auto"/>
                    <w:jc w:val="center"/>
                  </w:pPr>
                </w:p>
              </w:tc>
              <w:tc>
                <w:tcPr>
                  <w:tcW w:w="1760" w:type="dxa"/>
                  <w:tcBorders>
                    <w:tl2br w:val="nil"/>
                    <w:tr2bl w:val="nil"/>
                  </w:tcBorders>
                  <w:vAlign w:val="center"/>
                </w:tcPr>
                <w:p w14:paraId="77A1160C">
                  <w:pPr>
                    <w:snapToGrid w:val="0"/>
                    <w:spacing w:line="360" w:lineRule="auto"/>
                    <w:jc w:val="center"/>
                  </w:pPr>
                  <w:r>
                    <w:rPr>
                      <w:rFonts w:hint="eastAsia"/>
                    </w:rPr>
                    <w:t>02:04</w:t>
                  </w:r>
                </w:p>
              </w:tc>
              <w:tc>
                <w:tcPr>
                  <w:tcW w:w="1159" w:type="dxa"/>
                  <w:vMerge w:val="continue"/>
                  <w:tcBorders>
                    <w:tl2br w:val="nil"/>
                    <w:tr2bl w:val="nil"/>
                  </w:tcBorders>
                  <w:vAlign w:val="center"/>
                </w:tcPr>
                <w:p w14:paraId="31AFC822">
                  <w:pPr>
                    <w:snapToGrid w:val="0"/>
                    <w:spacing w:line="360" w:lineRule="auto"/>
                    <w:jc w:val="center"/>
                  </w:pPr>
                </w:p>
              </w:tc>
              <w:tc>
                <w:tcPr>
                  <w:tcW w:w="1609" w:type="dxa"/>
                  <w:tcBorders>
                    <w:tl2br w:val="nil"/>
                    <w:tr2bl w:val="nil"/>
                  </w:tcBorders>
                  <w:vAlign w:val="center"/>
                </w:tcPr>
                <w:p w14:paraId="5CDE8772">
                  <w:pPr>
                    <w:snapToGrid w:val="0"/>
                    <w:spacing w:line="360" w:lineRule="auto"/>
                    <w:jc w:val="center"/>
                  </w:pPr>
                  <w:r>
                    <w:rPr>
                      <w:rFonts w:hint="eastAsia"/>
                    </w:rPr>
                    <w:t>0.64</w:t>
                  </w:r>
                </w:p>
              </w:tc>
              <w:tc>
                <w:tcPr>
                  <w:tcW w:w="719" w:type="dxa"/>
                  <w:tcBorders>
                    <w:tl2br w:val="nil"/>
                    <w:tr2bl w:val="nil"/>
                  </w:tcBorders>
                  <w:vAlign w:val="center"/>
                </w:tcPr>
                <w:p w14:paraId="541C9715">
                  <w:pPr>
                    <w:snapToGrid w:val="0"/>
                    <w:spacing w:line="360" w:lineRule="auto"/>
                    <w:jc w:val="center"/>
                  </w:pPr>
                  <w:r>
                    <w:t>达标</w:t>
                  </w:r>
                </w:p>
              </w:tc>
            </w:tr>
            <w:tr w14:paraId="49B39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508" w:type="dxa"/>
                  <w:vMerge w:val="continue"/>
                  <w:tcBorders>
                    <w:tl2br w:val="nil"/>
                    <w:tr2bl w:val="nil"/>
                  </w:tcBorders>
                  <w:vAlign w:val="center"/>
                </w:tcPr>
                <w:p w14:paraId="0B38AFE3">
                  <w:pPr>
                    <w:snapToGrid w:val="0"/>
                    <w:spacing w:line="360" w:lineRule="auto"/>
                    <w:jc w:val="center"/>
                  </w:pPr>
                </w:p>
              </w:tc>
              <w:tc>
                <w:tcPr>
                  <w:tcW w:w="1214" w:type="dxa"/>
                  <w:vMerge w:val="continue"/>
                  <w:tcBorders>
                    <w:tl2br w:val="nil"/>
                    <w:tr2bl w:val="nil"/>
                  </w:tcBorders>
                  <w:vAlign w:val="center"/>
                </w:tcPr>
                <w:p w14:paraId="22434799">
                  <w:pPr>
                    <w:snapToGrid w:val="0"/>
                    <w:spacing w:line="360" w:lineRule="auto"/>
                    <w:jc w:val="center"/>
                  </w:pPr>
                </w:p>
              </w:tc>
              <w:tc>
                <w:tcPr>
                  <w:tcW w:w="1760" w:type="dxa"/>
                  <w:tcBorders>
                    <w:tl2br w:val="nil"/>
                    <w:tr2bl w:val="nil"/>
                  </w:tcBorders>
                  <w:vAlign w:val="center"/>
                </w:tcPr>
                <w:p w14:paraId="1EB9D4D8">
                  <w:pPr>
                    <w:snapToGrid w:val="0"/>
                    <w:spacing w:line="360" w:lineRule="auto"/>
                    <w:jc w:val="center"/>
                  </w:pPr>
                  <w:r>
                    <w:rPr>
                      <w:rFonts w:hint="eastAsia"/>
                    </w:rPr>
                    <w:t>08:07</w:t>
                  </w:r>
                </w:p>
              </w:tc>
              <w:tc>
                <w:tcPr>
                  <w:tcW w:w="1159" w:type="dxa"/>
                  <w:vMerge w:val="continue"/>
                  <w:tcBorders>
                    <w:tl2br w:val="nil"/>
                    <w:tr2bl w:val="nil"/>
                  </w:tcBorders>
                  <w:vAlign w:val="center"/>
                </w:tcPr>
                <w:p w14:paraId="52EDF184">
                  <w:pPr>
                    <w:snapToGrid w:val="0"/>
                    <w:spacing w:line="360" w:lineRule="auto"/>
                    <w:jc w:val="center"/>
                  </w:pPr>
                </w:p>
              </w:tc>
              <w:tc>
                <w:tcPr>
                  <w:tcW w:w="1609" w:type="dxa"/>
                  <w:tcBorders>
                    <w:tl2br w:val="nil"/>
                    <w:tr2bl w:val="nil"/>
                  </w:tcBorders>
                  <w:vAlign w:val="center"/>
                </w:tcPr>
                <w:p w14:paraId="72B09ED2">
                  <w:pPr>
                    <w:snapToGrid w:val="0"/>
                    <w:spacing w:line="360" w:lineRule="auto"/>
                    <w:jc w:val="center"/>
                  </w:pPr>
                  <w:r>
                    <w:rPr>
                      <w:rFonts w:hint="eastAsia"/>
                    </w:rPr>
                    <w:t>0.63</w:t>
                  </w:r>
                </w:p>
              </w:tc>
              <w:tc>
                <w:tcPr>
                  <w:tcW w:w="719" w:type="dxa"/>
                  <w:tcBorders>
                    <w:tl2br w:val="nil"/>
                    <w:tr2bl w:val="nil"/>
                  </w:tcBorders>
                  <w:vAlign w:val="center"/>
                </w:tcPr>
                <w:p w14:paraId="736ABF73">
                  <w:pPr>
                    <w:snapToGrid w:val="0"/>
                    <w:spacing w:line="360" w:lineRule="auto"/>
                    <w:jc w:val="center"/>
                  </w:pPr>
                  <w:r>
                    <w:t>达标</w:t>
                  </w:r>
                </w:p>
              </w:tc>
            </w:tr>
            <w:tr w14:paraId="48F7F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508" w:type="dxa"/>
                  <w:vMerge w:val="continue"/>
                  <w:tcBorders>
                    <w:tl2br w:val="nil"/>
                    <w:tr2bl w:val="nil"/>
                  </w:tcBorders>
                  <w:vAlign w:val="center"/>
                </w:tcPr>
                <w:p w14:paraId="70ACA16B">
                  <w:pPr>
                    <w:snapToGrid w:val="0"/>
                    <w:spacing w:line="360" w:lineRule="auto"/>
                    <w:jc w:val="center"/>
                  </w:pPr>
                </w:p>
              </w:tc>
              <w:tc>
                <w:tcPr>
                  <w:tcW w:w="1214" w:type="dxa"/>
                  <w:vMerge w:val="restart"/>
                  <w:tcBorders>
                    <w:tl2br w:val="nil"/>
                    <w:tr2bl w:val="nil"/>
                  </w:tcBorders>
                  <w:vAlign w:val="center"/>
                </w:tcPr>
                <w:p w14:paraId="63C5BD45">
                  <w:pPr>
                    <w:snapToGrid w:val="0"/>
                    <w:spacing w:line="360" w:lineRule="auto"/>
                    <w:jc w:val="center"/>
                  </w:pPr>
                  <w:r>
                    <w:rPr>
                      <w:rFonts w:hint="eastAsia"/>
                    </w:rPr>
                    <w:t>2022.3.29-2022.3.30</w:t>
                  </w:r>
                </w:p>
              </w:tc>
              <w:tc>
                <w:tcPr>
                  <w:tcW w:w="1760" w:type="dxa"/>
                  <w:tcBorders>
                    <w:tl2br w:val="nil"/>
                    <w:tr2bl w:val="nil"/>
                  </w:tcBorders>
                  <w:vAlign w:val="center"/>
                </w:tcPr>
                <w:p w14:paraId="58D512FB">
                  <w:pPr>
                    <w:snapToGrid w:val="0"/>
                    <w:spacing w:line="360" w:lineRule="auto"/>
                    <w:jc w:val="center"/>
                  </w:pPr>
                  <w:r>
                    <w:rPr>
                      <w:rFonts w:hint="eastAsia"/>
                    </w:rPr>
                    <w:t>14:02</w:t>
                  </w:r>
                </w:p>
              </w:tc>
              <w:tc>
                <w:tcPr>
                  <w:tcW w:w="1159" w:type="dxa"/>
                  <w:vMerge w:val="continue"/>
                  <w:tcBorders>
                    <w:tl2br w:val="nil"/>
                    <w:tr2bl w:val="nil"/>
                  </w:tcBorders>
                  <w:vAlign w:val="center"/>
                </w:tcPr>
                <w:p w14:paraId="14047E5A">
                  <w:pPr>
                    <w:snapToGrid w:val="0"/>
                    <w:spacing w:line="360" w:lineRule="auto"/>
                    <w:jc w:val="center"/>
                  </w:pPr>
                </w:p>
              </w:tc>
              <w:tc>
                <w:tcPr>
                  <w:tcW w:w="1609" w:type="dxa"/>
                  <w:tcBorders>
                    <w:tl2br w:val="nil"/>
                    <w:tr2bl w:val="nil"/>
                  </w:tcBorders>
                  <w:vAlign w:val="center"/>
                </w:tcPr>
                <w:p w14:paraId="06596F8F">
                  <w:pPr>
                    <w:snapToGrid w:val="0"/>
                    <w:spacing w:line="360" w:lineRule="auto"/>
                    <w:jc w:val="center"/>
                  </w:pPr>
                  <w:r>
                    <w:rPr>
                      <w:rFonts w:hint="eastAsia"/>
                    </w:rPr>
                    <w:t>0.70</w:t>
                  </w:r>
                </w:p>
              </w:tc>
              <w:tc>
                <w:tcPr>
                  <w:tcW w:w="719" w:type="dxa"/>
                  <w:tcBorders>
                    <w:tl2br w:val="nil"/>
                    <w:tr2bl w:val="nil"/>
                  </w:tcBorders>
                  <w:vAlign w:val="center"/>
                </w:tcPr>
                <w:p w14:paraId="5960A818">
                  <w:pPr>
                    <w:snapToGrid w:val="0"/>
                    <w:spacing w:line="360" w:lineRule="auto"/>
                    <w:jc w:val="center"/>
                  </w:pPr>
                  <w:r>
                    <w:t>达标</w:t>
                  </w:r>
                </w:p>
              </w:tc>
            </w:tr>
            <w:tr w14:paraId="5C4B2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508" w:type="dxa"/>
                  <w:vMerge w:val="continue"/>
                  <w:tcBorders>
                    <w:tl2br w:val="nil"/>
                    <w:tr2bl w:val="nil"/>
                  </w:tcBorders>
                  <w:vAlign w:val="center"/>
                </w:tcPr>
                <w:p w14:paraId="1979B7FA">
                  <w:pPr>
                    <w:snapToGrid w:val="0"/>
                    <w:spacing w:line="360" w:lineRule="auto"/>
                    <w:jc w:val="center"/>
                  </w:pPr>
                </w:p>
              </w:tc>
              <w:tc>
                <w:tcPr>
                  <w:tcW w:w="1214" w:type="dxa"/>
                  <w:vMerge w:val="continue"/>
                  <w:tcBorders>
                    <w:tl2br w:val="nil"/>
                    <w:tr2bl w:val="nil"/>
                  </w:tcBorders>
                  <w:vAlign w:val="center"/>
                </w:tcPr>
                <w:p w14:paraId="3A82BBA2">
                  <w:pPr>
                    <w:snapToGrid w:val="0"/>
                    <w:spacing w:line="360" w:lineRule="auto"/>
                    <w:jc w:val="center"/>
                  </w:pPr>
                </w:p>
              </w:tc>
              <w:tc>
                <w:tcPr>
                  <w:tcW w:w="1760" w:type="dxa"/>
                  <w:tcBorders>
                    <w:tl2br w:val="nil"/>
                    <w:tr2bl w:val="nil"/>
                  </w:tcBorders>
                  <w:vAlign w:val="center"/>
                </w:tcPr>
                <w:p w14:paraId="3C1457FE">
                  <w:pPr>
                    <w:snapToGrid w:val="0"/>
                    <w:spacing w:line="360" w:lineRule="auto"/>
                    <w:jc w:val="center"/>
                  </w:pPr>
                  <w:r>
                    <w:rPr>
                      <w:rFonts w:hint="eastAsia"/>
                    </w:rPr>
                    <w:t>20:04</w:t>
                  </w:r>
                </w:p>
              </w:tc>
              <w:tc>
                <w:tcPr>
                  <w:tcW w:w="1159" w:type="dxa"/>
                  <w:vMerge w:val="continue"/>
                  <w:tcBorders>
                    <w:tl2br w:val="nil"/>
                    <w:tr2bl w:val="nil"/>
                  </w:tcBorders>
                  <w:vAlign w:val="center"/>
                </w:tcPr>
                <w:p w14:paraId="7EC263EA">
                  <w:pPr>
                    <w:snapToGrid w:val="0"/>
                    <w:spacing w:line="360" w:lineRule="auto"/>
                    <w:jc w:val="center"/>
                  </w:pPr>
                </w:p>
              </w:tc>
              <w:tc>
                <w:tcPr>
                  <w:tcW w:w="1609" w:type="dxa"/>
                  <w:tcBorders>
                    <w:tl2br w:val="nil"/>
                    <w:tr2bl w:val="nil"/>
                  </w:tcBorders>
                  <w:vAlign w:val="center"/>
                </w:tcPr>
                <w:p w14:paraId="72D411A8">
                  <w:pPr>
                    <w:snapToGrid w:val="0"/>
                    <w:spacing w:line="360" w:lineRule="auto"/>
                    <w:jc w:val="center"/>
                  </w:pPr>
                  <w:r>
                    <w:rPr>
                      <w:rFonts w:hint="eastAsia"/>
                    </w:rPr>
                    <w:t>0.69</w:t>
                  </w:r>
                </w:p>
              </w:tc>
              <w:tc>
                <w:tcPr>
                  <w:tcW w:w="719" w:type="dxa"/>
                  <w:tcBorders>
                    <w:tl2br w:val="nil"/>
                    <w:tr2bl w:val="nil"/>
                  </w:tcBorders>
                  <w:vAlign w:val="center"/>
                </w:tcPr>
                <w:p w14:paraId="1D747C22">
                  <w:pPr>
                    <w:snapToGrid w:val="0"/>
                    <w:spacing w:line="360" w:lineRule="auto"/>
                    <w:jc w:val="center"/>
                  </w:pPr>
                  <w:r>
                    <w:t>达标</w:t>
                  </w:r>
                </w:p>
              </w:tc>
            </w:tr>
            <w:tr w14:paraId="526C5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508" w:type="dxa"/>
                  <w:vMerge w:val="continue"/>
                  <w:tcBorders>
                    <w:tl2br w:val="nil"/>
                    <w:tr2bl w:val="nil"/>
                  </w:tcBorders>
                  <w:vAlign w:val="center"/>
                </w:tcPr>
                <w:p w14:paraId="2F6E7416">
                  <w:pPr>
                    <w:snapToGrid w:val="0"/>
                    <w:spacing w:line="360" w:lineRule="auto"/>
                    <w:jc w:val="center"/>
                  </w:pPr>
                </w:p>
              </w:tc>
              <w:tc>
                <w:tcPr>
                  <w:tcW w:w="1214" w:type="dxa"/>
                  <w:vMerge w:val="continue"/>
                  <w:tcBorders>
                    <w:tl2br w:val="nil"/>
                    <w:tr2bl w:val="nil"/>
                  </w:tcBorders>
                  <w:vAlign w:val="center"/>
                </w:tcPr>
                <w:p w14:paraId="4CB7C19C">
                  <w:pPr>
                    <w:snapToGrid w:val="0"/>
                    <w:spacing w:line="360" w:lineRule="auto"/>
                    <w:jc w:val="center"/>
                  </w:pPr>
                </w:p>
              </w:tc>
              <w:tc>
                <w:tcPr>
                  <w:tcW w:w="1760" w:type="dxa"/>
                  <w:tcBorders>
                    <w:tl2br w:val="nil"/>
                    <w:tr2bl w:val="nil"/>
                  </w:tcBorders>
                  <w:vAlign w:val="center"/>
                </w:tcPr>
                <w:p w14:paraId="6D67D165">
                  <w:pPr>
                    <w:snapToGrid w:val="0"/>
                    <w:spacing w:line="360" w:lineRule="auto"/>
                    <w:jc w:val="center"/>
                  </w:pPr>
                  <w:r>
                    <w:rPr>
                      <w:rFonts w:hint="eastAsia"/>
                    </w:rPr>
                    <w:t>02:03</w:t>
                  </w:r>
                </w:p>
              </w:tc>
              <w:tc>
                <w:tcPr>
                  <w:tcW w:w="1159" w:type="dxa"/>
                  <w:vMerge w:val="continue"/>
                  <w:tcBorders>
                    <w:tl2br w:val="nil"/>
                    <w:tr2bl w:val="nil"/>
                  </w:tcBorders>
                  <w:vAlign w:val="center"/>
                </w:tcPr>
                <w:p w14:paraId="1EEB31E2">
                  <w:pPr>
                    <w:snapToGrid w:val="0"/>
                    <w:spacing w:line="360" w:lineRule="auto"/>
                    <w:jc w:val="center"/>
                  </w:pPr>
                </w:p>
              </w:tc>
              <w:tc>
                <w:tcPr>
                  <w:tcW w:w="1609" w:type="dxa"/>
                  <w:tcBorders>
                    <w:tl2br w:val="nil"/>
                    <w:tr2bl w:val="nil"/>
                  </w:tcBorders>
                  <w:vAlign w:val="center"/>
                </w:tcPr>
                <w:p w14:paraId="1361DA7E">
                  <w:pPr>
                    <w:snapToGrid w:val="0"/>
                    <w:spacing w:line="360" w:lineRule="auto"/>
                    <w:jc w:val="center"/>
                  </w:pPr>
                  <w:r>
                    <w:rPr>
                      <w:rFonts w:hint="eastAsia"/>
                    </w:rPr>
                    <w:t>0.68</w:t>
                  </w:r>
                </w:p>
              </w:tc>
              <w:tc>
                <w:tcPr>
                  <w:tcW w:w="719" w:type="dxa"/>
                  <w:tcBorders>
                    <w:tl2br w:val="nil"/>
                    <w:tr2bl w:val="nil"/>
                  </w:tcBorders>
                  <w:vAlign w:val="center"/>
                </w:tcPr>
                <w:p w14:paraId="77F22F9B">
                  <w:pPr>
                    <w:snapToGrid w:val="0"/>
                    <w:spacing w:line="360" w:lineRule="auto"/>
                    <w:jc w:val="center"/>
                  </w:pPr>
                  <w:r>
                    <w:t>达标</w:t>
                  </w:r>
                </w:p>
              </w:tc>
            </w:tr>
            <w:tr w14:paraId="535E2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508" w:type="dxa"/>
                  <w:vMerge w:val="continue"/>
                  <w:tcBorders>
                    <w:tl2br w:val="nil"/>
                    <w:tr2bl w:val="nil"/>
                  </w:tcBorders>
                  <w:vAlign w:val="center"/>
                </w:tcPr>
                <w:p w14:paraId="69AE2188">
                  <w:pPr>
                    <w:snapToGrid w:val="0"/>
                    <w:spacing w:line="360" w:lineRule="auto"/>
                    <w:jc w:val="center"/>
                  </w:pPr>
                </w:p>
              </w:tc>
              <w:tc>
                <w:tcPr>
                  <w:tcW w:w="1214" w:type="dxa"/>
                  <w:vMerge w:val="continue"/>
                  <w:tcBorders>
                    <w:tl2br w:val="nil"/>
                    <w:tr2bl w:val="nil"/>
                  </w:tcBorders>
                  <w:vAlign w:val="center"/>
                </w:tcPr>
                <w:p w14:paraId="401A5289">
                  <w:pPr>
                    <w:snapToGrid w:val="0"/>
                    <w:spacing w:line="360" w:lineRule="auto"/>
                    <w:jc w:val="center"/>
                  </w:pPr>
                </w:p>
              </w:tc>
              <w:tc>
                <w:tcPr>
                  <w:tcW w:w="1760" w:type="dxa"/>
                  <w:tcBorders>
                    <w:tl2br w:val="nil"/>
                    <w:tr2bl w:val="nil"/>
                  </w:tcBorders>
                  <w:vAlign w:val="center"/>
                </w:tcPr>
                <w:p w14:paraId="7E187438">
                  <w:pPr>
                    <w:snapToGrid w:val="0"/>
                    <w:spacing w:line="360" w:lineRule="auto"/>
                    <w:jc w:val="center"/>
                  </w:pPr>
                  <w:r>
                    <w:rPr>
                      <w:rFonts w:hint="eastAsia"/>
                    </w:rPr>
                    <w:t>08:07</w:t>
                  </w:r>
                </w:p>
              </w:tc>
              <w:tc>
                <w:tcPr>
                  <w:tcW w:w="1159" w:type="dxa"/>
                  <w:vMerge w:val="continue"/>
                  <w:tcBorders>
                    <w:tl2br w:val="nil"/>
                    <w:tr2bl w:val="nil"/>
                  </w:tcBorders>
                  <w:vAlign w:val="center"/>
                </w:tcPr>
                <w:p w14:paraId="2BC7A74D">
                  <w:pPr>
                    <w:snapToGrid w:val="0"/>
                    <w:spacing w:line="360" w:lineRule="auto"/>
                    <w:jc w:val="center"/>
                  </w:pPr>
                </w:p>
              </w:tc>
              <w:tc>
                <w:tcPr>
                  <w:tcW w:w="1609" w:type="dxa"/>
                  <w:tcBorders>
                    <w:tl2br w:val="nil"/>
                    <w:tr2bl w:val="nil"/>
                  </w:tcBorders>
                  <w:vAlign w:val="center"/>
                </w:tcPr>
                <w:p w14:paraId="0FCE2591">
                  <w:pPr>
                    <w:snapToGrid w:val="0"/>
                    <w:spacing w:line="360" w:lineRule="auto"/>
                    <w:jc w:val="center"/>
                  </w:pPr>
                  <w:r>
                    <w:rPr>
                      <w:rFonts w:hint="eastAsia"/>
                    </w:rPr>
                    <w:t>0.62</w:t>
                  </w:r>
                </w:p>
              </w:tc>
              <w:tc>
                <w:tcPr>
                  <w:tcW w:w="719" w:type="dxa"/>
                  <w:tcBorders>
                    <w:tl2br w:val="nil"/>
                    <w:tr2bl w:val="nil"/>
                  </w:tcBorders>
                  <w:vAlign w:val="center"/>
                </w:tcPr>
                <w:p w14:paraId="35482D81">
                  <w:pPr>
                    <w:snapToGrid w:val="0"/>
                    <w:spacing w:line="360" w:lineRule="auto"/>
                    <w:jc w:val="center"/>
                  </w:pPr>
                  <w:r>
                    <w:t>达标</w:t>
                  </w:r>
                </w:p>
              </w:tc>
            </w:tr>
            <w:tr w14:paraId="48D26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508" w:type="dxa"/>
                  <w:vMerge w:val="continue"/>
                  <w:tcBorders>
                    <w:tl2br w:val="nil"/>
                    <w:tr2bl w:val="nil"/>
                  </w:tcBorders>
                  <w:vAlign w:val="center"/>
                </w:tcPr>
                <w:p w14:paraId="7598F1BA">
                  <w:pPr>
                    <w:snapToGrid w:val="0"/>
                    <w:spacing w:line="360" w:lineRule="auto"/>
                    <w:jc w:val="center"/>
                  </w:pPr>
                </w:p>
              </w:tc>
              <w:tc>
                <w:tcPr>
                  <w:tcW w:w="1214" w:type="dxa"/>
                  <w:vMerge w:val="restart"/>
                  <w:tcBorders>
                    <w:tl2br w:val="nil"/>
                    <w:tr2bl w:val="nil"/>
                  </w:tcBorders>
                  <w:vAlign w:val="center"/>
                </w:tcPr>
                <w:p w14:paraId="730EA0A8">
                  <w:pPr>
                    <w:snapToGrid w:val="0"/>
                    <w:spacing w:line="360" w:lineRule="auto"/>
                    <w:jc w:val="center"/>
                  </w:pPr>
                  <w:r>
                    <w:rPr>
                      <w:rFonts w:hint="eastAsia"/>
                    </w:rPr>
                    <w:t>2022.3.30-2022.3.31</w:t>
                  </w:r>
                </w:p>
              </w:tc>
              <w:tc>
                <w:tcPr>
                  <w:tcW w:w="1760" w:type="dxa"/>
                  <w:tcBorders>
                    <w:tl2br w:val="nil"/>
                    <w:tr2bl w:val="nil"/>
                  </w:tcBorders>
                  <w:vAlign w:val="center"/>
                </w:tcPr>
                <w:p w14:paraId="1FDEA3E5">
                  <w:pPr>
                    <w:snapToGrid w:val="0"/>
                    <w:spacing w:line="360" w:lineRule="auto"/>
                    <w:jc w:val="center"/>
                  </w:pPr>
                  <w:r>
                    <w:rPr>
                      <w:rFonts w:hint="eastAsia"/>
                    </w:rPr>
                    <w:t>14:04</w:t>
                  </w:r>
                </w:p>
              </w:tc>
              <w:tc>
                <w:tcPr>
                  <w:tcW w:w="1159" w:type="dxa"/>
                  <w:vMerge w:val="continue"/>
                  <w:tcBorders>
                    <w:tl2br w:val="nil"/>
                    <w:tr2bl w:val="nil"/>
                  </w:tcBorders>
                  <w:vAlign w:val="center"/>
                </w:tcPr>
                <w:p w14:paraId="2C5FEF51">
                  <w:pPr>
                    <w:snapToGrid w:val="0"/>
                    <w:spacing w:line="360" w:lineRule="auto"/>
                    <w:jc w:val="center"/>
                  </w:pPr>
                </w:p>
              </w:tc>
              <w:tc>
                <w:tcPr>
                  <w:tcW w:w="1609" w:type="dxa"/>
                  <w:tcBorders>
                    <w:tl2br w:val="nil"/>
                    <w:tr2bl w:val="nil"/>
                  </w:tcBorders>
                  <w:vAlign w:val="center"/>
                </w:tcPr>
                <w:p w14:paraId="294120ED">
                  <w:pPr>
                    <w:snapToGrid w:val="0"/>
                    <w:spacing w:line="360" w:lineRule="auto"/>
                    <w:jc w:val="center"/>
                  </w:pPr>
                  <w:r>
                    <w:rPr>
                      <w:rFonts w:hint="eastAsia"/>
                    </w:rPr>
                    <w:t>0.64</w:t>
                  </w:r>
                </w:p>
              </w:tc>
              <w:tc>
                <w:tcPr>
                  <w:tcW w:w="719" w:type="dxa"/>
                  <w:tcBorders>
                    <w:tl2br w:val="nil"/>
                    <w:tr2bl w:val="nil"/>
                  </w:tcBorders>
                  <w:vAlign w:val="center"/>
                </w:tcPr>
                <w:p w14:paraId="3A6856D3">
                  <w:pPr>
                    <w:snapToGrid w:val="0"/>
                    <w:spacing w:line="360" w:lineRule="auto"/>
                    <w:jc w:val="center"/>
                  </w:pPr>
                  <w:r>
                    <w:t>达标</w:t>
                  </w:r>
                </w:p>
              </w:tc>
            </w:tr>
            <w:tr w14:paraId="65E22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508" w:type="dxa"/>
                  <w:vMerge w:val="continue"/>
                  <w:tcBorders>
                    <w:tl2br w:val="nil"/>
                    <w:tr2bl w:val="nil"/>
                  </w:tcBorders>
                  <w:vAlign w:val="center"/>
                </w:tcPr>
                <w:p w14:paraId="18AF36F0">
                  <w:pPr>
                    <w:snapToGrid w:val="0"/>
                    <w:spacing w:line="360" w:lineRule="auto"/>
                    <w:jc w:val="center"/>
                  </w:pPr>
                </w:p>
              </w:tc>
              <w:tc>
                <w:tcPr>
                  <w:tcW w:w="1214" w:type="dxa"/>
                  <w:vMerge w:val="continue"/>
                  <w:tcBorders>
                    <w:tl2br w:val="nil"/>
                    <w:tr2bl w:val="nil"/>
                  </w:tcBorders>
                  <w:vAlign w:val="center"/>
                </w:tcPr>
                <w:p w14:paraId="399E238C">
                  <w:pPr>
                    <w:snapToGrid w:val="0"/>
                    <w:spacing w:line="360" w:lineRule="auto"/>
                    <w:jc w:val="center"/>
                  </w:pPr>
                </w:p>
              </w:tc>
              <w:tc>
                <w:tcPr>
                  <w:tcW w:w="1760" w:type="dxa"/>
                  <w:tcBorders>
                    <w:tl2br w:val="nil"/>
                    <w:tr2bl w:val="nil"/>
                  </w:tcBorders>
                  <w:vAlign w:val="center"/>
                </w:tcPr>
                <w:p w14:paraId="202D5B77">
                  <w:pPr>
                    <w:snapToGrid w:val="0"/>
                    <w:spacing w:line="360" w:lineRule="auto"/>
                    <w:jc w:val="center"/>
                  </w:pPr>
                  <w:r>
                    <w:rPr>
                      <w:rFonts w:hint="eastAsia"/>
                    </w:rPr>
                    <w:t>20:06</w:t>
                  </w:r>
                </w:p>
              </w:tc>
              <w:tc>
                <w:tcPr>
                  <w:tcW w:w="1159" w:type="dxa"/>
                  <w:vMerge w:val="continue"/>
                  <w:tcBorders>
                    <w:tl2br w:val="nil"/>
                    <w:tr2bl w:val="nil"/>
                  </w:tcBorders>
                  <w:vAlign w:val="center"/>
                </w:tcPr>
                <w:p w14:paraId="6A6941CC">
                  <w:pPr>
                    <w:snapToGrid w:val="0"/>
                    <w:spacing w:line="360" w:lineRule="auto"/>
                    <w:jc w:val="center"/>
                  </w:pPr>
                </w:p>
              </w:tc>
              <w:tc>
                <w:tcPr>
                  <w:tcW w:w="1609" w:type="dxa"/>
                  <w:tcBorders>
                    <w:tl2br w:val="nil"/>
                    <w:tr2bl w:val="nil"/>
                  </w:tcBorders>
                  <w:vAlign w:val="center"/>
                </w:tcPr>
                <w:p w14:paraId="333C6EFC">
                  <w:pPr>
                    <w:snapToGrid w:val="0"/>
                    <w:spacing w:line="360" w:lineRule="auto"/>
                    <w:jc w:val="center"/>
                  </w:pPr>
                  <w:r>
                    <w:rPr>
                      <w:rFonts w:hint="eastAsia"/>
                    </w:rPr>
                    <w:t>0.62</w:t>
                  </w:r>
                </w:p>
              </w:tc>
              <w:tc>
                <w:tcPr>
                  <w:tcW w:w="719" w:type="dxa"/>
                  <w:tcBorders>
                    <w:tl2br w:val="nil"/>
                    <w:tr2bl w:val="nil"/>
                  </w:tcBorders>
                  <w:vAlign w:val="center"/>
                </w:tcPr>
                <w:p w14:paraId="2AD6655A">
                  <w:pPr>
                    <w:snapToGrid w:val="0"/>
                    <w:spacing w:line="360" w:lineRule="auto"/>
                    <w:jc w:val="center"/>
                  </w:pPr>
                  <w:r>
                    <w:t>达标</w:t>
                  </w:r>
                </w:p>
              </w:tc>
            </w:tr>
            <w:tr w14:paraId="0A1D0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508" w:type="dxa"/>
                  <w:vMerge w:val="continue"/>
                  <w:tcBorders>
                    <w:tl2br w:val="nil"/>
                    <w:tr2bl w:val="nil"/>
                  </w:tcBorders>
                  <w:vAlign w:val="center"/>
                </w:tcPr>
                <w:p w14:paraId="2F69288C">
                  <w:pPr>
                    <w:snapToGrid w:val="0"/>
                    <w:spacing w:line="360" w:lineRule="auto"/>
                    <w:jc w:val="center"/>
                  </w:pPr>
                </w:p>
              </w:tc>
              <w:tc>
                <w:tcPr>
                  <w:tcW w:w="1214" w:type="dxa"/>
                  <w:vMerge w:val="continue"/>
                  <w:tcBorders>
                    <w:tl2br w:val="nil"/>
                    <w:tr2bl w:val="nil"/>
                  </w:tcBorders>
                  <w:vAlign w:val="center"/>
                </w:tcPr>
                <w:p w14:paraId="5C1DE425">
                  <w:pPr>
                    <w:snapToGrid w:val="0"/>
                    <w:spacing w:line="360" w:lineRule="auto"/>
                    <w:jc w:val="center"/>
                  </w:pPr>
                </w:p>
              </w:tc>
              <w:tc>
                <w:tcPr>
                  <w:tcW w:w="1760" w:type="dxa"/>
                  <w:tcBorders>
                    <w:tl2br w:val="nil"/>
                    <w:tr2bl w:val="nil"/>
                  </w:tcBorders>
                  <w:vAlign w:val="center"/>
                </w:tcPr>
                <w:p w14:paraId="1C41C622">
                  <w:pPr>
                    <w:snapToGrid w:val="0"/>
                    <w:spacing w:line="360" w:lineRule="auto"/>
                    <w:jc w:val="center"/>
                  </w:pPr>
                  <w:r>
                    <w:rPr>
                      <w:rFonts w:hint="eastAsia"/>
                    </w:rPr>
                    <w:t>02:03</w:t>
                  </w:r>
                </w:p>
              </w:tc>
              <w:tc>
                <w:tcPr>
                  <w:tcW w:w="1159" w:type="dxa"/>
                  <w:vMerge w:val="continue"/>
                  <w:tcBorders>
                    <w:tl2br w:val="nil"/>
                    <w:tr2bl w:val="nil"/>
                  </w:tcBorders>
                  <w:vAlign w:val="center"/>
                </w:tcPr>
                <w:p w14:paraId="1D403780">
                  <w:pPr>
                    <w:snapToGrid w:val="0"/>
                    <w:spacing w:line="360" w:lineRule="auto"/>
                    <w:jc w:val="center"/>
                  </w:pPr>
                </w:p>
              </w:tc>
              <w:tc>
                <w:tcPr>
                  <w:tcW w:w="1609" w:type="dxa"/>
                  <w:tcBorders>
                    <w:tl2br w:val="nil"/>
                    <w:tr2bl w:val="nil"/>
                  </w:tcBorders>
                  <w:vAlign w:val="center"/>
                </w:tcPr>
                <w:p w14:paraId="052289AA">
                  <w:pPr>
                    <w:snapToGrid w:val="0"/>
                    <w:spacing w:line="360" w:lineRule="auto"/>
                    <w:jc w:val="center"/>
                  </w:pPr>
                  <w:r>
                    <w:rPr>
                      <w:rFonts w:hint="eastAsia"/>
                    </w:rPr>
                    <w:t>0.68</w:t>
                  </w:r>
                </w:p>
              </w:tc>
              <w:tc>
                <w:tcPr>
                  <w:tcW w:w="719" w:type="dxa"/>
                  <w:tcBorders>
                    <w:tl2br w:val="nil"/>
                    <w:tr2bl w:val="nil"/>
                  </w:tcBorders>
                  <w:vAlign w:val="center"/>
                </w:tcPr>
                <w:p w14:paraId="12820F63">
                  <w:pPr>
                    <w:snapToGrid w:val="0"/>
                    <w:spacing w:line="360" w:lineRule="auto"/>
                    <w:jc w:val="center"/>
                  </w:pPr>
                  <w:r>
                    <w:t>达标</w:t>
                  </w:r>
                </w:p>
              </w:tc>
            </w:tr>
            <w:tr w14:paraId="59B05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508" w:type="dxa"/>
                  <w:vMerge w:val="continue"/>
                  <w:tcBorders>
                    <w:tl2br w:val="nil"/>
                    <w:tr2bl w:val="nil"/>
                  </w:tcBorders>
                  <w:vAlign w:val="center"/>
                </w:tcPr>
                <w:p w14:paraId="60FF431A">
                  <w:pPr>
                    <w:snapToGrid w:val="0"/>
                    <w:spacing w:line="360" w:lineRule="auto"/>
                    <w:jc w:val="center"/>
                  </w:pPr>
                </w:p>
              </w:tc>
              <w:tc>
                <w:tcPr>
                  <w:tcW w:w="1214" w:type="dxa"/>
                  <w:vMerge w:val="continue"/>
                  <w:tcBorders>
                    <w:tl2br w:val="nil"/>
                    <w:tr2bl w:val="nil"/>
                  </w:tcBorders>
                  <w:vAlign w:val="center"/>
                </w:tcPr>
                <w:p w14:paraId="419BF5DE">
                  <w:pPr>
                    <w:snapToGrid w:val="0"/>
                    <w:spacing w:line="360" w:lineRule="auto"/>
                    <w:jc w:val="center"/>
                  </w:pPr>
                </w:p>
              </w:tc>
              <w:tc>
                <w:tcPr>
                  <w:tcW w:w="1760" w:type="dxa"/>
                  <w:tcBorders>
                    <w:tl2br w:val="nil"/>
                    <w:tr2bl w:val="nil"/>
                  </w:tcBorders>
                  <w:vAlign w:val="center"/>
                </w:tcPr>
                <w:p w14:paraId="585A90E4">
                  <w:pPr>
                    <w:snapToGrid w:val="0"/>
                    <w:spacing w:line="360" w:lineRule="auto"/>
                    <w:jc w:val="center"/>
                  </w:pPr>
                  <w:r>
                    <w:rPr>
                      <w:rFonts w:hint="eastAsia"/>
                    </w:rPr>
                    <w:t>08:05</w:t>
                  </w:r>
                </w:p>
              </w:tc>
              <w:tc>
                <w:tcPr>
                  <w:tcW w:w="1159" w:type="dxa"/>
                  <w:vMerge w:val="continue"/>
                  <w:tcBorders>
                    <w:tl2br w:val="nil"/>
                    <w:tr2bl w:val="nil"/>
                  </w:tcBorders>
                  <w:vAlign w:val="center"/>
                </w:tcPr>
                <w:p w14:paraId="20F56C6B">
                  <w:pPr>
                    <w:snapToGrid w:val="0"/>
                    <w:spacing w:line="360" w:lineRule="auto"/>
                    <w:jc w:val="center"/>
                  </w:pPr>
                </w:p>
              </w:tc>
              <w:tc>
                <w:tcPr>
                  <w:tcW w:w="1609" w:type="dxa"/>
                  <w:tcBorders>
                    <w:tl2br w:val="nil"/>
                    <w:tr2bl w:val="nil"/>
                  </w:tcBorders>
                  <w:vAlign w:val="center"/>
                </w:tcPr>
                <w:p w14:paraId="0FF03AB0">
                  <w:pPr>
                    <w:snapToGrid w:val="0"/>
                    <w:spacing w:line="360" w:lineRule="auto"/>
                    <w:jc w:val="center"/>
                  </w:pPr>
                  <w:r>
                    <w:rPr>
                      <w:rFonts w:hint="eastAsia"/>
                    </w:rPr>
                    <w:t>0.67</w:t>
                  </w:r>
                </w:p>
              </w:tc>
              <w:tc>
                <w:tcPr>
                  <w:tcW w:w="719" w:type="dxa"/>
                  <w:tcBorders>
                    <w:tl2br w:val="nil"/>
                    <w:tr2bl w:val="nil"/>
                  </w:tcBorders>
                  <w:vAlign w:val="center"/>
                </w:tcPr>
                <w:p w14:paraId="749F6DFF">
                  <w:pPr>
                    <w:snapToGrid w:val="0"/>
                    <w:spacing w:line="360" w:lineRule="auto"/>
                    <w:jc w:val="center"/>
                  </w:pPr>
                  <w:r>
                    <w:t>达标</w:t>
                  </w:r>
                </w:p>
              </w:tc>
            </w:tr>
          </w:tbl>
          <w:p w14:paraId="54F3FDE7">
            <w:pPr>
              <w:spacing w:line="360" w:lineRule="auto"/>
              <w:jc w:val="center"/>
              <w:rPr>
                <w:b/>
                <w:kern w:val="0"/>
              </w:rPr>
            </w:pPr>
            <w:r>
              <w:rPr>
                <w:b/>
                <w:kern w:val="0"/>
              </w:rPr>
              <w:t>表</w:t>
            </w:r>
            <w:r>
              <w:rPr>
                <w:rFonts w:hint="eastAsia"/>
                <w:b/>
                <w:kern w:val="0"/>
              </w:rPr>
              <w:t xml:space="preserve">3-3  </w:t>
            </w:r>
            <w:r>
              <w:rPr>
                <w:b/>
                <w:kern w:val="0"/>
              </w:rPr>
              <w:t>项目环境现状检测数据一览表</w:t>
            </w:r>
            <w:r>
              <w:rPr>
                <w:rFonts w:hint="eastAsia"/>
                <w:b/>
                <w:kern w:val="0"/>
              </w:rPr>
              <w:t>（2）</w:t>
            </w:r>
          </w:p>
          <w:tbl>
            <w:tblPr>
              <w:tblStyle w:val="31"/>
              <w:tblW w:w="7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2591"/>
              <w:gridCol w:w="1399"/>
              <w:gridCol w:w="1702"/>
              <w:gridCol w:w="809"/>
            </w:tblGrid>
            <w:tr w14:paraId="5A344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479" w:type="dxa"/>
                  <w:tcBorders>
                    <w:tl2br w:val="nil"/>
                    <w:tr2bl w:val="nil"/>
                  </w:tcBorders>
                  <w:vAlign w:val="center"/>
                </w:tcPr>
                <w:p w14:paraId="73A9BF39">
                  <w:pPr>
                    <w:snapToGrid w:val="0"/>
                    <w:spacing w:line="360" w:lineRule="auto"/>
                    <w:jc w:val="center"/>
                    <w:rPr>
                      <w:b/>
                      <w:bCs/>
                    </w:rPr>
                  </w:pPr>
                  <w:r>
                    <w:rPr>
                      <w:rFonts w:hint="eastAsia"/>
                      <w:b/>
                      <w:bCs/>
                    </w:rPr>
                    <w:t>污染物</w:t>
                  </w:r>
                </w:p>
              </w:tc>
              <w:tc>
                <w:tcPr>
                  <w:tcW w:w="2591" w:type="dxa"/>
                  <w:tcBorders>
                    <w:tl2br w:val="nil"/>
                    <w:tr2bl w:val="nil"/>
                  </w:tcBorders>
                  <w:vAlign w:val="center"/>
                </w:tcPr>
                <w:p w14:paraId="4B59DBAA">
                  <w:pPr>
                    <w:snapToGrid w:val="0"/>
                    <w:spacing w:line="360" w:lineRule="auto"/>
                    <w:jc w:val="center"/>
                    <w:rPr>
                      <w:b/>
                      <w:bCs/>
                    </w:rPr>
                  </w:pPr>
                  <w:r>
                    <w:rPr>
                      <w:rFonts w:hint="eastAsia"/>
                    </w:rPr>
                    <w:t>总悬浮颗粒物</w:t>
                  </w:r>
                </w:p>
              </w:tc>
              <w:tc>
                <w:tcPr>
                  <w:tcW w:w="1399" w:type="dxa"/>
                  <w:tcBorders>
                    <w:tl2br w:val="nil"/>
                    <w:tr2bl w:val="nil"/>
                  </w:tcBorders>
                  <w:vAlign w:val="center"/>
                </w:tcPr>
                <w:p w14:paraId="1859BCD1">
                  <w:pPr>
                    <w:snapToGrid w:val="0"/>
                    <w:spacing w:line="360" w:lineRule="auto"/>
                    <w:jc w:val="center"/>
                    <w:rPr>
                      <w:b/>
                      <w:bCs/>
                    </w:rPr>
                  </w:pPr>
                  <w:r>
                    <w:rPr>
                      <w:rFonts w:hint="eastAsia"/>
                      <w:b/>
                      <w:bCs/>
                    </w:rPr>
                    <w:t>平均时间</w:t>
                  </w:r>
                </w:p>
              </w:tc>
              <w:tc>
                <w:tcPr>
                  <w:tcW w:w="2511" w:type="dxa"/>
                  <w:gridSpan w:val="2"/>
                  <w:tcBorders>
                    <w:tl2br w:val="nil"/>
                    <w:tr2bl w:val="nil"/>
                  </w:tcBorders>
                  <w:vAlign w:val="center"/>
                </w:tcPr>
                <w:p w14:paraId="64BE35C7">
                  <w:pPr>
                    <w:snapToGrid w:val="0"/>
                    <w:spacing w:line="360" w:lineRule="auto"/>
                    <w:jc w:val="center"/>
                    <w:rPr>
                      <w:b/>
                      <w:bCs/>
                    </w:rPr>
                  </w:pPr>
                  <w:r>
                    <w:rPr>
                      <w:rFonts w:hint="eastAsia"/>
                    </w:rPr>
                    <w:t>24</w:t>
                  </w:r>
                  <w:r>
                    <w:t>小时均值</w:t>
                  </w:r>
                </w:p>
              </w:tc>
            </w:tr>
            <w:tr w14:paraId="1F73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79" w:type="dxa"/>
                  <w:tcBorders>
                    <w:tl2br w:val="nil"/>
                    <w:tr2bl w:val="nil"/>
                  </w:tcBorders>
                  <w:vAlign w:val="center"/>
                </w:tcPr>
                <w:p w14:paraId="487DAA19">
                  <w:pPr>
                    <w:snapToGrid w:val="0"/>
                    <w:spacing w:line="360" w:lineRule="auto"/>
                    <w:jc w:val="center"/>
                    <w:rPr>
                      <w:b/>
                      <w:bCs/>
                    </w:rPr>
                  </w:pPr>
                  <w:r>
                    <w:rPr>
                      <w:b/>
                      <w:bCs/>
                    </w:rPr>
                    <w:t>监测点位</w:t>
                  </w:r>
                </w:p>
              </w:tc>
              <w:tc>
                <w:tcPr>
                  <w:tcW w:w="2591" w:type="dxa"/>
                  <w:tcBorders>
                    <w:tl2br w:val="nil"/>
                    <w:tr2bl w:val="nil"/>
                  </w:tcBorders>
                  <w:vAlign w:val="center"/>
                </w:tcPr>
                <w:p w14:paraId="171FC556">
                  <w:pPr>
                    <w:snapToGrid w:val="0"/>
                    <w:spacing w:line="360" w:lineRule="auto"/>
                    <w:jc w:val="center"/>
                    <w:rPr>
                      <w:b/>
                      <w:bCs/>
                    </w:rPr>
                  </w:pPr>
                  <w:r>
                    <w:rPr>
                      <w:b/>
                      <w:bCs/>
                    </w:rPr>
                    <w:t>监测</w:t>
                  </w:r>
                  <w:r>
                    <w:rPr>
                      <w:rFonts w:hint="eastAsia"/>
                      <w:b/>
                      <w:bCs/>
                    </w:rPr>
                    <w:t>日期</w:t>
                  </w:r>
                </w:p>
              </w:tc>
              <w:tc>
                <w:tcPr>
                  <w:tcW w:w="1399" w:type="dxa"/>
                  <w:tcBorders>
                    <w:tl2br w:val="nil"/>
                    <w:tr2bl w:val="nil"/>
                  </w:tcBorders>
                  <w:vAlign w:val="center"/>
                </w:tcPr>
                <w:p w14:paraId="344DA820">
                  <w:pPr>
                    <w:snapToGrid w:val="0"/>
                    <w:spacing w:line="360" w:lineRule="auto"/>
                    <w:jc w:val="center"/>
                    <w:rPr>
                      <w:b/>
                      <w:bCs/>
                    </w:rPr>
                  </w:pPr>
                  <w:r>
                    <w:rPr>
                      <w:b/>
                      <w:bCs/>
                    </w:rPr>
                    <w:t>评价标准</w:t>
                  </w:r>
                </w:p>
              </w:tc>
              <w:tc>
                <w:tcPr>
                  <w:tcW w:w="1702" w:type="dxa"/>
                  <w:tcBorders>
                    <w:tl2br w:val="nil"/>
                    <w:tr2bl w:val="nil"/>
                  </w:tcBorders>
                  <w:vAlign w:val="center"/>
                </w:tcPr>
                <w:p w14:paraId="1C9F4495">
                  <w:pPr>
                    <w:snapToGrid w:val="0"/>
                    <w:spacing w:line="360" w:lineRule="auto"/>
                    <w:jc w:val="center"/>
                    <w:rPr>
                      <w:b/>
                      <w:bCs/>
                    </w:rPr>
                  </w:pPr>
                  <w:r>
                    <w:rPr>
                      <w:b/>
                      <w:bCs/>
                    </w:rPr>
                    <w:t>测值浓度范围</w:t>
                  </w:r>
                </w:p>
              </w:tc>
              <w:tc>
                <w:tcPr>
                  <w:tcW w:w="809" w:type="dxa"/>
                  <w:tcBorders>
                    <w:tl2br w:val="nil"/>
                    <w:tr2bl w:val="nil"/>
                  </w:tcBorders>
                  <w:vAlign w:val="center"/>
                </w:tcPr>
                <w:p w14:paraId="2A14FE37">
                  <w:pPr>
                    <w:snapToGrid w:val="0"/>
                    <w:spacing w:line="360" w:lineRule="auto"/>
                    <w:jc w:val="center"/>
                    <w:rPr>
                      <w:b/>
                      <w:bCs/>
                    </w:rPr>
                  </w:pPr>
                  <w:r>
                    <w:rPr>
                      <w:b/>
                      <w:bCs/>
                    </w:rPr>
                    <w:t>达标情况</w:t>
                  </w:r>
                </w:p>
              </w:tc>
            </w:tr>
            <w:tr w14:paraId="051EF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479" w:type="dxa"/>
                  <w:vMerge w:val="restart"/>
                  <w:tcBorders>
                    <w:tl2br w:val="nil"/>
                    <w:tr2bl w:val="nil"/>
                  </w:tcBorders>
                  <w:vAlign w:val="center"/>
                </w:tcPr>
                <w:p w14:paraId="629DED8C">
                  <w:pPr>
                    <w:snapToGrid w:val="0"/>
                    <w:spacing w:line="360" w:lineRule="auto"/>
                    <w:jc w:val="center"/>
                  </w:pPr>
                  <w:r>
                    <w:t>拟建项目厂区下风向</w:t>
                  </w:r>
                  <w:r>
                    <w:rPr>
                      <w:rFonts w:hint="eastAsia"/>
                    </w:rPr>
                    <w:t>0.5km处</w:t>
                  </w:r>
                  <w:r>
                    <w:t>N44°38'1.51"</w:t>
                  </w:r>
                </w:p>
                <w:p w14:paraId="25CA5A1D">
                  <w:pPr>
                    <w:snapToGrid w:val="0"/>
                    <w:spacing w:line="360" w:lineRule="auto"/>
                    <w:jc w:val="center"/>
                  </w:pPr>
                  <w:r>
                    <w:t>E84°53′26.93"</w:t>
                  </w:r>
                </w:p>
              </w:tc>
              <w:tc>
                <w:tcPr>
                  <w:tcW w:w="2591" w:type="dxa"/>
                  <w:tcBorders>
                    <w:tl2br w:val="nil"/>
                    <w:tr2bl w:val="nil"/>
                  </w:tcBorders>
                  <w:vAlign w:val="center"/>
                </w:tcPr>
                <w:p w14:paraId="57134A64">
                  <w:pPr>
                    <w:snapToGrid w:val="0"/>
                    <w:spacing w:line="360" w:lineRule="auto"/>
                    <w:jc w:val="center"/>
                  </w:pPr>
                  <w:r>
                    <w:t>2022年3月28日1</w:t>
                  </w:r>
                  <w:r>
                    <w:rPr>
                      <w:rFonts w:hint="eastAsia"/>
                    </w:rPr>
                    <w:t>3</w:t>
                  </w:r>
                  <w:r>
                    <w:t>:</w:t>
                  </w:r>
                  <w:r>
                    <w:rPr>
                      <w:rFonts w:hint="eastAsia"/>
                    </w:rPr>
                    <w:t>14</w:t>
                  </w:r>
                  <w:r>
                    <w:t>-</w:t>
                  </w:r>
                </w:p>
                <w:p w14:paraId="41D3D321">
                  <w:pPr>
                    <w:snapToGrid w:val="0"/>
                    <w:spacing w:line="360" w:lineRule="auto"/>
                    <w:jc w:val="center"/>
                  </w:pPr>
                  <w:r>
                    <w:t>2022年3月29日</w:t>
                  </w:r>
                  <w:r>
                    <w:rPr>
                      <w:rFonts w:hint="eastAsia"/>
                    </w:rPr>
                    <w:t>13</w:t>
                  </w:r>
                  <w:r>
                    <w:t>:</w:t>
                  </w:r>
                  <w:r>
                    <w:rPr>
                      <w:rFonts w:hint="eastAsia"/>
                    </w:rPr>
                    <w:t>16</w:t>
                  </w:r>
                </w:p>
              </w:tc>
              <w:tc>
                <w:tcPr>
                  <w:tcW w:w="1399" w:type="dxa"/>
                  <w:vMerge w:val="restart"/>
                  <w:tcBorders>
                    <w:tl2br w:val="nil"/>
                    <w:tr2bl w:val="nil"/>
                  </w:tcBorders>
                  <w:vAlign w:val="center"/>
                </w:tcPr>
                <w:p w14:paraId="4FDC54C7">
                  <w:pPr>
                    <w:snapToGrid w:val="0"/>
                    <w:spacing w:line="360" w:lineRule="auto"/>
                    <w:jc w:val="center"/>
                  </w:pPr>
                  <w:r>
                    <w:t>300μg/m</w:t>
                  </w:r>
                  <w:r>
                    <w:rPr>
                      <w:vertAlign w:val="superscript"/>
                    </w:rPr>
                    <w:t>3</w:t>
                  </w:r>
                </w:p>
              </w:tc>
              <w:tc>
                <w:tcPr>
                  <w:tcW w:w="1702" w:type="dxa"/>
                  <w:tcBorders>
                    <w:tl2br w:val="nil"/>
                    <w:tr2bl w:val="nil"/>
                  </w:tcBorders>
                  <w:vAlign w:val="center"/>
                </w:tcPr>
                <w:p w14:paraId="3A6C98DA">
                  <w:pPr>
                    <w:snapToGrid w:val="0"/>
                    <w:spacing w:line="360" w:lineRule="auto"/>
                    <w:jc w:val="center"/>
                  </w:pPr>
                  <w:r>
                    <w:rPr>
                      <w:rFonts w:hint="eastAsia"/>
                    </w:rPr>
                    <w:t>189</w:t>
                  </w:r>
                  <w:r>
                    <w:t>μg/m</w:t>
                  </w:r>
                  <w:r>
                    <w:rPr>
                      <w:vertAlign w:val="superscript"/>
                    </w:rPr>
                    <w:t>3</w:t>
                  </w:r>
                </w:p>
              </w:tc>
              <w:tc>
                <w:tcPr>
                  <w:tcW w:w="809" w:type="dxa"/>
                  <w:tcBorders>
                    <w:tl2br w:val="nil"/>
                    <w:tr2bl w:val="nil"/>
                  </w:tcBorders>
                  <w:vAlign w:val="center"/>
                </w:tcPr>
                <w:p w14:paraId="2F885DAC">
                  <w:pPr>
                    <w:snapToGrid w:val="0"/>
                    <w:spacing w:line="360" w:lineRule="auto"/>
                    <w:jc w:val="center"/>
                  </w:pPr>
                  <w:r>
                    <w:t>达标</w:t>
                  </w:r>
                </w:p>
              </w:tc>
            </w:tr>
            <w:tr w14:paraId="2308A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479" w:type="dxa"/>
                  <w:vMerge w:val="continue"/>
                  <w:tcBorders>
                    <w:tl2br w:val="nil"/>
                    <w:tr2bl w:val="nil"/>
                  </w:tcBorders>
                  <w:vAlign w:val="center"/>
                </w:tcPr>
                <w:p w14:paraId="7C592F15">
                  <w:pPr>
                    <w:snapToGrid w:val="0"/>
                    <w:spacing w:line="360" w:lineRule="auto"/>
                    <w:jc w:val="center"/>
                  </w:pPr>
                </w:p>
              </w:tc>
              <w:tc>
                <w:tcPr>
                  <w:tcW w:w="2591" w:type="dxa"/>
                  <w:tcBorders>
                    <w:tl2br w:val="nil"/>
                    <w:tr2bl w:val="nil"/>
                  </w:tcBorders>
                  <w:vAlign w:val="center"/>
                </w:tcPr>
                <w:p w14:paraId="4EF5D23B">
                  <w:pPr>
                    <w:snapToGrid w:val="0"/>
                    <w:spacing w:line="360" w:lineRule="auto"/>
                    <w:jc w:val="center"/>
                  </w:pPr>
                  <w:r>
                    <w:rPr>
                      <w:rFonts w:hint="eastAsia"/>
                    </w:rPr>
                    <w:t>2022年3月29日13:17-</w:t>
                  </w:r>
                </w:p>
                <w:p w14:paraId="73703181">
                  <w:pPr>
                    <w:snapToGrid w:val="0"/>
                    <w:spacing w:line="360" w:lineRule="auto"/>
                    <w:jc w:val="center"/>
                  </w:pPr>
                  <w:r>
                    <w:rPr>
                      <w:rFonts w:hint="eastAsia"/>
                    </w:rPr>
                    <w:t>2022年3月30日13:19</w:t>
                  </w:r>
                </w:p>
              </w:tc>
              <w:tc>
                <w:tcPr>
                  <w:tcW w:w="1399" w:type="dxa"/>
                  <w:vMerge w:val="continue"/>
                  <w:tcBorders>
                    <w:tl2br w:val="nil"/>
                    <w:tr2bl w:val="nil"/>
                  </w:tcBorders>
                  <w:vAlign w:val="center"/>
                </w:tcPr>
                <w:p w14:paraId="3E6242A9">
                  <w:pPr>
                    <w:snapToGrid w:val="0"/>
                    <w:spacing w:line="360" w:lineRule="auto"/>
                    <w:jc w:val="center"/>
                  </w:pPr>
                </w:p>
              </w:tc>
              <w:tc>
                <w:tcPr>
                  <w:tcW w:w="1702" w:type="dxa"/>
                  <w:tcBorders>
                    <w:tl2br w:val="nil"/>
                    <w:tr2bl w:val="nil"/>
                  </w:tcBorders>
                  <w:vAlign w:val="center"/>
                </w:tcPr>
                <w:p w14:paraId="2A94E8F1">
                  <w:pPr>
                    <w:snapToGrid w:val="0"/>
                    <w:spacing w:line="360" w:lineRule="auto"/>
                    <w:jc w:val="center"/>
                  </w:pPr>
                  <w:r>
                    <w:rPr>
                      <w:rFonts w:hint="eastAsia"/>
                    </w:rPr>
                    <w:t>165</w:t>
                  </w:r>
                  <w:r>
                    <w:t>μg/m</w:t>
                  </w:r>
                  <w:r>
                    <w:rPr>
                      <w:vertAlign w:val="superscript"/>
                    </w:rPr>
                    <w:t>3</w:t>
                  </w:r>
                </w:p>
              </w:tc>
              <w:tc>
                <w:tcPr>
                  <w:tcW w:w="809" w:type="dxa"/>
                  <w:tcBorders>
                    <w:tl2br w:val="nil"/>
                    <w:tr2bl w:val="nil"/>
                  </w:tcBorders>
                  <w:vAlign w:val="center"/>
                </w:tcPr>
                <w:p w14:paraId="0C610CFD">
                  <w:pPr>
                    <w:snapToGrid w:val="0"/>
                    <w:spacing w:line="360" w:lineRule="auto"/>
                    <w:jc w:val="center"/>
                  </w:pPr>
                  <w:r>
                    <w:t>达标</w:t>
                  </w:r>
                </w:p>
              </w:tc>
            </w:tr>
            <w:tr w14:paraId="342BF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1479" w:type="dxa"/>
                  <w:vMerge w:val="continue"/>
                  <w:tcBorders>
                    <w:tl2br w:val="nil"/>
                    <w:tr2bl w:val="nil"/>
                  </w:tcBorders>
                  <w:vAlign w:val="center"/>
                </w:tcPr>
                <w:p w14:paraId="3E381CB8">
                  <w:pPr>
                    <w:snapToGrid w:val="0"/>
                    <w:spacing w:line="360" w:lineRule="auto"/>
                    <w:jc w:val="center"/>
                  </w:pPr>
                </w:p>
              </w:tc>
              <w:tc>
                <w:tcPr>
                  <w:tcW w:w="2591" w:type="dxa"/>
                  <w:tcBorders>
                    <w:tl2br w:val="nil"/>
                    <w:tr2bl w:val="nil"/>
                  </w:tcBorders>
                  <w:vAlign w:val="center"/>
                </w:tcPr>
                <w:p w14:paraId="04C950B6">
                  <w:pPr>
                    <w:snapToGrid w:val="0"/>
                    <w:spacing w:line="360" w:lineRule="auto"/>
                    <w:jc w:val="center"/>
                  </w:pPr>
                  <w:r>
                    <w:rPr>
                      <w:rFonts w:hint="eastAsia"/>
                    </w:rPr>
                    <w:t>2022年3月30日13:21-</w:t>
                  </w:r>
                </w:p>
                <w:p w14:paraId="6FDA8020">
                  <w:pPr>
                    <w:snapToGrid w:val="0"/>
                    <w:spacing w:line="360" w:lineRule="auto"/>
                    <w:jc w:val="center"/>
                  </w:pPr>
                  <w:r>
                    <w:rPr>
                      <w:rFonts w:hint="eastAsia"/>
                    </w:rPr>
                    <w:t>2022年3月31日13:23</w:t>
                  </w:r>
                </w:p>
              </w:tc>
              <w:tc>
                <w:tcPr>
                  <w:tcW w:w="1399" w:type="dxa"/>
                  <w:vMerge w:val="continue"/>
                  <w:tcBorders>
                    <w:tl2br w:val="nil"/>
                    <w:tr2bl w:val="nil"/>
                  </w:tcBorders>
                  <w:vAlign w:val="center"/>
                </w:tcPr>
                <w:p w14:paraId="3F673630">
                  <w:pPr>
                    <w:snapToGrid w:val="0"/>
                    <w:spacing w:line="360" w:lineRule="auto"/>
                    <w:jc w:val="center"/>
                  </w:pPr>
                </w:p>
              </w:tc>
              <w:tc>
                <w:tcPr>
                  <w:tcW w:w="1702" w:type="dxa"/>
                  <w:tcBorders>
                    <w:tl2br w:val="nil"/>
                    <w:tr2bl w:val="nil"/>
                  </w:tcBorders>
                  <w:vAlign w:val="center"/>
                </w:tcPr>
                <w:p w14:paraId="09F24261">
                  <w:pPr>
                    <w:snapToGrid w:val="0"/>
                    <w:spacing w:line="360" w:lineRule="auto"/>
                    <w:jc w:val="center"/>
                  </w:pPr>
                  <w:r>
                    <w:rPr>
                      <w:rFonts w:hint="eastAsia"/>
                    </w:rPr>
                    <w:t>178</w:t>
                  </w:r>
                  <w:r>
                    <w:t>μg/m</w:t>
                  </w:r>
                  <w:r>
                    <w:rPr>
                      <w:vertAlign w:val="superscript"/>
                    </w:rPr>
                    <w:t>3</w:t>
                  </w:r>
                </w:p>
              </w:tc>
              <w:tc>
                <w:tcPr>
                  <w:tcW w:w="809" w:type="dxa"/>
                  <w:tcBorders>
                    <w:tl2br w:val="nil"/>
                    <w:tr2bl w:val="nil"/>
                  </w:tcBorders>
                  <w:vAlign w:val="center"/>
                </w:tcPr>
                <w:p w14:paraId="3AC00371">
                  <w:pPr>
                    <w:snapToGrid w:val="0"/>
                    <w:spacing w:line="360" w:lineRule="auto"/>
                    <w:jc w:val="center"/>
                  </w:pPr>
                  <w:r>
                    <w:t>达标</w:t>
                  </w:r>
                </w:p>
              </w:tc>
            </w:tr>
          </w:tbl>
          <w:p w14:paraId="12254CD7">
            <w:pPr>
              <w:spacing w:line="360" w:lineRule="auto"/>
              <w:jc w:val="center"/>
              <w:rPr>
                <w:b/>
                <w:kern w:val="0"/>
              </w:rPr>
            </w:pPr>
            <w:r>
              <w:rPr>
                <w:b/>
                <w:kern w:val="0"/>
              </w:rPr>
              <w:t>表</w:t>
            </w:r>
            <w:r>
              <w:rPr>
                <w:rFonts w:hint="eastAsia"/>
                <w:b/>
                <w:kern w:val="0"/>
              </w:rPr>
              <w:t xml:space="preserve">3-4  </w:t>
            </w:r>
            <w:r>
              <w:rPr>
                <w:b/>
                <w:kern w:val="0"/>
              </w:rPr>
              <w:t>项目环境现状检测数据一览表</w:t>
            </w:r>
            <w:r>
              <w:rPr>
                <w:rFonts w:hint="eastAsia"/>
                <w:b/>
                <w:kern w:val="0"/>
              </w:rPr>
              <w:t>（3）</w:t>
            </w:r>
          </w:p>
          <w:tbl>
            <w:tblPr>
              <w:tblStyle w:val="31"/>
              <w:tblW w:w="7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2591"/>
              <w:gridCol w:w="1399"/>
              <w:gridCol w:w="1702"/>
              <w:gridCol w:w="809"/>
            </w:tblGrid>
            <w:tr w14:paraId="07BFF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479" w:type="dxa"/>
                  <w:tcBorders>
                    <w:tl2br w:val="nil"/>
                    <w:tr2bl w:val="nil"/>
                  </w:tcBorders>
                  <w:vAlign w:val="center"/>
                </w:tcPr>
                <w:p w14:paraId="1519C2E0">
                  <w:pPr>
                    <w:snapToGrid w:val="0"/>
                    <w:spacing w:line="360" w:lineRule="auto"/>
                    <w:jc w:val="center"/>
                    <w:rPr>
                      <w:b/>
                      <w:bCs/>
                    </w:rPr>
                  </w:pPr>
                  <w:r>
                    <w:rPr>
                      <w:rFonts w:hint="eastAsia"/>
                      <w:b/>
                      <w:bCs/>
                    </w:rPr>
                    <w:t>污染物</w:t>
                  </w:r>
                </w:p>
              </w:tc>
              <w:tc>
                <w:tcPr>
                  <w:tcW w:w="2591" w:type="dxa"/>
                  <w:tcBorders>
                    <w:tl2br w:val="nil"/>
                    <w:tr2bl w:val="nil"/>
                  </w:tcBorders>
                  <w:vAlign w:val="center"/>
                </w:tcPr>
                <w:p w14:paraId="30ECFB52">
                  <w:pPr>
                    <w:snapToGrid w:val="0"/>
                    <w:spacing w:line="360" w:lineRule="auto"/>
                    <w:jc w:val="center"/>
                    <w:rPr>
                      <w:b/>
                      <w:bCs/>
                    </w:rPr>
                  </w:pPr>
                  <w:r>
                    <w:rPr>
                      <w:rFonts w:hint="eastAsia"/>
                    </w:rPr>
                    <w:t>苯并芘</w:t>
                  </w:r>
                </w:p>
              </w:tc>
              <w:tc>
                <w:tcPr>
                  <w:tcW w:w="1399" w:type="dxa"/>
                  <w:tcBorders>
                    <w:tl2br w:val="nil"/>
                    <w:tr2bl w:val="nil"/>
                  </w:tcBorders>
                  <w:vAlign w:val="center"/>
                </w:tcPr>
                <w:p w14:paraId="6E9D4978">
                  <w:pPr>
                    <w:snapToGrid w:val="0"/>
                    <w:spacing w:line="360" w:lineRule="auto"/>
                    <w:jc w:val="center"/>
                    <w:rPr>
                      <w:b/>
                      <w:bCs/>
                    </w:rPr>
                  </w:pPr>
                  <w:r>
                    <w:rPr>
                      <w:rFonts w:hint="eastAsia"/>
                      <w:b/>
                      <w:bCs/>
                    </w:rPr>
                    <w:t>平均时间</w:t>
                  </w:r>
                </w:p>
              </w:tc>
              <w:tc>
                <w:tcPr>
                  <w:tcW w:w="2511" w:type="dxa"/>
                  <w:gridSpan w:val="2"/>
                  <w:tcBorders>
                    <w:tl2br w:val="nil"/>
                    <w:tr2bl w:val="nil"/>
                  </w:tcBorders>
                  <w:vAlign w:val="center"/>
                </w:tcPr>
                <w:p w14:paraId="3ED6C9AC">
                  <w:pPr>
                    <w:snapToGrid w:val="0"/>
                    <w:spacing w:line="360" w:lineRule="auto"/>
                    <w:jc w:val="center"/>
                    <w:rPr>
                      <w:b/>
                      <w:bCs/>
                    </w:rPr>
                  </w:pPr>
                  <w:r>
                    <w:rPr>
                      <w:rFonts w:hint="eastAsia"/>
                    </w:rPr>
                    <w:t>24</w:t>
                  </w:r>
                  <w:r>
                    <w:t>小时均值</w:t>
                  </w:r>
                </w:p>
              </w:tc>
            </w:tr>
            <w:tr w14:paraId="25774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79" w:type="dxa"/>
                  <w:tcBorders>
                    <w:tl2br w:val="nil"/>
                    <w:tr2bl w:val="nil"/>
                  </w:tcBorders>
                  <w:vAlign w:val="center"/>
                </w:tcPr>
                <w:p w14:paraId="541B99D9">
                  <w:pPr>
                    <w:snapToGrid w:val="0"/>
                    <w:spacing w:line="360" w:lineRule="auto"/>
                    <w:jc w:val="center"/>
                    <w:rPr>
                      <w:b/>
                      <w:bCs/>
                    </w:rPr>
                  </w:pPr>
                  <w:r>
                    <w:rPr>
                      <w:b/>
                      <w:bCs/>
                    </w:rPr>
                    <w:t>监测点位</w:t>
                  </w:r>
                </w:p>
              </w:tc>
              <w:tc>
                <w:tcPr>
                  <w:tcW w:w="2591" w:type="dxa"/>
                  <w:tcBorders>
                    <w:tl2br w:val="nil"/>
                    <w:tr2bl w:val="nil"/>
                  </w:tcBorders>
                  <w:vAlign w:val="center"/>
                </w:tcPr>
                <w:p w14:paraId="6E383B83">
                  <w:pPr>
                    <w:snapToGrid w:val="0"/>
                    <w:spacing w:line="360" w:lineRule="auto"/>
                    <w:jc w:val="center"/>
                    <w:rPr>
                      <w:b/>
                      <w:bCs/>
                    </w:rPr>
                  </w:pPr>
                  <w:r>
                    <w:rPr>
                      <w:b/>
                      <w:bCs/>
                    </w:rPr>
                    <w:t>监测</w:t>
                  </w:r>
                  <w:r>
                    <w:rPr>
                      <w:rFonts w:hint="eastAsia"/>
                      <w:b/>
                      <w:bCs/>
                    </w:rPr>
                    <w:t>日期</w:t>
                  </w:r>
                </w:p>
              </w:tc>
              <w:tc>
                <w:tcPr>
                  <w:tcW w:w="1399" w:type="dxa"/>
                  <w:tcBorders>
                    <w:tl2br w:val="nil"/>
                    <w:tr2bl w:val="nil"/>
                  </w:tcBorders>
                  <w:vAlign w:val="center"/>
                </w:tcPr>
                <w:p w14:paraId="7B9352C0">
                  <w:pPr>
                    <w:snapToGrid w:val="0"/>
                    <w:spacing w:line="360" w:lineRule="auto"/>
                    <w:jc w:val="center"/>
                    <w:rPr>
                      <w:b/>
                      <w:bCs/>
                    </w:rPr>
                  </w:pPr>
                  <w:r>
                    <w:rPr>
                      <w:b/>
                      <w:bCs/>
                    </w:rPr>
                    <w:t>评价标准</w:t>
                  </w:r>
                </w:p>
              </w:tc>
              <w:tc>
                <w:tcPr>
                  <w:tcW w:w="1702" w:type="dxa"/>
                  <w:tcBorders>
                    <w:tl2br w:val="nil"/>
                    <w:tr2bl w:val="nil"/>
                  </w:tcBorders>
                  <w:vAlign w:val="center"/>
                </w:tcPr>
                <w:p w14:paraId="1F4FFBFA">
                  <w:pPr>
                    <w:snapToGrid w:val="0"/>
                    <w:spacing w:line="360" w:lineRule="auto"/>
                    <w:jc w:val="center"/>
                    <w:rPr>
                      <w:b/>
                      <w:bCs/>
                    </w:rPr>
                  </w:pPr>
                  <w:r>
                    <w:rPr>
                      <w:b/>
                      <w:bCs/>
                    </w:rPr>
                    <w:t>测值浓度范围</w:t>
                  </w:r>
                </w:p>
              </w:tc>
              <w:tc>
                <w:tcPr>
                  <w:tcW w:w="809" w:type="dxa"/>
                  <w:tcBorders>
                    <w:tl2br w:val="nil"/>
                    <w:tr2bl w:val="nil"/>
                  </w:tcBorders>
                  <w:vAlign w:val="center"/>
                </w:tcPr>
                <w:p w14:paraId="1D718B89">
                  <w:pPr>
                    <w:snapToGrid w:val="0"/>
                    <w:spacing w:line="360" w:lineRule="auto"/>
                    <w:jc w:val="center"/>
                    <w:rPr>
                      <w:b/>
                      <w:bCs/>
                    </w:rPr>
                  </w:pPr>
                  <w:r>
                    <w:rPr>
                      <w:b/>
                      <w:bCs/>
                    </w:rPr>
                    <w:t>达标情况</w:t>
                  </w:r>
                </w:p>
              </w:tc>
            </w:tr>
            <w:tr w14:paraId="2B396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479" w:type="dxa"/>
                  <w:vMerge w:val="restart"/>
                  <w:tcBorders>
                    <w:tl2br w:val="nil"/>
                    <w:tr2bl w:val="nil"/>
                  </w:tcBorders>
                  <w:vAlign w:val="center"/>
                </w:tcPr>
                <w:p w14:paraId="34723C80">
                  <w:pPr>
                    <w:snapToGrid w:val="0"/>
                    <w:spacing w:line="360" w:lineRule="auto"/>
                    <w:jc w:val="center"/>
                  </w:pPr>
                  <w:r>
                    <w:t>拟建项目厂区下风向</w:t>
                  </w:r>
                  <w:r>
                    <w:rPr>
                      <w:rFonts w:hint="eastAsia"/>
                    </w:rPr>
                    <w:t>0.5km处</w:t>
                  </w:r>
                  <w:r>
                    <w:t>N44°38'1.51"</w:t>
                  </w:r>
                </w:p>
                <w:p w14:paraId="5CAD9758">
                  <w:pPr>
                    <w:snapToGrid w:val="0"/>
                    <w:spacing w:line="360" w:lineRule="auto"/>
                    <w:jc w:val="center"/>
                  </w:pPr>
                  <w:r>
                    <w:t>E84°53′26.93"</w:t>
                  </w:r>
                </w:p>
              </w:tc>
              <w:tc>
                <w:tcPr>
                  <w:tcW w:w="2591" w:type="dxa"/>
                  <w:tcBorders>
                    <w:tl2br w:val="nil"/>
                    <w:tr2bl w:val="nil"/>
                  </w:tcBorders>
                  <w:vAlign w:val="center"/>
                </w:tcPr>
                <w:p w14:paraId="6BFC2E54">
                  <w:pPr>
                    <w:snapToGrid w:val="0"/>
                    <w:spacing w:line="360" w:lineRule="auto"/>
                    <w:jc w:val="center"/>
                  </w:pPr>
                  <w:r>
                    <w:t>2022年3月28日1</w:t>
                  </w:r>
                  <w:r>
                    <w:rPr>
                      <w:rFonts w:hint="eastAsia"/>
                    </w:rPr>
                    <w:t>3</w:t>
                  </w:r>
                  <w:r>
                    <w:t>:</w:t>
                  </w:r>
                  <w:r>
                    <w:rPr>
                      <w:rFonts w:hint="eastAsia"/>
                    </w:rPr>
                    <w:t>14</w:t>
                  </w:r>
                  <w:r>
                    <w:t>-</w:t>
                  </w:r>
                </w:p>
                <w:p w14:paraId="25F7AED4">
                  <w:pPr>
                    <w:snapToGrid w:val="0"/>
                    <w:spacing w:line="360" w:lineRule="auto"/>
                    <w:jc w:val="center"/>
                  </w:pPr>
                  <w:r>
                    <w:t>2022年3月29日</w:t>
                  </w:r>
                  <w:r>
                    <w:rPr>
                      <w:rFonts w:hint="eastAsia"/>
                    </w:rPr>
                    <w:t>13</w:t>
                  </w:r>
                  <w:r>
                    <w:t>:</w:t>
                  </w:r>
                  <w:r>
                    <w:rPr>
                      <w:rFonts w:hint="eastAsia"/>
                    </w:rPr>
                    <w:t>16</w:t>
                  </w:r>
                </w:p>
              </w:tc>
              <w:tc>
                <w:tcPr>
                  <w:tcW w:w="1399" w:type="dxa"/>
                  <w:vMerge w:val="restart"/>
                  <w:tcBorders>
                    <w:tl2br w:val="nil"/>
                    <w:tr2bl w:val="nil"/>
                  </w:tcBorders>
                  <w:vAlign w:val="center"/>
                </w:tcPr>
                <w:p w14:paraId="1D8DA8D1">
                  <w:pPr>
                    <w:snapToGrid w:val="0"/>
                    <w:spacing w:line="360" w:lineRule="auto"/>
                    <w:jc w:val="center"/>
                  </w:pPr>
                  <w:r>
                    <w:t>0.0025ng/m</w:t>
                  </w:r>
                  <w:r>
                    <w:rPr>
                      <w:vertAlign w:val="superscript"/>
                    </w:rPr>
                    <w:t>3</w:t>
                  </w:r>
                </w:p>
              </w:tc>
              <w:tc>
                <w:tcPr>
                  <w:tcW w:w="1702" w:type="dxa"/>
                  <w:tcBorders>
                    <w:tl2br w:val="nil"/>
                    <w:tr2bl w:val="nil"/>
                  </w:tcBorders>
                  <w:vAlign w:val="center"/>
                </w:tcPr>
                <w:p w14:paraId="6DEE0542">
                  <w:pPr>
                    <w:snapToGrid w:val="0"/>
                    <w:spacing w:line="360" w:lineRule="auto"/>
                    <w:jc w:val="center"/>
                  </w:pPr>
                  <w:r>
                    <w:rPr>
                      <w:rFonts w:hint="eastAsia"/>
                    </w:rPr>
                    <w:t>＜0.1n</w:t>
                  </w:r>
                  <w:r>
                    <w:t>g/m</w:t>
                  </w:r>
                  <w:r>
                    <w:rPr>
                      <w:vertAlign w:val="superscript"/>
                    </w:rPr>
                    <w:t>3</w:t>
                  </w:r>
                </w:p>
              </w:tc>
              <w:tc>
                <w:tcPr>
                  <w:tcW w:w="809" w:type="dxa"/>
                  <w:tcBorders>
                    <w:tl2br w:val="nil"/>
                    <w:tr2bl w:val="nil"/>
                  </w:tcBorders>
                  <w:vAlign w:val="center"/>
                </w:tcPr>
                <w:p w14:paraId="46177E64">
                  <w:pPr>
                    <w:snapToGrid w:val="0"/>
                    <w:spacing w:line="360" w:lineRule="auto"/>
                    <w:jc w:val="center"/>
                  </w:pPr>
                  <w:r>
                    <w:t>达标</w:t>
                  </w:r>
                </w:p>
              </w:tc>
            </w:tr>
            <w:tr w14:paraId="676EE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479" w:type="dxa"/>
                  <w:vMerge w:val="continue"/>
                  <w:tcBorders>
                    <w:tl2br w:val="nil"/>
                    <w:tr2bl w:val="nil"/>
                  </w:tcBorders>
                  <w:vAlign w:val="center"/>
                </w:tcPr>
                <w:p w14:paraId="12DF7B86">
                  <w:pPr>
                    <w:snapToGrid w:val="0"/>
                    <w:spacing w:line="360" w:lineRule="auto"/>
                    <w:jc w:val="center"/>
                  </w:pPr>
                </w:p>
              </w:tc>
              <w:tc>
                <w:tcPr>
                  <w:tcW w:w="2591" w:type="dxa"/>
                  <w:tcBorders>
                    <w:tl2br w:val="nil"/>
                    <w:tr2bl w:val="nil"/>
                  </w:tcBorders>
                  <w:vAlign w:val="center"/>
                </w:tcPr>
                <w:p w14:paraId="772FC261">
                  <w:pPr>
                    <w:snapToGrid w:val="0"/>
                    <w:spacing w:line="360" w:lineRule="auto"/>
                    <w:jc w:val="center"/>
                  </w:pPr>
                  <w:r>
                    <w:rPr>
                      <w:rFonts w:hint="eastAsia"/>
                    </w:rPr>
                    <w:t>2022年3月29日13:17-</w:t>
                  </w:r>
                </w:p>
                <w:p w14:paraId="262F8F1D">
                  <w:pPr>
                    <w:snapToGrid w:val="0"/>
                    <w:spacing w:line="360" w:lineRule="auto"/>
                    <w:jc w:val="center"/>
                  </w:pPr>
                  <w:r>
                    <w:rPr>
                      <w:rFonts w:hint="eastAsia"/>
                    </w:rPr>
                    <w:t>2022年3月30日13:19</w:t>
                  </w:r>
                </w:p>
              </w:tc>
              <w:tc>
                <w:tcPr>
                  <w:tcW w:w="1399" w:type="dxa"/>
                  <w:vMerge w:val="continue"/>
                  <w:tcBorders>
                    <w:tl2br w:val="nil"/>
                    <w:tr2bl w:val="nil"/>
                  </w:tcBorders>
                  <w:vAlign w:val="center"/>
                </w:tcPr>
                <w:p w14:paraId="03AEC0CC">
                  <w:pPr>
                    <w:snapToGrid w:val="0"/>
                    <w:spacing w:line="360" w:lineRule="auto"/>
                    <w:jc w:val="center"/>
                  </w:pPr>
                </w:p>
              </w:tc>
              <w:tc>
                <w:tcPr>
                  <w:tcW w:w="1702" w:type="dxa"/>
                  <w:tcBorders>
                    <w:tl2br w:val="nil"/>
                    <w:tr2bl w:val="nil"/>
                  </w:tcBorders>
                  <w:vAlign w:val="center"/>
                </w:tcPr>
                <w:p w14:paraId="3B0DAE60">
                  <w:pPr>
                    <w:snapToGrid w:val="0"/>
                    <w:spacing w:line="360" w:lineRule="auto"/>
                    <w:jc w:val="center"/>
                  </w:pPr>
                  <w:r>
                    <w:rPr>
                      <w:rFonts w:hint="eastAsia"/>
                    </w:rPr>
                    <w:t>＜0.1n</w:t>
                  </w:r>
                  <w:r>
                    <w:t>g/m</w:t>
                  </w:r>
                  <w:r>
                    <w:rPr>
                      <w:vertAlign w:val="superscript"/>
                    </w:rPr>
                    <w:t>3</w:t>
                  </w:r>
                </w:p>
              </w:tc>
              <w:tc>
                <w:tcPr>
                  <w:tcW w:w="809" w:type="dxa"/>
                  <w:tcBorders>
                    <w:tl2br w:val="nil"/>
                    <w:tr2bl w:val="nil"/>
                  </w:tcBorders>
                  <w:vAlign w:val="center"/>
                </w:tcPr>
                <w:p w14:paraId="72E12160">
                  <w:pPr>
                    <w:snapToGrid w:val="0"/>
                    <w:spacing w:line="360" w:lineRule="auto"/>
                    <w:jc w:val="center"/>
                  </w:pPr>
                  <w:r>
                    <w:t>达标</w:t>
                  </w:r>
                </w:p>
              </w:tc>
            </w:tr>
            <w:tr w14:paraId="71D51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1479" w:type="dxa"/>
                  <w:vMerge w:val="continue"/>
                  <w:tcBorders>
                    <w:tl2br w:val="nil"/>
                    <w:tr2bl w:val="nil"/>
                  </w:tcBorders>
                  <w:vAlign w:val="center"/>
                </w:tcPr>
                <w:p w14:paraId="1FFA1A21">
                  <w:pPr>
                    <w:snapToGrid w:val="0"/>
                    <w:spacing w:line="360" w:lineRule="auto"/>
                    <w:jc w:val="center"/>
                  </w:pPr>
                </w:p>
              </w:tc>
              <w:tc>
                <w:tcPr>
                  <w:tcW w:w="2591" w:type="dxa"/>
                  <w:tcBorders>
                    <w:tl2br w:val="nil"/>
                    <w:tr2bl w:val="nil"/>
                  </w:tcBorders>
                  <w:vAlign w:val="center"/>
                </w:tcPr>
                <w:p w14:paraId="68BFE37A">
                  <w:pPr>
                    <w:snapToGrid w:val="0"/>
                    <w:spacing w:line="360" w:lineRule="auto"/>
                    <w:jc w:val="center"/>
                  </w:pPr>
                  <w:r>
                    <w:rPr>
                      <w:rFonts w:hint="eastAsia"/>
                    </w:rPr>
                    <w:t>2022年3月30日13:21-</w:t>
                  </w:r>
                </w:p>
                <w:p w14:paraId="12208B98">
                  <w:pPr>
                    <w:snapToGrid w:val="0"/>
                    <w:spacing w:line="360" w:lineRule="auto"/>
                    <w:jc w:val="center"/>
                  </w:pPr>
                  <w:r>
                    <w:rPr>
                      <w:rFonts w:hint="eastAsia"/>
                    </w:rPr>
                    <w:t>2022年3月31日13:23</w:t>
                  </w:r>
                </w:p>
              </w:tc>
              <w:tc>
                <w:tcPr>
                  <w:tcW w:w="1399" w:type="dxa"/>
                  <w:vMerge w:val="continue"/>
                  <w:tcBorders>
                    <w:tl2br w:val="nil"/>
                    <w:tr2bl w:val="nil"/>
                  </w:tcBorders>
                  <w:vAlign w:val="center"/>
                </w:tcPr>
                <w:p w14:paraId="147C88C5">
                  <w:pPr>
                    <w:snapToGrid w:val="0"/>
                    <w:spacing w:line="360" w:lineRule="auto"/>
                    <w:jc w:val="center"/>
                  </w:pPr>
                </w:p>
              </w:tc>
              <w:tc>
                <w:tcPr>
                  <w:tcW w:w="1702" w:type="dxa"/>
                  <w:tcBorders>
                    <w:tl2br w:val="nil"/>
                    <w:tr2bl w:val="nil"/>
                  </w:tcBorders>
                  <w:vAlign w:val="center"/>
                </w:tcPr>
                <w:p w14:paraId="0A653745">
                  <w:pPr>
                    <w:snapToGrid w:val="0"/>
                    <w:spacing w:line="360" w:lineRule="auto"/>
                    <w:jc w:val="center"/>
                  </w:pPr>
                  <w:r>
                    <w:rPr>
                      <w:rFonts w:hint="eastAsia"/>
                    </w:rPr>
                    <w:t>＜0.1n</w:t>
                  </w:r>
                  <w:r>
                    <w:t>g/m</w:t>
                  </w:r>
                  <w:r>
                    <w:rPr>
                      <w:vertAlign w:val="superscript"/>
                    </w:rPr>
                    <w:t>3</w:t>
                  </w:r>
                </w:p>
              </w:tc>
              <w:tc>
                <w:tcPr>
                  <w:tcW w:w="809" w:type="dxa"/>
                  <w:tcBorders>
                    <w:tl2br w:val="nil"/>
                    <w:tr2bl w:val="nil"/>
                  </w:tcBorders>
                  <w:vAlign w:val="center"/>
                </w:tcPr>
                <w:p w14:paraId="471916AC">
                  <w:pPr>
                    <w:snapToGrid w:val="0"/>
                    <w:spacing w:line="360" w:lineRule="auto"/>
                    <w:jc w:val="center"/>
                  </w:pPr>
                  <w:r>
                    <w:t>达标</w:t>
                  </w:r>
                </w:p>
              </w:tc>
            </w:tr>
          </w:tbl>
          <w:p w14:paraId="2F936BD2">
            <w:pPr>
              <w:spacing w:line="360" w:lineRule="auto"/>
              <w:ind w:firstLine="420" w:firstLineChars="200"/>
            </w:pPr>
            <w:r>
              <w:rPr>
                <w:rFonts w:hint="eastAsia"/>
              </w:rPr>
              <w:t>全年主导风向：项目所在地由全年以西风(W)风向为主导，西北偏西(WSW、WNW)风向次之。</w:t>
            </w:r>
          </w:p>
          <w:p w14:paraId="61231494">
            <w:pPr>
              <w:spacing w:line="360" w:lineRule="auto"/>
              <w:ind w:firstLine="420" w:firstLineChars="200"/>
            </w:pPr>
            <w:r>
              <w:rPr>
                <w:rFonts w:hint="eastAsia"/>
              </w:rPr>
              <w:t>各季节主导风向：由于风速变化幅度很小，四季各风向下平均风速分布与全年分布没有明显的特征。冬季(1月)以西风(W)风向为主导；春季(4月)以西北偏西(WNW)风向为主导；夏季(7月)以西(W)风向下的风速相对最大；秋季(10月)以西风(W)风向下的风速相对最大。</w:t>
            </w:r>
          </w:p>
          <w:p w14:paraId="3B62E2FB">
            <w:pPr>
              <w:spacing w:line="360" w:lineRule="auto"/>
              <w:ind w:firstLine="420" w:firstLineChars="200"/>
            </w:pPr>
            <w:r>
              <w:rPr>
                <w:rFonts w:hint="eastAsia"/>
              </w:rPr>
              <w:t>虽然</w:t>
            </w:r>
            <w:r>
              <w:rPr>
                <w:rFonts w:hint="eastAsia"/>
                <w:color w:val="auto"/>
              </w:rPr>
              <w:t>监测期间主导风向为北(N)风向，但拟建综合用房并未在该区域全年和各季节主导风向的下风向处，</w:t>
            </w:r>
            <w:r>
              <w:rPr>
                <w:color w:val="auto"/>
              </w:rPr>
              <w:t>项目</w:t>
            </w:r>
            <w:r>
              <w:rPr>
                <w:rFonts w:hint="eastAsia"/>
              </w:rPr>
              <w:t>平面布置基本</w:t>
            </w:r>
            <w:r>
              <w:t>合理</w:t>
            </w:r>
            <w:r>
              <w:rPr>
                <w:rFonts w:hint="eastAsia"/>
              </w:rPr>
              <w:t>。</w:t>
            </w:r>
          </w:p>
          <w:p w14:paraId="5A3D5733">
            <w:pPr>
              <w:spacing w:line="360" w:lineRule="auto"/>
              <w:ind w:firstLine="420" w:firstLineChars="200"/>
            </w:pPr>
            <w:r>
              <w:t>根据监测结果，项目非甲烷总烃满足《大气污染物综合排放标准详解》P242中关于非甲烷总烃标准限值2.0mg/m</w:t>
            </w:r>
            <w:r>
              <w:rPr>
                <w:vertAlign w:val="superscript"/>
              </w:rPr>
              <w:t>3</w:t>
            </w:r>
            <w:r>
              <w:t>要求，苯并[ɑ]芘</w:t>
            </w:r>
            <w:r>
              <w:rPr>
                <w:rFonts w:hint="eastAsia"/>
              </w:rPr>
              <w:t>、总悬浮颗粒物</w:t>
            </w:r>
            <w:r>
              <w:t>满足《环境空气质量标准》（</w:t>
            </w:r>
            <w:r>
              <w:rPr>
                <w:rFonts w:hint="eastAsia"/>
              </w:rPr>
              <w:t xml:space="preserve">GB </w:t>
            </w:r>
            <w:r>
              <w:t>3095-2012）中二级标准。项目所在区域本项目特征污染物非甲烷总烃、苯并[ɑ]芘</w:t>
            </w:r>
            <w:r>
              <w:rPr>
                <w:rFonts w:hint="eastAsia"/>
              </w:rPr>
              <w:t>、总悬浮颗粒物</w:t>
            </w:r>
            <w:r>
              <w:t>满足相关环境质量标准要求。</w:t>
            </w:r>
          </w:p>
          <w:p w14:paraId="0595BF35">
            <w:pPr>
              <w:widowControl/>
              <w:spacing w:line="360" w:lineRule="auto"/>
            </w:pPr>
            <w:r>
              <w:rPr>
                <w:rFonts w:hint="eastAsia"/>
              </w:rPr>
              <w:t>2、声环境</w:t>
            </w:r>
          </w:p>
          <w:p w14:paraId="69624E96">
            <w:pPr>
              <w:widowControl/>
              <w:spacing w:line="360" w:lineRule="auto"/>
              <w:ind w:firstLine="420" w:firstLineChars="200"/>
            </w:pPr>
            <w:r>
              <w:rPr>
                <w:rFonts w:hint="eastAsia"/>
                <w:szCs w:val="21"/>
              </w:rPr>
              <w:t>项目所在区域厂界外周边50米范围内无声环境保护目标。因此本次评价不进行声环境质量现状调查。</w:t>
            </w:r>
          </w:p>
          <w:p w14:paraId="29237638">
            <w:pPr>
              <w:widowControl/>
              <w:spacing w:line="360" w:lineRule="auto"/>
            </w:pPr>
            <w:r>
              <w:rPr>
                <w:rFonts w:hint="eastAsia"/>
              </w:rPr>
              <w:t>3</w:t>
            </w:r>
            <w:r>
              <w:t>、地表水环境质量标准</w:t>
            </w:r>
          </w:p>
          <w:p w14:paraId="6870C62A">
            <w:pPr>
              <w:widowControl/>
              <w:spacing w:line="360" w:lineRule="auto"/>
              <w:ind w:firstLine="420" w:firstLineChars="200"/>
            </w:pPr>
            <w:r>
              <w:rPr>
                <w:rFonts w:hint="eastAsia"/>
              </w:rPr>
              <w:t>本项目位于项目区位于</w:t>
            </w:r>
            <w:r>
              <w:t>第七师</w:t>
            </w:r>
            <w:r>
              <w:rPr>
                <w:rFonts w:hint="eastAsia"/>
              </w:rPr>
              <w:t>胡杨河市</w:t>
            </w:r>
            <w:r>
              <w:t>130团6连</w:t>
            </w:r>
            <w:r>
              <w:rPr>
                <w:rFonts w:hint="eastAsia"/>
              </w:rPr>
              <w:t>，与地表水没有直接的水力联系，本项目运营期不会对区域地表水产生影响。</w:t>
            </w:r>
          </w:p>
          <w:p w14:paraId="508A7DF8">
            <w:pPr>
              <w:widowControl/>
              <w:spacing w:line="360" w:lineRule="auto"/>
            </w:pPr>
            <w:r>
              <w:rPr>
                <w:rFonts w:hint="eastAsia"/>
              </w:rPr>
              <w:t>4、地下水、</w:t>
            </w:r>
            <w:r>
              <w:t>土壤</w:t>
            </w:r>
          </w:p>
          <w:p w14:paraId="008CB4B2">
            <w:pPr>
              <w:widowControl/>
              <w:spacing w:line="360" w:lineRule="auto"/>
              <w:ind w:firstLine="420" w:firstLineChars="200"/>
            </w:pPr>
            <w:r>
              <w:t>根据《建设项目环境影响报告表编制技术指南》（污染影响类）（试行），原则上不开展环境质量现状调查，建设项目存在土壤、地下水环境污染途径的，应结合污染源、保护目标、分布情况开展现状调查留作背景值。</w:t>
            </w:r>
          </w:p>
          <w:p w14:paraId="6E22B4B1">
            <w:pPr>
              <w:widowControl/>
              <w:spacing w:line="360" w:lineRule="auto"/>
              <w:ind w:firstLine="420" w:firstLineChars="200"/>
            </w:pPr>
            <w:r>
              <w:t>本项目无地下水、土壤环境污染途径，且项目周边无地下水集中式饮用水水源和热水、矿泉水、温泉等特殊地下水保护目标。因此，本次评价不进行地下水、土壤环境质量现状调查。</w:t>
            </w:r>
          </w:p>
          <w:p w14:paraId="02D0005D">
            <w:pPr>
              <w:widowControl/>
              <w:spacing w:line="360" w:lineRule="auto"/>
            </w:pPr>
            <w:r>
              <w:rPr>
                <w:rFonts w:hint="eastAsia"/>
              </w:rPr>
              <w:t>5</w:t>
            </w:r>
            <w:r>
              <w:t>、生态环境质量现状与评价</w:t>
            </w:r>
          </w:p>
          <w:p w14:paraId="0509BD68">
            <w:pPr>
              <w:widowControl/>
              <w:spacing w:line="360" w:lineRule="auto"/>
              <w:ind w:firstLine="420" w:firstLineChars="200"/>
            </w:pPr>
            <w:r>
              <w:t>本项目位于</w:t>
            </w:r>
            <w:r>
              <w:rPr>
                <w:rFonts w:hint="eastAsia"/>
              </w:rPr>
              <w:t>第七师胡杨河市130团6连</w:t>
            </w:r>
            <w:r>
              <w:t>，</w:t>
            </w:r>
            <w:r>
              <w:rPr>
                <w:rFonts w:hint="eastAsia"/>
                <w:szCs w:val="21"/>
              </w:rPr>
              <w:t>冠维棉花加工厂以西、312省道以南</w:t>
            </w:r>
            <w:r>
              <w:t>，经现场踏勘，项目区内</w:t>
            </w:r>
            <w:r>
              <w:rPr>
                <w:rFonts w:hint="eastAsia"/>
              </w:rPr>
              <w:t>无</w:t>
            </w:r>
            <w:r>
              <w:t>生态环境保护目标，故本项目不进行生态现状调查。</w:t>
            </w:r>
          </w:p>
        </w:tc>
      </w:tr>
      <w:tr w14:paraId="43AF1B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800" w:type="dxa"/>
            <w:vAlign w:val="center"/>
          </w:tcPr>
          <w:p w14:paraId="33D22692">
            <w:pPr>
              <w:adjustRightInd w:val="0"/>
              <w:snapToGrid w:val="0"/>
              <w:jc w:val="center"/>
              <w:rPr>
                <w:rFonts w:ascii="宋体" w:hAnsi="宋体" w:cs="宋体"/>
                <w:kern w:val="0"/>
                <w:szCs w:val="21"/>
              </w:rPr>
            </w:pPr>
            <w:r>
              <w:rPr>
                <w:rFonts w:hint="eastAsia" w:ascii="宋体" w:hAnsi="宋体" w:cs="宋体"/>
                <w:kern w:val="0"/>
                <w:szCs w:val="21"/>
              </w:rPr>
              <w:t>环境</w:t>
            </w:r>
          </w:p>
          <w:p w14:paraId="691BB845">
            <w:pPr>
              <w:adjustRightInd w:val="0"/>
              <w:snapToGrid w:val="0"/>
              <w:jc w:val="center"/>
              <w:rPr>
                <w:rFonts w:ascii="宋体" w:hAnsi="宋体" w:cs="宋体"/>
                <w:kern w:val="0"/>
                <w:szCs w:val="21"/>
              </w:rPr>
            </w:pPr>
            <w:r>
              <w:rPr>
                <w:rFonts w:hint="eastAsia" w:ascii="宋体" w:hAnsi="宋体" w:cs="宋体"/>
                <w:kern w:val="0"/>
                <w:szCs w:val="21"/>
              </w:rPr>
              <w:t>保护</w:t>
            </w:r>
          </w:p>
          <w:p w14:paraId="5FA57463">
            <w:pPr>
              <w:adjustRightInd w:val="0"/>
              <w:snapToGrid w:val="0"/>
              <w:jc w:val="center"/>
              <w:rPr>
                <w:rFonts w:ascii="宋体" w:hAnsi="宋体" w:cs="宋体"/>
                <w:kern w:val="0"/>
                <w:szCs w:val="21"/>
              </w:rPr>
            </w:pPr>
            <w:r>
              <w:rPr>
                <w:rFonts w:hint="eastAsia" w:ascii="宋体" w:hAnsi="宋体" w:cs="宋体"/>
                <w:kern w:val="0"/>
                <w:szCs w:val="21"/>
              </w:rPr>
              <w:t>目标</w:t>
            </w:r>
          </w:p>
        </w:tc>
        <w:tc>
          <w:tcPr>
            <w:tcW w:w="8190" w:type="dxa"/>
          </w:tcPr>
          <w:p w14:paraId="516DB8D3">
            <w:pPr>
              <w:widowControl/>
              <w:spacing w:line="360" w:lineRule="auto"/>
              <w:rPr>
                <w:b/>
                <w:bCs/>
                <w:szCs w:val="21"/>
              </w:rPr>
            </w:pPr>
            <w:r>
              <w:rPr>
                <w:rFonts w:hint="eastAsia"/>
                <w:b/>
                <w:bCs/>
              </w:rPr>
              <w:t>1、</w:t>
            </w:r>
            <w:r>
              <w:rPr>
                <w:rFonts w:hint="eastAsia"/>
                <w:b/>
                <w:bCs/>
                <w:szCs w:val="21"/>
              </w:rPr>
              <w:t>大气环境保护目标</w:t>
            </w:r>
          </w:p>
          <w:p w14:paraId="27FDDEDD">
            <w:pPr>
              <w:pStyle w:val="12"/>
              <w:spacing w:before="0" w:after="0" w:line="360" w:lineRule="auto"/>
              <w:ind w:right="0" w:firstLine="420" w:firstLineChars="200"/>
              <w:rPr>
                <w:color w:val="auto"/>
                <w:sz w:val="21"/>
                <w:szCs w:val="21"/>
              </w:rPr>
            </w:pPr>
            <w:r>
              <w:rPr>
                <w:rFonts w:hint="eastAsia"/>
                <w:sz w:val="21"/>
                <w:szCs w:val="21"/>
              </w:rPr>
              <w:t>本项目大气环境保护</w:t>
            </w:r>
            <w:r>
              <w:rPr>
                <w:rFonts w:hint="eastAsia"/>
                <w:color w:val="auto"/>
                <w:sz w:val="21"/>
                <w:szCs w:val="21"/>
              </w:rPr>
              <w:t>目标见下表3-4，环境保护目标分布图见图3-2。</w:t>
            </w:r>
          </w:p>
          <w:p w14:paraId="45140D9A">
            <w:pPr>
              <w:pStyle w:val="12"/>
              <w:tabs>
                <w:tab w:val="center" w:pos="4794"/>
                <w:tab w:val="left" w:pos="7395"/>
              </w:tabs>
              <w:spacing w:after="0" w:line="360" w:lineRule="auto"/>
              <w:jc w:val="center"/>
              <w:rPr>
                <w:b/>
                <w:bCs/>
                <w:color w:val="auto"/>
                <w:sz w:val="21"/>
                <w:szCs w:val="21"/>
              </w:rPr>
            </w:pPr>
            <w:r>
              <w:rPr>
                <w:rFonts w:hint="eastAsia"/>
                <w:b/>
                <w:bCs/>
                <w:color w:val="auto"/>
                <w:sz w:val="21"/>
                <w:szCs w:val="21"/>
              </w:rPr>
              <w:t>表3-4  环境保护目标一览表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55"/>
              <w:gridCol w:w="1095"/>
              <w:gridCol w:w="1339"/>
              <w:gridCol w:w="1067"/>
              <w:gridCol w:w="1145"/>
              <w:gridCol w:w="1087"/>
              <w:gridCol w:w="1573"/>
            </w:tblGrid>
            <w:tr w14:paraId="2FA17C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411" w:type="pct"/>
                  <w:vAlign w:val="center"/>
                </w:tcPr>
                <w:p w14:paraId="789BB0B0">
                  <w:pPr>
                    <w:widowControl/>
                    <w:jc w:val="center"/>
                    <w:rPr>
                      <w:b/>
                      <w:bCs/>
                      <w:color w:val="auto"/>
                    </w:rPr>
                  </w:pPr>
                  <w:r>
                    <w:rPr>
                      <w:rFonts w:hint="eastAsia"/>
                      <w:b/>
                      <w:bCs/>
                      <w:color w:val="auto"/>
                    </w:rPr>
                    <w:t>序号</w:t>
                  </w:r>
                </w:p>
              </w:tc>
              <w:tc>
                <w:tcPr>
                  <w:tcW w:w="687" w:type="pct"/>
                  <w:vAlign w:val="center"/>
                </w:tcPr>
                <w:p w14:paraId="53BEEC1E">
                  <w:pPr>
                    <w:widowControl/>
                    <w:jc w:val="center"/>
                    <w:rPr>
                      <w:b/>
                      <w:bCs/>
                      <w:color w:val="auto"/>
                    </w:rPr>
                  </w:pPr>
                  <w:r>
                    <w:rPr>
                      <w:b/>
                      <w:bCs/>
                      <w:color w:val="auto"/>
                    </w:rPr>
                    <w:t>保护</w:t>
                  </w:r>
                  <w:r>
                    <w:rPr>
                      <w:rFonts w:hint="eastAsia"/>
                      <w:b/>
                      <w:bCs/>
                      <w:color w:val="auto"/>
                    </w:rPr>
                    <w:t>项目</w:t>
                  </w:r>
                </w:p>
              </w:tc>
              <w:tc>
                <w:tcPr>
                  <w:tcW w:w="840" w:type="pct"/>
                  <w:tcBorders>
                    <w:bottom w:val="single" w:color="auto" w:sz="4" w:space="0"/>
                  </w:tcBorders>
                  <w:vAlign w:val="center"/>
                </w:tcPr>
                <w:p w14:paraId="3641A929">
                  <w:pPr>
                    <w:widowControl/>
                    <w:jc w:val="center"/>
                    <w:rPr>
                      <w:b/>
                      <w:bCs/>
                      <w:color w:val="auto"/>
                    </w:rPr>
                  </w:pPr>
                  <w:r>
                    <w:rPr>
                      <w:rFonts w:hint="eastAsia"/>
                      <w:b/>
                      <w:bCs/>
                      <w:color w:val="auto"/>
                    </w:rPr>
                    <w:t>保护目标</w:t>
                  </w:r>
                </w:p>
              </w:tc>
              <w:tc>
                <w:tcPr>
                  <w:tcW w:w="670" w:type="pct"/>
                  <w:tcBorders>
                    <w:bottom w:val="single" w:color="auto" w:sz="4" w:space="0"/>
                  </w:tcBorders>
                  <w:vAlign w:val="center"/>
                </w:tcPr>
                <w:p w14:paraId="382BC39D">
                  <w:pPr>
                    <w:widowControl/>
                    <w:jc w:val="center"/>
                    <w:rPr>
                      <w:b/>
                      <w:bCs/>
                      <w:color w:val="auto"/>
                    </w:rPr>
                  </w:pPr>
                  <w:r>
                    <w:rPr>
                      <w:rFonts w:hint="eastAsia"/>
                      <w:b/>
                      <w:bCs/>
                      <w:color w:val="auto"/>
                    </w:rPr>
                    <w:t>方位</w:t>
                  </w:r>
                </w:p>
              </w:tc>
              <w:tc>
                <w:tcPr>
                  <w:tcW w:w="719" w:type="pct"/>
                  <w:tcBorders>
                    <w:bottom w:val="single" w:color="auto" w:sz="4" w:space="0"/>
                  </w:tcBorders>
                  <w:vAlign w:val="center"/>
                </w:tcPr>
                <w:p w14:paraId="7AC15755">
                  <w:pPr>
                    <w:widowControl/>
                    <w:jc w:val="center"/>
                    <w:rPr>
                      <w:b/>
                      <w:bCs/>
                      <w:color w:val="auto"/>
                    </w:rPr>
                  </w:pPr>
                  <w:r>
                    <w:rPr>
                      <w:rFonts w:hint="eastAsia"/>
                      <w:b/>
                      <w:bCs/>
                      <w:color w:val="auto"/>
                    </w:rPr>
                    <w:t>距离</w:t>
                  </w:r>
                </w:p>
              </w:tc>
              <w:tc>
                <w:tcPr>
                  <w:tcW w:w="682" w:type="pct"/>
                  <w:tcBorders>
                    <w:bottom w:val="single" w:color="auto" w:sz="4" w:space="0"/>
                    <w:right w:val="single" w:color="auto" w:sz="4" w:space="0"/>
                  </w:tcBorders>
                  <w:vAlign w:val="center"/>
                </w:tcPr>
                <w:p w14:paraId="577EA105">
                  <w:pPr>
                    <w:widowControl/>
                    <w:jc w:val="center"/>
                    <w:rPr>
                      <w:b/>
                      <w:bCs/>
                      <w:color w:val="auto"/>
                    </w:rPr>
                  </w:pPr>
                  <w:r>
                    <w:rPr>
                      <w:b/>
                      <w:bCs/>
                      <w:color w:val="auto"/>
                    </w:rPr>
                    <w:t>影响人数</w:t>
                  </w:r>
                </w:p>
              </w:tc>
              <w:tc>
                <w:tcPr>
                  <w:tcW w:w="987" w:type="pct"/>
                  <w:tcBorders>
                    <w:left w:val="single" w:color="auto" w:sz="4" w:space="0"/>
                    <w:bottom w:val="single" w:color="auto" w:sz="4" w:space="0"/>
                  </w:tcBorders>
                  <w:vAlign w:val="center"/>
                </w:tcPr>
                <w:p w14:paraId="073998F9">
                  <w:pPr>
                    <w:widowControl/>
                    <w:jc w:val="center"/>
                    <w:rPr>
                      <w:b/>
                      <w:bCs/>
                      <w:color w:val="auto"/>
                    </w:rPr>
                  </w:pPr>
                  <w:r>
                    <w:rPr>
                      <w:b/>
                      <w:bCs/>
                      <w:color w:val="auto"/>
                    </w:rPr>
                    <w:t>控制目标</w:t>
                  </w:r>
                </w:p>
              </w:tc>
            </w:tr>
            <w:tr w14:paraId="24DAC3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11" w:type="pct"/>
                  <w:vAlign w:val="center"/>
                </w:tcPr>
                <w:p w14:paraId="464E6FA5">
                  <w:pPr>
                    <w:widowControl/>
                    <w:jc w:val="center"/>
                    <w:rPr>
                      <w:color w:val="auto"/>
                    </w:rPr>
                  </w:pPr>
                  <w:r>
                    <w:rPr>
                      <w:rFonts w:hint="eastAsia"/>
                      <w:color w:val="auto"/>
                    </w:rPr>
                    <w:t>1</w:t>
                  </w:r>
                </w:p>
              </w:tc>
              <w:tc>
                <w:tcPr>
                  <w:tcW w:w="687" w:type="pct"/>
                  <w:vAlign w:val="center"/>
                </w:tcPr>
                <w:p w14:paraId="1BCCAD43">
                  <w:pPr>
                    <w:widowControl/>
                    <w:jc w:val="center"/>
                    <w:rPr>
                      <w:color w:val="auto"/>
                    </w:rPr>
                  </w:pPr>
                  <w:r>
                    <w:rPr>
                      <w:rFonts w:hint="eastAsia"/>
                      <w:color w:val="auto"/>
                      <w:lang w:eastAsia="zh-CN"/>
                    </w:rPr>
                    <w:t>大气环境</w:t>
                  </w:r>
                </w:p>
              </w:tc>
              <w:tc>
                <w:tcPr>
                  <w:tcW w:w="840" w:type="pct"/>
                  <w:tcBorders>
                    <w:right w:val="single" w:color="auto" w:sz="4" w:space="0"/>
                  </w:tcBorders>
                  <w:vAlign w:val="center"/>
                </w:tcPr>
                <w:p w14:paraId="563408B8">
                  <w:pPr>
                    <w:widowControl/>
                    <w:jc w:val="center"/>
                    <w:rPr>
                      <w:rFonts w:hint="default" w:eastAsia="宋体"/>
                      <w:color w:val="auto"/>
                      <w:lang w:val="en-US" w:eastAsia="zh-CN"/>
                    </w:rPr>
                  </w:pPr>
                  <w:r>
                    <w:rPr>
                      <w:rFonts w:hint="eastAsia"/>
                      <w:color w:val="auto"/>
                      <w:lang w:val="en-US" w:eastAsia="zh-CN"/>
                    </w:rPr>
                    <w:t>130团6连</w:t>
                  </w:r>
                </w:p>
              </w:tc>
              <w:tc>
                <w:tcPr>
                  <w:tcW w:w="670" w:type="pct"/>
                  <w:tcBorders>
                    <w:right w:val="single" w:color="auto" w:sz="4" w:space="0"/>
                  </w:tcBorders>
                  <w:vAlign w:val="center"/>
                </w:tcPr>
                <w:p w14:paraId="198459E0">
                  <w:pPr>
                    <w:pStyle w:val="37"/>
                    <w:spacing w:line="240" w:lineRule="auto"/>
                    <w:ind w:firstLine="0" w:firstLineChars="0"/>
                    <w:jc w:val="center"/>
                    <w:rPr>
                      <w:rFonts w:hint="eastAsia" w:eastAsia="宋体" w:cs="Times New Roman"/>
                      <w:color w:val="auto"/>
                      <w:sz w:val="21"/>
                      <w:szCs w:val="24"/>
                      <w:lang w:val="en-US" w:eastAsia="zh-CN"/>
                    </w:rPr>
                  </w:pPr>
                  <w:r>
                    <w:rPr>
                      <w:rFonts w:hint="eastAsia" w:cs="Times New Roman"/>
                      <w:color w:val="auto"/>
                      <w:sz w:val="21"/>
                      <w:szCs w:val="24"/>
                      <w:lang w:val="en-US" w:eastAsia="zh-CN"/>
                    </w:rPr>
                    <w:t>西南</w:t>
                  </w:r>
                </w:p>
              </w:tc>
              <w:tc>
                <w:tcPr>
                  <w:tcW w:w="719" w:type="pct"/>
                  <w:tcBorders>
                    <w:right w:val="single" w:color="auto" w:sz="4" w:space="0"/>
                  </w:tcBorders>
                  <w:vAlign w:val="center"/>
                </w:tcPr>
                <w:p w14:paraId="0E26764B">
                  <w:pPr>
                    <w:pStyle w:val="37"/>
                    <w:spacing w:line="240" w:lineRule="auto"/>
                    <w:ind w:firstLine="0" w:firstLineChars="0"/>
                    <w:jc w:val="center"/>
                    <w:rPr>
                      <w:rFonts w:hint="default" w:eastAsia="宋体" w:cs="Times New Roman"/>
                      <w:color w:val="auto"/>
                      <w:sz w:val="21"/>
                      <w:szCs w:val="24"/>
                      <w:lang w:val="en-US" w:eastAsia="zh-CN"/>
                    </w:rPr>
                  </w:pPr>
                  <w:r>
                    <w:rPr>
                      <w:rFonts w:hint="eastAsia" w:cs="Times New Roman"/>
                      <w:color w:val="auto"/>
                      <w:sz w:val="21"/>
                      <w:szCs w:val="24"/>
                      <w:lang w:val="en-US" w:eastAsia="zh-CN"/>
                    </w:rPr>
                    <w:t>1200m</w:t>
                  </w:r>
                </w:p>
              </w:tc>
              <w:tc>
                <w:tcPr>
                  <w:tcW w:w="682" w:type="pct"/>
                  <w:tcBorders>
                    <w:right w:val="single" w:color="auto" w:sz="4" w:space="0"/>
                  </w:tcBorders>
                  <w:vAlign w:val="center"/>
                </w:tcPr>
                <w:p w14:paraId="05DA713D">
                  <w:pPr>
                    <w:widowControl/>
                    <w:jc w:val="center"/>
                    <w:rPr>
                      <w:rFonts w:hint="default" w:eastAsia="宋体"/>
                      <w:color w:val="auto"/>
                      <w:lang w:val="en-US" w:eastAsia="zh-CN"/>
                    </w:rPr>
                  </w:pPr>
                  <w:r>
                    <w:rPr>
                      <w:rFonts w:hint="eastAsia"/>
                      <w:color w:val="auto"/>
                      <w:lang w:val="en-US" w:eastAsia="zh-CN"/>
                    </w:rPr>
                    <w:t>300</w:t>
                  </w:r>
                </w:p>
              </w:tc>
              <w:tc>
                <w:tcPr>
                  <w:tcW w:w="987" w:type="pct"/>
                  <w:tcBorders>
                    <w:left w:val="single" w:color="auto" w:sz="4" w:space="0"/>
                  </w:tcBorders>
                  <w:vAlign w:val="center"/>
                </w:tcPr>
                <w:p w14:paraId="781B7C98">
                  <w:pPr>
                    <w:widowControl/>
                    <w:jc w:val="center"/>
                    <w:rPr>
                      <w:rFonts w:hint="eastAsia" w:eastAsia="宋体"/>
                      <w:color w:val="auto"/>
                      <w:lang w:val="en-US" w:eastAsia="zh-CN"/>
                    </w:rPr>
                  </w:pPr>
                  <w:r>
                    <w:rPr>
                      <w:rFonts w:hint="eastAsia"/>
                      <w:color w:val="auto"/>
                      <w:lang w:val="en-US" w:eastAsia="zh-CN"/>
                    </w:rPr>
                    <w:t>/</w:t>
                  </w:r>
                </w:p>
              </w:tc>
            </w:tr>
          </w:tbl>
          <w:p w14:paraId="25623526">
            <w:pPr>
              <w:widowControl/>
              <w:spacing w:line="360" w:lineRule="auto"/>
              <w:rPr>
                <w:b/>
                <w:bCs/>
              </w:rPr>
            </w:pPr>
            <w:r>
              <w:rPr>
                <w:b/>
                <w:bCs/>
              </w:rPr>
              <w:t>2</w:t>
            </w:r>
            <w:r>
              <w:rPr>
                <w:rFonts w:hint="eastAsia"/>
                <w:b/>
                <w:bCs/>
              </w:rPr>
              <w:t>、水环境保护目标</w:t>
            </w:r>
          </w:p>
          <w:p w14:paraId="3ECA143A">
            <w:pPr>
              <w:widowControl/>
              <w:spacing w:line="360" w:lineRule="auto"/>
              <w:ind w:firstLine="420" w:firstLineChars="200"/>
            </w:pPr>
            <w:r>
              <w:t>本项目用地范围厂界外500m范围内无地下水集中式使用水水源和热水、矿泉水、温泉等特殊地下水资源，不涉及饮用水水源保护区、饮用水取水口、自然保护区、风景名胜区，重要湿地、重点保护与珍稀水生生物的栖息地、重要水生生物的自然产卵场及索饵场、越冬场和洄游通道，天然渔场等渔业水体，以及水产种质资源保护区等敏感目标。</w:t>
            </w:r>
          </w:p>
          <w:p w14:paraId="527E39B1">
            <w:pPr>
              <w:widowControl/>
              <w:spacing w:line="360" w:lineRule="auto"/>
              <w:rPr>
                <w:b/>
                <w:bCs/>
              </w:rPr>
            </w:pPr>
            <w:r>
              <w:rPr>
                <w:b/>
                <w:bCs/>
              </w:rPr>
              <w:t>3</w:t>
            </w:r>
            <w:r>
              <w:rPr>
                <w:rFonts w:hint="eastAsia"/>
                <w:b/>
                <w:bCs/>
              </w:rPr>
              <w:t>、声环境保护目标</w:t>
            </w:r>
          </w:p>
          <w:p w14:paraId="1E5FF1A5">
            <w:pPr>
              <w:widowControl/>
              <w:spacing w:line="360" w:lineRule="auto"/>
              <w:ind w:firstLine="420" w:firstLineChars="200"/>
            </w:pPr>
            <w:r>
              <w:rPr>
                <w:rFonts w:hint="eastAsia"/>
              </w:rPr>
              <w:t>本项目厂界外周边50米无声环境保护目标。</w:t>
            </w:r>
          </w:p>
          <w:p w14:paraId="2763C388">
            <w:pPr>
              <w:widowControl/>
              <w:spacing w:line="360" w:lineRule="auto"/>
              <w:rPr>
                <w:b/>
                <w:bCs/>
              </w:rPr>
            </w:pPr>
            <w:r>
              <w:rPr>
                <w:b/>
                <w:bCs/>
              </w:rPr>
              <w:t>4、</w:t>
            </w:r>
            <w:r>
              <w:rPr>
                <w:rFonts w:hint="eastAsia"/>
                <w:b/>
                <w:bCs/>
              </w:rPr>
              <w:t>生态</w:t>
            </w:r>
            <w:r>
              <w:rPr>
                <w:b/>
                <w:bCs/>
              </w:rPr>
              <w:t>保护目标</w:t>
            </w:r>
          </w:p>
          <w:p w14:paraId="42F64BE4">
            <w:pPr>
              <w:widowControl/>
              <w:spacing w:line="360" w:lineRule="auto"/>
              <w:ind w:firstLine="420" w:firstLineChars="200"/>
            </w:pPr>
            <w:r>
              <w:rPr>
                <w:rFonts w:hint="eastAsia"/>
              </w:rPr>
              <w:t>经勘查，项目区范围内</w:t>
            </w:r>
            <w:r>
              <w:t>无生态环境保护目标。</w:t>
            </w:r>
          </w:p>
        </w:tc>
      </w:tr>
      <w:tr w14:paraId="640ADF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9" w:hRule="atLeast"/>
          <w:jc w:val="center"/>
        </w:trPr>
        <w:tc>
          <w:tcPr>
            <w:tcW w:w="800" w:type="dxa"/>
            <w:tcMar>
              <w:left w:w="28" w:type="dxa"/>
              <w:right w:w="28" w:type="dxa"/>
            </w:tcMar>
            <w:vAlign w:val="center"/>
          </w:tcPr>
          <w:p w14:paraId="7727CF19">
            <w:pPr>
              <w:adjustRightInd w:val="0"/>
              <w:snapToGrid w:val="0"/>
              <w:jc w:val="center"/>
              <w:rPr>
                <w:rFonts w:ascii="宋体" w:hAnsi="宋体" w:cs="宋体"/>
                <w:kern w:val="0"/>
                <w:szCs w:val="21"/>
              </w:rPr>
            </w:pPr>
            <w:r>
              <w:rPr>
                <w:rFonts w:hint="eastAsia" w:ascii="宋体" w:hAnsi="宋体" w:cs="宋体"/>
                <w:kern w:val="0"/>
                <w:szCs w:val="21"/>
              </w:rPr>
              <w:t>污染</w:t>
            </w:r>
          </w:p>
          <w:p w14:paraId="62520D24">
            <w:pPr>
              <w:adjustRightInd w:val="0"/>
              <w:snapToGrid w:val="0"/>
              <w:jc w:val="center"/>
              <w:rPr>
                <w:rFonts w:ascii="宋体" w:hAnsi="宋体" w:cs="宋体"/>
                <w:kern w:val="0"/>
                <w:szCs w:val="21"/>
              </w:rPr>
            </w:pPr>
            <w:r>
              <w:rPr>
                <w:rFonts w:hint="eastAsia" w:ascii="宋体" w:hAnsi="宋体" w:cs="宋体"/>
                <w:kern w:val="0"/>
                <w:szCs w:val="21"/>
              </w:rPr>
              <w:t>物排</w:t>
            </w:r>
          </w:p>
          <w:p w14:paraId="0056CE8D">
            <w:pPr>
              <w:adjustRightInd w:val="0"/>
              <w:snapToGrid w:val="0"/>
              <w:jc w:val="center"/>
              <w:rPr>
                <w:rFonts w:ascii="宋体" w:hAnsi="宋体" w:cs="宋体"/>
                <w:kern w:val="0"/>
                <w:szCs w:val="21"/>
              </w:rPr>
            </w:pPr>
            <w:r>
              <w:rPr>
                <w:rFonts w:hint="eastAsia" w:ascii="宋体" w:hAnsi="宋体" w:cs="宋体"/>
                <w:kern w:val="0"/>
                <w:szCs w:val="21"/>
              </w:rPr>
              <w:t>放控</w:t>
            </w:r>
          </w:p>
          <w:p w14:paraId="36BC8225">
            <w:pPr>
              <w:adjustRightInd w:val="0"/>
              <w:snapToGrid w:val="0"/>
              <w:jc w:val="center"/>
              <w:rPr>
                <w:rFonts w:ascii="宋体" w:hAnsi="宋体" w:cs="宋体"/>
                <w:kern w:val="0"/>
                <w:szCs w:val="21"/>
              </w:rPr>
            </w:pPr>
            <w:r>
              <w:rPr>
                <w:rFonts w:hint="eastAsia" w:ascii="宋体" w:hAnsi="宋体" w:cs="宋体"/>
                <w:kern w:val="0"/>
                <w:szCs w:val="21"/>
              </w:rPr>
              <w:t>制标</w:t>
            </w:r>
          </w:p>
          <w:p w14:paraId="50B8E0A8">
            <w:pPr>
              <w:adjustRightInd w:val="0"/>
              <w:snapToGrid w:val="0"/>
              <w:jc w:val="center"/>
              <w:rPr>
                <w:rFonts w:ascii="宋体" w:hAnsi="宋体" w:cs="宋体"/>
                <w:kern w:val="0"/>
                <w:szCs w:val="21"/>
              </w:rPr>
            </w:pPr>
            <w:r>
              <w:rPr>
                <w:rFonts w:hint="eastAsia" w:ascii="宋体" w:hAnsi="宋体" w:cs="宋体"/>
                <w:kern w:val="0"/>
                <w:szCs w:val="21"/>
              </w:rPr>
              <w:t>准</w:t>
            </w:r>
          </w:p>
        </w:tc>
        <w:tc>
          <w:tcPr>
            <w:tcW w:w="8190" w:type="dxa"/>
          </w:tcPr>
          <w:p w14:paraId="3C6968DF">
            <w:pPr>
              <w:snapToGrid w:val="0"/>
              <w:spacing w:line="360" w:lineRule="auto"/>
              <w:rPr>
                <w:rFonts w:hint="eastAsia"/>
                <w:b/>
                <w:bCs/>
                <w:color w:val="auto"/>
                <w:szCs w:val="21"/>
                <w:lang w:eastAsia="zh-CN"/>
              </w:rPr>
            </w:pPr>
            <w:r>
              <w:rPr>
                <w:rFonts w:hint="eastAsia"/>
                <w:b/>
                <w:bCs/>
                <w:color w:val="auto"/>
                <w:szCs w:val="21"/>
                <w:lang w:eastAsia="zh-CN"/>
              </w:rPr>
              <w:t>施工期</w:t>
            </w:r>
          </w:p>
          <w:p w14:paraId="32F0E265">
            <w:pPr>
              <w:snapToGrid w:val="0"/>
              <w:spacing w:line="360" w:lineRule="auto"/>
              <w:rPr>
                <w:rFonts w:hint="eastAsia"/>
                <w:b/>
                <w:bCs/>
                <w:color w:val="auto"/>
                <w:szCs w:val="21"/>
                <w:lang w:val="en-US" w:eastAsia="zh-CN"/>
              </w:rPr>
            </w:pPr>
            <w:r>
              <w:rPr>
                <w:rFonts w:hint="eastAsia"/>
                <w:b/>
                <w:bCs/>
                <w:color w:val="auto"/>
                <w:szCs w:val="21"/>
                <w:lang w:val="en-US" w:eastAsia="zh-CN"/>
              </w:rPr>
              <w:t>1、大气污染物</w:t>
            </w:r>
          </w:p>
          <w:p w14:paraId="6B15317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420" w:firstLineChars="200"/>
              <w:jc w:val="left"/>
              <w:textAlignment w:val="auto"/>
              <w:rPr>
                <w:rFonts w:hint="eastAsia"/>
                <w:color w:val="auto"/>
                <w:szCs w:val="21"/>
                <w:lang w:val="en-US" w:eastAsia="zh-CN"/>
              </w:rPr>
            </w:pPr>
            <w:r>
              <w:rPr>
                <w:rFonts w:hint="eastAsia"/>
                <w:color w:val="auto"/>
                <w:szCs w:val="21"/>
                <w:lang w:val="en-US" w:eastAsia="zh-CN"/>
              </w:rPr>
              <w:t>施工期大气污染物执行</w:t>
            </w:r>
            <w:r>
              <w:rPr>
                <w:rFonts w:hint="default"/>
                <w:color w:val="auto"/>
                <w:szCs w:val="21"/>
                <w:lang w:val="en-US" w:eastAsia="zh-CN"/>
              </w:rPr>
              <w:t>《大气污染物综合排放标准》（</w:t>
            </w:r>
            <w:r>
              <w:rPr>
                <w:rFonts w:hint="eastAsia"/>
                <w:color w:val="auto"/>
                <w:szCs w:val="21"/>
                <w:lang w:val="en-US" w:eastAsia="zh-CN"/>
              </w:rPr>
              <w:t>GB</w:t>
            </w:r>
            <w:r>
              <w:rPr>
                <w:rFonts w:hint="default"/>
                <w:color w:val="auto"/>
                <w:szCs w:val="21"/>
                <w:lang w:val="en-US" w:eastAsia="zh-CN"/>
              </w:rPr>
              <w:t>16297-1996）标准</w:t>
            </w:r>
            <w:r>
              <w:rPr>
                <w:rFonts w:hint="default" w:ascii="Times New Roman" w:hAnsi="Times New Roman" w:eastAsia="宋体" w:cs="Times New Roman"/>
                <w:b w:val="0"/>
                <w:bCs w:val="0"/>
                <w:color w:val="auto"/>
                <w:kern w:val="2"/>
                <w:sz w:val="21"/>
                <w:szCs w:val="21"/>
                <w:highlight w:val="none"/>
                <w:lang w:val="en-US" w:eastAsia="zh-CN" w:bidi="ar-SA"/>
              </w:rPr>
              <w:t>表2中二级标准</w:t>
            </w:r>
            <w:r>
              <w:rPr>
                <w:rFonts w:hint="eastAsia"/>
                <w:color w:val="auto"/>
                <w:szCs w:val="21"/>
                <w:lang w:val="en-US" w:eastAsia="zh-CN"/>
              </w:rPr>
              <w:t>。</w:t>
            </w:r>
          </w:p>
          <w:p w14:paraId="0FE5CCE4">
            <w:pPr>
              <w:rPr>
                <w:rFonts w:hint="eastAsia"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2、噪声</w:t>
            </w:r>
          </w:p>
          <w:p w14:paraId="74FFDB7A">
            <w:pPr>
              <w:pStyle w:val="5"/>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施工期噪声执行</w:t>
            </w:r>
            <w:r>
              <w:rPr>
                <w:rFonts w:hint="default" w:ascii="Times New Roman" w:hAnsi="Times New Roman" w:eastAsia="宋体"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建筑施工厂界环境噪声排放标准</w:t>
            </w:r>
            <w:r>
              <w:rPr>
                <w:rFonts w:hint="default" w:ascii="Times New Roman" w:hAnsi="Times New Roman" w:eastAsia="宋体"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GB12523</w:t>
            </w:r>
            <w:r>
              <w:rPr>
                <w:rFonts w:hint="default" w:ascii="Times New Roman" w:hAnsi="Times New Roman" w:eastAsia="宋体"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2011</w:t>
            </w:r>
            <w:r>
              <w:rPr>
                <w:rFonts w:hint="default" w:ascii="Times New Roman" w:hAnsi="Times New Roman" w:eastAsia="宋体" w:cs="Times New Roman"/>
                <w:b w:val="0"/>
                <w:bCs w:val="0"/>
                <w:color w:val="auto"/>
                <w:kern w:val="2"/>
                <w:sz w:val="21"/>
                <w:szCs w:val="21"/>
                <w:lang w:val="en-US" w:eastAsia="zh-CN" w:bidi="ar-SA"/>
              </w:rPr>
              <w:t>）表</w:t>
            </w:r>
            <w:r>
              <w:rPr>
                <w:rFonts w:hint="eastAsia" w:ascii="Times New Roman" w:hAnsi="Times New Roman" w:eastAsia="宋体" w:cs="Times New Roman"/>
                <w:b w:val="0"/>
                <w:bCs w:val="0"/>
                <w:color w:val="auto"/>
                <w:kern w:val="2"/>
                <w:sz w:val="21"/>
                <w:szCs w:val="21"/>
                <w:lang w:val="en-US" w:eastAsia="zh-CN" w:bidi="ar-SA"/>
              </w:rPr>
              <w:t>1中排放标准限值，具体见表3-6。</w:t>
            </w:r>
          </w:p>
          <w:p w14:paraId="1EB5DC0D">
            <w:pPr>
              <w:snapToGrid w:val="0"/>
              <w:jc w:val="center"/>
              <w:rPr>
                <w:b/>
                <w:bCs/>
                <w:color w:val="auto"/>
                <w:szCs w:val="21"/>
              </w:rPr>
            </w:pPr>
            <w:r>
              <w:rPr>
                <w:rFonts w:hint="eastAsia"/>
                <w:b/>
                <w:bCs/>
                <w:color w:val="auto"/>
                <w:szCs w:val="21"/>
              </w:rPr>
              <w:t>表3-</w:t>
            </w:r>
            <w:r>
              <w:rPr>
                <w:rFonts w:hint="eastAsia"/>
                <w:b/>
                <w:bCs/>
                <w:color w:val="auto"/>
                <w:szCs w:val="21"/>
                <w:lang w:val="en-US" w:eastAsia="zh-CN"/>
              </w:rPr>
              <w:t>6</w:t>
            </w:r>
            <w:r>
              <w:rPr>
                <w:rFonts w:hint="eastAsia"/>
                <w:b/>
                <w:bCs/>
                <w:color w:val="auto"/>
                <w:szCs w:val="21"/>
              </w:rPr>
              <w:t xml:space="preserve">  </w:t>
            </w:r>
            <w:r>
              <w:rPr>
                <w:rFonts w:hint="eastAsia"/>
                <w:b/>
                <w:bCs/>
                <w:color w:val="auto"/>
                <w:szCs w:val="21"/>
                <w:lang w:eastAsia="zh-CN"/>
              </w:rPr>
              <w:t>建筑施工</w:t>
            </w:r>
            <w:r>
              <w:rPr>
                <w:b/>
                <w:bCs/>
                <w:color w:val="auto"/>
                <w:szCs w:val="21"/>
              </w:rPr>
              <w:t>厂界环境噪声排放标准</w:t>
            </w:r>
            <w:r>
              <w:rPr>
                <w:rFonts w:hint="eastAsia"/>
                <w:b/>
                <w:bCs/>
                <w:color w:val="auto"/>
                <w:szCs w:val="21"/>
              </w:rPr>
              <w:t xml:space="preserve">   </w:t>
            </w:r>
            <w:r>
              <w:rPr>
                <w:b/>
                <w:bCs/>
                <w:color w:val="auto"/>
                <w:szCs w:val="21"/>
              </w:rPr>
              <w:t>单位：dB（A）</w:t>
            </w:r>
          </w:p>
          <w:tbl>
            <w:tblPr>
              <w:tblStyle w:val="30"/>
              <w:tblW w:w="79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5"/>
              <w:gridCol w:w="4083"/>
            </w:tblGrid>
            <w:tr w14:paraId="2B691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5" w:type="dxa"/>
                  <w:tcBorders>
                    <w:top w:val="single" w:color="auto" w:sz="4" w:space="0"/>
                    <w:left w:val="single" w:color="auto" w:sz="4" w:space="0"/>
                    <w:bottom w:val="single" w:color="auto" w:sz="4" w:space="0"/>
                    <w:right w:val="single" w:color="auto" w:sz="4" w:space="0"/>
                    <w:tl2br w:val="nil"/>
                    <w:tr2bl w:val="nil"/>
                  </w:tcBorders>
                </w:tcPr>
                <w:p w14:paraId="583402B4">
                  <w:pPr>
                    <w:jc w:val="center"/>
                    <w:rPr>
                      <w:b/>
                      <w:color w:val="auto"/>
                      <w:szCs w:val="21"/>
                    </w:rPr>
                  </w:pPr>
                  <w:r>
                    <w:rPr>
                      <w:b/>
                      <w:color w:val="auto"/>
                      <w:szCs w:val="21"/>
                    </w:rPr>
                    <w:t>昼间</w:t>
                  </w:r>
                </w:p>
              </w:tc>
              <w:tc>
                <w:tcPr>
                  <w:tcW w:w="4083" w:type="dxa"/>
                  <w:tcBorders>
                    <w:top w:val="single" w:color="auto" w:sz="4" w:space="0"/>
                    <w:left w:val="single" w:color="auto" w:sz="4" w:space="0"/>
                    <w:bottom w:val="single" w:color="auto" w:sz="4" w:space="0"/>
                    <w:right w:val="single" w:color="auto" w:sz="4" w:space="0"/>
                    <w:tl2br w:val="nil"/>
                    <w:tr2bl w:val="nil"/>
                  </w:tcBorders>
                </w:tcPr>
                <w:p w14:paraId="69A9647D">
                  <w:pPr>
                    <w:jc w:val="center"/>
                    <w:rPr>
                      <w:b/>
                      <w:color w:val="auto"/>
                      <w:szCs w:val="21"/>
                    </w:rPr>
                  </w:pPr>
                  <w:r>
                    <w:rPr>
                      <w:b/>
                      <w:color w:val="auto"/>
                      <w:szCs w:val="21"/>
                    </w:rPr>
                    <w:t>夜间</w:t>
                  </w:r>
                </w:p>
              </w:tc>
            </w:tr>
            <w:tr w14:paraId="5235B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3895" w:type="dxa"/>
                  <w:tcBorders>
                    <w:top w:val="single" w:color="auto" w:sz="4" w:space="0"/>
                    <w:left w:val="single" w:color="auto" w:sz="4" w:space="0"/>
                    <w:bottom w:val="single" w:color="auto" w:sz="4" w:space="0"/>
                    <w:right w:val="single" w:color="auto" w:sz="4" w:space="0"/>
                    <w:tl2br w:val="nil"/>
                    <w:tr2bl w:val="nil"/>
                  </w:tcBorders>
                </w:tcPr>
                <w:p w14:paraId="717DDFD9">
                  <w:pPr>
                    <w:jc w:val="center"/>
                    <w:rPr>
                      <w:rFonts w:hint="default" w:eastAsia="宋体"/>
                      <w:bCs/>
                      <w:color w:val="auto"/>
                      <w:szCs w:val="21"/>
                      <w:lang w:val="en-US" w:eastAsia="zh-CN"/>
                    </w:rPr>
                  </w:pPr>
                  <w:r>
                    <w:rPr>
                      <w:rFonts w:hint="eastAsia"/>
                      <w:bCs/>
                      <w:color w:val="auto"/>
                      <w:szCs w:val="21"/>
                      <w:lang w:val="en-US" w:eastAsia="zh-CN"/>
                    </w:rPr>
                    <w:t>70</w:t>
                  </w:r>
                </w:p>
              </w:tc>
              <w:tc>
                <w:tcPr>
                  <w:tcW w:w="4083" w:type="dxa"/>
                  <w:tcBorders>
                    <w:top w:val="single" w:color="auto" w:sz="4" w:space="0"/>
                    <w:left w:val="single" w:color="auto" w:sz="4" w:space="0"/>
                    <w:bottom w:val="single" w:color="auto" w:sz="4" w:space="0"/>
                    <w:right w:val="single" w:color="auto" w:sz="4" w:space="0"/>
                    <w:tl2br w:val="nil"/>
                    <w:tr2bl w:val="nil"/>
                  </w:tcBorders>
                </w:tcPr>
                <w:p w14:paraId="3C78DAE5">
                  <w:pPr>
                    <w:jc w:val="center"/>
                    <w:rPr>
                      <w:rFonts w:hint="default" w:eastAsia="宋体"/>
                      <w:bCs/>
                      <w:color w:val="auto"/>
                      <w:szCs w:val="21"/>
                      <w:lang w:val="en-US" w:eastAsia="zh-CN"/>
                    </w:rPr>
                  </w:pPr>
                  <w:r>
                    <w:rPr>
                      <w:rFonts w:hint="eastAsia"/>
                      <w:bCs/>
                      <w:color w:val="auto"/>
                      <w:szCs w:val="21"/>
                      <w:lang w:val="en-US" w:eastAsia="zh-CN"/>
                    </w:rPr>
                    <w:t>55</w:t>
                  </w:r>
                </w:p>
              </w:tc>
            </w:tr>
          </w:tbl>
          <w:p w14:paraId="3B4020D2">
            <w:pPr>
              <w:snapToGrid w:val="0"/>
              <w:spacing w:line="360" w:lineRule="auto"/>
              <w:rPr>
                <w:rFonts w:hint="eastAsia"/>
                <w:b/>
                <w:bCs/>
                <w:color w:val="auto"/>
                <w:szCs w:val="21"/>
                <w:lang w:eastAsia="zh-CN"/>
              </w:rPr>
            </w:pPr>
            <w:r>
              <w:rPr>
                <w:rFonts w:hint="eastAsia"/>
                <w:b/>
                <w:bCs/>
                <w:color w:val="auto"/>
                <w:szCs w:val="21"/>
                <w:lang w:eastAsia="zh-CN"/>
              </w:rPr>
              <w:t>运营期</w:t>
            </w:r>
          </w:p>
          <w:p w14:paraId="29571B56">
            <w:pPr>
              <w:snapToGrid w:val="0"/>
              <w:spacing w:line="360" w:lineRule="auto"/>
              <w:rPr>
                <w:b/>
                <w:bCs/>
                <w:color w:val="auto"/>
                <w:szCs w:val="21"/>
              </w:rPr>
            </w:pPr>
            <w:r>
              <w:rPr>
                <w:b/>
                <w:bCs/>
                <w:color w:val="auto"/>
                <w:szCs w:val="21"/>
              </w:rPr>
              <w:t>1、大气污染物：</w:t>
            </w:r>
          </w:p>
          <w:p w14:paraId="3F880D86">
            <w:pPr>
              <w:snapToGrid w:val="0"/>
              <w:spacing w:line="360" w:lineRule="auto"/>
              <w:ind w:firstLine="420" w:firstLineChars="200"/>
              <w:jc w:val="left"/>
              <w:rPr>
                <w:color w:val="auto"/>
                <w:szCs w:val="21"/>
              </w:rPr>
            </w:pPr>
            <w:r>
              <w:rPr>
                <w:rFonts w:hint="eastAsia"/>
                <w:color w:val="auto"/>
                <w:szCs w:val="21"/>
              </w:rPr>
              <w:t>（1）沥青混凝土生产过程中加入骨料、矿粉时产生的粉尘，骨料进入烘干筒加热时产生的粉尘，沥青储罐加热、混合料搅拌时产生的苯并芘、沥青烟、非甲烷总烃和卸料时产生苯并[a]芘、沥青烟、非甲烷总烃执行</w:t>
            </w:r>
            <w:r>
              <w:rPr>
                <w:color w:val="auto"/>
                <w:szCs w:val="21"/>
              </w:rPr>
              <w:t>《大气污染物综合排放标准》（</w:t>
            </w:r>
            <w:r>
              <w:rPr>
                <w:rFonts w:hint="eastAsia"/>
                <w:color w:val="auto"/>
                <w:szCs w:val="21"/>
              </w:rPr>
              <w:t xml:space="preserve">GB </w:t>
            </w:r>
            <w:r>
              <w:rPr>
                <w:color w:val="auto"/>
                <w:szCs w:val="21"/>
              </w:rPr>
              <w:t>16297-1996）表2中二级标准</w:t>
            </w:r>
            <w:r>
              <w:rPr>
                <w:rFonts w:hint="eastAsia"/>
                <w:color w:val="auto"/>
                <w:szCs w:val="21"/>
              </w:rPr>
              <w:t>；</w:t>
            </w:r>
            <w:r>
              <w:rPr>
                <w:rFonts w:hint="eastAsia"/>
                <w:color w:val="auto"/>
                <w:lang w:eastAsia="zh-CN"/>
              </w:rPr>
              <w:t>厂界无组织废气颗粒物、苯并[a]芘、非甲烷总烃应执行《大气污染物综合排放标准》(GB16297-1996)无组织排放标准限值</w:t>
            </w:r>
            <w:r>
              <w:rPr>
                <w:rFonts w:hint="eastAsia"/>
                <w:color w:val="auto"/>
                <w:szCs w:val="21"/>
              </w:rPr>
              <w:t>，具体见表3-5。</w:t>
            </w:r>
          </w:p>
          <w:p w14:paraId="23698E54">
            <w:pPr>
              <w:snapToGrid w:val="0"/>
              <w:spacing w:line="360" w:lineRule="auto"/>
              <w:ind w:firstLine="422" w:firstLineChars="200"/>
              <w:jc w:val="center"/>
              <w:rPr>
                <w:b/>
                <w:bCs/>
                <w:color w:val="auto"/>
                <w:szCs w:val="21"/>
              </w:rPr>
            </w:pPr>
            <w:r>
              <w:rPr>
                <w:rFonts w:hint="eastAsia"/>
                <w:b/>
                <w:bCs/>
                <w:color w:val="auto"/>
                <w:szCs w:val="21"/>
              </w:rPr>
              <w:t xml:space="preserve">表3-5  </w:t>
            </w:r>
            <w:r>
              <w:rPr>
                <w:b/>
                <w:bCs/>
                <w:color w:val="auto"/>
                <w:szCs w:val="21"/>
              </w:rPr>
              <w:t>大气污染物综合排放标准</w:t>
            </w:r>
            <w:r>
              <w:rPr>
                <w:rFonts w:hint="eastAsia"/>
                <w:b/>
                <w:bCs/>
                <w:color w:val="auto"/>
                <w:szCs w:val="21"/>
              </w:rPr>
              <w:t>、挥发性有机物无组织排放控制标准</w:t>
            </w:r>
          </w:p>
          <w:tbl>
            <w:tblPr>
              <w:tblStyle w:val="31"/>
              <w:tblW w:w="7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1000"/>
              <w:gridCol w:w="737"/>
              <w:gridCol w:w="987"/>
              <w:gridCol w:w="1205"/>
              <w:gridCol w:w="1707"/>
              <w:gridCol w:w="1743"/>
            </w:tblGrid>
            <w:tr w14:paraId="0A470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580" w:type="dxa"/>
                  <w:vMerge w:val="restart"/>
                  <w:vAlign w:val="center"/>
                </w:tcPr>
                <w:p w14:paraId="7377AD05">
                  <w:pPr>
                    <w:pStyle w:val="7"/>
                    <w:spacing w:line="240" w:lineRule="atLeast"/>
                    <w:ind w:firstLine="0"/>
                    <w:jc w:val="center"/>
                    <w:rPr>
                      <w:b/>
                      <w:bCs/>
                      <w:color w:val="auto"/>
                      <w:szCs w:val="21"/>
                    </w:rPr>
                  </w:pPr>
                  <w:r>
                    <w:rPr>
                      <w:rFonts w:hint="eastAsia"/>
                      <w:b/>
                      <w:bCs/>
                      <w:color w:val="auto"/>
                      <w:szCs w:val="21"/>
                    </w:rPr>
                    <w:t>污染物</w:t>
                  </w:r>
                </w:p>
              </w:tc>
              <w:tc>
                <w:tcPr>
                  <w:tcW w:w="1000" w:type="dxa"/>
                  <w:vMerge w:val="restart"/>
                  <w:vAlign w:val="center"/>
                </w:tcPr>
                <w:p w14:paraId="559153BC">
                  <w:pPr>
                    <w:pStyle w:val="7"/>
                    <w:spacing w:line="240" w:lineRule="atLeast"/>
                    <w:ind w:firstLine="0"/>
                    <w:jc w:val="center"/>
                    <w:rPr>
                      <w:b/>
                      <w:bCs/>
                      <w:color w:val="auto"/>
                      <w:szCs w:val="21"/>
                    </w:rPr>
                  </w:pPr>
                  <w:r>
                    <w:rPr>
                      <w:rFonts w:hint="eastAsia"/>
                      <w:b/>
                      <w:bCs/>
                      <w:color w:val="auto"/>
                      <w:szCs w:val="21"/>
                    </w:rPr>
                    <w:t>排气筒</w:t>
                  </w:r>
                </w:p>
              </w:tc>
              <w:tc>
                <w:tcPr>
                  <w:tcW w:w="737" w:type="dxa"/>
                  <w:vMerge w:val="restart"/>
                  <w:vAlign w:val="center"/>
                </w:tcPr>
                <w:p w14:paraId="0D81D6B9">
                  <w:pPr>
                    <w:pStyle w:val="7"/>
                    <w:spacing w:line="240" w:lineRule="atLeast"/>
                    <w:ind w:firstLine="0"/>
                    <w:jc w:val="center"/>
                    <w:rPr>
                      <w:b/>
                      <w:bCs/>
                      <w:color w:val="auto"/>
                      <w:szCs w:val="21"/>
                    </w:rPr>
                  </w:pPr>
                  <w:r>
                    <w:rPr>
                      <w:rFonts w:hint="eastAsia"/>
                      <w:b/>
                      <w:bCs/>
                      <w:color w:val="auto"/>
                      <w:szCs w:val="21"/>
                    </w:rPr>
                    <w:t>排放高度（m）</w:t>
                  </w:r>
                </w:p>
              </w:tc>
              <w:tc>
                <w:tcPr>
                  <w:tcW w:w="987" w:type="dxa"/>
                  <w:vMerge w:val="restart"/>
                  <w:vAlign w:val="center"/>
                </w:tcPr>
                <w:p w14:paraId="1F3B5447">
                  <w:pPr>
                    <w:widowControl/>
                    <w:spacing w:line="240" w:lineRule="atLeast"/>
                    <w:jc w:val="center"/>
                    <w:rPr>
                      <w:b/>
                      <w:bCs/>
                      <w:color w:val="auto"/>
                      <w:szCs w:val="21"/>
                    </w:rPr>
                  </w:pPr>
                  <w:r>
                    <w:rPr>
                      <w:rFonts w:hint="eastAsia" w:ascii="宋体" w:hAnsi="宋体" w:cs="宋体"/>
                      <w:b/>
                      <w:bCs/>
                      <w:color w:val="auto"/>
                      <w:kern w:val="0"/>
                      <w:szCs w:val="21"/>
                      <w:lang w:bidi="ar"/>
                    </w:rPr>
                    <w:t>最高允许排放浓度</w:t>
                  </w:r>
                  <w:r>
                    <w:rPr>
                      <w:rFonts w:hint="eastAsia"/>
                      <w:b/>
                      <w:bCs/>
                      <w:color w:val="auto"/>
                      <w:kern w:val="0"/>
                      <w:szCs w:val="21"/>
                      <w:lang w:bidi="ar"/>
                    </w:rPr>
                    <w:t>（</w:t>
                  </w:r>
                  <w:r>
                    <w:rPr>
                      <w:b/>
                      <w:bCs/>
                      <w:color w:val="auto"/>
                      <w:kern w:val="0"/>
                      <w:szCs w:val="21"/>
                      <w:lang w:bidi="ar"/>
                    </w:rPr>
                    <w:t>mg/m</w:t>
                  </w:r>
                  <w:r>
                    <w:rPr>
                      <w:b/>
                      <w:bCs/>
                      <w:color w:val="auto"/>
                      <w:kern w:val="0"/>
                      <w:szCs w:val="21"/>
                      <w:vertAlign w:val="superscript"/>
                      <w:lang w:bidi="ar"/>
                    </w:rPr>
                    <w:t>3</w:t>
                  </w:r>
                  <w:r>
                    <w:rPr>
                      <w:rFonts w:hint="eastAsia"/>
                      <w:b/>
                      <w:bCs/>
                      <w:color w:val="auto"/>
                      <w:kern w:val="0"/>
                      <w:szCs w:val="21"/>
                      <w:lang w:bidi="ar"/>
                    </w:rPr>
                    <w:t>）</w:t>
                  </w:r>
                </w:p>
              </w:tc>
              <w:tc>
                <w:tcPr>
                  <w:tcW w:w="1205" w:type="dxa"/>
                  <w:vMerge w:val="restart"/>
                  <w:vAlign w:val="center"/>
                </w:tcPr>
                <w:p w14:paraId="3BE811F5">
                  <w:pPr>
                    <w:widowControl/>
                    <w:spacing w:line="240" w:lineRule="atLeast"/>
                    <w:jc w:val="center"/>
                    <w:rPr>
                      <w:b/>
                      <w:bCs/>
                      <w:color w:val="auto"/>
                      <w:szCs w:val="21"/>
                    </w:rPr>
                  </w:pPr>
                  <w:r>
                    <w:rPr>
                      <w:rFonts w:hint="eastAsia" w:ascii="宋体" w:hAnsi="宋体" w:cs="宋体"/>
                      <w:b/>
                      <w:bCs/>
                      <w:color w:val="auto"/>
                      <w:kern w:val="0"/>
                      <w:szCs w:val="21"/>
                      <w:lang w:bidi="ar"/>
                    </w:rPr>
                    <w:t>排放速率</w:t>
                  </w:r>
                </w:p>
                <w:p w14:paraId="0C4C80D9">
                  <w:pPr>
                    <w:widowControl/>
                    <w:spacing w:line="240" w:lineRule="atLeast"/>
                    <w:jc w:val="center"/>
                    <w:rPr>
                      <w:b/>
                      <w:bCs/>
                      <w:color w:val="auto"/>
                      <w:szCs w:val="21"/>
                    </w:rPr>
                  </w:pPr>
                  <w:r>
                    <w:rPr>
                      <w:rFonts w:hint="eastAsia"/>
                      <w:b/>
                      <w:bCs/>
                      <w:color w:val="auto"/>
                      <w:kern w:val="0"/>
                      <w:szCs w:val="21"/>
                      <w:lang w:bidi="ar"/>
                    </w:rPr>
                    <w:t>（</w:t>
                  </w:r>
                  <w:r>
                    <w:rPr>
                      <w:b/>
                      <w:bCs/>
                      <w:color w:val="auto"/>
                      <w:kern w:val="0"/>
                      <w:szCs w:val="21"/>
                      <w:lang w:bidi="ar"/>
                    </w:rPr>
                    <w:t>kg/h</w:t>
                  </w:r>
                  <w:r>
                    <w:rPr>
                      <w:rFonts w:hint="eastAsia"/>
                      <w:b/>
                      <w:bCs/>
                      <w:color w:val="auto"/>
                      <w:kern w:val="0"/>
                      <w:szCs w:val="21"/>
                      <w:lang w:bidi="ar"/>
                    </w:rPr>
                    <w:t>）</w:t>
                  </w:r>
                </w:p>
              </w:tc>
              <w:tc>
                <w:tcPr>
                  <w:tcW w:w="3450" w:type="dxa"/>
                  <w:gridSpan w:val="2"/>
                  <w:vAlign w:val="center"/>
                </w:tcPr>
                <w:p w14:paraId="4C167F2E">
                  <w:pPr>
                    <w:widowControl/>
                    <w:spacing w:line="240" w:lineRule="atLeast"/>
                    <w:jc w:val="center"/>
                    <w:rPr>
                      <w:b/>
                      <w:bCs/>
                      <w:color w:val="auto"/>
                      <w:szCs w:val="21"/>
                    </w:rPr>
                  </w:pPr>
                  <w:r>
                    <w:rPr>
                      <w:rFonts w:hint="eastAsia" w:ascii="宋体" w:hAnsi="宋体" w:cs="宋体"/>
                      <w:b/>
                      <w:bCs/>
                      <w:color w:val="auto"/>
                      <w:kern w:val="0"/>
                      <w:szCs w:val="21"/>
                      <w:lang w:bidi="ar"/>
                    </w:rPr>
                    <w:t>无组织排放监控浓度限值</w:t>
                  </w:r>
                </w:p>
              </w:tc>
            </w:tr>
            <w:tr w14:paraId="06497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580" w:type="dxa"/>
                  <w:vMerge w:val="continue"/>
                  <w:vAlign w:val="center"/>
                </w:tcPr>
                <w:p w14:paraId="5E59AA1F">
                  <w:pPr>
                    <w:pStyle w:val="7"/>
                    <w:spacing w:line="240" w:lineRule="atLeast"/>
                    <w:ind w:firstLine="0"/>
                    <w:jc w:val="center"/>
                    <w:rPr>
                      <w:b/>
                      <w:bCs/>
                      <w:color w:val="auto"/>
                    </w:rPr>
                  </w:pPr>
                </w:p>
              </w:tc>
              <w:tc>
                <w:tcPr>
                  <w:tcW w:w="1000" w:type="dxa"/>
                  <w:vMerge w:val="continue"/>
                  <w:vAlign w:val="center"/>
                </w:tcPr>
                <w:p w14:paraId="378D5EF3">
                  <w:pPr>
                    <w:pStyle w:val="7"/>
                    <w:spacing w:line="240" w:lineRule="atLeast"/>
                    <w:ind w:firstLine="0"/>
                    <w:jc w:val="center"/>
                    <w:rPr>
                      <w:b/>
                      <w:bCs/>
                      <w:color w:val="auto"/>
                    </w:rPr>
                  </w:pPr>
                </w:p>
              </w:tc>
              <w:tc>
                <w:tcPr>
                  <w:tcW w:w="737" w:type="dxa"/>
                  <w:vMerge w:val="continue"/>
                  <w:vAlign w:val="center"/>
                </w:tcPr>
                <w:p w14:paraId="3C901320">
                  <w:pPr>
                    <w:pStyle w:val="7"/>
                    <w:spacing w:line="240" w:lineRule="atLeast"/>
                    <w:ind w:firstLine="0"/>
                    <w:jc w:val="center"/>
                    <w:rPr>
                      <w:b/>
                      <w:bCs/>
                      <w:color w:val="auto"/>
                    </w:rPr>
                  </w:pPr>
                </w:p>
              </w:tc>
              <w:tc>
                <w:tcPr>
                  <w:tcW w:w="987" w:type="dxa"/>
                  <w:vMerge w:val="continue"/>
                  <w:vAlign w:val="center"/>
                </w:tcPr>
                <w:p w14:paraId="7F7AB443">
                  <w:pPr>
                    <w:pStyle w:val="7"/>
                    <w:spacing w:line="240" w:lineRule="atLeast"/>
                    <w:ind w:firstLine="0"/>
                    <w:jc w:val="center"/>
                    <w:rPr>
                      <w:b/>
                      <w:bCs/>
                      <w:color w:val="auto"/>
                    </w:rPr>
                  </w:pPr>
                </w:p>
              </w:tc>
              <w:tc>
                <w:tcPr>
                  <w:tcW w:w="1205" w:type="dxa"/>
                  <w:vMerge w:val="continue"/>
                  <w:vAlign w:val="center"/>
                </w:tcPr>
                <w:p w14:paraId="26B84110">
                  <w:pPr>
                    <w:pStyle w:val="7"/>
                    <w:spacing w:line="240" w:lineRule="atLeast"/>
                    <w:ind w:firstLine="0"/>
                    <w:jc w:val="center"/>
                    <w:rPr>
                      <w:b/>
                      <w:bCs/>
                      <w:color w:val="auto"/>
                    </w:rPr>
                  </w:pPr>
                </w:p>
              </w:tc>
              <w:tc>
                <w:tcPr>
                  <w:tcW w:w="1707" w:type="dxa"/>
                  <w:vAlign w:val="center"/>
                </w:tcPr>
                <w:p w14:paraId="62372491">
                  <w:pPr>
                    <w:widowControl/>
                    <w:spacing w:line="240" w:lineRule="atLeast"/>
                    <w:jc w:val="center"/>
                    <w:rPr>
                      <w:b/>
                      <w:bCs/>
                      <w:color w:val="auto"/>
                    </w:rPr>
                  </w:pPr>
                  <w:r>
                    <w:rPr>
                      <w:rFonts w:hint="eastAsia" w:ascii="宋体" w:hAnsi="宋体" w:cs="宋体"/>
                      <w:b/>
                      <w:bCs/>
                      <w:color w:val="auto"/>
                      <w:kern w:val="0"/>
                      <w:sz w:val="20"/>
                      <w:szCs w:val="20"/>
                      <w:lang w:bidi="ar"/>
                    </w:rPr>
                    <w:t>监控点</w:t>
                  </w:r>
                </w:p>
              </w:tc>
              <w:tc>
                <w:tcPr>
                  <w:tcW w:w="1743" w:type="dxa"/>
                  <w:vAlign w:val="center"/>
                </w:tcPr>
                <w:p w14:paraId="55FC9381">
                  <w:pPr>
                    <w:widowControl/>
                    <w:spacing w:line="240" w:lineRule="atLeast"/>
                    <w:jc w:val="center"/>
                    <w:rPr>
                      <w:b/>
                      <w:bCs/>
                      <w:color w:val="auto"/>
                    </w:rPr>
                  </w:pPr>
                  <w:r>
                    <w:rPr>
                      <w:rFonts w:hint="eastAsia" w:ascii="宋体" w:hAnsi="宋体" w:cs="宋体"/>
                      <w:b/>
                      <w:bCs/>
                      <w:color w:val="auto"/>
                      <w:kern w:val="0"/>
                      <w:sz w:val="20"/>
                      <w:szCs w:val="20"/>
                      <w:lang w:bidi="ar"/>
                    </w:rPr>
                    <w:t>浓度（</w:t>
                  </w:r>
                  <w:r>
                    <w:rPr>
                      <w:b/>
                      <w:bCs/>
                      <w:color w:val="auto"/>
                      <w:kern w:val="0"/>
                      <w:sz w:val="20"/>
                      <w:szCs w:val="20"/>
                      <w:lang w:bidi="ar"/>
                    </w:rPr>
                    <w:t>mg/m</w:t>
                  </w:r>
                  <w:r>
                    <w:rPr>
                      <w:b/>
                      <w:bCs/>
                      <w:color w:val="auto"/>
                      <w:kern w:val="0"/>
                      <w:sz w:val="13"/>
                      <w:szCs w:val="13"/>
                      <w:vertAlign w:val="superscript"/>
                      <w:lang w:bidi="ar"/>
                    </w:rPr>
                    <w:t>3</w:t>
                  </w:r>
                  <w:r>
                    <w:rPr>
                      <w:rFonts w:hint="eastAsia" w:ascii="宋体" w:hAnsi="宋体" w:cs="宋体"/>
                      <w:b/>
                      <w:bCs/>
                      <w:color w:val="auto"/>
                      <w:kern w:val="0"/>
                      <w:sz w:val="20"/>
                      <w:szCs w:val="20"/>
                      <w:lang w:bidi="ar"/>
                    </w:rPr>
                    <w:t>）</w:t>
                  </w:r>
                </w:p>
              </w:tc>
            </w:tr>
            <w:tr w14:paraId="623AC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dxa"/>
                  <w:vAlign w:val="center"/>
                </w:tcPr>
                <w:p w14:paraId="45CA26F7">
                  <w:pPr>
                    <w:pStyle w:val="7"/>
                    <w:spacing w:line="240" w:lineRule="atLeast"/>
                    <w:ind w:firstLine="0"/>
                    <w:jc w:val="center"/>
                    <w:rPr>
                      <w:color w:val="auto"/>
                      <w:szCs w:val="21"/>
                    </w:rPr>
                  </w:pPr>
                  <w:r>
                    <w:rPr>
                      <w:rFonts w:hint="eastAsia"/>
                      <w:color w:val="auto"/>
                      <w:szCs w:val="21"/>
                    </w:rPr>
                    <w:t>颗粒物</w:t>
                  </w:r>
                </w:p>
              </w:tc>
              <w:tc>
                <w:tcPr>
                  <w:tcW w:w="1000" w:type="dxa"/>
                  <w:vAlign w:val="center"/>
                </w:tcPr>
                <w:p w14:paraId="5155EFCE">
                  <w:pPr>
                    <w:pStyle w:val="7"/>
                    <w:spacing w:line="240" w:lineRule="atLeast"/>
                    <w:ind w:firstLine="0"/>
                    <w:jc w:val="center"/>
                    <w:rPr>
                      <w:color w:val="auto"/>
                      <w:szCs w:val="21"/>
                    </w:rPr>
                  </w:pPr>
                  <w:r>
                    <w:rPr>
                      <w:rFonts w:hint="eastAsia"/>
                      <w:color w:val="auto"/>
                      <w:szCs w:val="21"/>
                    </w:rPr>
                    <w:t>DA001</w:t>
                  </w:r>
                </w:p>
              </w:tc>
              <w:tc>
                <w:tcPr>
                  <w:tcW w:w="737" w:type="dxa"/>
                  <w:vAlign w:val="center"/>
                </w:tcPr>
                <w:p w14:paraId="27EB1CB6">
                  <w:pPr>
                    <w:pStyle w:val="7"/>
                    <w:spacing w:line="240" w:lineRule="atLeast"/>
                    <w:ind w:firstLine="0"/>
                    <w:jc w:val="center"/>
                    <w:rPr>
                      <w:color w:val="auto"/>
                      <w:szCs w:val="21"/>
                    </w:rPr>
                  </w:pPr>
                  <w:r>
                    <w:rPr>
                      <w:rFonts w:hint="eastAsia"/>
                      <w:color w:val="auto"/>
                      <w:szCs w:val="21"/>
                    </w:rPr>
                    <w:t>15</w:t>
                  </w:r>
                </w:p>
              </w:tc>
              <w:tc>
                <w:tcPr>
                  <w:tcW w:w="987" w:type="dxa"/>
                  <w:vAlign w:val="center"/>
                </w:tcPr>
                <w:p w14:paraId="189E7989">
                  <w:pPr>
                    <w:pStyle w:val="7"/>
                    <w:spacing w:line="240" w:lineRule="atLeast"/>
                    <w:ind w:firstLine="0"/>
                    <w:jc w:val="center"/>
                    <w:rPr>
                      <w:color w:val="auto"/>
                      <w:szCs w:val="21"/>
                    </w:rPr>
                  </w:pPr>
                  <w:r>
                    <w:rPr>
                      <w:rFonts w:hint="eastAsia"/>
                      <w:color w:val="auto"/>
                      <w:szCs w:val="21"/>
                    </w:rPr>
                    <w:t>120</w:t>
                  </w:r>
                </w:p>
              </w:tc>
              <w:tc>
                <w:tcPr>
                  <w:tcW w:w="1205" w:type="dxa"/>
                  <w:vAlign w:val="center"/>
                </w:tcPr>
                <w:p w14:paraId="1904BD4F">
                  <w:pPr>
                    <w:pStyle w:val="7"/>
                    <w:spacing w:line="240" w:lineRule="atLeast"/>
                    <w:ind w:firstLine="0"/>
                    <w:jc w:val="center"/>
                    <w:rPr>
                      <w:color w:val="auto"/>
                      <w:szCs w:val="21"/>
                    </w:rPr>
                  </w:pPr>
                  <w:r>
                    <w:rPr>
                      <w:rFonts w:hint="eastAsia"/>
                      <w:color w:val="auto"/>
                      <w:szCs w:val="21"/>
                    </w:rPr>
                    <w:t>3.5</w:t>
                  </w:r>
                </w:p>
              </w:tc>
              <w:tc>
                <w:tcPr>
                  <w:tcW w:w="1707" w:type="dxa"/>
                  <w:vAlign w:val="center"/>
                </w:tcPr>
                <w:p w14:paraId="2F52BADD">
                  <w:pPr>
                    <w:pStyle w:val="7"/>
                    <w:spacing w:line="240" w:lineRule="atLeast"/>
                    <w:ind w:firstLine="0"/>
                    <w:jc w:val="center"/>
                    <w:rPr>
                      <w:rFonts w:hint="default" w:eastAsia="宋体"/>
                      <w:color w:val="auto"/>
                      <w:szCs w:val="21"/>
                      <w:lang w:val="en-US" w:eastAsia="zh-CN"/>
                    </w:rPr>
                  </w:pPr>
                  <w:r>
                    <w:rPr>
                      <w:rFonts w:hint="eastAsia"/>
                      <w:color w:val="auto"/>
                      <w:szCs w:val="21"/>
                      <w:lang w:val="en-US" w:eastAsia="zh-CN"/>
                    </w:rPr>
                    <w:t>无组织排放源上风向设参照点，下风向设监控点</w:t>
                  </w:r>
                </w:p>
              </w:tc>
              <w:tc>
                <w:tcPr>
                  <w:tcW w:w="1743" w:type="dxa"/>
                  <w:vAlign w:val="center"/>
                </w:tcPr>
                <w:p w14:paraId="1874BF1A">
                  <w:pPr>
                    <w:pStyle w:val="7"/>
                    <w:spacing w:line="240" w:lineRule="atLeast"/>
                    <w:ind w:firstLine="0"/>
                    <w:jc w:val="center"/>
                    <w:rPr>
                      <w:rFonts w:hint="default" w:eastAsia="宋体"/>
                      <w:color w:val="auto"/>
                      <w:szCs w:val="21"/>
                      <w:lang w:val="en-US" w:eastAsia="zh-CN"/>
                    </w:rPr>
                  </w:pPr>
                  <w:r>
                    <w:rPr>
                      <w:rFonts w:hint="eastAsia"/>
                      <w:color w:val="auto"/>
                      <w:szCs w:val="21"/>
                      <w:lang w:val="en-US" w:eastAsia="zh-CN"/>
                    </w:rPr>
                    <w:t>5.0</w:t>
                  </w:r>
                </w:p>
              </w:tc>
            </w:tr>
            <w:tr w14:paraId="749F8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dxa"/>
                  <w:vAlign w:val="center"/>
                </w:tcPr>
                <w:p w14:paraId="0490DD27">
                  <w:pPr>
                    <w:pStyle w:val="7"/>
                    <w:spacing w:line="240" w:lineRule="atLeast"/>
                    <w:ind w:firstLine="0"/>
                    <w:jc w:val="center"/>
                    <w:rPr>
                      <w:color w:val="auto"/>
                      <w:szCs w:val="21"/>
                    </w:rPr>
                  </w:pPr>
                  <w:r>
                    <w:rPr>
                      <w:rFonts w:hint="eastAsia"/>
                      <w:color w:val="auto"/>
                      <w:szCs w:val="21"/>
                    </w:rPr>
                    <w:t>沥青烟</w:t>
                  </w:r>
                </w:p>
              </w:tc>
              <w:tc>
                <w:tcPr>
                  <w:tcW w:w="1000" w:type="dxa"/>
                  <w:vMerge w:val="restart"/>
                  <w:vAlign w:val="center"/>
                </w:tcPr>
                <w:p w14:paraId="3CEF9AE7">
                  <w:pPr>
                    <w:pStyle w:val="7"/>
                    <w:spacing w:line="240" w:lineRule="atLeast"/>
                    <w:ind w:firstLine="0"/>
                    <w:jc w:val="center"/>
                    <w:rPr>
                      <w:color w:val="auto"/>
                      <w:szCs w:val="21"/>
                    </w:rPr>
                  </w:pPr>
                  <w:r>
                    <w:rPr>
                      <w:rFonts w:hint="eastAsia"/>
                      <w:color w:val="auto"/>
                      <w:szCs w:val="21"/>
                    </w:rPr>
                    <w:t>DA002</w:t>
                  </w:r>
                </w:p>
              </w:tc>
              <w:tc>
                <w:tcPr>
                  <w:tcW w:w="737" w:type="dxa"/>
                  <w:vAlign w:val="center"/>
                </w:tcPr>
                <w:p w14:paraId="222A6A7B">
                  <w:pPr>
                    <w:pStyle w:val="7"/>
                    <w:spacing w:line="240" w:lineRule="atLeast"/>
                    <w:ind w:firstLine="0"/>
                    <w:jc w:val="center"/>
                    <w:rPr>
                      <w:color w:val="auto"/>
                      <w:szCs w:val="21"/>
                    </w:rPr>
                  </w:pPr>
                  <w:r>
                    <w:rPr>
                      <w:rFonts w:hint="eastAsia"/>
                      <w:color w:val="auto"/>
                      <w:szCs w:val="21"/>
                    </w:rPr>
                    <w:t>15</w:t>
                  </w:r>
                </w:p>
              </w:tc>
              <w:tc>
                <w:tcPr>
                  <w:tcW w:w="987" w:type="dxa"/>
                  <w:vAlign w:val="center"/>
                </w:tcPr>
                <w:p w14:paraId="1B528BCC">
                  <w:pPr>
                    <w:pStyle w:val="7"/>
                    <w:spacing w:line="240" w:lineRule="atLeast"/>
                    <w:ind w:firstLine="0"/>
                    <w:jc w:val="center"/>
                    <w:rPr>
                      <w:color w:val="auto"/>
                      <w:szCs w:val="21"/>
                    </w:rPr>
                  </w:pPr>
                  <w:r>
                    <w:rPr>
                      <w:rFonts w:hint="eastAsia"/>
                      <w:color w:val="auto"/>
                      <w:szCs w:val="21"/>
                    </w:rPr>
                    <w:t>75</w:t>
                  </w:r>
                </w:p>
              </w:tc>
              <w:tc>
                <w:tcPr>
                  <w:tcW w:w="1205" w:type="dxa"/>
                  <w:vAlign w:val="center"/>
                </w:tcPr>
                <w:p w14:paraId="2BE9CDCA">
                  <w:pPr>
                    <w:pStyle w:val="7"/>
                    <w:spacing w:line="240" w:lineRule="atLeast"/>
                    <w:ind w:firstLine="0"/>
                    <w:jc w:val="center"/>
                    <w:rPr>
                      <w:color w:val="auto"/>
                      <w:szCs w:val="21"/>
                    </w:rPr>
                  </w:pPr>
                  <w:r>
                    <w:rPr>
                      <w:rFonts w:hint="eastAsia"/>
                      <w:color w:val="auto"/>
                      <w:szCs w:val="21"/>
                    </w:rPr>
                    <w:t>0.18</w:t>
                  </w:r>
                </w:p>
              </w:tc>
              <w:tc>
                <w:tcPr>
                  <w:tcW w:w="3450" w:type="dxa"/>
                  <w:gridSpan w:val="2"/>
                  <w:vAlign w:val="center"/>
                </w:tcPr>
                <w:p w14:paraId="02E84FEF">
                  <w:pPr>
                    <w:pStyle w:val="7"/>
                    <w:spacing w:line="240" w:lineRule="atLeast"/>
                    <w:ind w:firstLine="0"/>
                    <w:jc w:val="center"/>
                    <w:rPr>
                      <w:color w:val="auto"/>
                      <w:szCs w:val="21"/>
                    </w:rPr>
                  </w:pPr>
                  <w:r>
                    <w:rPr>
                      <w:rFonts w:hint="eastAsia"/>
                      <w:color w:val="auto"/>
                      <w:szCs w:val="21"/>
                    </w:rPr>
                    <w:t>生产设备不得有明显的无组织排放存在</w:t>
                  </w:r>
                </w:p>
              </w:tc>
            </w:tr>
            <w:tr w14:paraId="33A16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580" w:type="dxa"/>
                  <w:vAlign w:val="center"/>
                </w:tcPr>
                <w:p w14:paraId="08AD7AA7">
                  <w:pPr>
                    <w:pStyle w:val="7"/>
                    <w:spacing w:line="240" w:lineRule="atLeast"/>
                    <w:ind w:firstLine="0"/>
                    <w:jc w:val="center"/>
                    <w:rPr>
                      <w:color w:val="auto"/>
                      <w:szCs w:val="21"/>
                    </w:rPr>
                  </w:pPr>
                  <w:r>
                    <w:rPr>
                      <w:rFonts w:hint="eastAsia"/>
                      <w:color w:val="auto"/>
                      <w:szCs w:val="21"/>
                    </w:rPr>
                    <w:t>苯并芘</w:t>
                  </w:r>
                </w:p>
              </w:tc>
              <w:tc>
                <w:tcPr>
                  <w:tcW w:w="1000" w:type="dxa"/>
                  <w:vMerge w:val="continue"/>
                  <w:vAlign w:val="center"/>
                </w:tcPr>
                <w:p w14:paraId="10346C95">
                  <w:pPr>
                    <w:pStyle w:val="7"/>
                    <w:spacing w:line="240" w:lineRule="atLeast"/>
                    <w:ind w:firstLine="0"/>
                    <w:jc w:val="center"/>
                    <w:rPr>
                      <w:color w:val="auto"/>
                      <w:szCs w:val="21"/>
                    </w:rPr>
                  </w:pPr>
                </w:p>
              </w:tc>
              <w:tc>
                <w:tcPr>
                  <w:tcW w:w="737" w:type="dxa"/>
                  <w:vAlign w:val="center"/>
                </w:tcPr>
                <w:p w14:paraId="131A3965">
                  <w:pPr>
                    <w:pStyle w:val="7"/>
                    <w:spacing w:line="240" w:lineRule="atLeast"/>
                    <w:ind w:firstLine="0"/>
                    <w:jc w:val="center"/>
                    <w:rPr>
                      <w:color w:val="auto"/>
                      <w:szCs w:val="21"/>
                    </w:rPr>
                  </w:pPr>
                  <w:r>
                    <w:rPr>
                      <w:rFonts w:hint="eastAsia"/>
                      <w:color w:val="auto"/>
                      <w:szCs w:val="21"/>
                    </w:rPr>
                    <w:t>15</w:t>
                  </w:r>
                </w:p>
              </w:tc>
              <w:tc>
                <w:tcPr>
                  <w:tcW w:w="987" w:type="dxa"/>
                  <w:vAlign w:val="center"/>
                </w:tcPr>
                <w:p w14:paraId="7BE71D76">
                  <w:pPr>
                    <w:pStyle w:val="7"/>
                    <w:spacing w:line="240" w:lineRule="atLeast"/>
                    <w:ind w:firstLine="0"/>
                    <w:jc w:val="center"/>
                    <w:rPr>
                      <w:color w:val="auto"/>
                      <w:szCs w:val="21"/>
                    </w:rPr>
                  </w:pPr>
                  <w:r>
                    <w:rPr>
                      <w:rFonts w:hint="eastAsia"/>
                      <w:color w:val="auto"/>
                      <w:szCs w:val="21"/>
                    </w:rPr>
                    <w:t>3.0×10</w:t>
                  </w:r>
                  <w:r>
                    <w:rPr>
                      <w:rFonts w:hint="eastAsia"/>
                      <w:color w:val="auto"/>
                      <w:szCs w:val="21"/>
                      <w:vertAlign w:val="superscript"/>
                    </w:rPr>
                    <w:t>-3</w:t>
                  </w:r>
                </w:p>
              </w:tc>
              <w:tc>
                <w:tcPr>
                  <w:tcW w:w="1205" w:type="dxa"/>
                  <w:vAlign w:val="center"/>
                </w:tcPr>
                <w:p w14:paraId="1C9E261B">
                  <w:pPr>
                    <w:pStyle w:val="7"/>
                    <w:spacing w:line="240" w:lineRule="atLeast"/>
                    <w:ind w:firstLine="0"/>
                    <w:jc w:val="center"/>
                    <w:rPr>
                      <w:color w:val="auto"/>
                      <w:szCs w:val="21"/>
                    </w:rPr>
                  </w:pPr>
                  <w:r>
                    <w:rPr>
                      <w:rFonts w:hint="eastAsia"/>
                      <w:color w:val="auto"/>
                      <w:szCs w:val="21"/>
                    </w:rPr>
                    <w:t>0.050×10</w:t>
                  </w:r>
                  <w:r>
                    <w:rPr>
                      <w:rFonts w:hint="eastAsia"/>
                      <w:color w:val="auto"/>
                      <w:szCs w:val="21"/>
                      <w:vertAlign w:val="superscript"/>
                    </w:rPr>
                    <w:t>-3</w:t>
                  </w:r>
                </w:p>
              </w:tc>
              <w:tc>
                <w:tcPr>
                  <w:tcW w:w="1707" w:type="dxa"/>
                  <w:vAlign w:val="center"/>
                </w:tcPr>
                <w:p w14:paraId="74917D6C">
                  <w:pPr>
                    <w:pStyle w:val="7"/>
                    <w:spacing w:line="240" w:lineRule="atLeast"/>
                    <w:ind w:firstLine="0"/>
                    <w:jc w:val="center"/>
                    <w:rPr>
                      <w:color w:val="auto"/>
                      <w:szCs w:val="21"/>
                    </w:rPr>
                  </w:pPr>
                  <w:r>
                    <w:rPr>
                      <w:rFonts w:hint="eastAsia"/>
                      <w:color w:val="auto"/>
                      <w:szCs w:val="21"/>
                    </w:rPr>
                    <w:t>周界外浓度最高点</w:t>
                  </w:r>
                </w:p>
              </w:tc>
              <w:tc>
                <w:tcPr>
                  <w:tcW w:w="1743" w:type="dxa"/>
                  <w:vAlign w:val="center"/>
                </w:tcPr>
                <w:p w14:paraId="36F5F3BA">
                  <w:pPr>
                    <w:pStyle w:val="7"/>
                    <w:spacing w:line="240" w:lineRule="atLeast"/>
                    <w:ind w:firstLine="0"/>
                    <w:jc w:val="center"/>
                    <w:rPr>
                      <w:color w:val="auto"/>
                      <w:szCs w:val="21"/>
                    </w:rPr>
                  </w:pPr>
                  <w:r>
                    <w:rPr>
                      <w:rFonts w:hint="eastAsia"/>
                      <w:color w:val="auto"/>
                      <w:szCs w:val="21"/>
                    </w:rPr>
                    <w:t>0.0</w:t>
                  </w:r>
                  <w:r>
                    <w:rPr>
                      <w:rFonts w:hint="eastAsia"/>
                      <w:color w:val="auto"/>
                      <w:szCs w:val="21"/>
                      <w:lang w:val="en-US" w:eastAsia="zh-CN"/>
                    </w:rPr>
                    <w:t>1</w:t>
                  </w:r>
                  <w:r>
                    <w:rPr>
                      <w:color w:val="auto"/>
                      <w:szCs w:val="21"/>
                    </w:rPr>
                    <w:t>μ</w:t>
                  </w:r>
                  <w:r>
                    <w:rPr>
                      <w:rFonts w:hint="eastAsia"/>
                      <w:color w:val="auto"/>
                      <w:szCs w:val="21"/>
                    </w:rPr>
                    <w:t>g/m</w:t>
                  </w:r>
                  <w:r>
                    <w:rPr>
                      <w:rFonts w:hint="eastAsia"/>
                      <w:color w:val="auto"/>
                      <w:szCs w:val="21"/>
                      <w:vertAlign w:val="superscript"/>
                    </w:rPr>
                    <w:t>3</w:t>
                  </w:r>
                </w:p>
              </w:tc>
            </w:tr>
            <w:tr w14:paraId="18AFB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580" w:type="dxa"/>
                  <w:vAlign w:val="center"/>
                </w:tcPr>
                <w:p w14:paraId="537120FF">
                  <w:pPr>
                    <w:pStyle w:val="7"/>
                    <w:spacing w:line="240" w:lineRule="atLeast"/>
                    <w:ind w:firstLine="0"/>
                    <w:jc w:val="center"/>
                    <w:rPr>
                      <w:color w:val="auto"/>
                      <w:szCs w:val="21"/>
                    </w:rPr>
                  </w:pPr>
                  <w:r>
                    <w:rPr>
                      <w:rFonts w:hint="eastAsia"/>
                      <w:color w:val="auto"/>
                      <w:szCs w:val="21"/>
                    </w:rPr>
                    <w:t>非甲烷总烃</w:t>
                  </w:r>
                </w:p>
              </w:tc>
              <w:tc>
                <w:tcPr>
                  <w:tcW w:w="1000" w:type="dxa"/>
                  <w:vMerge w:val="continue"/>
                  <w:vAlign w:val="center"/>
                </w:tcPr>
                <w:p w14:paraId="057DC307">
                  <w:pPr>
                    <w:pStyle w:val="7"/>
                    <w:spacing w:line="240" w:lineRule="atLeast"/>
                    <w:ind w:firstLine="0"/>
                    <w:jc w:val="center"/>
                    <w:rPr>
                      <w:color w:val="auto"/>
                      <w:szCs w:val="21"/>
                    </w:rPr>
                  </w:pPr>
                </w:p>
              </w:tc>
              <w:tc>
                <w:tcPr>
                  <w:tcW w:w="737" w:type="dxa"/>
                  <w:vAlign w:val="center"/>
                </w:tcPr>
                <w:p w14:paraId="06857BB3">
                  <w:pPr>
                    <w:pStyle w:val="7"/>
                    <w:spacing w:line="240" w:lineRule="atLeast"/>
                    <w:ind w:firstLine="0"/>
                    <w:jc w:val="center"/>
                    <w:rPr>
                      <w:color w:val="auto"/>
                      <w:szCs w:val="21"/>
                    </w:rPr>
                  </w:pPr>
                  <w:r>
                    <w:rPr>
                      <w:rFonts w:hint="eastAsia"/>
                      <w:color w:val="auto"/>
                      <w:szCs w:val="21"/>
                    </w:rPr>
                    <w:t>15</w:t>
                  </w:r>
                </w:p>
              </w:tc>
              <w:tc>
                <w:tcPr>
                  <w:tcW w:w="987" w:type="dxa"/>
                  <w:vAlign w:val="center"/>
                </w:tcPr>
                <w:p w14:paraId="6607DEED">
                  <w:pPr>
                    <w:pStyle w:val="7"/>
                    <w:spacing w:line="240" w:lineRule="atLeast"/>
                    <w:ind w:firstLine="0"/>
                    <w:jc w:val="center"/>
                    <w:rPr>
                      <w:color w:val="auto"/>
                      <w:szCs w:val="21"/>
                    </w:rPr>
                  </w:pPr>
                  <w:r>
                    <w:rPr>
                      <w:rFonts w:hint="eastAsia"/>
                      <w:color w:val="auto"/>
                      <w:szCs w:val="21"/>
                    </w:rPr>
                    <w:t>120</w:t>
                  </w:r>
                </w:p>
              </w:tc>
              <w:tc>
                <w:tcPr>
                  <w:tcW w:w="1205" w:type="dxa"/>
                  <w:vAlign w:val="center"/>
                </w:tcPr>
                <w:p w14:paraId="7515F2F3">
                  <w:pPr>
                    <w:pStyle w:val="7"/>
                    <w:spacing w:line="240" w:lineRule="atLeast"/>
                    <w:ind w:firstLine="0"/>
                    <w:jc w:val="center"/>
                    <w:rPr>
                      <w:color w:val="auto"/>
                      <w:szCs w:val="21"/>
                    </w:rPr>
                  </w:pPr>
                  <w:r>
                    <w:rPr>
                      <w:rFonts w:hint="eastAsia"/>
                      <w:color w:val="auto"/>
                      <w:szCs w:val="21"/>
                    </w:rPr>
                    <w:t>10</w:t>
                  </w:r>
                </w:p>
              </w:tc>
              <w:tc>
                <w:tcPr>
                  <w:tcW w:w="1707" w:type="dxa"/>
                  <w:vAlign w:val="center"/>
                </w:tcPr>
                <w:p w14:paraId="41A04A0E">
                  <w:pPr>
                    <w:widowControl/>
                    <w:jc w:val="left"/>
                    <w:rPr>
                      <w:color w:val="auto"/>
                      <w:szCs w:val="21"/>
                    </w:rPr>
                  </w:pPr>
                  <w:r>
                    <w:rPr>
                      <w:rFonts w:hint="eastAsia"/>
                      <w:color w:val="auto"/>
                      <w:szCs w:val="21"/>
                    </w:rPr>
                    <w:t>周界外浓度最高点</w:t>
                  </w:r>
                </w:p>
              </w:tc>
              <w:tc>
                <w:tcPr>
                  <w:tcW w:w="1743" w:type="dxa"/>
                  <w:vAlign w:val="center"/>
                </w:tcPr>
                <w:p w14:paraId="57089E4C">
                  <w:pPr>
                    <w:pStyle w:val="7"/>
                    <w:spacing w:line="240" w:lineRule="atLeast"/>
                    <w:ind w:firstLine="0"/>
                    <w:jc w:val="center"/>
                    <w:rPr>
                      <w:rFonts w:hint="default" w:eastAsia="宋体"/>
                      <w:color w:val="auto"/>
                      <w:szCs w:val="21"/>
                      <w:lang w:val="en-US" w:eastAsia="zh-CN"/>
                    </w:rPr>
                  </w:pPr>
                  <w:r>
                    <w:rPr>
                      <w:rFonts w:hint="eastAsia"/>
                      <w:color w:val="auto"/>
                      <w:szCs w:val="21"/>
                      <w:lang w:val="en-US" w:eastAsia="zh-CN"/>
                    </w:rPr>
                    <w:t>5.0</w:t>
                  </w:r>
                </w:p>
              </w:tc>
            </w:tr>
          </w:tbl>
          <w:p w14:paraId="19CA686A">
            <w:pPr>
              <w:autoSpaceDE w:val="0"/>
              <w:autoSpaceDN w:val="0"/>
              <w:spacing w:line="360" w:lineRule="auto"/>
              <w:ind w:firstLine="420" w:firstLineChars="200"/>
              <w:rPr>
                <w:color w:val="auto"/>
                <w:szCs w:val="21"/>
              </w:rPr>
            </w:pPr>
            <w:r>
              <w:rPr>
                <w:rFonts w:hint="eastAsia"/>
                <w:color w:val="auto"/>
                <w:szCs w:val="21"/>
              </w:rPr>
              <w:t>（2）天然气烘干筒产生的燃气废气执行《兵团工业炉窑大气污染综合治理实施方案》中重点区域排放标准，具体见表3-6。</w:t>
            </w:r>
          </w:p>
          <w:p w14:paraId="6E753F0A">
            <w:pPr>
              <w:pStyle w:val="7"/>
              <w:jc w:val="center"/>
              <w:rPr>
                <w:color w:val="auto"/>
              </w:rPr>
            </w:pPr>
            <w:r>
              <w:rPr>
                <w:rFonts w:hint="eastAsia"/>
                <w:b/>
                <w:bCs/>
                <w:color w:val="auto"/>
                <w:szCs w:val="21"/>
              </w:rPr>
              <w:t>表3-6  工兵团工业炉窑大气污染综合治理实施方案排放标准  单位：</w:t>
            </w:r>
            <w:r>
              <w:rPr>
                <w:b/>
                <w:bCs/>
                <w:color w:val="auto"/>
                <w:kern w:val="0"/>
                <w:szCs w:val="21"/>
                <w:lang w:bidi="ar"/>
              </w:rPr>
              <w:t>mg/m</w:t>
            </w:r>
            <w:r>
              <w:rPr>
                <w:rFonts w:hint="eastAsia"/>
                <w:b/>
                <w:bCs/>
                <w:color w:val="auto"/>
                <w:kern w:val="0"/>
                <w:szCs w:val="21"/>
                <w:vertAlign w:val="superscript"/>
                <w:lang w:bidi="ar"/>
              </w:rPr>
              <w:t>3</w:t>
            </w:r>
          </w:p>
          <w:tbl>
            <w:tblPr>
              <w:tblStyle w:val="31"/>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1184"/>
              <w:gridCol w:w="5607"/>
            </w:tblGrid>
            <w:tr w14:paraId="539C9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183" w:type="dxa"/>
                  <w:vAlign w:val="center"/>
                </w:tcPr>
                <w:p w14:paraId="3DD1F6BE">
                  <w:pPr>
                    <w:pStyle w:val="7"/>
                    <w:ind w:firstLine="0"/>
                    <w:jc w:val="center"/>
                    <w:rPr>
                      <w:b/>
                      <w:bCs/>
                      <w:color w:val="auto"/>
                      <w:szCs w:val="21"/>
                    </w:rPr>
                  </w:pPr>
                  <w:r>
                    <w:rPr>
                      <w:rFonts w:hint="eastAsia"/>
                      <w:b/>
                      <w:bCs/>
                      <w:color w:val="auto"/>
                      <w:szCs w:val="21"/>
                    </w:rPr>
                    <w:t>污染物</w:t>
                  </w:r>
                </w:p>
              </w:tc>
              <w:tc>
                <w:tcPr>
                  <w:tcW w:w="1184" w:type="dxa"/>
                  <w:vAlign w:val="center"/>
                </w:tcPr>
                <w:p w14:paraId="1FD7D57F">
                  <w:pPr>
                    <w:pStyle w:val="7"/>
                    <w:ind w:firstLine="0"/>
                    <w:jc w:val="center"/>
                    <w:rPr>
                      <w:b/>
                      <w:bCs/>
                      <w:color w:val="auto"/>
                      <w:szCs w:val="21"/>
                    </w:rPr>
                  </w:pPr>
                  <w:r>
                    <w:rPr>
                      <w:rFonts w:hint="eastAsia"/>
                      <w:b/>
                      <w:bCs/>
                      <w:color w:val="auto"/>
                      <w:szCs w:val="21"/>
                    </w:rPr>
                    <w:t>排气筒</w:t>
                  </w:r>
                </w:p>
              </w:tc>
              <w:tc>
                <w:tcPr>
                  <w:tcW w:w="5607" w:type="dxa"/>
                  <w:vAlign w:val="center"/>
                </w:tcPr>
                <w:p w14:paraId="57FA1834">
                  <w:pPr>
                    <w:pStyle w:val="7"/>
                    <w:ind w:firstLine="0"/>
                    <w:jc w:val="center"/>
                    <w:rPr>
                      <w:b/>
                      <w:bCs/>
                      <w:color w:val="auto"/>
                      <w:szCs w:val="21"/>
                    </w:rPr>
                  </w:pPr>
                  <w:r>
                    <w:rPr>
                      <w:rFonts w:hint="eastAsia"/>
                      <w:b/>
                      <w:bCs/>
                      <w:color w:val="auto"/>
                      <w:szCs w:val="21"/>
                    </w:rPr>
                    <w:t>有组织排放限值</w:t>
                  </w:r>
                </w:p>
              </w:tc>
            </w:tr>
            <w:tr w14:paraId="06883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3" w:type="dxa"/>
                  <w:vAlign w:val="center"/>
                </w:tcPr>
                <w:p w14:paraId="3DDF4775">
                  <w:pPr>
                    <w:snapToGrid w:val="0"/>
                    <w:spacing w:line="240" w:lineRule="atLeast"/>
                    <w:jc w:val="center"/>
                    <w:rPr>
                      <w:color w:val="auto"/>
                      <w:szCs w:val="21"/>
                    </w:rPr>
                  </w:pPr>
                  <w:r>
                    <w:rPr>
                      <w:color w:val="auto"/>
                      <w:szCs w:val="21"/>
                    </w:rPr>
                    <w:t>二氧化硫</w:t>
                  </w:r>
                </w:p>
              </w:tc>
              <w:tc>
                <w:tcPr>
                  <w:tcW w:w="1184" w:type="dxa"/>
                  <w:vMerge w:val="restart"/>
                  <w:vAlign w:val="center"/>
                </w:tcPr>
                <w:p w14:paraId="694C127E">
                  <w:pPr>
                    <w:pStyle w:val="7"/>
                    <w:ind w:firstLine="0"/>
                    <w:jc w:val="center"/>
                    <w:rPr>
                      <w:color w:val="auto"/>
                      <w:szCs w:val="21"/>
                    </w:rPr>
                  </w:pPr>
                  <w:r>
                    <w:rPr>
                      <w:rFonts w:hint="eastAsia"/>
                      <w:color w:val="auto"/>
                      <w:szCs w:val="21"/>
                    </w:rPr>
                    <w:t>DA002</w:t>
                  </w:r>
                </w:p>
              </w:tc>
              <w:tc>
                <w:tcPr>
                  <w:tcW w:w="5607" w:type="dxa"/>
                  <w:vAlign w:val="center"/>
                </w:tcPr>
                <w:p w14:paraId="0EE46375">
                  <w:pPr>
                    <w:pStyle w:val="7"/>
                    <w:jc w:val="center"/>
                    <w:rPr>
                      <w:color w:val="auto"/>
                      <w:szCs w:val="21"/>
                    </w:rPr>
                  </w:pPr>
                  <w:r>
                    <w:rPr>
                      <w:rFonts w:hint="eastAsia"/>
                      <w:color w:val="auto"/>
                      <w:szCs w:val="21"/>
                    </w:rPr>
                    <w:t>200</w:t>
                  </w:r>
                </w:p>
              </w:tc>
            </w:tr>
            <w:tr w14:paraId="2ADA4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3" w:type="dxa"/>
                  <w:vAlign w:val="center"/>
                </w:tcPr>
                <w:p w14:paraId="0FF0E0EE">
                  <w:pPr>
                    <w:snapToGrid w:val="0"/>
                    <w:spacing w:line="240" w:lineRule="atLeast"/>
                    <w:jc w:val="center"/>
                    <w:rPr>
                      <w:color w:val="auto"/>
                      <w:szCs w:val="21"/>
                    </w:rPr>
                  </w:pPr>
                  <w:r>
                    <w:rPr>
                      <w:rFonts w:hint="eastAsia"/>
                      <w:color w:val="auto"/>
                      <w:szCs w:val="21"/>
                    </w:rPr>
                    <w:t>氮氧化物</w:t>
                  </w:r>
                </w:p>
              </w:tc>
              <w:tc>
                <w:tcPr>
                  <w:tcW w:w="1184" w:type="dxa"/>
                  <w:vMerge w:val="continue"/>
                  <w:vAlign w:val="center"/>
                </w:tcPr>
                <w:p w14:paraId="1C3EB28E">
                  <w:pPr>
                    <w:pStyle w:val="7"/>
                    <w:ind w:firstLine="0"/>
                    <w:jc w:val="center"/>
                    <w:rPr>
                      <w:color w:val="auto"/>
                      <w:szCs w:val="21"/>
                    </w:rPr>
                  </w:pPr>
                </w:p>
              </w:tc>
              <w:tc>
                <w:tcPr>
                  <w:tcW w:w="5607" w:type="dxa"/>
                  <w:vAlign w:val="center"/>
                </w:tcPr>
                <w:p w14:paraId="4EEEE825">
                  <w:pPr>
                    <w:pStyle w:val="7"/>
                    <w:jc w:val="center"/>
                    <w:rPr>
                      <w:color w:val="auto"/>
                      <w:szCs w:val="21"/>
                    </w:rPr>
                  </w:pPr>
                  <w:r>
                    <w:rPr>
                      <w:rFonts w:hint="eastAsia"/>
                      <w:color w:val="auto"/>
                      <w:szCs w:val="21"/>
                    </w:rPr>
                    <w:t>300</w:t>
                  </w:r>
                </w:p>
              </w:tc>
            </w:tr>
            <w:tr w14:paraId="72A38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3" w:type="dxa"/>
                  <w:vAlign w:val="center"/>
                </w:tcPr>
                <w:p w14:paraId="2E565CAF">
                  <w:pPr>
                    <w:snapToGrid w:val="0"/>
                    <w:spacing w:line="240" w:lineRule="atLeast"/>
                    <w:jc w:val="center"/>
                    <w:rPr>
                      <w:rFonts w:hint="eastAsia" w:eastAsia="宋体"/>
                      <w:color w:val="auto"/>
                      <w:szCs w:val="21"/>
                      <w:lang w:eastAsia="zh-CN"/>
                    </w:rPr>
                  </w:pPr>
                  <w:r>
                    <w:rPr>
                      <w:rFonts w:hint="eastAsia"/>
                      <w:color w:val="auto"/>
                      <w:szCs w:val="21"/>
                      <w:lang w:eastAsia="zh-CN"/>
                    </w:rPr>
                    <w:t>颗粒物</w:t>
                  </w:r>
                </w:p>
              </w:tc>
              <w:tc>
                <w:tcPr>
                  <w:tcW w:w="1184" w:type="dxa"/>
                  <w:vMerge w:val="continue"/>
                  <w:vAlign w:val="center"/>
                </w:tcPr>
                <w:p w14:paraId="44E5D6AC">
                  <w:pPr>
                    <w:pStyle w:val="7"/>
                    <w:ind w:firstLine="0"/>
                    <w:jc w:val="center"/>
                    <w:rPr>
                      <w:color w:val="auto"/>
                      <w:szCs w:val="21"/>
                    </w:rPr>
                  </w:pPr>
                </w:p>
              </w:tc>
              <w:tc>
                <w:tcPr>
                  <w:tcW w:w="5607" w:type="dxa"/>
                  <w:vAlign w:val="center"/>
                </w:tcPr>
                <w:p w14:paraId="4F042DC2">
                  <w:pPr>
                    <w:pStyle w:val="7"/>
                    <w:jc w:val="center"/>
                    <w:rPr>
                      <w:rFonts w:hint="default" w:eastAsia="宋体"/>
                      <w:color w:val="auto"/>
                      <w:szCs w:val="21"/>
                      <w:lang w:val="en-US" w:eastAsia="zh-CN"/>
                    </w:rPr>
                  </w:pPr>
                  <w:r>
                    <w:rPr>
                      <w:rFonts w:hint="eastAsia"/>
                      <w:color w:val="auto"/>
                      <w:szCs w:val="21"/>
                      <w:lang w:val="en-US" w:eastAsia="zh-CN"/>
                    </w:rPr>
                    <w:t>30</w:t>
                  </w:r>
                </w:p>
              </w:tc>
            </w:tr>
          </w:tbl>
          <w:p w14:paraId="66D5CF2F">
            <w:pPr>
              <w:pStyle w:val="7"/>
              <w:spacing w:line="360" w:lineRule="auto"/>
              <w:ind w:firstLineChars="200"/>
              <w:jc w:val="left"/>
              <w:rPr>
                <w:szCs w:val="21"/>
                <w:lang w:bidi="ar"/>
              </w:rPr>
            </w:pPr>
            <w:r>
              <w:rPr>
                <w:rFonts w:hint="eastAsia"/>
                <w:szCs w:val="21"/>
              </w:rPr>
              <w:t>（3）水稳料生产过程中上料、搅拌、卸料时产生的粉尘，执行</w:t>
            </w:r>
            <w:r>
              <w:rPr>
                <w:rFonts w:hint="eastAsia"/>
                <w:szCs w:val="21"/>
                <w:lang w:bidi="ar"/>
              </w:rPr>
              <w:t>《水泥工业大气污染物排放标准》（GB 4915-2013）中表2和表3中相关标准，本项目无组织厂界颗粒物应按照行业标准优先于综合性标准的原则执行《水泥工业大气污染物排放标准》（GB 4915-2013）表3中无组织排放标准限值0.5mg/m</w:t>
            </w:r>
            <w:r>
              <w:rPr>
                <w:rFonts w:hint="eastAsia"/>
                <w:szCs w:val="21"/>
                <w:vertAlign w:val="superscript"/>
                <w:lang w:bidi="ar"/>
              </w:rPr>
              <w:t>3</w:t>
            </w:r>
            <w:r>
              <w:rPr>
                <w:rFonts w:hint="eastAsia"/>
                <w:szCs w:val="21"/>
                <w:lang w:bidi="ar"/>
              </w:rPr>
              <w:t>，具体见表3-7。</w:t>
            </w:r>
          </w:p>
          <w:p w14:paraId="48531369">
            <w:pPr>
              <w:pStyle w:val="7"/>
              <w:jc w:val="center"/>
              <w:rPr>
                <w:b/>
                <w:bCs/>
                <w:szCs w:val="21"/>
              </w:rPr>
            </w:pPr>
            <w:r>
              <w:rPr>
                <w:rFonts w:hint="eastAsia"/>
                <w:b/>
                <w:bCs/>
                <w:szCs w:val="21"/>
              </w:rPr>
              <w:t xml:space="preserve">表3-7  </w:t>
            </w:r>
            <w:r>
              <w:rPr>
                <w:rFonts w:hint="eastAsia"/>
                <w:b/>
                <w:bCs/>
                <w:szCs w:val="21"/>
                <w:lang w:bidi="ar"/>
              </w:rPr>
              <w:t xml:space="preserve">水泥工业大气污染物排放标准  </w:t>
            </w:r>
            <w:r>
              <w:rPr>
                <w:rFonts w:hint="eastAsia"/>
                <w:b/>
                <w:bCs/>
                <w:szCs w:val="21"/>
              </w:rPr>
              <w:t>单位：</w:t>
            </w:r>
            <w:r>
              <w:rPr>
                <w:b/>
                <w:bCs/>
                <w:kern w:val="0"/>
                <w:szCs w:val="21"/>
                <w:lang w:bidi="ar"/>
              </w:rPr>
              <w:t>mg/m</w:t>
            </w:r>
            <w:r>
              <w:rPr>
                <w:rFonts w:hint="eastAsia"/>
                <w:b/>
                <w:bCs/>
                <w:kern w:val="0"/>
                <w:szCs w:val="21"/>
                <w:vertAlign w:val="superscript"/>
                <w:lang w:bidi="ar"/>
              </w:rPr>
              <w:t>3</w:t>
            </w:r>
          </w:p>
          <w:tbl>
            <w:tblPr>
              <w:tblStyle w:val="31"/>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1184"/>
              <w:gridCol w:w="3500"/>
              <w:gridCol w:w="2107"/>
            </w:tblGrid>
            <w:tr w14:paraId="37CFD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183" w:type="dxa"/>
                  <w:vAlign w:val="center"/>
                </w:tcPr>
                <w:p w14:paraId="6D18CE5F">
                  <w:pPr>
                    <w:pStyle w:val="7"/>
                    <w:ind w:firstLine="0"/>
                    <w:jc w:val="center"/>
                    <w:rPr>
                      <w:b/>
                      <w:bCs/>
                      <w:szCs w:val="21"/>
                    </w:rPr>
                  </w:pPr>
                  <w:r>
                    <w:rPr>
                      <w:rFonts w:hint="eastAsia"/>
                      <w:b/>
                      <w:bCs/>
                      <w:szCs w:val="21"/>
                    </w:rPr>
                    <w:t>污染物</w:t>
                  </w:r>
                </w:p>
              </w:tc>
              <w:tc>
                <w:tcPr>
                  <w:tcW w:w="1184" w:type="dxa"/>
                  <w:vAlign w:val="center"/>
                </w:tcPr>
                <w:p w14:paraId="23D99DD9">
                  <w:pPr>
                    <w:pStyle w:val="7"/>
                    <w:ind w:firstLine="0"/>
                    <w:jc w:val="center"/>
                    <w:rPr>
                      <w:b/>
                      <w:bCs/>
                      <w:szCs w:val="21"/>
                    </w:rPr>
                  </w:pPr>
                  <w:r>
                    <w:rPr>
                      <w:rFonts w:hint="eastAsia"/>
                      <w:b/>
                      <w:bCs/>
                      <w:szCs w:val="21"/>
                    </w:rPr>
                    <w:t>排气筒</w:t>
                  </w:r>
                </w:p>
              </w:tc>
              <w:tc>
                <w:tcPr>
                  <w:tcW w:w="3500" w:type="dxa"/>
                  <w:vAlign w:val="center"/>
                </w:tcPr>
                <w:p w14:paraId="04311526">
                  <w:pPr>
                    <w:pStyle w:val="7"/>
                    <w:ind w:firstLine="0"/>
                    <w:jc w:val="center"/>
                    <w:rPr>
                      <w:b/>
                      <w:bCs/>
                      <w:szCs w:val="21"/>
                    </w:rPr>
                  </w:pPr>
                  <w:r>
                    <w:rPr>
                      <w:rFonts w:hint="eastAsia"/>
                      <w:b/>
                      <w:bCs/>
                      <w:szCs w:val="21"/>
                    </w:rPr>
                    <w:t>有组织排放限值</w:t>
                  </w:r>
                </w:p>
              </w:tc>
              <w:tc>
                <w:tcPr>
                  <w:tcW w:w="2107" w:type="dxa"/>
                  <w:vAlign w:val="center"/>
                </w:tcPr>
                <w:p w14:paraId="01FD17B7">
                  <w:pPr>
                    <w:pStyle w:val="7"/>
                    <w:ind w:firstLine="0"/>
                    <w:jc w:val="center"/>
                    <w:rPr>
                      <w:b/>
                      <w:bCs/>
                      <w:szCs w:val="21"/>
                    </w:rPr>
                  </w:pPr>
                  <w:r>
                    <w:rPr>
                      <w:rFonts w:hint="eastAsia"/>
                      <w:b/>
                      <w:bCs/>
                      <w:szCs w:val="21"/>
                    </w:rPr>
                    <w:t>无组织排放限值</w:t>
                  </w:r>
                </w:p>
              </w:tc>
            </w:tr>
            <w:tr w14:paraId="7F4DA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3" w:type="dxa"/>
                  <w:vAlign w:val="center"/>
                </w:tcPr>
                <w:p w14:paraId="6F2AD175">
                  <w:pPr>
                    <w:pStyle w:val="7"/>
                    <w:ind w:firstLine="0"/>
                    <w:jc w:val="center"/>
                    <w:rPr>
                      <w:szCs w:val="21"/>
                    </w:rPr>
                  </w:pPr>
                  <w:r>
                    <w:rPr>
                      <w:rFonts w:hint="eastAsia"/>
                      <w:szCs w:val="21"/>
                    </w:rPr>
                    <w:t>颗粒物</w:t>
                  </w:r>
                </w:p>
              </w:tc>
              <w:tc>
                <w:tcPr>
                  <w:tcW w:w="1184" w:type="dxa"/>
                  <w:vAlign w:val="center"/>
                </w:tcPr>
                <w:p w14:paraId="24896AC2">
                  <w:pPr>
                    <w:pStyle w:val="7"/>
                    <w:ind w:firstLine="0"/>
                    <w:jc w:val="center"/>
                    <w:rPr>
                      <w:szCs w:val="21"/>
                    </w:rPr>
                  </w:pPr>
                  <w:r>
                    <w:rPr>
                      <w:rFonts w:hint="eastAsia"/>
                      <w:szCs w:val="21"/>
                    </w:rPr>
                    <w:t>DA003</w:t>
                  </w:r>
                </w:p>
              </w:tc>
              <w:tc>
                <w:tcPr>
                  <w:tcW w:w="3500" w:type="dxa"/>
                  <w:vAlign w:val="center"/>
                </w:tcPr>
                <w:p w14:paraId="0E20AC0B">
                  <w:pPr>
                    <w:pStyle w:val="7"/>
                    <w:ind w:firstLine="0"/>
                    <w:jc w:val="center"/>
                    <w:rPr>
                      <w:szCs w:val="21"/>
                    </w:rPr>
                  </w:pPr>
                  <w:r>
                    <w:rPr>
                      <w:rFonts w:hint="eastAsia"/>
                      <w:szCs w:val="21"/>
                    </w:rPr>
                    <w:t>10</w:t>
                  </w:r>
                </w:p>
              </w:tc>
              <w:tc>
                <w:tcPr>
                  <w:tcW w:w="2107" w:type="dxa"/>
                  <w:vAlign w:val="center"/>
                </w:tcPr>
                <w:p w14:paraId="399F1B10">
                  <w:pPr>
                    <w:pStyle w:val="7"/>
                    <w:ind w:firstLine="0"/>
                    <w:jc w:val="center"/>
                    <w:rPr>
                      <w:szCs w:val="21"/>
                    </w:rPr>
                  </w:pPr>
                  <w:r>
                    <w:rPr>
                      <w:rFonts w:hint="eastAsia"/>
                      <w:szCs w:val="21"/>
                    </w:rPr>
                    <w:t>0.5</w:t>
                  </w:r>
                </w:p>
              </w:tc>
            </w:tr>
          </w:tbl>
          <w:p w14:paraId="519B9B02">
            <w:pPr>
              <w:pStyle w:val="7"/>
              <w:spacing w:line="360" w:lineRule="auto"/>
              <w:ind w:firstLineChars="200"/>
            </w:pPr>
            <w:r>
              <w:rPr>
                <w:rFonts w:hint="eastAsia"/>
                <w:szCs w:val="21"/>
              </w:rPr>
              <w:t>（4）</w:t>
            </w:r>
            <w:r>
              <w:rPr>
                <w:rFonts w:hint="eastAsia"/>
              </w:rPr>
              <w:t>食堂油烟</w:t>
            </w:r>
          </w:p>
          <w:p w14:paraId="417C0679">
            <w:pPr>
              <w:pStyle w:val="7"/>
              <w:spacing w:line="360" w:lineRule="auto"/>
              <w:ind w:firstLineChars="200"/>
            </w:pPr>
            <w:r>
              <w:rPr>
                <w:rFonts w:hint="eastAsia"/>
              </w:rPr>
              <w:t>食堂油烟执行《饮食业油烟排放标准（试行）》（GB 18483-2001）标准，具体见表3-8。</w:t>
            </w:r>
          </w:p>
          <w:p w14:paraId="25590232">
            <w:pPr>
              <w:pStyle w:val="7"/>
              <w:jc w:val="center"/>
              <w:rPr>
                <w:b/>
                <w:bCs/>
                <w:szCs w:val="21"/>
              </w:rPr>
            </w:pPr>
            <w:r>
              <w:rPr>
                <w:rFonts w:hint="eastAsia"/>
                <w:b/>
                <w:bCs/>
                <w:szCs w:val="21"/>
              </w:rPr>
              <w:t>表3-8  饮食业油烟排放标准（试行）  单位：</w:t>
            </w:r>
            <w:r>
              <w:rPr>
                <w:b/>
                <w:bCs/>
                <w:kern w:val="0"/>
                <w:szCs w:val="21"/>
                <w:lang w:bidi="ar"/>
              </w:rPr>
              <w:t>mg/m</w:t>
            </w:r>
            <w:r>
              <w:rPr>
                <w:b/>
                <w:bCs/>
                <w:kern w:val="0"/>
                <w:szCs w:val="21"/>
                <w:vertAlign w:val="superscript"/>
                <w:lang w:bidi="ar"/>
              </w:rPr>
              <w:t>3</w:t>
            </w:r>
          </w:p>
          <w:tbl>
            <w:tblPr>
              <w:tblStyle w:val="31"/>
              <w:tblW w:w="7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2865"/>
              <w:gridCol w:w="3932"/>
            </w:tblGrid>
            <w:tr w14:paraId="25BA0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3" w:type="dxa"/>
                  <w:vAlign w:val="center"/>
                </w:tcPr>
                <w:p w14:paraId="47E62A1E">
                  <w:pPr>
                    <w:pStyle w:val="7"/>
                    <w:ind w:firstLine="0"/>
                    <w:jc w:val="center"/>
                    <w:rPr>
                      <w:b/>
                      <w:bCs/>
                      <w:szCs w:val="21"/>
                    </w:rPr>
                  </w:pPr>
                  <w:r>
                    <w:rPr>
                      <w:rFonts w:hint="eastAsia"/>
                      <w:b/>
                      <w:bCs/>
                      <w:szCs w:val="21"/>
                    </w:rPr>
                    <w:t>污染物</w:t>
                  </w:r>
                </w:p>
              </w:tc>
              <w:tc>
                <w:tcPr>
                  <w:tcW w:w="2865" w:type="dxa"/>
                  <w:vAlign w:val="center"/>
                </w:tcPr>
                <w:p w14:paraId="01C23473">
                  <w:pPr>
                    <w:pStyle w:val="7"/>
                    <w:ind w:firstLine="0"/>
                    <w:jc w:val="center"/>
                    <w:rPr>
                      <w:b/>
                      <w:bCs/>
                      <w:szCs w:val="21"/>
                    </w:rPr>
                  </w:pPr>
                  <w:r>
                    <w:rPr>
                      <w:rFonts w:hint="eastAsia"/>
                      <w:b/>
                      <w:bCs/>
                      <w:szCs w:val="21"/>
                    </w:rPr>
                    <w:t>规模</w:t>
                  </w:r>
                </w:p>
              </w:tc>
              <w:tc>
                <w:tcPr>
                  <w:tcW w:w="3932" w:type="dxa"/>
                  <w:vAlign w:val="center"/>
                </w:tcPr>
                <w:p w14:paraId="04A63B6C">
                  <w:pPr>
                    <w:pStyle w:val="7"/>
                    <w:ind w:firstLine="0"/>
                    <w:jc w:val="center"/>
                    <w:rPr>
                      <w:b/>
                      <w:bCs/>
                      <w:szCs w:val="21"/>
                    </w:rPr>
                  </w:pPr>
                  <w:r>
                    <w:rPr>
                      <w:rFonts w:hint="eastAsia"/>
                      <w:b/>
                      <w:bCs/>
                      <w:szCs w:val="21"/>
                    </w:rPr>
                    <w:t>排放限值</w:t>
                  </w:r>
                </w:p>
              </w:tc>
            </w:tr>
            <w:tr w14:paraId="57F96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3" w:type="dxa"/>
                  <w:vAlign w:val="center"/>
                </w:tcPr>
                <w:p w14:paraId="3480AE40">
                  <w:pPr>
                    <w:pStyle w:val="7"/>
                    <w:spacing w:line="240" w:lineRule="atLeast"/>
                    <w:ind w:firstLine="0"/>
                    <w:rPr>
                      <w:szCs w:val="21"/>
                    </w:rPr>
                  </w:pPr>
                  <w:r>
                    <w:rPr>
                      <w:rFonts w:hint="eastAsia"/>
                      <w:szCs w:val="21"/>
                    </w:rPr>
                    <w:t>食堂油烟</w:t>
                  </w:r>
                </w:p>
              </w:tc>
              <w:tc>
                <w:tcPr>
                  <w:tcW w:w="2865" w:type="dxa"/>
                  <w:vAlign w:val="center"/>
                </w:tcPr>
                <w:p w14:paraId="033E1530">
                  <w:pPr>
                    <w:spacing w:line="240" w:lineRule="atLeast"/>
                    <w:jc w:val="center"/>
                    <w:rPr>
                      <w:szCs w:val="21"/>
                    </w:rPr>
                  </w:pPr>
                  <w:r>
                    <w:rPr>
                      <w:rFonts w:hint="eastAsia"/>
                      <w:szCs w:val="21"/>
                    </w:rPr>
                    <w:t>小型</w:t>
                  </w:r>
                </w:p>
              </w:tc>
              <w:tc>
                <w:tcPr>
                  <w:tcW w:w="3932" w:type="dxa"/>
                  <w:vAlign w:val="center"/>
                </w:tcPr>
                <w:p w14:paraId="5E1BB003">
                  <w:pPr>
                    <w:pStyle w:val="7"/>
                    <w:spacing w:line="240" w:lineRule="atLeast"/>
                    <w:ind w:firstLine="0"/>
                    <w:jc w:val="center"/>
                    <w:rPr>
                      <w:szCs w:val="21"/>
                    </w:rPr>
                  </w:pPr>
                  <w:r>
                    <w:rPr>
                      <w:rFonts w:hint="eastAsia"/>
                      <w:szCs w:val="21"/>
                    </w:rPr>
                    <w:t>2.0</w:t>
                  </w:r>
                </w:p>
              </w:tc>
            </w:tr>
            <w:tr w14:paraId="47817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0" w:type="dxa"/>
                  <w:gridSpan w:val="3"/>
                  <w:vAlign w:val="center"/>
                </w:tcPr>
                <w:p w14:paraId="7B133658">
                  <w:pPr>
                    <w:pStyle w:val="7"/>
                    <w:spacing w:line="240" w:lineRule="atLeast"/>
                    <w:ind w:firstLine="0"/>
                    <w:jc w:val="left"/>
                    <w:rPr>
                      <w:szCs w:val="21"/>
                    </w:rPr>
                  </w:pPr>
                  <w:r>
                    <w:rPr>
                      <w:rFonts w:hint="eastAsia"/>
                      <w:szCs w:val="21"/>
                    </w:rPr>
                    <w:t>注：根据《饮食业环境保护规范》（HJ554-2010），建筑物高度≤15m时，油烟排放口应高出屋面；建筑物高度＞15m时，油烟排放口应＞15m。本项目综合办公楼总高9.3m，油烟排放口应高出屋面。</w:t>
                  </w:r>
                </w:p>
              </w:tc>
            </w:tr>
          </w:tbl>
          <w:p w14:paraId="2AEAB3D6">
            <w:pPr>
              <w:snapToGrid w:val="0"/>
              <w:spacing w:line="360" w:lineRule="auto"/>
              <w:rPr>
                <w:b/>
                <w:bCs/>
                <w:szCs w:val="21"/>
              </w:rPr>
            </w:pPr>
            <w:r>
              <w:rPr>
                <w:b/>
                <w:bCs/>
                <w:szCs w:val="21"/>
              </w:rPr>
              <w:t>2</w:t>
            </w:r>
            <w:r>
              <w:rPr>
                <w:rFonts w:hint="eastAsia"/>
                <w:b/>
                <w:bCs/>
                <w:szCs w:val="21"/>
              </w:rPr>
              <w:t>、</w:t>
            </w:r>
            <w:r>
              <w:rPr>
                <w:b/>
                <w:bCs/>
                <w:szCs w:val="21"/>
              </w:rPr>
              <w:t>噪声</w:t>
            </w:r>
          </w:p>
          <w:p w14:paraId="2FE13BC8">
            <w:pPr>
              <w:widowControl/>
              <w:spacing w:line="360" w:lineRule="auto"/>
              <w:ind w:firstLine="420" w:firstLineChars="200"/>
              <w:rPr>
                <w:szCs w:val="21"/>
              </w:rPr>
            </w:pPr>
            <w:r>
              <w:rPr>
                <w:szCs w:val="21"/>
              </w:rPr>
              <w:t>运营期噪声执行《工业企业厂界环境噪声排放标准》（</w:t>
            </w:r>
            <w:r>
              <w:rPr>
                <w:rFonts w:hint="eastAsia"/>
                <w:szCs w:val="21"/>
              </w:rPr>
              <w:t xml:space="preserve">GB </w:t>
            </w:r>
            <w:r>
              <w:rPr>
                <w:szCs w:val="21"/>
              </w:rPr>
              <w:t>12348-2008）中的</w:t>
            </w:r>
            <w:r>
              <w:rPr>
                <w:rFonts w:hint="eastAsia"/>
                <w:szCs w:val="21"/>
              </w:rPr>
              <w:t>2</w:t>
            </w:r>
            <w:r>
              <w:rPr>
                <w:szCs w:val="21"/>
              </w:rPr>
              <w:t>类标准</w:t>
            </w:r>
            <w:r>
              <w:rPr>
                <w:rFonts w:hint="eastAsia"/>
              </w:rPr>
              <w:t>具体见表3-9。</w:t>
            </w:r>
          </w:p>
          <w:p w14:paraId="776A06BB">
            <w:pPr>
              <w:snapToGrid w:val="0"/>
              <w:jc w:val="center"/>
              <w:rPr>
                <w:b/>
                <w:bCs/>
                <w:szCs w:val="21"/>
              </w:rPr>
            </w:pPr>
            <w:r>
              <w:rPr>
                <w:rFonts w:hint="eastAsia"/>
                <w:b/>
                <w:bCs/>
                <w:szCs w:val="21"/>
              </w:rPr>
              <w:t xml:space="preserve">表3-9  </w:t>
            </w:r>
            <w:r>
              <w:rPr>
                <w:b/>
                <w:bCs/>
                <w:szCs w:val="21"/>
              </w:rPr>
              <w:t>工业企业厂界环境噪声排放标准</w:t>
            </w:r>
            <w:r>
              <w:rPr>
                <w:rFonts w:hint="eastAsia"/>
                <w:b/>
                <w:bCs/>
                <w:szCs w:val="21"/>
              </w:rPr>
              <w:t xml:space="preserve">   </w:t>
            </w:r>
            <w:r>
              <w:rPr>
                <w:b/>
                <w:bCs/>
                <w:szCs w:val="21"/>
              </w:rPr>
              <w:t>单位：dB（A）</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5"/>
              <w:gridCol w:w="3896"/>
            </w:tblGrid>
            <w:tr w14:paraId="03897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5" w:type="dxa"/>
                  <w:tcBorders>
                    <w:top w:val="single" w:color="auto" w:sz="4" w:space="0"/>
                    <w:left w:val="single" w:color="auto" w:sz="4" w:space="0"/>
                    <w:bottom w:val="single" w:color="auto" w:sz="4" w:space="0"/>
                    <w:right w:val="single" w:color="auto" w:sz="4" w:space="0"/>
                    <w:tl2br w:val="nil"/>
                    <w:tr2bl w:val="nil"/>
                  </w:tcBorders>
                </w:tcPr>
                <w:p w14:paraId="53FF417D">
                  <w:pPr>
                    <w:jc w:val="center"/>
                    <w:rPr>
                      <w:b/>
                      <w:szCs w:val="21"/>
                    </w:rPr>
                  </w:pPr>
                  <w:r>
                    <w:rPr>
                      <w:b/>
                      <w:szCs w:val="21"/>
                    </w:rPr>
                    <w:t>昼间</w:t>
                  </w:r>
                </w:p>
              </w:tc>
              <w:tc>
                <w:tcPr>
                  <w:tcW w:w="3896" w:type="dxa"/>
                  <w:tcBorders>
                    <w:top w:val="single" w:color="auto" w:sz="4" w:space="0"/>
                    <w:left w:val="single" w:color="auto" w:sz="4" w:space="0"/>
                    <w:bottom w:val="single" w:color="auto" w:sz="4" w:space="0"/>
                    <w:right w:val="single" w:color="auto" w:sz="4" w:space="0"/>
                    <w:tl2br w:val="nil"/>
                    <w:tr2bl w:val="nil"/>
                  </w:tcBorders>
                </w:tcPr>
                <w:p w14:paraId="51BB4322">
                  <w:pPr>
                    <w:jc w:val="center"/>
                    <w:rPr>
                      <w:b/>
                      <w:szCs w:val="21"/>
                    </w:rPr>
                  </w:pPr>
                  <w:r>
                    <w:rPr>
                      <w:b/>
                      <w:szCs w:val="21"/>
                    </w:rPr>
                    <w:t>夜间</w:t>
                  </w:r>
                </w:p>
              </w:tc>
            </w:tr>
            <w:tr w14:paraId="674FC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3895" w:type="dxa"/>
                  <w:tcBorders>
                    <w:top w:val="single" w:color="auto" w:sz="4" w:space="0"/>
                    <w:left w:val="single" w:color="auto" w:sz="4" w:space="0"/>
                    <w:bottom w:val="single" w:color="auto" w:sz="4" w:space="0"/>
                    <w:right w:val="single" w:color="auto" w:sz="4" w:space="0"/>
                    <w:tl2br w:val="nil"/>
                    <w:tr2bl w:val="nil"/>
                  </w:tcBorders>
                </w:tcPr>
                <w:p w14:paraId="2E8DCFB3">
                  <w:pPr>
                    <w:jc w:val="center"/>
                    <w:rPr>
                      <w:bCs/>
                      <w:szCs w:val="21"/>
                    </w:rPr>
                  </w:pPr>
                  <w:r>
                    <w:rPr>
                      <w:bCs/>
                      <w:szCs w:val="21"/>
                    </w:rPr>
                    <w:t>6</w:t>
                  </w:r>
                  <w:r>
                    <w:rPr>
                      <w:rFonts w:hint="eastAsia"/>
                      <w:bCs/>
                      <w:szCs w:val="21"/>
                    </w:rPr>
                    <w:t>0</w:t>
                  </w:r>
                </w:p>
              </w:tc>
              <w:tc>
                <w:tcPr>
                  <w:tcW w:w="3896" w:type="dxa"/>
                  <w:tcBorders>
                    <w:top w:val="single" w:color="auto" w:sz="4" w:space="0"/>
                    <w:left w:val="single" w:color="auto" w:sz="4" w:space="0"/>
                    <w:bottom w:val="single" w:color="auto" w:sz="4" w:space="0"/>
                    <w:right w:val="single" w:color="auto" w:sz="4" w:space="0"/>
                    <w:tl2br w:val="nil"/>
                    <w:tr2bl w:val="nil"/>
                  </w:tcBorders>
                </w:tcPr>
                <w:p w14:paraId="6DE4D959">
                  <w:pPr>
                    <w:jc w:val="center"/>
                    <w:rPr>
                      <w:bCs/>
                      <w:szCs w:val="21"/>
                    </w:rPr>
                  </w:pPr>
                  <w:r>
                    <w:rPr>
                      <w:bCs/>
                      <w:szCs w:val="21"/>
                    </w:rPr>
                    <w:t>5</w:t>
                  </w:r>
                  <w:r>
                    <w:rPr>
                      <w:rFonts w:hint="eastAsia"/>
                      <w:bCs/>
                      <w:szCs w:val="21"/>
                    </w:rPr>
                    <w:t>0</w:t>
                  </w:r>
                </w:p>
              </w:tc>
            </w:tr>
          </w:tbl>
          <w:p w14:paraId="2DD835D0">
            <w:pPr>
              <w:snapToGrid w:val="0"/>
              <w:spacing w:line="360" w:lineRule="auto"/>
              <w:rPr>
                <w:rFonts w:hint="eastAsia"/>
                <w:b/>
                <w:bCs/>
                <w:color w:val="auto"/>
                <w:szCs w:val="21"/>
                <w:lang w:val="en-US" w:eastAsia="zh-CN"/>
              </w:rPr>
            </w:pPr>
            <w:r>
              <w:rPr>
                <w:b/>
                <w:bCs/>
                <w:color w:val="auto"/>
                <w:szCs w:val="21"/>
              </w:rPr>
              <w:t>3</w:t>
            </w:r>
            <w:r>
              <w:rPr>
                <w:rFonts w:hint="eastAsia"/>
                <w:b/>
                <w:bCs/>
                <w:color w:val="auto"/>
                <w:szCs w:val="21"/>
              </w:rPr>
              <w:t>、</w:t>
            </w:r>
            <w:r>
              <w:rPr>
                <w:rFonts w:hint="eastAsia"/>
                <w:b/>
                <w:bCs/>
                <w:color w:val="auto"/>
                <w:szCs w:val="21"/>
                <w:lang w:val="en-US" w:eastAsia="zh-CN"/>
              </w:rPr>
              <w:t>生活污水</w:t>
            </w:r>
          </w:p>
          <w:p w14:paraId="1D630313">
            <w:pPr>
              <w:widowControl/>
              <w:spacing w:line="360" w:lineRule="auto"/>
              <w:ind w:firstLine="420" w:firstLineChars="200"/>
              <w:rPr>
                <w:rFonts w:hint="eastAsia"/>
                <w:color w:val="auto"/>
                <w:kern w:val="0"/>
                <w:sz w:val="24"/>
                <w:lang w:val="en-US" w:eastAsia="zh-CN"/>
              </w:rPr>
            </w:pPr>
            <w:r>
              <w:rPr>
                <w:rFonts w:hint="eastAsia"/>
                <w:color w:val="auto"/>
                <w:szCs w:val="21"/>
                <w:lang w:eastAsia="zh-CN"/>
              </w:rPr>
              <w:t>运行期生活污</w:t>
            </w:r>
            <w:r>
              <w:rPr>
                <w:rFonts w:hint="eastAsia"/>
                <w:color w:val="auto"/>
                <w:szCs w:val="21"/>
                <w:lang w:val="en-US" w:eastAsia="zh-CN"/>
              </w:rPr>
              <w:t>水</w:t>
            </w:r>
            <w:r>
              <w:rPr>
                <w:rFonts w:hint="eastAsia"/>
                <w:color w:val="auto"/>
                <w:lang w:eastAsia="zh-CN"/>
              </w:rPr>
              <w:t>进入污水处理厂要符合污水处理厂进水要求</w:t>
            </w:r>
            <w:r>
              <w:rPr>
                <w:rFonts w:hint="eastAsia"/>
                <w:color w:val="auto"/>
                <w:lang w:val="en-US" w:eastAsia="zh-CN"/>
              </w:rPr>
              <w:t>即</w:t>
            </w:r>
            <w:r>
              <w:rPr>
                <w:rFonts w:hint="eastAsia"/>
                <w:color w:val="auto"/>
                <w:lang w:eastAsia="zh-CN"/>
              </w:rPr>
              <w:t>满足《污水综合排放标准》</w:t>
            </w:r>
            <w:r>
              <w:rPr>
                <w:color w:val="auto"/>
                <w:kern w:val="0"/>
                <w:sz w:val="24"/>
              </w:rPr>
              <w:t>(GB</w:t>
            </w:r>
            <w:r>
              <w:rPr>
                <w:rFonts w:hint="eastAsia"/>
                <w:color w:val="auto"/>
                <w:kern w:val="0"/>
                <w:sz w:val="24"/>
                <w:lang w:val="en-US" w:eastAsia="zh-CN"/>
              </w:rPr>
              <w:t xml:space="preserve"> </w:t>
            </w:r>
            <w:r>
              <w:rPr>
                <w:rFonts w:hint="eastAsia"/>
                <w:color w:val="auto"/>
                <w:kern w:val="0"/>
                <w:sz w:val="24"/>
              </w:rPr>
              <w:t>8978</w:t>
            </w:r>
            <w:r>
              <w:rPr>
                <w:color w:val="auto"/>
                <w:kern w:val="0"/>
                <w:sz w:val="24"/>
              </w:rPr>
              <w:t>—</w:t>
            </w:r>
            <w:r>
              <w:rPr>
                <w:rFonts w:hint="eastAsia"/>
                <w:color w:val="auto"/>
                <w:kern w:val="0"/>
                <w:sz w:val="24"/>
              </w:rPr>
              <w:t>1996</w:t>
            </w:r>
            <w:r>
              <w:rPr>
                <w:color w:val="auto"/>
                <w:kern w:val="0"/>
                <w:sz w:val="24"/>
              </w:rPr>
              <w:t>)</w:t>
            </w:r>
            <w:r>
              <w:rPr>
                <w:rFonts w:hint="eastAsia"/>
                <w:color w:val="auto"/>
                <w:kern w:val="0"/>
                <w:sz w:val="24"/>
                <w:lang w:val="en-US" w:eastAsia="zh-CN"/>
              </w:rPr>
              <w:t>三级标准</w:t>
            </w:r>
            <w:r>
              <w:rPr>
                <w:rFonts w:hint="eastAsia"/>
                <w:color w:val="auto"/>
                <w:kern w:val="0"/>
                <w:sz w:val="24"/>
                <w:lang w:eastAsia="zh-CN"/>
              </w:rPr>
              <w:t>，</w:t>
            </w:r>
            <w:r>
              <w:rPr>
                <w:rFonts w:hint="eastAsia"/>
                <w:color w:val="auto"/>
                <w:kern w:val="0"/>
                <w:sz w:val="24"/>
                <w:lang w:val="en-US" w:eastAsia="zh-CN"/>
              </w:rPr>
              <w:t>具体见表3-10。</w:t>
            </w:r>
          </w:p>
          <w:tbl>
            <w:tblPr>
              <w:tblStyle w:val="30"/>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2876"/>
              <w:gridCol w:w="1131"/>
              <w:gridCol w:w="2829"/>
            </w:tblGrid>
            <w:tr w14:paraId="69BD6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706" w:type="pct"/>
                  <w:noWrap w:val="0"/>
                  <w:vAlign w:val="center"/>
                </w:tcPr>
                <w:p w14:paraId="1FE51D7B">
                  <w:pPr>
                    <w:widowControl/>
                    <w:jc w:val="center"/>
                    <w:rPr>
                      <w:color w:val="auto"/>
                      <w:kern w:val="0"/>
                      <w:szCs w:val="21"/>
                    </w:rPr>
                  </w:pPr>
                  <w:r>
                    <w:rPr>
                      <w:color w:val="auto"/>
                      <w:kern w:val="0"/>
                      <w:szCs w:val="21"/>
                    </w:rPr>
                    <w:t>序号</w:t>
                  </w:r>
                </w:p>
              </w:tc>
              <w:tc>
                <w:tcPr>
                  <w:tcW w:w="1806" w:type="pct"/>
                  <w:tcBorders>
                    <w:right w:val="single" w:color="auto" w:sz="2" w:space="0"/>
                  </w:tcBorders>
                  <w:noWrap w:val="0"/>
                  <w:vAlign w:val="center"/>
                </w:tcPr>
                <w:p w14:paraId="7A6ED86C">
                  <w:pPr>
                    <w:widowControl/>
                    <w:jc w:val="center"/>
                    <w:rPr>
                      <w:color w:val="auto"/>
                      <w:kern w:val="0"/>
                      <w:szCs w:val="21"/>
                    </w:rPr>
                  </w:pPr>
                  <w:r>
                    <w:rPr>
                      <w:color w:val="auto"/>
                      <w:kern w:val="0"/>
                      <w:szCs w:val="21"/>
                    </w:rPr>
                    <w:t>污染物项目</w:t>
                  </w:r>
                </w:p>
              </w:tc>
              <w:tc>
                <w:tcPr>
                  <w:tcW w:w="710" w:type="pct"/>
                  <w:tcBorders>
                    <w:left w:val="single" w:color="auto" w:sz="2" w:space="0"/>
                  </w:tcBorders>
                  <w:noWrap w:val="0"/>
                  <w:vAlign w:val="center"/>
                </w:tcPr>
                <w:p w14:paraId="5D47E4A7">
                  <w:pPr>
                    <w:widowControl/>
                    <w:jc w:val="center"/>
                    <w:rPr>
                      <w:rFonts w:hint="eastAsia" w:eastAsia="宋体"/>
                      <w:color w:val="auto"/>
                      <w:kern w:val="0"/>
                      <w:szCs w:val="21"/>
                      <w:lang w:eastAsia="zh-CN"/>
                    </w:rPr>
                  </w:pPr>
                  <w:r>
                    <w:rPr>
                      <w:rFonts w:hint="eastAsia"/>
                      <w:color w:val="auto"/>
                      <w:kern w:val="0"/>
                      <w:szCs w:val="21"/>
                      <w:lang w:eastAsia="zh-CN"/>
                    </w:rPr>
                    <w:t>单位</w:t>
                  </w:r>
                </w:p>
              </w:tc>
              <w:tc>
                <w:tcPr>
                  <w:tcW w:w="1776" w:type="pct"/>
                  <w:noWrap w:val="0"/>
                  <w:vAlign w:val="center"/>
                </w:tcPr>
                <w:p w14:paraId="1D04C190">
                  <w:pPr>
                    <w:widowControl/>
                    <w:jc w:val="center"/>
                    <w:rPr>
                      <w:rFonts w:hint="eastAsia"/>
                      <w:color w:val="auto"/>
                      <w:kern w:val="0"/>
                      <w:szCs w:val="21"/>
                    </w:rPr>
                  </w:pPr>
                  <w:r>
                    <w:rPr>
                      <w:rFonts w:hint="eastAsia"/>
                      <w:color w:val="auto"/>
                      <w:kern w:val="0"/>
                      <w:szCs w:val="21"/>
                    </w:rPr>
                    <w:t>三级标准</w:t>
                  </w:r>
                </w:p>
              </w:tc>
            </w:tr>
            <w:tr w14:paraId="20551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706" w:type="pct"/>
                  <w:noWrap w:val="0"/>
                  <w:vAlign w:val="center"/>
                </w:tcPr>
                <w:p w14:paraId="05169BF1">
                  <w:pPr>
                    <w:widowControl/>
                    <w:jc w:val="center"/>
                    <w:rPr>
                      <w:color w:val="auto"/>
                      <w:kern w:val="0"/>
                      <w:szCs w:val="21"/>
                    </w:rPr>
                  </w:pPr>
                  <w:r>
                    <w:rPr>
                      <w:color w:val="auto"/>
                      <w:kern w:val="0"/>
                      <w:szCs w:val="21"/>
                    </w:rPr>
                    <w:t>1</w:t>
                  </w:r>
                </w:p>
              </w:tc>
              <w:tc>
                <w:tcPr>
                  <w:tcW w:w="1806" w:type="pct"/>
                  <w:tcBorders>
                    <w:right w:val="single" w:color="auto" w:sz="2" w:space="0"/>
                  </w:tcBorders>
                  <w:noWrap w:val="0"/>
                  <w:vAlign w:val="center"/>
                </w:tcPr>
                <w:p w14:paraId="43F62B21">
                  <w:pPr>
                    <w:widowControl/>
                    <w:jc w:val="center"/>
                    <w:rPr>
                      <w:color w:val="auto"/>
                      <w:kern w:val="0"/>
                      <w:szCs w:val="21"/>
                    </w:rPr>
                  </w:pPr>
                  <w:r>
                    <w:rPr>
                      <w:rFonts w:hint="eastAsia"/>
                      <w:color w:val="auto"/>
                      <w:kern w:val="0"/>
                      <w:szCs w:val="21"/>
                    </w:rPr>
                    <w:t>BOD</w:t>
                  </w:r>
                  <w:r>
                    <w:rPr>
                      <w:rFonts w:hint="eastAsia"/>
                      <w:color w:val="auto"/>
                      <w:kern w:val="0"/>
                      <w:szCs w:val="21"/>
                      <w:vertAlign w:val="subscript"/>
                    </w:rPr>
                    <w:t>5</w:t>
                  </w:r>
                </w:p>
              </w:tc>
              <w:tc>
                <w:tcPr>
                  <w:tcW w:w="710" w:type="pct"/>
                  <w:tcBorders>
                    <w:left w:val="single" w:color="auto" w:sz="2" w:space="0"/>
                  </w:tcBorders>
                  <w:noWrap w:val="0"/>
                  <w:vAlign w:val="center"/>
                </w:tcPr>
                <w:p w14:paraId="70132720">
                  <w:pPr>
                    <w:widowControl/>
                    <w:jc w:val="center"/>
                    <w:rPr>
                      <w:rFonts w:hint="eastAsia"/>
                      <w:color w:val="auto"/>
                      <w:kern w:val="0"/>
                      <w:szCs w:val="21"/>
                    </w:rPr>
                  </w:pPr>
                  <w:r>
                    <w:rPr>
                      <w:rFonts w:hint="eastAsia"/>
                      <w:color w:val="auto"/>
                      <w:kern w:val="0"/>
                      <w:szCs w:val="21"/>
                    </w:rPr>
                    <w:t>mg/L</w:t>
                  </w:r>
                </w:p>
              </w:tc>
              <w:tc>
                <w:tcPr>
                  <w:tcW w:w="1776" w:type="pct"/>
                  <w:noWrap w:val="0"/>
                  <w:vAlign w:val="center"/>
                </w:tcPr>
                <w:p w14:paraId="7C9238B3">
                  <w:pPr>
                    <w:widowControl/>
                    <w:jc w:val="center"/>
                    <w:rPr>
                      <w:bCs/>
                      <w:color w:val="auto"/>
                      <w:kern w:val="0"/>
                      <w:szCs w:val="21"/>
                    </w:rPr>
                  </w:pPr>
                  <w:r>
                    <w:rPr>
                      <w:rFonts w:hint="eastAsia"/>
                      <w:color w:val="auto"/>
                      <w:kern w:val="0"/>
                      <w:szCs w:val="21"/>
                    </w:rPr>
                    <w:t>300</w:t>
                  </w:r>
                </w:p>
              </w:tc>
            </w:tr>
            <w:tr w14:paraId="6C7F3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706" w:type="pct"/>
                  <w:noWrap w:val="0"/>
                  <w:vAlign w:val="center"/>
                </w:tcPr>
                <w:p w14:paraId="781E5066">
                  <w:pPr>
                    <w:widowControl/>
                    <w:jc w:val="center"/>
                    <w:rPr>
                      <w:color w:val="auto"/>
                      <w:kern w:val="0"/>
                      <w:szCs w:val="21"/>
                    </w:rPr>
                  </w:pPr>
                  <w:r>
                    <w:rPr>
                      <w:color w:val="auto"/>
                      <w:kern w:val="0"/>
                      <w:szCs w:val="21"/>
                    </w:rPr>
                    <w:t>2</w:t>
                  </w:r>
                </w:p>
              </w:tc>
              <w:tc>
                <w:tcPr>
                  <w:tcW w:w="1806" w:type="pct"/>
                  <w:tcBorders>
                    <w:right w:val="single" w:color="auto" w:sz="2" w:space="0"/>
                  </w:tcBorders>
                  <w:noWrap w:val="0"/>
                  <w:vAlign w:val="center"/>
                </w:tcPr>
                <w:p w14:paraId="20457D52">
                  <w:pPr>
                    <w:widowControl/>
                    <w:jc w:val="center"/>
                    <w:rPr>
                      <w:color w:val="auto"/>
                      <w:kern w:val="0"/>
                      <w:szCs w:val="21"/>
                    </w:rPr>
                  </w:pPr>
                  <w:r>
                    <w:rPr>
                      <w:color w:val="auto"/>
                      <w:kern w:val="0"/>
                      <w:szCs w:val="21"/>
                    </w:rPr>
                    <w:t>氨氮</w:t>
                  </w:r>
                </w:p>
              </w:tc>
              <w:tc>
                <w:tcPr>
                  <w:tcW w:w="710" w:type="pct"/>
                  <w:tcBorders>
                    <w:left w:val="single" w:color="auto" w:sz="2" w:space="0"/>
                  </w:tcBorders>
                  <w:noWrap w:val="0"/>
                  <w:vAlign w:val="center"/>
                </w:tcPr>
                <w:p w14:paraId="35BDA58C">
                  <w:pPr>
                    <w:widowControl/>
                    <w:jc w:val="center"/>
                    <w:rPr>
                      <w:color w:val="auto"/>
                      <w:kern w:val="0"/>
                      <w:szCs w:val="21"/>
                    </w:rPr>
                  </w:pPr>
                  <w:r>
                    <w:rPr>
                      <w:rFonts w:hint="eastAsia"/>
                      <w:color w:val="auto"/>
                      <w:kern w:val="0"/>
                      <w:szCs w:val="21"/>
                    </w:rPr>
                    <w:t>mg/L</w:t>
                  </w:r>
                </w:p>
              </w:tc>
              <w:tc>
                <w:tcPr>
                  <w:tcW w:w="1776" w:type="pct"/>
                  <w:noWrap w:val="0"/>
                  <w:vAlign w:val="center"/>
                </w:tcPr>
                <w:p w14:paraId="4D5F85F9">
                  <w:pPr>
                    <w:widowControl/>
                    <w:jc w:val="center"/>
                    <w:rPr>
                      <w:bCs/>
                      <w:color w:val="auto"/>
                      <w:kern w:val="0"/>
                      <w:szCs w:val="21"/>
                    </w:rPr>
                  </w:pPr>
                  <w:r>
                    <w:rPr>
                      <w:rFonts w:hint="eastAsia"/>
                      <w:color w:val="auto"/>
                      <w:kern w:val="0"/>
                      <w:szCs w:val="21"/>
                    </w:rPr>
                    <w:t>-</w:t>
                  </w:r>
                </w:p>
              </w:tc>
            </w:tr>
            <w:tr w14:paraId="15333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706" w:type="pct"/>
                  <w:noWrap w:val="0"/>
                  <w:vAlign w:val="center"/>
                </w:tcPr>
                <w:p w14:paraId="0963C38E">
                  <w:pPr>
                    <w:widowControl/>
                    <w:jc w:val="center"/>
                    <w:rPr>
                      <w:color w:val="auto"/>
                      <w:kern w:val="0"/>
                      <w:szCs w:val="21"/>
                    </w:rPr>
                  </w:pPr>
                  <w:r>
                    <w:rPr>
                      <w:rFonts w:hint="eastAsia"/>
                      <w:color w:val="auto"/>
                      <w:kern w:val="0"/>
                      <w:szCs w:val="21"/>
                    </w:rPr>
                    <w:t>3</w:t>
                  </w:r>
                </w:p>
              </w:tc>
              <w:tc>
                <w:tcPr>
                  <w:tcW w:w="1806" w:type="pct"/>
                  <w:tcBorders>
                    <w:right w:val="single" w:color="auto" w:sz="2" w:space="0"/>
                  </w:tcBorders>
                  <w:noWrap w:val="0"/>
                  <w:vAlign w:val="center"/>
                </w:tcPr>
                <w:p w14:paraId="055D32F7">
                  <w:pPr>
                    <w:widowControl/>
                    <w:jc w:val="center"/>
                    <w:rPr>
                      <w:color w:val="auto"/>
                      <w:kern w:val="0"/>
                      <w:szCs w:val="21"/>
                    </w:rPr>
                  </w:pPr>
                  <w:r>
                    <w:rPr>
                      <w:rFonts w:hint="eastAsia"/>
                      <w:color w:val="auto"/>
                      <w:kern w:val="0"/>
                      <w:szCs w:val="21"/>
                    </w:rPr>
                    <w:t>SS</w:t>
                  </w:r>
                </w:p>
              </w:tc>
              <w:tc>
                <w:tcPr>
                  <w:tcW w:w="710" w:type="pct"/>
                  <w:tcBorders>
                    <w:left w:val="single" w:color="auto" w:sz="2" w:space="0"/>
                  </w:tcBorders>
                  <w:noWrap w:val="0"/>
                  <w:vAlign w:val="center"/>
                </w:tcPr>
                <w:p w14:paraId="790DC039">
                  <w:pPr>
                    <w:widowControl/>
                    <w:jc w:val="center"/>
                    <w:rPr>
                      <w:rFonts w:hint="eastAsia"/>
                      <w:color w:val="auto"/>
                      <w:kern w:val="0"/>
                      <w:szCs w:val="21"/>
                    </w:rPr>
                  </w:pPr>
                  <w:r>
                    <w:rPr>
                      <w:rFonts w:hint="eastAsia"/>
                      <w:color w:val="auto"/>
                      <w:kern w:val="0"/>
                      <w:szCs w:val="21"/>
                    </w:rPr>
                    <w:t>mg/L</w:t>
                  </w:r>
                </w:p>
              </w:tc>
              <w:tc>
                <w:tcPr>
                  <w:tcW w:w="1776" w:type="pct"/>
                  <w:noWrap w:val="0"/>
                  <w:vAlign w:val="center"/>
                </w:tcPr>
                <w:p w14:paraId="3B3D1A89">
                  <w:pPr>
                    <w:widowControl/>
                    <w:jc w:val="center"/>
                    <w:rPr>
                      <w:color w:val="auto"/>
                      <w:kern w:val="0"/>
                      <w:szCs w:val="21"/>
                    </w:rPr>
                  </w:pPr>
                  <w:r>
                    <w:rPr>
                      <w:rFonts w:hint="eastAsia"/>
                      <w:color w:val="auto"/>
                      <w:kern w:val="0"/>
                      <w:szCs w:val="21"/>
                    </w:rPr>
                    <w:t>400</w:t>
                  </w:r>
                </w:p>
              </w:tc>
            </w:tr>
            <w:tr w14:paraId="0A92E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706" w:type="pct"/>
                  <w:noWrap w:val="0"/>
                  <w:vAlign w:val="center"/>
                </w:tcPr>
                <w:p w14:paraId="7B4E0EE9">
                  <w:pPr>
                    <w:widowControl/>
                    <w:jc w:val="center"/>
                    <w:rPr>
                      <w:rFonts w:hint="eastAsia"/>
                      <w:color w:val="auto"/>
                      <w:kern w:val="0"/>
                      <w:szCs w:val="21"/>
                    </w:rPr>
                  </w:pPr>
                  <w:r>
                    <w:rPr>
                      <w:rFonts w:hint="eastAsia"/>
                      <w:color w:val="auto"/>
                      <w:kern w:val="0"/>
                      <w:szCs w:val="21"/>
                    </w:rPr>
                    <w:t>4</w:t>
                  </w:r>
                </w:p>
              </w:tc>
              <w:tc>
                <w:tcPr>
                  <w:tcW w:w="1806" w:type="pct"/>
                  <w:tcBorders>
                    <w:right w:val="single" w:color="auto" w:sz="2" w:space="0"/>
                  </w:tcBorders>
                  <w:noWrap w:val="0"/>
                  <w:vAlign w:val="center"/>
                </w:tcPr>
                <w:p w14:paraId="234F286E">
                  <w:pPr>
                    <w:widowControl/>
                    <w:jc w:val="center"/>
                    <w:rPr>
                      <w:color w:val="auto"/>
                      <w:kern w:val="0"/>
                      <w:szCs w:val="21"/>
                    </w:rPr>
                  </w:pPr>
                  <w:r>
                    <w:rPr>
                      <w:rFonts w:hint="eastAsia"/>
                      <w:color w:val="auto"/>
                      <w:kern w:val="0"/>
                      <w:szCs w:val="21"/>
                    </w:rPr>
                    <w:t>COD</w:t>
                  </w:r>
                </w:p>
              </w:tc>
              <w:tc>
                <w:tcPr>
                  <w:tcW w:w="710" w:type="pct"/>
                  <w:tcBorders>
                    <w:left w:val="single" w:color="auto" w:sz="2" w:space="0"/>
                  </w:tcBorders>
                  <w:noWrap w:val="0"/>
                  <w:vAlign w:val="center"/>
                </w:tcPr>
                <w:p w14:paraId="6426A971">
                  <w:pPr>
                    <w:widowControl/>
                    <w:jc w:val="center"/>
                    <w:rPr>
                      <w:rFonts w:hint="eastAsia"/>
                      <w:color w:val="auto"/>
                      <w:kern w:val="0"/>
                      <w:szCs w:val="21"/>
                    </w:rPr>
                  </w:pPr>
                  <w:r>
                    <w:rPr>
                      <w:rFonts w:hint="eastAsia"/>
                      <w:color w:val="auto"/>
                      <w:kern w:val="0"/>
                      <w:szCs w:val="21"/>
                    </w:rPr>
                    <w:t>mg/L</w:t>
                  </w:r>
                </w:p>
              </w:tc>
              <w:tc>
                <w:tcPr>
                  <w:tcW w:w="1776" w:type="pct"/>
                  <w:noWrap w:val="0"/>
                  <w:vAlign w:val="center"/>
                </w:tcPr>
                <w:p w14:paraId="42D90CC5">
                  <w:pPr>
                    <w:widowControl/>
                    <w:jc w:val="center"/>
                    <w:rPr>
                      <w:color w:val="auto"/>
                      <w:kern w:val="0"/>
                      <w:szCs w:val="21"/>
                    </w:rPr>
                  </w:pPr>
                  <w:r>
                    <w:rPr>
                      <w:rFonts w:hint="eastAsia"/>
                      <w:color w:val="auto"/>
                      <w:kern w:val="0"/>
                      <w:szCs w:val="21"/>
                    </w:rPr>
                    <w:t>500</w:t>
                  </w:r>
                </w:p>
              </w:tc>
            </w:tr>
            <w:tr w14:paraId="26FA2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706" w:type="pct"/>
                  <w:noWrap w:val="0"/>
                  <w:vAlign w:val="center"/>
                </w:tcPr>
                <w:p w14:paraId="538E574C">
                  <w:pPr>
                    <w:widowControl/>
                    <w:jc w:val="center"/>
                    <w:rPr>
                      <w:rFonts w:hint="eastAsia"/>
                      <w:color w:val="auto"/>
                      <w:kern w:val="0"/>
                      <w:szCs w:val="21"/>
                    </w:rPr>
                  </w:pPr>
                  <w:r>
                    <w:rPr>
                      <w:rFonts w:hint="eastAsia"/>
                      <w:color w:val="auto"/>
                      <w:kern w:val="0"/>
                      <w:szCs w:val="21"/>
                    </w:rPr>
                    <w:t>5</w:t>
                  </w:r>
                </w:p>
              </w:tc>
              <w:tc>
                <w:tcPr>
                  <w:tcW w:w="1806" w:type="pct"/>
                  <w:tcBorders>
                    <w:right w:val="single" w:color="auto" w:sz="2" w:space="0"/>
                  </w:tcBorders>
                  <w:noWrap w:val="0"/>
                  <w:vAlign w:val="center"/>
                </w:tcPr>
                <w:p w14:paraId="2F4EA8CB">
                  <w:pPr>
                    <w:widowControl/>
                    <w:jc w:val="center"/>
                    <w:rPr>
                      <w:rFonts w:hint="eastAsia"/>
                      <w:color w:val="auto"/>
                      <w:kern w:val="0"/>
                      <w:szCs w:val="21"/>
                    </w:rPr>
                  </w:pPr>
                  <w:r>
                    <w:rPr>
                      <w:rFonts w:hint="eastAsia"/>
                      <w:color w:val="auto"/>
                      <w:kern w:val="0"/>
                      <w:szCs w:val="21"/>
                    </w:rPr>
                    <w:t>动植物油</w:t>
                  </w:r>
                </w:p>
              </w:tc>
              <w:tc>
                <w:tcPr>
                  <w:tcW w:w="710" w:type="pct"/>
                  <w:tcBorders>
                    <w:left w:val="single" w:color="auto" w:sz="2" w:space="0"/>
                  </w:tcBorders>
                  <w:noWrap w:val="0"/>
                  <w:vAlign w:val="center"/>
                </w:tcPr>
                <w:p w14:paraId="6648636B">
                  <w:pPr>
                    <w:widowControl/>
                    <w:jc w:val="center"/>
                    <w:rPr>
                      <w:rFonts w:hint="eastAsia"/>
                      <w:color w:val="auto"/>
                      <w:kern w:val="0"/>
                      <w:szCs w:val="21"/>
                    </w:rPr>
                  </w:pPr>
                  <w:r>
                    <w:rPr>
                      <w:rFonts w:hint="eastAsia"/>
                      <w:color w:val="auto"/>
                      <w:kern w:val="0"/>
                      <w:szCs w:val="21"/>
                    </w:rPr>
                    <w:t>mg/L</w:t>
                  </w:r>
                </w:p>
              </w:tc>
              <w:tc>
                <w:tcPr>
                  <w:tcW w:w="1776" w:type="pct"/>
                  <w:noWrap w:val="0"/>
                  <w:vAlign w:val="center"/>
                </w:tcPr>
                <w:p w14:paraId="066492DD">
                  <w:pPr>
                    <w:widowControl/>
                    <w:jc w:val="center"/>
                    <w:rPr>
                      <w:color w:val="auto"/>
                      <w:kern w:val="0"/>
                      <w:szCs w:val="21"/>
                    </w:rPr>
                  </w:pPr>
                  <w:r>
                    <w:rPr>
                      <w:rFonts w:hint="eastAsia"/>
                      <w:color w:val="auto"/>
                      <w:kern w:val="0"/>
                      <w:szCs w:val="21"/>
                    </w:rPr>
                    <w:t>100</w:t>
                  </w:r>
                </w:p>
              </w:tc>
            </w:tr>
          </w:tbl>
          <w:p w14:paraId="741E4925">
            <w:pPr>
              <w:snapToGrid w:val="0"/>
              <w:spacing w:line="360" w:lineRule="auto"/>
              <w:rPr>
                <w:b/>
                <w:bCs/>
                <w:color w:val="auto"/>
                <w:szCs w:val="21"/>
              </w:rPr>
            </w:pPr>
            <w:r>
              <w:rPr>
                <w:rFonts w:hint="eastAsia"/>
                <w:b/>
                <w:bCs/>
                <w:color w:val="auto"/>
                <w:szCs w:val="21"/>
                <w:lang w:val="en-US" w:eastAsia="zh-CN"/>
              </w:rPr>
              <w:t>4、</w:t>
            </w:r>
            <w:r>
              <w:rPr>
                <w:b/>
                <w:bCs/>
                <w:color w:val="auto"/>
                <w:szCs w:val="21"/>
              </w:rPr>
              <w:t>固体废弃物</w:t>
            </w:r>
          </w:p>
          <w:p w14:paraId="4EDCE6AC">
            <w:pPr>
              <w:widowControl/>
              <w:spacing w:line="360" w:lineRule="auto"/>
              <w:ind w:firstLine="420" w:firstLineChars="200"/>
              <w:rPr>
                <w:szCs w:val="21"/>
              </w:rPr>
            </w:pPr>
            <w:r>
              <w:rPr>
                <w:color w:val="auto"/>
                <w:szCs w:val="21"/>
              </w:rPr>
              <w:t>一般固体废物执行</w:t>
            </w:r>
            <w:r>
              <w:rPr>
                <w:snapToGrid w:val="0"/>
                <w:color w:val="auto"/>
                <w:kern w:val="0"/>
                <w:szCs w:val="21"/>
              </w:rPr>
              <w:t>《一般工业固</w:t>
            </w:r>
            <w:r>
              <w:rPr>
                <w:snapToGrid w:val="0"/>
                <w:kern w:val="0"/>
                <w:szCs w:val="21"/>
              </w:rPr>
              <w:t>体废物贮存和填埋污染控制标准》（</w:t>
            </w:r>
            <w:r>
              <w:rPr>
                <w:rFonts w:hint="eastAsia"/>
                <w:snapToGrid w:val="0"/>
                <w:kern w:val="0"/>
                <w:szCs w:val="21"/>
              </w:rPr>
              <w:t xml:space="preserve">GB </w:t>
            </w:r>
            <w:r>
              <w:rPr>
                <w:snapToGrid w:val="0"/>
                <w:kern w:val="0"/>
                <w:szCs w:val="21"/>
              </w:rPr>
              <w:t>18599-2020）</w:t>
            </w:r>
            <w:r>
              <w:rPr>
                <w:szCs w:val="21"/>
              </w:rPr>
              <w:t>；</w:t>
            </w:r>
          </w:p>
          <w:p w14:paraId="07AAC1B2">
            <w:pPr>
              <w:widowControl/>
              <w:spacing w:line="360" w:lineRule="auto"/>
              <w:ind w:firstLine="420" w:firstLineChars="200"/>
            </w:pPr>
            <w:r>
              <w:rPr>
                <w:szCs w:val="21"/>
              </w:rPr>
              <w:t>危险废物执行《危险废物贮存污染控制标准》（</w:t>
            </w:r>
            <w:r>
              <w:rPr>
                <w:rFonts w:hint="eastAsia"/>
                <w:szCs w:val="21"/>
              </w:rPr>
              <w:t xml:space="preserve">GB </w:t>
            </w:r>
            <w:r>
              <w:rPr>
                <w:szCs w:val="21"/>
              </w:rPr>
              <w:t>18597-2001）及2013修改单中控制要求</w:t>
            </w:r>
            <w:r>
              <w:rPr>
                <w:rFonts w:hint="eastAsia"/>
                <w:bCs/>
                <w:kern w:val="0"/>
                <w:szCs w:val="21"/>
              </w:rPr>
              <w:t>、</w:t>
            </w:r>
            <w:r>
              <w:rPr>
                <w:bCs/>
                <w:kern w:val="0"/>
                <w:szCs w:val="21"/>
              </w:rPr>
              <w:t>《危险废物收集贮存运输技术规范》（</w:t>
            </w:r>
            <w:r>
              <w:rPr>
                <w:rFonts w:hint="eastAsia"/>
                <w:bCs/>
                <w:kern w:val="0"/>
                <w:szCs w:val="21"/>
              </w:rPr>
              <w:t xml:space="preserve">HJ </w:t>
            </w:r>
            <w:r>
              <w:rPr>
                <w:bCs/>
                <w:kern w:val="0"/>
                <w:szCs w:val="21"/>
              </w:rPr>
              <w:t>2025-2012）</w:t>
            </w:r>
            <w:r>
              <w:rPr>
                <w:rFonts w:hint="eastAsia"/>
                <w:bCs/>
                <w:kern w:val="0"/>
                <w:szCs w:val="21"/>
              </w:rPr>
              <w:t>及《</w:t>
            </w:r>
            <w:r>
              <w:rPr>
                <w:rFonts w:hint="eastAsia"/>
              </w:rPr>
              <w:t>危险废物转移管理办法》（部令 第23号）。</w:t>
            </w:r>
          </w:p>
        </w:tc>
      </w:tr>
      <w:tr w14:paraId="7928E9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0" w:hRule="atLeast"/>
          <w:jc w:val="center"/>
        </w:trPr>
        <w:tc>
          <w:tcPr>
            <w:tcW w:w="800" w:type="dxa"/>
            <w:vAlign w:val="center"/>
          </w:tcPr>
          <w:p w14:paraId="746A6C9E">
            <w:pPr>
              <w:adjustRightInd w:val="0"/>
              <w:snapToGrid w:val="0"/>
              <w:jc w:val="center"/>
              <w:rPr>
                <w:rFonts w:ascii="宋体" w:hAnsi="宋体" w:cs="宋体"/>
                <w:kern w:val="0"/>
                <w:szCs w:val="21"/>
              </w:rPr>
            </w:pPr>
            <w:r>
              <w:rPr>
                <w:rFonts w:hint="eastAsia" w:ascii="宋体" w:hAnsi="宋体" w:cs="宋体"/>
                <w:kern w:val="0"/>
                <w:szCs w:val="21"/>
              </w:rPr>
              <w:t>总量</w:t>
            </w:r>
          </w:p>
          <w:p w14:paraId="1814CCEE">
            <w:pPr>
              <w:adjustRightInd w:val="0"/>
              <w:snapToGrid w:val="0"/>
              <w:jc w:val="center"/>
              <w:rPr>
                <w:rFonts w:ascii="宋体" w:hAnsi="宋体" w:cs="宋体"/>
                <w:kern w:val="0"/>
                <w:szCs w:val="21"/>
              </w:rPr>
            </w:pPr>
            <w:r>
              <w:rPr>
                <w:rFonts w:hint="eastAsia" w:ascii="宋体" w:hAnsi="宋体" w:cs="宋体"/>
                <w:kern w:val="0"/>
                <w:szCs w:val="21"/>
              </w:rPr>
              <w:t>控制</w:t>
            </w:r>
          </w:p>
          <w:p w14:paraId="586AC416">
            <w:pPr>
              <w:adjustRightInd w:val="0"/>
              <w:snapToGrid w:val="0"/>
              <w:jc w:val="center"/>
              <w:rPr>
                <w:rFonts w:ascii="宋体" w:hAnsi="宋体" w:cs="宋体"/>
                <w:kern w:val="0"/>
                <w:szCs w:val="21"/>
              </w:rPr>
            </w:pPr>
            <w:r>
              <w:rPr>
                <w:rFonts w:hint="eastAsia" w:ascii="宋体" w:hAnsi="宋体" w:cs="宋体"/>
                <w:kern w:val="0"/>
                <w:szCs w:val="21"/>
              </w:rPr>
              <w:t>指标</w:t>
            </w:r>
          </w:p>
        </w:tc>
        <w:tc>
          <w:tcPr>
            <w:tcW w:w="8190" w:type="dxa"/>
            <w:vAlign w:val="center"/>
          </w:tcPr>
          <w:p w14:paraId="72E158B4">
            <w:pPr>
              <w:pStyle w:val="37"/>
              <w:ind w:firstLine="420"/>
              <w:rPr>
                <w:sz w:val="21"/>
                <w:szCs w:val="21"/>
              </w:rPr>
            </w:pPr>
            <w:r>
              <w:rPr>
                <w:rFonts w:hint="eastAsia" w:cs="Times New Roman"/>
                <w:sz w:val="21"/>
                <w:szCs w:val="21"/>
              </w:rPr>
              <w:t>根据工程分析，</w:t>
            </w:r>
            <w:r>
              <w:rPr>
                <w:rFonts w:cs="Times New Roman"/>
                <w:sz w:val="21"/>
                <w:szCs w:val="21"/>
              </w:rPr>
              <w:t>本项</w:t>
            </w:r>
            <w:r>
              <w:rPr>
                <w:rFonts w:hint="eastAsia" w:cs="Times New Roman"/>
                <w:sz w:val="21"/>
                <w:szCs w:val="21"/>
              </w:rPr>
              <w:t>目排放的</w:t>
            </w:r>
            <w:r>
              <w:rPr>
                <w:rFonts w:hint="eastAsia"/>
                <w:sz w:val="21"/>
                <w:szCs w:val="21"/>
              </w:rPr>
              <w:t>大气污染物总量为：</w:t>
            </w:r>
            <w:r>
              <w:rPr>
                <w:sz w:val="21"/>
                <w:szCs w:val="21"/>
              </w:rPr>
              <w:t>VOCs</w:t>
            </w:r>
            <w:r>
              <w:rPr>
                <w:rFonts w:hint="eastAsia" w:cs="Times New Roman"/>
                <w:sz w:val="21"/>
                <w:szCs w:val="21"/>
              </w:rPr>
              <w:t>（以非甲烷总烃计）：</w:t>
            </w:r>
            <w:r>
              <w:rPr>
                <w:rFonts w:hint="eastAsia"/>
                <w:sz w:val="21"/>
                <w:szCs w:val="21"/>
              </w:rPr>
              <w:t>0.002t/a、</w:t>
            </w:r>
            <w:r>
              <w:rPr>
                <w:sz w:val="21"/>
                <w:szCs w:val="21"/>
              </w:rPr>
              <w:t>SO</w:t>
            </w:r>
            <w:r>
              <w:rPr>
                <w:sz w:val="21"/>
                <w:szCs w:val="21"/>
                <w:vertAlign w:val="subscript"/>
              </w:rPr>
              <w:t>2</w:t>
            </w:r>
            <w:r>
              <w:rPr>
                <w:rFonts w:hint="eastAsia"/>
                <w:sz w:val="21"/>
                <w:szCs w:val="21"/>
              </w:rPr>
              <w:t>：0.065t/a、</w:t>
            </w:r>
            <w:r>
              <w:rPr>
                <w:sz w:val="21"/>
                <w:szCs w:val="21"/>
              </w:rPr>
              <w:t>NO</w:t>
            </w:r>
            <w:r>
              <w:rPr>
                <w:sz w:val="21"/>
                <w:szCs w:val="21"/>
                <w:vertAlign w:val="subscript"/>
              </w:rPr>
              <w:t>x</w:t>
            </w:r>
            <w:r>
              <w:rPr>
                <w:rFonts w:hint="eastAsia"/>
                <w:sz w:val="21"/>
                <w:szCs w:val="21"/>
              </w:rPr>
              <w:t>：0.049t/a、颗粒物：0.188t/a。</w:t>
            </w:r>
          </w:p>
          <w:p w14:paraId="5E7B39FD">
            <w:pPr>
              <w:pStyle w:val="37"/>
              <w:ind w:firstLine="420"/>
              <w:rPr>
                <w:rFonts w:cs="Times New Roman"/>
                <w:color w:val="FF0000"/>
                <w:sz w:val="21"/>
                <w:szCs w:val="21"/>
              </w:rPr>
            </w:pPr>
            <w:r>
              <w:rPr>
                <w:rFonts w:hint="eastAsia"/>
                <w:sz w:val="21"/>
                <w:szCs w:val="21"/>
              </w:rPr>
              <w:t>按照大气污染防治重点区域要求，</w:t>
            </w:r>
            <w:r>
              <w:rPr>
                <w:rFonts w:cs="Times New Roman"/>
                <w:sz w:val="21"/>
                <w:szCs w:val="21"/>
              </w:rPr>
              <w:t>本项目新增的污染物总量控制指标应实行2倍量替代</w:t>
            </w:r>
            <w:r>
              <w:rPr>
                <w:rFonts w:hint="eastAsia" w:cs="Times New Roman"/>
                <w:sz w:val="21"/>
                <w:szCs w:val="21"/>
              </w:rPr>
              <w:t>：</w:t>
            </w:r>
            <w:r>
              <w:rPr>
                <w:sz w:val="21"/>
                <w:szCs w:val="21"/>
              </w:rPr>
              <w:t>VOCs</w:t>
            </w:r>
            <w:r>
              <w:rPr>
                <w:rFonts w:hint="eastAsia" w:cs="Times New Roman"/>
                <w:sz w:val="21"/>
                <w:szCs w:val="21"/>
              </w:rPr>
              <w:t>（以非甲烷总烃计）：</w:t>
            </w:r>
            <w:r>
              <w:rPr>
                <w:rFonts w:hint="eastAsia"/>
                <w:sz w:val="21"/>
                <w:szCs w:val="21"/>
              </w:rPr>
              <w:t>0.004t/a、</w:t>
            </w:r>
            <w:r>
              <w:rPr>
                <w:sz w:val="21"/>
                <w:szCs w:val="21"/>
              </w:rPr>
              <w:t>SO</w:t>
            </w:r>
            <w:r>
              <w:rPr>
                <w:sz w:val="21"/>
                <w:szCs w:val="21"/>
                <w:vertAlign w:val="subscript"/>
              </w:rPr>
              <w:t>2</w:t>
            </w:r>
            <w:r>
              <w:rPr>
                <w:rFonts w:hint="eastAsia"/>
                <w:sz w:val="21"/>
                <w:szCs w:val="21"/>
              </w:rPr>
              <w:t>：0.13t/a、</w:t>
            </w:r>
            <w:r>
              <w:rPr>
                <w:sz w:val="21"/>
                <w:szCs w:val="21"/>
              </w:rPr>
              <w:t>NO</w:t>
            </w:r>
            <w:r>
              <w:rPr>
                <w:sz w:val="21"/>
                <w:szCs w:val="21"/>
                <w:vertAlign w:val="subscript"/>
              </w:rPr>
              <w:t>x</w:t>
            </w:r>
            <w:r>
              <w:rPr>
                <w:rFonts w:hint="eastAsia"/>
                <w:sz w:val="21"/>
                <w:szCs w:val="21"/>
              </w:rPr>
              <w:t>：0.098t/a、颗粒物：0.376t/a，</w:t>
            </w:r>
            <w:r>
              <w:rPr>
                <w:rFonts w:cs="Times New Roman"/>
                <w:sz w:val="21"/>
                <w:szCs w:val="21"/>
                <w:lang w:val="en-GB"/>
              </w:rPr>
              <w:t>建议</w:t>
            </w:r>
            <w:r>
              <w:rPr>
                <w:rFonts w:hint="eastAsia" w:cs="Times New Roman"/>
                <w:sz w:val="21"/>
                <w:szCs w:val="21"/>
              </w:rPr>
              <w:t>污染物</w:t>
            </w:r>
            <w:r>
              <w:rPr>
                <w:rFonts w:cs="Times New Roman"/>
                <w:sz w:val="21"/>
                <w:szCs w:val="21"/>
              </w:rPr>
              <w:t>倍量替代量</w:t>
            </w:r>
            <w:r>
              <w:rPr>
                <w:rFonts w:hint="eastAsia" w:cs="Times New Roman"/>
                <w:sz w:val="21"/>
                <w:szCs w:val="21"/>
              </w:rPr>
              <w:t>来源由审批部门在第七师胡杨河市区域内调配</w:t>
            </w:r>
            <w:r>
              <w:rPr>
                <w:rFonts w:cs="Times New Roman"/>
                <w:sz w:val="21"/>
                <w:szCs w:val="21"/>
                <w:lang w:val="en-GB"/>
              </w:rPr>
              <w:t>。</w:t>
            </w:r>
          </w:p>
        </w:tc>
      </w:tr>
    </w:tbl>
    <w:p w14:paraId="6AE2B405">
      <w:pPr>
        <w:pStyle w:val="7"/>
        <w:ind w:firstLine="0"/>
        <w:jc w:val="center"/>
        <w:sectPr>
          <w:pgSz w:w="11906" w:h="16838"/>
          <w:pgMar w:top="1701" w:right="1531" w:bottom="1701" w:left="1531" w:header="851" w:footer="992" w:gutter="0"/>
          <w:cols w:space="425" w:num="1"/>
          <w:docGrid w:type="lines" w:linePitch="312" w:charSpace="0"/>
        </w:sectPr>
      </w:pPr>
    </w:p>
    <w:p w14:paraId="508D2204">
      <w:pPr>
        <w:pStyle w:val="7"/>
        <w:ind w:firstLine="0"/>
        <w:jc w:val="center"/>
      </w:pPr>
      <w:r>
        <w:drawing>
          <wp:anchor distT="0" distB="0" distL="114300" distR="114300" simplePos="0" relativeHeight="251699200" behindDoc="0" locked="0" layoutInCell="1" allowOverlap="1">
            <wp:simplePos x="0" y="0"/>
            <wp:positionH relativeFrom="column">
              <wp:posOffset>8811895</wp:posOffset>
            </wp:positionH>
            <wp:positionV relativeFrom="paragraph">
              <wp:posOffset>3998595</wp:posOffset>
            </wp:positionV>
            <wp:extent cx="942975" cy="828675"/>
            <wp:effectExtent l="0" t="0" r="9525" b="9525"/>
            <wp:wrapNone/>
            <wp:docPr id="9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1"/>
                    <pic:cNvPicPr>
                      <a:picLocks noChangeAspect="1"/>
                    </pic:cNvPicPr>
                  </pic:nvPicPr>
                  <pic:blipFill>
                    <a:blip r:embed="rId22"/>
                    <a:stretch>
                      <a:fillRect/>
                    </a:stretch>
                  </pic:blipFill>
                  <pic:spPr>
                    <a:xfrm>
                      <a:off x="0" y="0"/>
                      <a:ext cx="942975" cy="828675"/>
                    </a:xfrm>
                    <a:prstGeom prst="rect">
                      <a:avLst/>
                    </a:prstGeom>
                    <a:noFill/>
                    <a:ln>
                      <a:noFill/>
                    </a:ln>
                  </pic:spPr>
                </pic:pic>
              </a:graphicData>
            </a:graphic>
          </wp:anchor>
        </w:drawing>
      </w:r>
      <w:r>
        <w:drawing>
          <wp:anchor distT="0" distB="0" distL="114300" distR="114300" simplePos="0" relativeHeight="251698176" behindDoc="0" locked="0" layoutInCell="1" allowOverlap="1">
            <wp:simplePos x="0" y="0"/>
            <wp:positionH relativeFrom="column">
              <wp:posOffset>8877300</wp:posOffset>
            </wp:positionH>
            <wp:positionV relativeFrom="paragraph">
              <wp:posOffset>1031875</wp:posOffset>
            </wp:positionV>
            <wp:extent cx="838200" cy="685800"/>
            <wp:effectExtent l="0" t="0" r="0" b="0"/>
            <wp:wrapNone/>
            <wp:docPr id="9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0"/>
                    <pic:cNvPicPr>
                      <a:picLocks noChangeAspect="1"/>
                    </pic:cNvPicPr>
                  </pic:nvPicPr>
                  <pic:blipFill>
                    <a:blip r:embed="rId23"/>
                    <a:stretch>
                      <a:fillRect/>
                    </a:stretch>
                  </pic:blipFill>
                  <pic:spPr>
                    <a:xfrm>
                      <a:off x="0" y="0"/>
                      <a:ext cx="838200" cy="685800"/>
                    </a:xfrm>
                    <a:prstGeom prst="rect">
                      <a:avLst/>
                    </a:prstGeom>
                    <a:noFill/>
                    <a:ln>
                      <a:noFill/>
                    </a:ln>
                  </pic:spPr>
                </pic:pic>
              </a:graphicData>
            </a:graphic>
          </wp:anchor>
        </w:drawing>
      </w:r>
      <w:r>
        <w:rPr>
          <w:sz w:val="24"/>
        </w:rPr>
        <mc:AlternateContent>
          <mc:Choice Requires="wps">
            <w:drawing>
              <wp:anchor distT="0" distB="0" distL="114300" distR="114300" simplePos="0" relativeHeight="251670528" behindDoc="0" locked="0" layoutInCell="1" allowOverlap="1">
                <wp:simplePos x="0" y="0"/>
                <wp:positionH relativeFrom="column">
                  <wp:posOffset>4301490</wp:posOffset>
                </wp:positionH>
                <wp:positionV relativeFrom="paragraph">
                  <wp:posOffset>3729990</wp:posOffset>
                </wp:positionV>
                <wp:extent cx="672465" cy="503555"/>
                <wp:effectExtent l="0" t="0" r="13335" b="10795"/>
                <wp:wrapNone/>
                <wp:docPr id="74" name="文本框 74"/>
                <wp:cNvGraphicFramePr/>
                <a:graphic xmlns:a="http://schemas.openxmlformats.org/drawingml/2006/main">
                  <a:graphicData uri="http://schemas.microsoft.com/office/word/2010/wordprocessingShape">
                    <wps:wsp>
                      <wps:cNvSpPr txBox="1"/>
                      <wps:spPr>
                        <a:xfrm>
                          <a:off x="0" y="0"/>
                          <a:ext cx="672465" cy="50355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743BEDE6">
                            <w:pPr>
                              <w:jc w:val="center"/>
                              <w:rPr>
                                <w:b/>
                                <w:bCs/>
                                <w:color w:val="FF0000"/>
                                <w:sz w:val="40"/>
                                <w:szCs w:val="40"/>
                              </w:rPr>
                            </w:pPr>
                            <w:r>
                              <w:rPr>
                                <w:rFonts w:hint="eastAsia" w:ascii="宋体" w:hAnsi="宋体" w:cs="宋体"/>
                                <w:b/>
                                <w:bCs/>
                                <w:color w:val="FF0000"/>
                                <w:sz w:val="32"/>
                                <w:szCs w:val="32"/>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7pt;margin-top:293.7pt;height:39.65pt;width:52.95pt;z-index:251670528;mso-width-relative:page;mso-height-relative:page;" fillcolor="#FFFFFF [3212]" filled="t" stroked="f" coordsize="21600,21600" o:gfxdata="UEsDBAoAAAAAAIdO4kAAAAAAAAAAAAAAAAAEAAAAZHJzL1BLAwQUAAAACACHTuJAFitrWdYAAAAL&#10;AQAADwAAAGRycy9kb3ducmV2LnhtbE2PTU/DMAyG70j8h8hI3FhaNtqqa7oDElcktrFz1pimWuJU&#10;Tfb56/FOcLP1Pnr9uFldvBMnnOIQSEE+y0AgdcEM1CvYbj5eKhAxaTLaBUIFV4ywah8fGl2bcKYv&#10;PK1TL7iEYq0V2JTGWsrYWfQ6zsKIxNlPmLxOvE69NJM+c7l38jXLCun1QHzB6hHfLXaH9dEr2PX+&#10;tvvOx8ka7xb0ebtutmFQ6vkpz5YgEl7SHwx3fVaHlp324UgmCqegKMsFowreqvvARFnN5yD2HBVF&#10;CbJt5P8f2l9QSwMEFAAAAAgAh07iQNT3gjlQAgAAkAQAAA4AAABkcnMvZTJvRG9jLnhtbK1UwW4T&#10;MRC9I/EPlu9kkzSbQpRNFRIFIVW0UkGcHa83a8n2GNvJbvgA+IOeuHDnu/odjL2bthQOPZDDZuyZ&#10;fTPvzczOL1qtyEE4L8EUdDQYUiIMh1KaXUE/fdy8ek2JD8yUTIERBT0KTy8WL1/MGzsTY6hBlcIR&#10;BDF+1tiC1iHYWZZ5XgvN/ACsMOiswGkW8Oh2WelYg+haZePhcJo14ErrgAvv8XbdOWmP6J4DCFUl&#10;uVgD32thQofqhGIBKflaWk8XqdqqEjxcVZUXgaiCItOQnpgE7W18Zos5m+0cs7XkfQnsOSU84aSZ&#10;NJj0HmrNAiN7J/+C0pI78FCFAQeddUSSIshiNHyizU3NrEhcUGpv70X3/w+WfzhcOyLLgp5PKDFM&#10;Y8fvbr/f/fh19/MbwTsUqLF+hnE3FiND+xZaHJvTvcfLyLutnI7/yIigH+U93ssr2kA4Xk7Px5Np&#10;TglHVz48y/M8omQPL1vnwzsBmkSjoA67l0Rlh0sfutBTSMzlQclyI5VKB7fbrpQjB4ad3qRfj/5H&#10;mDKkwUrO8mFCNhDf76CVwWIi145TtEK7bXsBtlAekb+DboS85RuJVV4yH66Zw5lByrhV4QoflQJM&#10;Ar1FSQ3u67/uYzy2Er2UNDiDBfVf9swJStR7g01+M5pM4tCmwyQ/H+PBPfZsH3vMXq8AyY9wfy1P&#10;ZowP6mRWDvRnXL5lzIouZjjmLmg4mavQbQYuLxfLZQrCMbUsXJobyyN0lNrAch+gkqklUaZOm149&#10;HNTU1H6p4iY8Pqeohw/J4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WK2tZ1gAAAAsBAAAPAAAA&#10;AAAAAAEAIAAAACIAAABkcnMvZG93bnJldi54bWxQSwECFAAUAAAACACHTuJA1PeCOVACAACQBAAA&#10;DgAAAAAAAAABACAAAAAlAQAAZHJzL2Uyb0RvYy54bWxQSwUGAAAAAAYABgBZAQAA5wUAAAAA&#10;">
                <v:fill on="t" focussize="0,0"/>
                <v:stroke on="f" weight="0.5pt"/>
                <v:imagedata o:title=""/>
                <o:lock v:ext="edit" aspectratio="f"/>
                <v:textbox>
                  <w:txbxContent>
                    <w:p w14:paraId="743BEDE6">
                      <w:pPr>
                        <w:jc w:val="center"/>
                        <w:rPr>
                          <w:b/>
                          <w:bCs/>
                          <w:color w:val="FF0000"/>
                          <w:sz w:val="40"/>
                          <w:szCs w:val="40"/>
                        </w:rPr>
                      </w:pPr>
                      <w:r>
                        <w:rPr>
                          <w:rFonts w:hint="eastAsia" w:ascii="宋体" w:hAnsi="宋体" w:cs="宋体"/>
                          <w:b/>
                          <w:bCs/>
                          <w:color w:val="FF0000"/>
                          <w:sz w:val="32"/>
                          <w:szCs w:val="32"/>
                        </w:rPr>
                        <w:t>◯</w:t>
                      </w:r>
                    </w:p>
                  </w:txbxContent>
                </v:textbox>
              </v:shape>
            </w:pict>
          </mc:Fallback>
        </mc:AlternateContent>
      </w:r>
      <w:r>
        <w:rPr>
          <w:sz w:val="24"/>
        </w:rPr>
        <mc:AlternateContent>
          <mc:Choice Requires="wps">
            <w:drawing>
              <wp:anchor distT="0" distB="0" distL="114300" distR="114300" simplePos="0" relativeHeight="251697152" behindDoc="0" locked="0" layoutInCell="1" allowOverlap="1">
                <wp:simplePos x="0" y="0"/>
                <wp:positionH relativeFrom="column">
                  <wp:posOffset>3899535</wp:posOffset>
                </wp:positionH>
                <wp:positionV relativeFrom="paragraph">
                  <wp:posOffset>1830070</wp:posOffset>
                </wp:positionV>
                <wp:extent cx="1298575" cy="1049020"/>
                <wp:effectExtent l="12700" t="12700" r="22225" b="24130"/>
                <wp:wrapNone/>
                <wp:docPr id="89" name="任意多边形 89"/>
                <wp:cNvGraphicFramePr/>
                <a:graphic xmlns:a="http://schemas.openxmlformats.org/drawingml/2006/main">
                  <a:graphicData uri="http://schemas.microsoft.com/office/word/2010/wordprocessingShape">
                    <wps:wsp>
                      <wps:cNvSpPr/>
                      <wps:spPr>
                        <a:xfrm>
                          <a:off x="3413125" y="2342515"/>
                          <a:ext cx="1298575" cy="1049020"/>
                        </a:xfrm>
                        <a:custGeom>
                          <a:avLst/>
                          <a:gdLst>
                            <a:gd name="connisteX0" fmla="*/ 1125855 w 3169285"/>
                            <a:gd name="connsiteY0" fmla="*/ 0 h 2217420"/>
                            <a:gd name="connisteX1" fmla="*/ 0 w 3169285"/>
                            <a:gd name="connsiteY1" fmla="*/ 745490 h 2217420"/>
                            <a:gd name="connisteX2" fmla="*/ 2018030 w 3169285"/>
                            <a:gd name="connsiteY2" fmla="*/ 2217420 h 2217420"/>
                            <a:gd name="connisteX3" fmla="*/ 3169285 w 3169285"/>
                            <a:gd name="connsiteY3" fmla="*/ 1428750 h 2217420"/>
                            <a:gd name="connisteX4" fmla="*/ 1125855 w 3169285"/>
                            <a:gd name="connsiteY4" fmla="*/ 0 h 221742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3169285" h="2217420">
                              <a:moveTo>
                                <a:pt x="1125855" y="0"/>
                              </a:moveTo>
                              <a:lnTo>
                                <a:pt x="0" y="745490"/>
                              </a:lnTo>
                              <a:lnTo>
                                <a:pt x="2018030" y="2217420"/>
                              </a:lnTo>
                              <a:lnTo>
                                <a:pt x="3169285" y="1428750"/>
                              </a:lnTo>
                              <a:lnTo>
                                <a:pt x="1125855"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307.05pt;margin-top:144.1pt;height:82.6pt;width:102.25pt;z-index:251697152;mso-width-relative:page;mso-height-relative:page;" filled="f" stroked="t" coordsize="3169285,2217420" o:gfxdata="UEsDBAoAAAAAAIdO4kAAAAAAAAAAAAAAAAAEAAAAZHJzL1BLAwQUAAAACACHTuJAK2XnhtkAAAAL&#10;AQAADwAAAGRycy9kb3ducmV2LnhtbE2Pu07EMBBFeyT+wRokGsTaCcHyhjhbIFEBRbIIbemNhyQi&#10;Hkex98HfYyq2HN2je89Um7Ob2BGXMHrSkK0EMKTO25F6DR/bl3sFLERD1kyeUMMPBtjU11eVKa0/&#10;UYPHNvYslVAojYYhxrnkPHQDOhNWfkZK2ZdfnInpXHpuF3NK5W7iuRCSOzNSWhjMjM8Ddt/twWkI&#10;d69K4rp7y0Ubdvi5bd5laLS+vcnEE7CI5/gPw59+Uoc6Oe39gWxgkwaZFVlCNeRK5cASoTIlge01&#10;FI8PBfC64pc/1L9QSwMEFAAAAAgAh07iQDJ0pJ4eAwAAUQgAAA4AAABkcnMvZTJvRG9jLnhtbK1W&#10;y24TMRTdI/EPlpdIdB6ZaR5q0gVR2SCo1CLB0vF4HpLHHtluku7Zs2eJ+AlUwddQxGdw7fGkbkEk&#10;lchixh7fcx/nPpyT023L0Zop3Ugxx8lRjBETVBaNqOb47eXZ8wlG2hBREC4Fm+NrpvHp4umTk003&#10;Y6msJS+YQqBE6Nmmm+PamG4WRZrWrCX6SHZMwGEpVUsMbFUVFYpsQHvLozSOj6ONVEWnJGVaw9dl&#10;f4i9RnWIQlmWDWVLSa9aJkyvVTFODISk66bTeOG8LUtGzZuy1MwgPscQqXFPMALrlX1GixMyqxTp&#10;6oZ6F8ghLjyIqSWNAKM7VUtiCLpSzR+q2oYqqWVpjqhsoz4QxwhEkcQPuLmoScdcLEC17nak6/+n&#10;lr5enyvUFHM8mWIkSAsZ/3Fz8/PDx9svn359/3r77TOCE6Bp0+kZSF9058rvNCxtzNtStfYN0aDt&#10;HI+yZJSkOUbXc5yOsjRP8p5mtjWIgkCSTif5GAQoSCRxNo1Tl4joThW90uYlk04tWb/Sps9TASvH&#10;cuFdpVKIRhv2DvJZthxS9yxCCVif5DnaoFFyPE0n3nwVgnRj2PsQFKMapWkyznpfIJOhuLORBDbi&#10;/dpD8XGWQ5j7TaSBCSiISTw6wNA9UB/CfkujwJKnaX9IISjJ0sk4PyCmLLB0cGpC0AMbUCbVUAik&#10;HmqDboUvDlghYodZ7Dqyk9pWZVgpUHZ262sASgtUAspW1h4w5DQEJ7awDwZDnkJw+igwUB+CR48C&#10;A5shOAvBvfueOwUD045K7kalwQhGpXKjcmUxZNYRYykflmgD/e6bDNXQ776D7Hkr1+xSOkljM+Bz&#10;71wZ+v1OhotQFjoTHO67xjs7CAzvzin1TeLEB+N9Tga54d3L75wF9b6C/6n/b04PGimXmvXGLC2u&#10;Enb8WFqDISbkWcO5o5ALy1qaZzFESQlcoSVcXbBsOxjDWlQYEV7B3UyNchWsJW8KC7dcalWtXnCF&#10;1gTSdHYWw88HcE+sU9osia57OXe0ixMctcO8H992tZLFtZvq7jvcNC4UfyvaqyzcO/TdP4H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Ctl54bZAAAACwEAAA8AAAAAAAAAAQAgAAAAIgAAAGRycy9k&#10;b3ducmV2LnhtbFBLAQIUABQAAAAIAIdO4kAydKSeHgMAAFEIAAAOAAAAAAAAAAEAIAAAACgBAABk&#10;cnMvZTJvRG9jLnhtbFBLBQYAAAAABgAGAFkBAAC4BgAAAAA=&#10;" path="m1125855,0l0,745490,2018030,2217420,3169285,1428750,1125855,0xe">
                <v:path o:connectlocs="461305,0;0,352677;826862,1049020;1298575,675914;461305,0" o:connectangles="0,0,0,0,0"/>
                <v:fill on="f" focussize="0,0"/>
                <v:stroke weight="2pt" color="#FF0000 [3204]" joinstyle="round"/>
                <v:imagedata o:title=""/>
                <o:lock v:ext="edit" aspectratio="f"/>
              </v:shap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224790</wp:posOffset>
                </wp:positionH>
                <wp:positionV relativeFrom="paragraph">
                  <wp:posOffset>414020</wp:posOffset>
                </wp:positionV>
                <wp:extent cx="1473200" cy="331470"/>
                <wp:effectExtent l="4445" t="4445" r="8255" b="6985"/>
                <wp:wrapNone/>
                <wp:docPr id="80" name="文本框 80"/>
                <wp:cNvGraphicFramePr/>
                <a:graphic xmlns:a="http://schemas.openxmlformats.org/drawingml/2006/main">
                  <a:graphicData uri="http://schemas.microsoft.com/office/word/2010/wordprocessingShape">
                    <wps:wsp>
                      <wps:cNvSpPr txBox="1"/>
                      <wps:spPr>
                        <a:xfrm>
                          <a:off x="681990" y="871220"/>
                          <a:ext cx="1473200" cy="3314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DFAD47A">
                            <w:pPr>
                              <w:rPr>
                                <w:rFonts w:ascii="宋体" w:hAnsi="宋体" w:cs="宋体"/>
                                <w:szCs w:val="21"/>
                              </w:rPr>
                            </w:pPr>
                            <w:r>
                              <w:rPr>
                                <w:rFonts w:hint="eastAsia" w:ascii="宋体" w:hAnsi="宋体" w:cs="宋体"/>
                                <w:szCs w:val="21"/>
                              </w:rPr>
                              <w:t>◯空气环境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pt;margin-top:32.6pt;height:26.1pt;width:116pt;z-index:251669504;mso-width-relative:page;mso-height-relative:page;" fillcolor="#FFFFFF [3201]" filled="t" stroked="t" coordsize="21600,21600" o:gfxdata="UEsDBAoAAAAAAIdO4kAAAAAAAAAAAAAAAAAEAAAAZHJzL1BLAwQUAAAACACHTuJAdWCKl9YAAAAJ&#10;AQAADwAAAGRycy9kb3ducmV2LnhtbE2PzU7DMBCE70i8g7WVuFHnhwYU4lQCCQlxo82Fmxtvk6j2&#10;OrLdprw9ywluuzuj2W+a7dVZccEQJ08K8nUGAqn3ZqJBQbd/u38CEZMmo60nVPCNEbbt7U2ja+MX&#10;+sTLLg2CQyjWWsGY0lxLGfsRnY5rPyOxdvTB6cRrGKQJeuFwZ2WRZZV0eiL+MOoZX0fsT7uzU/Be&#10;vaQv7MyHKYvSL53sw9FGpe5WefYMIuE1/ZnhF5/RoWWmgz+TicIqKDcP7FRQbQoQrBfVIx8ObMx5&#10;kG0j/zdofwBQSwMEFAAAAAgAh07iQGaeRqphAgAAwwQAAA4AAABkcnMvZTJvRG9jLnhtbK1US27b&#10;MBDdF+gdCO4b+ZefYTlwHbgoEDQB0qJrmqIsohTJkrSl9ADtDbrqpvueK+foIyXn20UW1YIacp4e&#10;Z97MaHbW1orshPPS6JwODwaUCM1NIfUmp58+rt6cUOID0wVTRouc3ghPz+avX80aOxUjUxlVCEdA&#10;ov20sTmtQrDTLPO8EjXzB8YKDWdpXM0Ctm6TFY41YK9VNhoMjrLGuMI6w4X3OD3vnLRndC8hNGUp&#10;uTg3fFsLHTpWJxQLSMlX0no6T9GWpeDhsiy9CETlFJmGtOIS2Ou4ZvMZm24cs5XkfQjsJSE8yalm&#10;UuPSO6pzFhjZOvmMqpbcGW/KcMBNnXWJJEWQxXDwRJvrilmRcoHU3t6J7v8fLf+wu3JEFjk9gSSa&#10;1aj47c8ft7/+3P7+TnAGgRrrp8BdWyBD+9a0aJv9ucdhzLstXR3fyIjAf3QyPD0F4Q14j4ejUS+0&#10;aAPh8fPJ8Ri9QAkHYDzGNgGyex7rfHgnTE2ikVOHQiZ92e7CB8QE6B4Sr/VGyWIllUobt1kvlSM7&#10;hqKv0hPDxSePYEqTBpGODweJ+ZEvct9RrBXjX54zgE9p0EZ5OhmiFdp122u2NsUNJHOm6zpv+UqC&#10;94L5cMUc2gwCYBDDJZZSGQRjeouSyrhv/zqPeFQfXkoatG1O/dctc4IS9V6jL06HkwloQ9pMDo+h&#10;PHEPPeuHHr2tlwYiDTHylicz4oPam6Uz9WfM6yLeChfTHHfnNOzNZeiGCfPOxWKRQOhsy8KFvrY8&#10;UseSaLPYBlPKVLooU6dNrx56O5Wnn8M4PA/3CXX/75n/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VgipfWAAAACQEAAA8AAAAAAAAAAQAgAAAAIgAAAGRycy9kb3ducmV2LnhtbFBLAQIUABQAAAAI&#10;AIdO4kBmnkaqYQIAAMMEAAAOAAAAAAAAAAEAIAAAACUBAABkcnMvZTJvRG9jLnhtbFBLBQYAAAAA&#10;BgAGAFkBAAD4BQAAAAA=&#10;">
                <v:fill on="t" focussize="0,0"/>
                <v:stroke weight="0.5pt" color="#000000 [3204]" joinstyle="round"/>
                <v:imagedata o:title=""/>
                <o:lock v:ext="edit" aspectratio="f"/>
                <v:textbox>
                  <w:txbxContent>
                    <w:p w14:paraId="2DFAD47A">
                      <w:pPr>
                        <w:rPr>
                          <w:rFonts w:ascii="宋体" w:hAnsi="宋体" w:cs="宋体"/>
                          <w:szCs w:val="21"/>
                        </w:rPr>
                      </w:pPr>
                      <w:r>
                        <w:rPr>
                          <w:rFonts w:hint="eastAsia" w:ascii="宋体" w:hAnsi="宋体" w:cs="宋体"/>
                          <w:szCs w:val="21"/>
                        </w:rPr>
                        <w:t>◯空气环境</w:t>
                      </w:r>
                    </w:p>
                  </w:txbxContent>
                </v:textbox>
              </v:shape>
            </w:pict>
          </mc:Fallback>
        </mc:AlternateContent>
      </w:r>
      <w:r>
        <w:drawing>
          <wp:anchor distT="0" distB="0" distL="114300" distR="114300" simplePos="0" relativeHeight="251668480" behindDoc="0" locked="0" layoutInCell="1" allowOverlap="1">
            <wp:simplePos x="0" y="0"/>
            <wp:positionH relativeFrom="column">
              <wp:posOffset>8865870</wp:posOffset>
            </wp:positionH>
            <wp:positionV relativeFrom="paragraph">
              <wp:posOffset>92075</wp:posOffset>
            </wp:positionV>
            <wp:extent cx="852170" cy="923925"/>
            <wp:effectExtent l="0" t="0" r="5080" b="9525"/>
            <wp:wrapNone/>
            <wp:docPr id="8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0"/>
                    <pic:cNvPicPr>
                      <a:picLocks noChangeAspect="1"/>
                    </pic:cNvPicPr>
                  </pic:nvPicPr>
                  <pic:blipFill>
                    <a:blip r:embed="rId11"/>
                    <a:stretch>
                      <a:fillRect/>
                    </a:stretch>
                  </pic:blipFill>
                  <pic:spPr>
                    <a:xfrm>
                      <a:off x="0" y="0"/>
                      <a:ext cx="852170" cy="923925"/>
                    </a:xfrm>
                    <a:prstGeom prst="rect">
                      <a:avLst/>
                    </a:prstGeom>
                    <a:noFill/>
                    <a:ln>
                      <a:noFill/>
                    </a:ln>
                  </pic:spPr>
                </pic:pic>
              </a:graphicData>
            </a:graphic>
          </wp:anchor>
        </w:drawing>
      </w:r>
    </w:p>
    <w:p w14:paraId="34520EAF">
      <w:pPr>
        <w:pStyle w:val="7"/>
        <w:ind w:firstLine="0"/>
        <w:jc w:val="center"/>
        <w:rPr>
          <w:rFonts w:hint="eastAsia" w:eastAsia="宋体"/>
          <w:b/>
          <w:bCs/>
          <w:szCs w:val="21"/>
          <w:lang w:eastAsia="zh-CN"/>
        </w:rPr>
        <w:sectPr>
          <w:pgSz w:w="16838" w:h="11906" w:orient="landscape"/>
          <w:pgMar w:top="720" w:right="720" w:bottom="720" w:left="720" w:header="851" w:footer="992" w:gutter="0"/>
          <w:cols w:space="425" w:num="1"/>
          <w:docGrid w:type="lines" w:linePitch="312" w:charSpace="0"/>
        </w:sectPr>
      </w:pPr>
      <w:r>
        <w:rPr>
          <w:rFonts w:hint="eastAsia"/>
          <w:b/>
          <w:bCs/>
          <w:szCs w:val="21"/>
        </w:rPr>
        <w:t>图3-1 监测布点图</w:t>
      </w:r>
      <w:r>
        <w:drawing>
          <wp:anchor distT="0" distB="0" distL="114300" distR="114300" simplePos="0" relativeHeight="251725824" behindDoc="0" locked="0" layoutInCell="1" allowOverlap="1">
            <wp:simplePos x="0" y="0"/>
            <wp:positionH relativeFrom="column">
              <wp:posOffset>8793480</wp:posOffset>
            </wp:positionH>
            <wp:positionV relativeFrom="paragraph">
              <wp:posOffset>-3175</wp:posOffset>
            </wp:positionV>
            <wp:extent cx="998220" cy="1082675"/>
            <wp:effectExtent l="0" t="0" r="11430" b="3175"/>
            <wp:wrapNone/>
            <wp:docPr id="10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
                    <pic:cNvPicPr>
                      <a:picLocks noChangeAspect="1"/>
                    </pic:cNvPicPr>
                  </pic:nvPicPr>
                  <pic:blipFill>
                    <a:blip r:embed="rId11"/>
                    <a:stretch>
                      <a:fillRect/>
                    </a:stretch>
                  </pic:blipFill>
                  <pic:spPr>
                    <a:xfrm>
                      <a:off x="0" y="0"/>
                      <a:ext cx="998220" cy="1082675"/>
                    </a:xfrm>
                    <a:prstGeom prst="rect">
                      <a:avLst/>
                    </a:prstGeom>
                    <a:noFill/>
                    <a:ln>
                      <a:noFill/>
                    </a:ln>
                  </pic:spPr>
                </pic:pic>
              </a:graphicData>
            </a:graphic>
          </wp:anchor>
        </w:drawing>
      </w:r>
      <w:r>
        <w:rPr>
          <w:sz w:val="21"/>
        </w:rPr>
        <mc:AlternateContent>
          <mc:Choice Requires="wps">
            <w:drawing>
              <wp:anchor distT="0" distB="0" distL="114300" distR="114300" simplePos="0" relativeHeight="251724800" behindDoc="0" locked="0" layoutInCell="1" allowOverlap="1">
                <wp:simplePos x="0" y="0"/>
                <wp:positionH relativeFrom="column">
                  <wp:posOffset>3493135</wp:posOffset>
                </wp:positionH>
                <wp:positionV relativeFrom="paragraph">
                  <wp:posOffset>1967865</wp:posOffset>
                </wp:positionV>
                <wp:extent cx="595630" cy="25019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595630" cy="2501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02B4B9">
                            <w:pPr>
                              <w:rPr>
                                <w:rFonts w:hint="default" w:eastAsia="宋体"/>
                                <w:b/>
                                <w:bCs/>
                                <w:lang w:val="en-US" w:eastAsia="zh-CN"/>
                              </w:rPr>
                            </w:pPr>
                            <w:r>
                              <w:rPr>
                                <w:rFonts w:hint="eastAsia"/>
                                <w:b/>
                                <w:bCs/>
                                <w:color w:val="FF0000"/>
                                <w:lang w:val="en-US" w:eastAsia="zh-CN"/>
                              </w:rPr>
                              <w:t>500m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5.05pt;margin-top:154.95pt;height:19.7pt;width:46.9pt;z-index:251724800;mso-width-relative:page;mso-height-relative:page;" filled="f" stroked="f" coordsize="21600,21600" o:gfxdata="UEsDBAoAAAAAAIdO4kAAAAAAAAAAAAAAAAAEAAAAZHJzL1BLAwQUAAAACACHTuJAU2b7gNsAAAAL&#10;AQAADwAAAGRycy9kb3ducmV2LnhtbE2Py07DMBBF90j8gzVI7KidpqmaEKdCkSokBIuWbthNYjeJ&#10;8CPE7gO+nmFVdvM4unOmXF+sYSc9hcE7CclMANOu9WpwnYT9++ZhBSxEdAqNd1rCtw6wrm5vSiyU&#10;P7utPu1ixyjEhQIl9DGOBeeh7bXFMPOjdrQ7+MlipHbquJrwTOHW8LkQS25xcHShx1HXvW4/d0cr&#10;4aXevOG2mdvVj6mfXw9P49f+I5Py/i4Rj8CivsQrDH/6pA4VOTX+6FRgRkKWiYRQCanIc2BELBcp&#10;FQ1NFnkKvCr5/x+qX1BLAwQUAAAACACHTuJAXPlx5j0CAABpBAAADgAAAGRycy9lMm9Eb2MueG1s&#10;rVTNbhMxEL4j8Q6W73Q3aRJIlE0VWhUhVbRSQJwdrze7kv+wne6WB4A34MSFO8+V5+CzN0mjwqEH&#10;Lt7xzHhmvm9mdn7RKUnuhfON0QUdnOWUCM1N2ehNQT99vH71hhIfmC6ZNFoU9EF4erF4+WLe2pkY&#10;mtrIUjiCINrPWlvQOgQ7yzLPa6GYPzNWaBgr4xQLuLpNVjrWIrqS2TDPJ1lrXGmd4cJ7aK96I91H&#10;dM8JaKqq4eLK8K0SOvRRnZAsAJKvG+vpIlVbVYKH26ryIhBZUCAN6UQSyOt4Zos5m20cs3XD9yWw&#10;55TwBJNijUbSY6grFhjZuuavUKrhznhThTNuVNYDSYwAxSB/ws2qZlYkLKDa2yPp/v+F5R/u7xxp&#10;SkxCPqFEM4WW73583/38vfv1jUQlKGqtn8FzZeEburemg/tB76GMyLvKqfgFJgI7CH44Eiy6QDiU&#10;4+l4cg4Lh2k4zgfT1IDs8bF1PrwTRpEoFNShf4lWdn/jAwqB68El5tLmupEy9VBq0hZ0cj7O04Oj&#10;BS+kxsMIoS81SqFbd3tca1M+AJYz/Wx4y68bJL9hPtwxh2FAvViXcIujkgZJzF6ipDbu67/00R89&#10;gpWSFsNVUP9ly5ygRL7X6N50MBohbEiX0fj1EBd3almfWvRWXRrM7wCLaXkSo3+QB7FyRn3GVi1j&#10;VpiY5shd0HAQL0M/8thKLpbL5IT5syzc6JXlMXRP53IbTNUkpiNNPTd79jCBqQH7bYkjfnpPXo9/&#10;iM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2b7gNsAAAALAQAADwAAAAAAAAABACAAAAAiAAAA&#10;ZHJzL2Rvd25yZXYueG1sUEsBAhQAFAAAAAgAh07iQFz5ceY9AgAAaQQAAA4AAAAAAAAAAQAgAAAA&#10;KgEAAGRycy9lMm9Eb2MueG1sUEsFBgAAAAAGAAYAWQEAANkFAAAAAA==&#10;">
                <v:fill on="f" focussize="0,0"/>
                <v:stroke on="f" weight="0.5pt"/>
                <v:imagedata o:title=""/>
                <o:lock v:ext="edit" aspectratio="f"/>
                <v:textbox>
                  <w:txbxContent>
                    <w:p w14:paraId="1F02B4B9">
                      <w:pPr>
                        <w:rPr>
                          <w:rFonts w:hint="default" w:eastAsia="宋体"/>
                          <w:b/>
                          <w:bCs/>
                          <w:lang w:val="en-US" w:eastAsia="zh-CN"/>
                        </w:rPr>
                      </w:pPr>
                      <w:r>
                        <w:rPr>
                          <w:rFonts w:hint="eastAsia"/>
                          <w:b/>
                          <w:bCs/>
                          <w:color w:val="FF0000"/>
                          <w:lang w:val="en-US" w:eastAsia="zh-CN"/>
                        </w:rPr>
                        <w:t>500m</w:t>
                      </w:r>
                    </w:p>
                  </w:txbxContent>
                </v:textbox>
              </v:shape>
            </w:pict>
          </mc:Fallback>
        </mc:AlternateContent>
      </w:r>
      <w:r>
        <w:rPr>
          <w:sz w:val="21"/>
        </w:rPr>
        <mc:AlternateContent>
          <mc:Choice Requires="wps">
            <w:drawing>
              <wp:anchor distT="0" distB="0" distL="114300" distR="114300" simplePos="0" relativeHeight="251723776" behindDoc="0" locked="0" layoutInCell="1" allowOverlap="1">
                <wp:simplePos x="0" y="0"/>
                <wp:positionH relativeFrom="column">
                  <wp:posOffset>3424555</wp:posOffset>
                </wp:positionH>
                <wp:positionV relativeFrom="paragraph">
                  <wp:posOffset>2237740</wp:posOffset>
                </wp:positionV>
                <wp:extent cx="881380" cy="12065"/>
                <wp:effectExtent l="0" t="48260" r="13970" b="53975"/>
                <wp:wrapNone/>
                <wp:docPr id="105" name="直接箭头连接符 105"/>
                <wp:cNvGraphicFramePr/>
                <a:graphic xmlns:a="http://schemas.openxmlformats.org/drawingml/2006/main">
                  <a:graphicData uri="http://schemas.microsoft.com/office/word/2010/wordprocessingShape">
                    <wps:wsp>
                      <wps:cNvCnPr/>
                      <wps:spPr>
                        <a:xfrm flipH="1" flipV="1">
                          <a:off x="4763135" y="2943860"/>
                          <a:ext cx="881380" cy="12065"/>
                        </a:xfrm>
                        <a:prstGeom prst="straightConnector1">
                          <a:avLst/>
                        </a:prstGeom>
                        <a:ln>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69.65pt;margin-top:176.2pt;height:0.95pt;width:69.4pt;z-index:251723776;mso-width-relative:page;mso-height-relative:page;" filled="f" stroked="t" coordsize="21600,21600" o:gfxdata="UEsDBAoAAAAAAIdO4kAAAAAAAAAAAAAAAAAEAAAAZHJzL1BLAwQUAAAACACHTuJANP0WHdsAAAAL&#10;AQAADwAAAGRycy9kb3ducmV2LnhtbE2Py07DMBBF90j8gzVI7KjzaEsJcbogoiBVCJEi2DrxkETY&#10;48h2H/w97gqWM3N059xyfTKaHdD50ZKAdJYAQ+qsGqkX8L57vFkB80GSktoSCvhBD+vq8qKUhbJH&#10;esNDE3oWQ8gXUsAQwlRw7rsBjfQzOyHF25d1RoY4up4rJ48x3GieJcmSGzlS/DDICR8G7L6bvRHw&#10;vG3qp1324l6bzca1/LP+qHUtxPVVmtwDC3gKfzCc9aM6VNGptXtSnmkBi/wuj6iAfJHNgUViebtK&#10;gbXnzTwHXpX8f4fqF1BLAwQUAAAACACHTuJA/N3tByACAAAHBAAADgAAAGRycy9lMm9Eb2MueG1s&#10;rVO9jhMxEO6ReAfLPdlNchdyUTZXJAQKBJH46R2vvWvJfxr7sslL8AJIVHAVUF3P08DxGIy94YCD&#10;4gq2WI09M9/MfPN5fr43muwEBOVsRYeDkhJhuauVbSr66uX6wZSSEJmtmXZWVPQgAj1f3L837/xM&#10;jFzrdC2AIIgNs85XtI3Rz4oi8FYYFgbOC4tO6cCwiEdoihpYh+hGF6OynBSdg9qD4yIEvF31TnpE&#10;hLsAOikVFyvHL4ywsUcFoVnEkUKrfKCL3K2UgsfnUgYRia4oThrzH4ugvU3/YjFnswaYbxU/tsDu&#10;0sKtmQxTFoveQK1YZOQC1F9QRnFwwck44M4U/SCZEZxiWN7i5kXLvMizINXB35Ae/h8sf7bbAFE1&#10;KqE8pcQygyu/fnv17c2H68+fvr6/+v7lXbI/XpIUgHR1Pswwa2k3cDwFv4E0+16CIVIr/wTRaLZe&#10;Jyv5cFKyr+jJw8l4OMZCh4qOzk7G08lxBWIfCceA6XQ4nuJyOAYMR+Uklyx67ITjIcTHwhmSjIqG&#10;CEw1bVw6a3HXDvpqbPc0ROwOE38mpGTr1krrvHJtSVfRs9MR9sIZyliifNA0HqkItqGE6QbfB4+Q&#10;+w9OqzplJ5wAzXapgewYqmq9LvFLzGC1P8JS6RULbR+XXb3eWsHqR7Ym8eCRbQbgut4RmdL/cCCw&#10;toifqO/JTtbW1Ye8g3yP+sgdHLWcBPj7OWf/er+L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T9&#10;Fh3bAAAACwEAAA8AAAAAAAAAAQAgAAAAIgAAAGRycy9kb3ducmV2LnhtbFBLAQIUABQAAAAIAIdO&#10;4kD83e0HIAIAAAcEAAAOAAAAAAAAAAEAIAAAACoBAABkcnMvZTJvRG9jLnhtbFBLBQYAAAAABgAG&#10;AFkBAAC8BQAAAAA=&#10;">
                <v:fill on="f" focussize="0,0"/>
                <v:stroke color="#FF0000 [3204]" joinstyle="round" startarrow="open" endarrow="open"/>
                <v:imagedata o:title=""/>
                <o:lock v:ext="edit" aspectratio="f"/>
              </v:shape>
            </w:pict>
          </mc:Fallback>
        </mc:AlternateContent>
      </w:r>
      <w:r>
        <w:rPr>
          <w:sz w:val="21"/>
        </w:rPr>
        <mc:AlternateContent>
          <mc:Choice Requires="wps">
            <w:drawing>
              <wp:anchor distT="0" distB="0" distL="114300" distR="114300" simplePos="0" relativeHeight="251722752" behindDoc="0" locked="0" layoutInCell="1" allowOverlap="1">
                <wp:simplePos x="0" y="0"/>
                <wp:positionH relativeFrom="column">
                  <wp:posOffset>2865120</wp:posOffset>
                </wp:positionH>
                <wp:positionV relativeFrom="paragraph">
                  <wp:posOffset>2434590</wp:posOffset>
                </wp:positionV>
                <wp:extent cx="642620" cy="267970"/>
                <wp:effectExtent l="0" t="0" r="0" b="0"/>
                <wp:wrapNone/>
                <wp:docPr id="104" name="文本框 104"/>
                <wp:cNvGraphicFramePr/>
                <a:graphic xmlns:a="http://schemas.openxmlformats.org/drawingml/2006/main">
                  <a:graphicData uri="http://schemas.microsoft.com/office/word/2010/wordprocessingShape">
                    <wps:wsp>
                      <wps:cNvSpPr txBox="1"/>
                      <wps:spPr>
                        <a:xfrm rot="20700000">
                          <a:off x="3346450" y="3396615"/>
                          <a:ext cx="642620" cy="267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3BD665">
                            <w:pPr>
                              <w:rPr>
                                <w:rFonts w:hint="default" w:eastAsia="宋体"/>
                                <w:b/>
                                <w:bCs/>
                                <w:lang w:val="en-US" w:eastAsia="zh-CN"/>
                              </w:rPr>
                            </w:pPr>
                            <w:r>
                              <w:rPr>
                                <w:rFonts w:hint="eastAsia"/>
                                <w:b/>
                                <w:bCs/>
                                <w:color w:val="FF0000"/>
                                <w:lang w:val="en-US" w:eastAsia="zh-CN"/>
                              </w:rPr>
                              <w:t>1200m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6pt;margin-top:191.7pt;height:21.1pt;width:50.6pt;rotation:-983040f;z-index:251722752;mso-width-relative:page;mso-height-relative:page;" filled="f" stroked="f" coordsize="21600,21600" o:gfxdata="UEsDBAoAAAAAAIdO4kAAAAAAAAAAAAAAAAAEAAAAZHJzL1BLAwQUAAAACACHTuJAhtswRNsAAAAL&#10;AQAADwAAAGRycy9kb3ducmV2LnhtbE2PTU/DMAyG70j8h8hI3FjarB1baTohvg4gDhuIc9aYtqJx&#10;qibdxn495gQ3W++j14/L9dH1Yo9j6DxpSGcJCKTa244aDe9vj1dLECEasqb3hBq+McC6Oj8rTWH9&#10;gTa438ZGcAmFwmhoYxwKKUPdojNh5gckzj796EzkdWykHc2By10vVZIspDMd8YXWDHjXYv21nZyG&#10;TaZOq+lF1R+v6vb5/qFfnZ6urdaXF2lyAyLiMf7B8KvP6lCx085PZIPoNWR5qhjVMF/OMxBM5Lni&#10;YceRyhcgq1L+/6H6AVBLAwQUAAAACACHTuJAiXF8rk4CAACEBAAADgAAAGRycy9lMm9Eb2MueG1s&#10;rVTNbhMxEL4j8Q6W73Q3yXZDo26q0KoIqaKVCuLseL3ZlfyH7XS3PAC8QU9cuPNcfQ4+e5NSCoce&#10;yMEaz3w7M9834xyfDEqSG+F8Z3RFJwc5JUJzU3d6U9GPH85fvabEB6ZrJo0WFb0Vnp4sX7447u1C&#10;TE1rZC0cQRLtF72taBuCXWSZ561QzB8YKzSCjXGKBVzdJqsd65FdyWya52XWG1dbZ7jwHt6zMUh3&#10;Gd1zEpqm6bg4M3yrhA5jVickC6Dk2856ukzdNo3g4bJpvAhEVhRMQzpRBPY6ntnymC02jtm247sW&#10;2HNaeMJJsU6j6EOqMxYY2brur1Sq485404QDblQ2EkmKgMUkf6LNdcusSFwgtbcPovv/l5a/v7ly&#10;pKuxCXlBiWYKI7+/+3b//ef9j68kOiFRb/0CyGsLbBjemAHwvd/DGZkPjVPEGSg8zed5/CVBQJEA&#10;PpsVZXEI1W+jfVSWk8NRezEEwgEoi2k5RZwDMC3nR/M0m2zMG/Nb58NbYRSJRkUdRpsKsJsLH9Aj&#10;oHtIhGtz3kmZxis16VFghvJ/RPCF1PgwshtZRCsM62FHeW3qWzBOpNCat/y8Q/EL5sMVc9gTOPGS&#10;wiWORhoUMTuLkta4L//yRzzGhyglPfauov7zljlBiXynMdijSVEgbUiX4nAeNXGPI+vHEb1Vpwar&#10;PUndJTPig9ybjTPqEx7cKlZFiGmO2hUNe/M0jK8BD5aL1SqBsJqWhQt9bXlMPYq22gbTdEnpKNOo&#10;zU49LGcawO4hxe1/fE+o338ey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G2zBE2wAAAAsBAAAP&#10;AAAAAAAAAAEAIAAAACIAAABkcnMvZG93bnJldi54bWxQSwECFAAUAAAACACHTuJAiXF8rk4CAACE&#10;BAAADgAAAAAAAAABACAAAAAqAQAAZHJzL2Uyb0RvYy54bWxQSwUGAAAAAAYABgBZAQAA6gUAAAAA&#10;">
                <v:fill on="f" focussize="0,0"/>
                <v:stroke on="f" weight="0.5pt"/>
                <v:imagedata o:title=""/>
                <o:lock v:ext="edit" aspectratio="f"/>
                <v:textbox>
                  <w:txbxContent>
                    <w:p w14:paraId="013BD665">
                      <w:pPr>
                        <w:rPr>
                          <w:rFonts w:hint="default" w:eastAsia="宋体"/>
                          <w:b/>
                          <w:bCs/>
                          <w:lang w:val="en-US" w:eastAsia="zh-CN"/>
                        </w:rPr>
                      </w:pPr>
                      <w:r>
                        <w:rPr>
                          <w:rFonts w:hint="eastAsia"/>
                          <w:b/>
                          <w:bCs/>
                          <w:color w:val="FF0000"/>
                          <w:lang w:val="en-US" w:eastAsia="zh-CN"/>
                        </w:rPr>
                        <w:t>1200m</w:t>
                      </w:r>
                    </w:p>
                  </w:txbxContent>
                </v:textbox>
              </v:shape>
            </w:pict>
          </mc:Fallback>
        </mc:AlternateContent>
      </w:r>
      <w:r>
        <w:rPr>
          <w:sz w:val="21"/>
        </w:rPr>
        <mc:AlternateContent>
          <mc:Choice Requires="wps">
            <w:drawing>
              <wp:anchor distT="0" distB="0" distL="114300" distR="114300" simplePos="0" relativeHeight="251721728" behindDoc="0" locked="0" layoutInCell="1" allowOverlap="1">
                <wp:simplePos x="0" y="0"/>
                <wp:positionH relativeFrom="column">
                  <wp:posOffset>1262380</wp:posOffset>
                </wp:positionH>
                <wp:positionV relativeFrom="paragraph">
                  <wp:posOffset>1863725</wp:posOffset>
                </wp:positionV>
                <wp:extent cx="988695" cy="344170"/>
                <wp:effectExtent l="0" t="0" r="0" b="0"/>
                <wp:wrapNone/>
                <wp:docPr id="103" name="矩形标注 103"/>
                <wp:cNvGraphicFramePr/>
                <a:graphic xmlns:a="http://schemas.openxmlformats.org/drawingml/2006/main">
                  <a:graphicData uri="http://schemas.microsoft.com/office/word/2010/wordprocessingShape">
                    <wps:wsp>
                      <wps:cNvSpPr/>
                      <wps:spPr>
                        <a:xfrm>
                          <a:off x="2357755" y="2545080"/>
                          <a:ext cx="988695" cy="344170"/>
                        </a:xfrm>
                        <a:prstGeom prst="wedgeRectCallout">
                          <a:avLst>
                            <a:gd name="adj1" fmla="val 46339"/>
                            <a:gd name="adj2" fmla="val 167343"/>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0F5E0F">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130团6连</w:t>
                            </w:r>
                          </w:p>
                          <w:p w14:paraId="69C0994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99.4pt;margin-top:146.75pt;height:27.1pt;width:77.85pt;z-index:251721728;v-text-anchor:middle;mso-width-relative:page;mso-height-relative:page;" fillcolor="#FFFFFF [3212]" filled="t" stroked="f" coordsize="21600,21600" o:gfxdata="UEsDBAoAAAAAAIdO4kAAAAAAAAAAAAAAAAAEAAAAZHJzL1BLAwQUAAAACACHTuJABxjp59oAAAAL&#10;AQAADwAAAGRycy9kb3ducmV2LnhtbE2PS0/DMBCE70j8B2uRuFTU7ou2IU6FENyqCsLj7MRLEjVe&#10;R7HTtP+e5QS3Ge1o9pt0d3atOGEfGk8aZlMFAqn0tqFKw8f7y90GRIiGrGk9oYYLBthl11epSawf&#10;6Q1PeawEl1BIjIY6xi6RMpQ1OhOmvkPi27fvnYls+0ra3oxc7lo5V+peOtMQf6hNh081lsd8cBrs&#10;86s6XD6/mn03yfPJcHws9t2o9e3NTD2AiHiOf2H4xWd0yJip8APZIFr22w2jRw3z7WIFghOL1ZJF&#10;wWK5XoPMUvl/Q/YDUEsDBBQAAAAIAIdO4kCB/i1CpwIAADIFAAAOAAAAZHJzL2Uyb0RvYy54bWyt&#10;VM2O0zAQviPxDpbvNGmb/qrpqmpVhLRiVyyIs+vYSZD/sN2mywvwGCBOcObM47C8BmMnu1sWDnug&#10;B3fGM/lm5psZL86OUqADs67WKsf9XooRU1QXtSpz/Ob19tkUI+eJKojQiuX4mjl8tnz6ZNGYORvo&#10;SouCWQQgys0bk+PKezNPEkcrJonracMUGLm2knhQbZkUljSALkUySNNx0mhbGKspcw5uN60Rd4j2&#10;MYCa85qyjaZ7yZRvUS0TxENJrqqNw8uYLeeM+gvOHfNI5Bgq9fGEICDvwpksF2ReWmKqmnYpkMek&#10;8KAmSWoFQe+gNsQTtLf1X1CyplY7zX2Papm0hURGoIp++oCbq4oYFmsBqp25I939P1j68nBpUV3A&#10;JKRDjBSR0PJfn779/PHl5vPHm+9fUbgHlhrj5uB8ZS5tpzkQQ8lHbmX4h2LQMceD4WgyGY0wugZ5&#10;lI3SaccyO3pEwWE2nY5nYKfgMMyy/iTak3sgY51/zrREQchxw4qSvYJOrokQeu8jz+Rw7nwkvOiS&#10;JsW7PkZcCujfgQiUjYfDWdffE5/BqU9/PBlmsTwI30GCdJtAwHda1MW2FiIqttythUWAn+Nt/IUI&#10;8MkfbkKhJhafwphRAkvCYThBlAaIdqrEiIgSto96G6tROkSIsxhib4ir2hgRtgshFEQKbWiJD5I/&#10;7o5dN3a6uIZOWt2OuDN0WwPUOXH+kljgBFKBrfcXcHChIT/dSRhV2n74133wh1EDK0YN7Ajk/n5P&#10;LMNIvFAwhLN+loWliko2mgxAsaeW3alF7eVaA2/QJcguisHfi1uRWy3fwuOwClHBRBSF2C1LnbL2&#10;7e7C80LZahXdYJEM8efqytAAHvqk9GrvNa99aE4gqmWnU2CVYs+6tQ+7eqpHr/unbv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Bxjp59oAAAALAQAADwAAAAAAAAABACAAAAAiAAAAZHJzL2Rvd25y&#10;ZXYueG1sUEsBAhQAFAAAAAgAh07iQIH+LUKnAgAAMgUAAA4AAAAAAAAAAQAgAAAAKQEAAGRycy9l&#10;Mm9Eb2MueG1sUEsFBgAAAAAGAAYAWQEAAEIGAAAAAA==&#10;" adj="20809,46946">
                <v:fill on="t" focussize="0,0"/>
                <v:stroke on="f" weight="2pt"/>
                <v:imagedata o:title=""/>
                <o:lock v:ext="edit" aspectratio="f"/>
                <v:textbox>
                  <w:txbxContent>
                    <w:p w14:paraId="760F5E0F">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130团6连</w:t>
                      </w:r>
                    </w:p>
                    <w:p w14:paraId="69C0994C">
                      <w:pPr>
                        <w:jc w:val="center"/>
                      </w:pPr>
                    </w:p>
                  </w:txbxContent>
                </v:textbox>
              </v:shape>
            </w:pict>
          </mc:Fallback>
        </mc:AlternateContent>
      </w:r>
      <w:r>
        <w:rPr>
          <w:sz w:val="21"/>
        </w:rPr>
        <mc:AlternateContent>
          <mc:Choice Requires="wps">
            <w:drawing>
              <wp:anchor distT="0" distB="0" distL="114300" distR="114300" simplePos="0" relativeHeight="251720704" behindDoc="0" locked="0" layoutInCell="1" allowOverlap="1">
                <wp:simplePos x="0" y="0"/>
                <wp:positionH relativeFrom="column">
                  <wp:posOffset>2085340</wp:posOffset>
                </wp:positionH>
                <wp:positionV relativeFrom="paragraph">
                  <wp:posOffset>2404745</wp:posOffset>
                </wp:positionV>
                <wp:extent cx="672465" cy="774065"/>
                <wp:effectExtent l="12700" t="12700" r="19685" b="13335"/>
                <wp:wrapNone/>
                <wp:docPr id="102" name="任意多边形 102"/>
                <wp:cNvGraphicFramePr/>
                <a:graphic xmlns:a="http://schemas.openxmlformats.org/drawingml/2006/main">
                  <a:graphicData uri="http://schemas.microsoft.com/office/word/2010/wordprocessingShape">
                    <wps:wsp>
                      <wps:cNvSpPr/>
                      <wps:spPr>
                        <a:xfrm>
                          <a:off x="2542540" y="3098800"/>
                          <a:ext cx="672465" cy="774065"/>
                        </a:xfrm>
                        <a:custGeom>
                          <a:avLst/>
                          <a:gdLst>
                            <a:gd name="connisteX0" fmla="*/ 0 w 672465"/>
                            <a:gd name="connsiteY0" fmla="*/ 53340 h 774065"/>
                            <a:gd name="connisteX1" fmla="*/ 285750 w 672465"/>
                            <a:gd name="connsiteY1" fmla="*/ 774065 h 774065"/>
                            <a:gd name="connisteX2" fmla="*/ 672465 w 672465"/>
                            <a:gd name="connsiteY2" fmla="*/ 678815 h 774065"/>
                            <a:gd name="connisteX3" fmla="*/ 410845 w 672465"/>
                            <a:gd name="connsiteY3" fmla="*/ 208280 h 774065"/>
                            <a:gd name="connisteX4" fmla="*/ 154940 w 672465"/>
                            <a:gd name="connsiteY4" fmla="*/ 0 h 774065"/>
                            <a:gd name="connisteX5" fmla="*/ 0 w 672465"/>
                            <a:gd name="connsiteY5" fmla="*/ 53340 h 77406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672465" h="774065">
                              <a:moveTo>
                                <a:pt x="0" y="53340"/>
                              </a:moveTo>
                              <a:lnTo>
                                <a:pt x="285750" y="774065"/>
                              </a:lnTo>
                              <a:lnTo>
                                <a:pt x="672465" y="678815"/>
                              </a:lnTo>
                              <a:lnTo>
                                <a:pt x="410845" y="208280"/>
                              </a:lnTo>
                              <a:lnTo>
                                <a:pt x="154940" y="0"/>
                              </a:lnTo>
                              <a:lnTo>
                                <a:pt x="0" y="53340"/>
                              </a:lnTo>
                              <a:close/>
                            </a:path>
                          </a:pathLst>
                        </a:custGeom>
                        <a:solidFill>
                          <a:srgbClr val="F1FC72">
                            <a:alpha val="6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64.2pt;margin-top:189.35pt;height:60.95pt;width:52.95pt;z-index:251720704;mso-width-relative:page;mso-height-relative:page;" fillcolor="#F1FC72" filled="t" stroked="t" coordsize="672465,774065" o:gfxdata="UEsDBAoAAAAAAIdO4kAAAAAAAAAAAAAAAAAEAAAAZHJzL1BLAwQUAAAACACHTuJAV51bkdoAAAAL&#10;AQAADwAAAGRycy9kb3ducmV2LnhtbE2Py07DMBBF90j8gzVI7KjdxrRRiFPxEBuQKlGK2E4SN4mw&#10;x1HsPvh7hhXsZjRH954p12fvxNFOcQhkYD5TICw1oR2oM7B7f77JQcSE1KILZA182wjr6vKixKIN&#10;J3qzx23qBIdQLNBAn9JYSBmb3nqMszBa4ts+TB4Tr1Mn2wlPHO6dXCi1lB4H4oYeR/vY2+Zre/AG&#10;/DI9bPQTvtab3cf9p9NK7V+UMddXc3UHItlz+oPhV5/VoWKnOhyojcIZyBa5ZpSHVb4CwYTOdAai&#10;NnDLxSCrUv7/ofoBUEsDBBQAAAAIAIdO4kDo5rA+TwMAAE8JAAAOAAAAZHJzL2Uyb0RvYy54bWyt&#10;Vs2O0zAQviPxDlaOSGx+mrbZats97KpcEKy0iwRH13GaSE5s2d62e+fOnSPiJdAKnoZFPAZjO2nd&#10;rSBdCalq7GTmm5lvfuyz803N0IpKVfFmGsQnUYBoQ3heNctp8O5m/jILkNK4yTHjDZ0Gd1QF57Pn&#10;z87WYkITXnKWU4kApFGTtZgGpdZiEoaKlLTG6oQL2sDHgssaa9jKZZhLvAb0moVJFI3CNZe5kJxQ&#10;peDtpfsYtIjyGEBeFBWhl5zc1rTRDlVShjWEpMpKqGBmvS0KSvTbolBUIzYNIFJt/8EIrBfmP5yd&#10;4clSYlFWpHUBH+PCo5hqXDVgdAt1iTVGt7I6gKorIrnihT4hvA5dIJYRiCKOHnFzXWJBbSxAtRJb&#10;0tX/gyVvVlcSVTlUQpQEqME1pPzn/f2vj58evn7+/ePbw/cvyHwCotZCTUD+WlzJdqdgaaLeFLI2&#10;T4gHbaZBMkzhBxTfTYNBdJplUUs03WhEQGA0TtLRMEAEBMbjNII1IIY7IHKr9CvKLShevVba5SmH&#10;lWU5bz0lvGkqpel7MFbUDFL3IkQRWqPWQqvmSatK0w++9HAwSCNUop0fkMUD/NjDT7LheNhvxFdx&#10;4L1WIAPbKFwEvaHsq2RZPOy1MvCspHGUpcNeK75KEmVJ1s9Y6lmJh+kpkNyXFl+l3wDUz5asfmxf&#10;+jDlUHrLrrhw2dUb2TRtwcEKYTMgI9vlgitT5371QSWbbVterppBy1RrjzLUia8ct61wnDKk31e2&#10;fQrBHKcMWfWVB0+yDMnyldMnKUM2fOWu/a3bzv2WeAkT3MxuZme3DhDMbmln98IYxBOBtclXt0Tr&#10;3XQpt8PFfK35it5wK6dN8tx4sqXQur6TYI0v6frderwbEuBlJ9U9hcXtZhvENxqbfmzRO6nu6aRd&#10;/1ls11f/lHZ9ZKXtRP2rE4fBdWYJ44q68jTU2am75dBQ701exVmVzyvGDGtKLhcXTKIVhnTM4/nF&#10;OLG9gJkosXs7itygB5hW2sLvwbDGpMgcD+AjwXCBKODghmUt4BBSzTJAmC3hZkK0tPh72vtOzOfz&#10;nUHfVyGVvsSqdG5ZhC2v4JI5yNzRZVYLnt/ZE82+h3PWOt3eCcxB7u+t9u4eNPs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V51bkdoAAAALAQAADwAAAAAAAAABACAAAAAiAAAAZHJzL2Rvd25yZXYu&#10;eG1sUEsBAhQAFAAAAAgAh07iQOjmsD5PAwAATwkAAA4AAAAAAAAAAQAgAAAAKQEAAGRycy9lMm9E&#10;b2MueG1sUEsFBgAAAAAGAAYAWQEAAOoGAAAAAA==&#10;" path="m0,53340l285750,774065,672465,678815,410845,208280,154940,0,0,53340xe">
                <v:path o:connectlocs="0,53340;285750,774065;672465,678815;410845,208280;154940,0;0,53340" o:connectangles="0,0,0,0,0,0"/>
                <v:fill on="t" opacity="3932f" focussize="0,0"/>
                <v:stroke weight="2pt" color="#FFFF00 [3204]" joinstyle="round"/>
                <v:imagedata o:title=""/>
                <o:lock v:ext="edit" aspectratio="f"/>
              </v:shape>
            </w:pict>
          </mc:Fallback>
        </mc:AlternateContent>
      </w:r>
      <w:r>
        <w:rPr>
          <w:sz w:val="21"/>
        </w:rPr>
        <mc:AlternateContent>
          <mc:Choice Requires="wps">
            <w:drawing>
              <wp:anchor distT="0" distB="0" distL="114300" distR="114300" simplePos="0" relativeHeight="251719680" behindDoc="0" locked="0" layoutInCell="1" allowOverlap="1">
                <wp:simplePos x="0" y="0"/>
                <wp:positionH relativeFrom="column">
                  <wp:posOffset>2686685</wp:posOffset>
                </wp:positionH>
                <wp:positionV relativeFrom="paragraph">
                  <wp:posOffset>2398395</wp:posOffset>
                </wp:positionV>
                <wp:extent cx="1541780" cy="476250"/>
                <wp:effectExtent l="0" t="22225" r="1270" b="34925"/>
                <wp:wrapNone/>
                <wp:docPr id="98" name="直接箭头连接符 98"/>
                <wp:cNvGraphicFramePr/>
                <a:graphic xmlns:a="http://schemas.openxmlformats.org/drawingml/2006/main">
                  <a:graphicData uri="http://schemas.microsoft.com/office/word/2010/wordprocessingShape">
                    <wps:wsp>
                      <wps:cNvCnPr/>
                      <wps:spPr>
                        <a:xfrm flipV="1">
                          <a:off x="0" y="0"/>
                          <a:ext cx="1541780" cy="476250"/>
                        </a:xfrm>
                        <a:prstGeom prst="straightConnector1">
                          <a:avLst/>
                        </a:prstGeom>
                        <a:ln>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11.55pt;margin-top:188.85pt;height:37.5pt;width:121.4pt;z-index:251719680;mso-width-relative:page;mso-height-relative:page;" filled="f" stroked="t" coordsize="21600,21600" o:gfxdata="UEsDBAoAAAAAAIdO4kAAAAAAAAAAAAAAAAAEAAAAZHJzL1BLAwQUAAAACACHTuJABLP8p9sAAAAL&#10;AQAADwAAAGRycy9kb3ducmV2LnhtbE2Pu1LDMBBFe2b4B80yQ8MQ2Q6xwVhOwbOiwEmTbm2vH8SS&#10;jKXEga9nqaDcuWfuPZutT3oQR5pcb42CcBGAIFPZujetgu3m+foWhPNoahysIQVf5GCdn59lmNZ2&#10;Nu90LHwruMS4FBV03o+plK7qSKNb2JEMZ42dNHo+p1bWE85crgcZBUEsNfaGFzoc6aGjal8ctILd&#10;p9w/NeXLjE1x1b5u8Fu+fTwqdXkRBvcgPJ38Hwy/+qwOOTuV9mBqJwYFN9EyZFTBMkkSEEzE8eoO&#10;RMnRKkpA5pn8/0P+A1BLAwQUAAAACACHTuJAsIaIlw8CAADxAwAADgAAAGRycy9lMm9Eb2MueG1s&#10;rVO9bhNBEO6ReIfV9vhsK06C5XMKG9MgsMRPv97bu1tp/zSz8dkvwQsgUQEVUKXnaZLwGMzuGQOB&#10;IgVXnGZ3br6Z75vvZhc7a9hWAWrvSj4aDDlTTvpKu6bkr1+tHp1zhlG4ShjvVMn3CvnF/OGDWRem&#10;auxbbyoFjEAcTrtQ8jbGMC0KlK2yAgc+KEfJ2oMVkY7QFBWIjtCtKcbD4WnReagCeKkQ6XbZJ/kB&#10;Ee4D6OtaS7X08tIqF3tUUEZEooStDsjnedq6VjK+qGtUkZmSE9OY39SE4k16F/OZmDYgQqvlYQRx&#10;nxHucLJCO2p6hFqKKNgl6L+grJbg0ddxIL0teiJZEWIxGt7R5mUrgspcSGoMR9Hx/8HK59s1MF2V&#10;/DHt3QlLG799d3Xz9uPt1y/XH66+f3uf4s+fGOVJrC7glGoWbg2HE4Y1JOa7GiyrjQ5vyFVZC2LH&#10;dlnq/VFqtYtM0uVocjI6O6ctSMqdnJ2OJ3kXRY+T8AJgfKq8ZSkoOUYQumnjwjtHW/XQ9xDbZxhp&#10;Eir8WZCKnV9pY/JyjWMdsZuMJ9RMkGFrMgqFNhBpdA1nwjT0J8gIeWr0RlepOuEgNJuFAbYV5J/V&#10;akhPUoG6/fFZar0U2Pbf5VTvrFaJ6omrWNwHElYA+K5PRKHNPxIEbBzhJ5l7YVO08dU+653vyQl5&#10;goNrk9V+P+fqX3/q/A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Es/yn2wAAAAsBAAAPAAAAAAAA&#10;AAEAIAAAACIAAABkcnMvZG93bnJldi54bWxQSwECFAAUAAAACACHTuJAsIaIlw8CAADxAwAADgAA&#10;AAAAAAABACAAAAAqAQAAZHJzL2Uyb0RvYy54bWxQSwUGAAAAAAYABgBZAQAAqwUAAAAA&#10;">
                <v:fill on="f" focussize="0,0"/>
                <v:stroke color="#FF0000 [3204]" joinstyle="round" startarrow="open" endarrow="open"/>
                <v:imagedata o:title=""/>
                <o:lock v:ext="edit" aspectratio="f"/>
              </v:shape>
            </w:pict>
          </mc:Fallback>
        </mc:AlternateContent>
      </w:r>
      <w:r>
        <w:rPr>
          <w:rFonts w:hint="eastAsia"/>
          <w:b/>
          <w:bCs/>
          <w:color w:val="C0504D" w:themeColor="accent2"/>
          <w:szCs w:val="21"/>
          <w14:textFill>
            <w14:solidFill>
              <w14:schemeClr w14:val="accent2"/>
            </w14:solidFill>
          </w14:textFill>
        </w:rPr>
        <w:t>图3-</w:t>
      </w:r>
      <w:r>
        <w:rPr>
          <w:rFonts w:hint="eastAsia"/>
          <w:b/>
          <w:bCs/>
          <w:color w:val="C0504D" w:themeColor="accent2"/>
          <w:szCs w:val="21"/>
          <w:lang w:val="en-US" w:eastAsia="zh-CN"/>
          <w14:textFill>
            <w14:solidFill>
              <w14:schemeClr w14:val="accent2"/>
            </w14:solidFill>
          </w14:textFill>
        </w:rPr>
        <w:t>2</w:t>
      </w:r>
      <w:r>
        <w:rPr>
          <w:rFonts w:hint="eastAsia"/>
          <w:b/>
          <w:bCs/>
          <w:color w:val="C0504D" w:themeColor="accent2"/>
          <w:szCs w:val="21"/>
          <w14:textFill>
            <w14:solidFill>
              <w14:schemeClr w14:val="accent2"/>
            </w14:solidFill>
          </w14:textFill>
        </w:rPr>
        <w:t xml:space="preserve"> </w:t>
      </w:r>
      <w:r>
        <w:rPr>
          <w:rFonts w:hint="eastAsia"/>
          <w:b/>
          <w:bCs/>
          <w:color w:val="C0504D" w:themeColor="accent2"/>
          <w:szCs w:val="21"/>
          <w:lang w:val="en-US" w:eastAsia="zh-CN"/>
          <w14:textFill>
            <w14:solidFill>
              <w14:schemeClr w14:val="accent2"/>
            </w14:solidFill>
          </w14:textFill>
        </w:rPr>
        <w:t>环境保护目标分布</w:t>
      </w:r>
      <w:r>
        <w:rPr>
          <w:rFonts w:hint="eastAsia"/>
          <w:b/>
          <w:bCs/>
          <w:color w:val="C0504D" w:themeColor="accent2"/>
          <w:szCs w:val="21"/>
          <w14:textFill>
            <w14:solidFill>
              <w14:schemeClr w14:val="accent2"/>
            </w14:solidFill>
          </w14:textFill>
        </w:rPr>
        <w:t>图</w:t>
      </w:r>
    </w:p>
    <w:p w14:paraId="62896900">
      <w:pPr>
        <w:pStyle w:val="25"/>
        <w:jc w:val="center"/>
        <w:outlineLvl w:val="0"/>
        <w:rPr>
          <w:rFonts w:ascii="黑体" w:hAnsi="黑体" w:eastAsia="黑体"/>
          <w:snapToGrid w:val="0"/>
          <w:sz w:val="30"/>
          <w:szCs w:val="30"/>
        </w:rPr>
      </w:pPr>
      <w:r>
        <w:rPr>
          <w:rFonts w:hint="eastAsia" w:ascii="黑体" w:hAnsi="黑体" w:eastAsia="黑体"/>
          <w:snapToGrid w:val="0"/>
          <w:sz w:val="30"/>
          <w:szCs w:val="30"/>
        </w:rPr>
        <w:t>四、主要环境影响和保护措施</w:t>
      </w:r>
    </w:p>
    <w:tbl>
      <w:tblPr>
        <w:tblStyle w:val="30"/>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5"/>
        <w:gridCol w:w="8446"/>
      </w:tblGrid>
      <w:tr w14:paraId="0ED43C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44" w:hRule="atLeast"/>
          <w:jc w:val="center"/>
        </w:trPr>
        <w:tc>
          <w:tcPr>
            <w:tcW w:w="535" w:type="dxa"/>
            <w:tcMar>
              <w:left w:w="28" w:type="dxa"/>
              <w:right w:w="28" w:type="dxa"/>
            </w:tcMar>
            <w:vAlign w:val="center"/>
          </w:tcPr>
          <w:p w14:paraId="0DA29B7A">
            <w:pPr>
              <w:pStyle w:val="25"/>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施</w:t>
            </w:r>
          </w:p>
          <w:p w14:paraId="53F369AB">
            <w:pPr>
              <w:pStyle w:val="25"/>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工</w:t>
            </w:r>
          </w:p>
          <w:p w14:paraId="765EDECC">
            <w:pPr>
              <w:pStyle w:val="25"/>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期</w:t>
            </w:r>
          </w:p>
          <w:p w14:paraId="151907FA">
            <w:pPr>
              <w:pStyle w:val="25"/>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环</w:t>
            </w:r>
          </w:p>
          <w:p w14:paraId="0B4CB18E">
            <w:pPr>
              <w:pStyle w:val="25"/>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境</w:t>
            </w:r>
          </w:p>
          <w:p w14:paraId="4AA637E4">
            <w:pPr>
              <w:pStyle w:val="25"/>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保</w:t>
            </w:r>
          </w:p>
          <w:p w14:paraId="61E2596F">
            <w:pPr>
              <w:pStyle w:val="25"/>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护</w:t>
            </w:r>
          </w:p>
          <w:p w14:paraId="22D11C4A">
            <w:pPr>
              <w:pStyle w:val="25"/>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措</w:t>
            </w:r>
          </w:p>
          <w:p w14:paraId="6A49C0BD">
            <w:pPr>
              <w:pStyle w:val="25"/>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kern w:val="2"/>
                <w:sz w:val="21"/>
                <w:szCs w:val="21"/>
              </w:rPr>
              <w:t>施</w:t>
            </w:r>
          </w:p>
        </w:tc>
        <w:tc>
          <w:tcPr>
            <w:tcW w:w="8446" w:type="dxa"/>
            <w:vAlign w:val="center"/>
          </w:tcPr>
          <w:p w14:paraId="76E84E0F">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本项目为未批先建项目，</w:t>
            </w:r>
            <w:r>
              <w:rPr>
                <w:rFonts w:ascii="Times New Roman" w:hAnsi="Times New Roman" w:eastAsia="Times New Roman" w:cs="Times New Roman"/>
                <w:kern w:val="0"/>
              </w:rPr>
              <w:t>根据现场踏勘情况，目前项目区</w:t>
            </w:r>
            <w:r>
              <w:rPr>
                <w:rFonts w:hint="eastAsia" w:ascii="Times New Roman" w:hAnsi="Times New Roman" w:eastAsia="Times New Roman" w:cs="Times New Roman"/>
                <w:kern w:val="0"/>
              </w:rPr>
              <w:t>主体</w:t>
            </w:r>
            <w:r>
              <w:rPr>
                <w:rFonts w:ascii="Times New Roman" w:hAnsi="Times New Roman" w:eastAsia="Times New Roman" w:cs="Times New Roman"/>
                <w:kern w:val="0"/>
              </w:rPr>
              <w:t>工程</w:t>
            </w:r>
            <w:r>
              <w:rPr>
                <w:rFonts w:hint="eastAsia" w:ascii="Times New Roman" w:hAnsi="Times New Roman" w:eastAsia="Times New Roman" w:cs="Times New Roman"/>
                <w:kern w:val="0"/>
              </w:rPr>
              <w:t>建设已基本完成，主体</w:t>
            </w:r>
            <w:r>
              <w:rPr>
                <w:rFonts w:ascii="Times New Roman" w:hAnsi="Times New Roman" w:eastAsia="Times New Roman" w:cs="Times New Roman"/>
                <w:kern w:val="0"/>
              </w:rPr>
              <w:t>工程</w:t>
            </w:r>
            <w:r>
              <w:rPr>
                <w:rFonts w:hint="eastAsia" w:ascii="Times New Roman" w:hAnsi="Times New Roman" w:eastAsia="Times New Roman" w:cs="Times New Roman"/>
                <w:kern w:val="0"/>
              </w:rPr>
              <w:t>建设施工期污染影响随施工期的结束而消失。</w:t>
            </w:r>
          </w:p>
          <w:p w14:paraId="082BB080">
            <w:pPr>
              <w:pStyle w:val="71"/>
              <w:spacing w:line="360" w:lineRule="auto"/>
              <w:ind w:firstLine="420" w:firstLineChars="200"/>
              <w:rPr>
                <w:rFonts w:ascii="Times New Roman" w:hAnsi="Times New Roman" w:eastAsia="Times New Roman" w:cs="Times New Roman"/>
                <w:kern w:val="0"/>
                <w:highlight w:val="yellow"/>
              </w:rPr>
            </w:pPr>
            <w:r>
              <w:rPr>
                <w:rFonts w:hint="eastAsia" w:ascii="Times New Roman" w:hAnsi="Times New Roman" w:eastAsia="Times New Roman" w:cs="Times New Roman"/>
                <w:kern w:val="0"/>
              </w:rPr>
              <w:t>但根据环保需求，后期除了加装环保设备还需要增设警卫室一座、仓库一座，重建综合楼一座、磅房一座、撬装站一座。</w:t>
            </w:r>
          </w:p>
          <w:p w14:paraId="6D4503E5">
            <w:pPr>
              <w:spacing w:line="360" w:lineRule="auto"/>
              <w:ind w:firstLine="422" w:firstLineChars="200"/>
              <w:contextualSpacing/>
              <w:rPr>
                <w:b/>
                <w:bCs/>
                <w:color w:val="000000"/>
                <w:szCs w:val="21"/>
              </w:rPr>
            </w:pPr>
            <w:r>
              <w:rPr>
                <w:rFonts w:hint="eastAsia"/>
                <w:b/>
                <w:bCs/>
                <w:color w:val="000000"/>
                <w:szCs w:val="21"/>
              </w:rPr>
              <w:t xml:space="preserve">4.1.1 </w:t>
            </w:r>
            <w:r>
              <w:rPr>
                <w:b/>
                <w:bCs/>
                <w:color w:val="000000"/>
                <w:szCs w:val="21"/>
              </w:rPr>
              <w:t>大气</w:t>
            </w:r>
          </w:p>
          <w:p w14:paraId="0161F32E">
            <w:pPr>
              <w:topLinePunct/>
              <w:spacing w:line="360" w:lineRule="auto"/>
              <w:ind w:firstLine="420" w:firstLineChars="200"/>
              <w:contextualSpacing/>
              <w:rPr>
                <w:snapToGrid w:val="0"/>
                <w:color w:val="000000"/>
                <w:kern w:val="0"/>
                <w:szCs w:val="21"/>
              </w:rPr>
            </w:pPr>
            <w:r>
              <w:rPr>
                <w:snapToGrid w:val="0"/>
                <w:color w:val="000000"/>
                <w:kern w:val="0"/>
                <w:szCs w:val="21"/>
              </w:rPr>
              <w:t>在整个施工阶段土方挖填、场地平整、堆放、运输、汽车行驶等过程都对大气环境产生一定的影响。</w:t>
            </w:r>
          </w:p>
          <w:p w14:paraId="39E38B01">
            <w:pPr>
              <w:topLinePunct/>
              <w:spacing w:line="360" w:lineRule="auto"/>
              <w:ind w:firstLine="420" w:firstLineChars="200"/>
              <w:contextualSpacing/>
              <w:rPr>
                <w:snapToGrid w:val="0"/>
                <w:color w:val="000000"/>
                <w:kern w:val="0"/>
                <w:szCs w:val="21"/>
              </w:rPr>
            </w:pPr>
            <w:r>
              <w:rPr>
                <w:snapToGrid w:val="0"/>
                <w:color w:val="000000"/>
                <w:kern w:val="0"/>
                <w:szCs w:val="21"/>
              </w:rPr>
              <w:t>（1）施工扬尘</w:t>
            </w:r>
          </w:p>
          <w:p w14:paraId="530DF99F">
            <w:pPr>
              <w:topLinePunct/>
              <w:spacing w:line="360" w:lineRule="auto"/>
              <w:ind w:firstLine="420" w:firstLineChars="200"/>
              <w:contextualSpacing/>
              <w:rPr>
                <w:snapToGrid w:val="0"/>
                <w:color w:val="000000"/>
                <w:kern w:val="0"/>
                <w:szCs w:val="21"/>
              </w:rPr>
            </w:pPr>
            <w:r>
              <w:rPr>
                <w:snapToGrid w:val="0"/>
                <w:color w:val="000000"/>
                <w:kern w:val="0"/>
                <w:szCs w:val="21"/>
              </w:rPr>
              <w:t>环评建议施工方应采取以下措施：</w:t>
            </w:r>
          </w:p>
          <w:p w14:paraId="4104D10A">
            <w:pPr>
              <w:topLinePunct/>
              <w:spacing w:line="360" w:lineRule="auto"/>
              <w:ind w:firstLine="420" w:firstLineChars="200"/>
              <w:contextualSpacing/>
              <w:rPr>
                <w:snapToGrid w:val="0"/>
                <w:color w:val="000000"/>
                <w:kern w:val="0"/>
                <w:szCs w:val="21"/>
              </w:rPr>
            </w:pPr>
            <w:r>
              <w:rPr>
                <w:rFonts w:hint="eastAsia" w:ascii="宋体" w:hAnsi="宋体" w:cs="宋体"/>
                <w:snapToGrid w:val="0"/>
                <w:color w:val="000000"/>
                <w:kern w:val="0"/>
                <w:szCs w:val="21"/>
              </w:rPr>
              <w:t>①</w:t>
            </w:r>
            <w:r>
              <w:rPr>
                <w:snapToGrid w:val="0"/>
                <w:color w:val="000000"/>
                <w:kern w:val="0"/>
                <w:szCs w:val="21"/>
              </w:rPr>
              <w:t>在施工过程中，作业场地将采取围挡、围护以减少扬尘扩散，围挡、围护对减少扬尘对环境的污染有明显作用，当风速为2.5m/s时可使影响距离缩短40%。在施工现场周围，连续设置不低于1.5m高的围挡，并做到坚固美观。</w:t>
            </w:r>
          </w:p>
          <w:p w14:paraId="6E26FE49">
            <w:pPr>
              <w:topLinePunct/>
              <w:spacing w:line="360" w:lineRule="auto"/>
              <w:ind w:firstLine="420" w:firstLineChars="200"/>
              <w:contextualSpacing/>
              <w:rPr>
                <w:snapToGrid w:val="0"/>
                <w:color w:val="000000"/>
                <w:kern w:val="0"/>
                <w:szCs w:val="21"/>
              </w:rPr>
            </w:pPr>
            <w:r>
              <w:rPr>
                <w:rFonts w:hint="eastAsia" w:ascii="宋体" w:hAnsi="宋体" w:cs="宋体"/>
                <w:snapToGrid w:val="0"/>
                <w:color w:val="000000"/>
                <w:kern w:val="0"/>
                <w:szCs w:val="21"/>
              </w:rPr>
              <w:t>②</w:t>
            </w:r>
            <w:r>
              <w:rPr>
                <w:snapToGrid w:val="0"/>
                <w:color w:val="000000"/>
                <w:kern w:val="0"/>
                <w:szCs w:val="21"/>
              </w:rPr>
              <w:t>在施工场地安排员工定期对施工场地洒水以减少扬尘量，洒水次数根据天气状况而定，一般每天适时适量洒水1~2次，若遇到大风或干燥天气可适当增加洒水次数。</w:t>
            </w:r>
          </w:p>
          <w:p w14:paraId="66E48028">
            <w:pPr>
              <w:topLinePunct/>
              <w:spacing w:line="360" w:lineRule="auto"/>
              <w:ind w:firstLine="420" w:firstLineChars="200"/>
              <w:contextualSpacing/>
              <w:rPr>
                <w:snapToGrid w:val="0"/>
                <w:color w:val="000000"/>
                <w:kern w:val="0"/>
                <w:szCs w:val="21"/>
              </w:rPr>
            </w:pPr>
            <w:r>
              <w:rPr>
                <w:rFonts w:hint="eastAsia" w:ascii="宋体" w:hAnsi="宋体" w:cs="宋体"/>
                <w:snapToGrid w:val="0"/>
                <w:color w:val="000000"/>
                <w:kern w:val="0"/>
                <w:szCs w:val="21"/>
              </w:rPr>
              <w:t>③</w:t>
            </w:r>
            <w:r>
              <w:rPr>
                <w:snapToGrid w:val="0"/>
                <w:color w:val="000000"/>
                <w:kern w:val="0"/>
                <w:szCs w:val="21"/>
              </w:rPr>
              <w:t>对运输建筑材料及弃方的车辆加盖蓬布减少洒落。同时，车辆进出、装卸场地时应用水将轮胎冲洗干净。</w:t>
            </w:r>
          </w:p>
          <w:p w14:paraId="0FC6E2E0">
            <w:pPr>
              <w:topLinePunct/>
              <w:spacing w:line="360" w:lineRule="auto"/>
              <w:ind w:firstLine="420" w:firstLineChars="200"/>
              <w:contextualSpacing/>
              <w:rPr>
                <w:snapToGrid w:val="0"/>
                <w:color w:val="000000"/>
                <w:kern w:val="0"/>
                <w:szCs w:val="21"/>
              </w:rPr>
            </w:pPr>
            <w:r>
              <w:rPr>
                <w:rFonts w:hint="eastAsia" w:ascii="宋体" w:hAnsi="宋体" w:cs="宋体"/>
                <w:snapToGrid w:val="0"/>
                <w:color w:val="000000"/>
                <w:kern w:val="0"/>
                <w:szCs w:val="21"/>
              </w:rPr>
              <w:t>④</w:t>
            </w:r>
            <w:r>
              <w:rPr>
                <w:snapToGrid w:val="0"/>
                <w:color w:val="000000"/>
                <w:kern w:val="0"/>
                <w:szCs w:val="21"/>
              </w:rPr>
              <w:t>使用商品混凝土，尽量避免在大风天气下进行施工作业。</w:t>
            </w:r>
          </w:p>
          <w:p w14:paraId="590C723D">
            <w:pPr>
              <w:topLinePunct/>
              <w:spacing w:line="360" w:lineRule="auto"/>
              <w:ind w:firstLine="420" w:firstLineChars="200"/>
              <w:contextualSpacing/>
              <w:rPr>
                <w:snapToGrid w:val="0"/>
                <w:color w:val="000000"/>
                <w:kern w:val="0"/>
                <w:szCs w:val="21"/>
              </w:rPr>
            </w:pPr>
            <w:r>
              <w:rPr>
                <w:rFonts w:hint="eastAsia" w:ascii="宋体" w:hAnsi="宋体" w:cs="宋体"/>
                <w:snapToGrid w:val="0"/>
                <w:color w:val="000000"/>
                <w:kern w:val="0"/>
                <w:szCs w:val="21"/>
              </w:rPr>
              <w:t>⑤</w:t>
            </w:r>
            <w:r>
              <w:rPr>
                <w:snapToGrid w:val="0"/>
                <w:color w:val="000000"/>
                <w:kern w:val="0"/>
                <w:szCs w:val="21"/>
              </w:rPr>
              <w:t>在施工场地上设置专人负责弃土、建筑材料的处置、清运和堆放，堆放场地</w:t>
            </w:r>
            <w:r>
              <w:rPr>
                <w:rFonts w:hint="eastAsia"/>
                <w:snapToGrid w:val="0"/>
                <w:color w:val="000000"/>
                <w:kern w:val="0"/>
                <w:szCs w:val="21"/>
              </w:rPr>
              <w:t>加盖篷布</w:t>
            </w:r>
            <w:r>
              <w:rPr>
                <w:snapToGrid w:val="0"/>
                <w:color w:val="000000"/>
                <w:kern w:val="0"/>
                <w:szCs w:val="21"/>
              </w:rPr>
              <w:t>或洒水，防止二次扬尘。</w:t>
            </w:r>
          </w:p>
          <w:p w14:paraId="332E7D97">
            <w:pPr>
              <w:topLinePunct/>
              <w:spacing w:line="360" w:lineRule="auto"/>
              <w:ind w:firstLine="420" w:firstLineChars="200"/>
              <w:contextualSpacing/>
              <w:rPr>
                <w:snapToGrid w:val="0"/>
                <w:color w:val="000000"/>
                <w:kern w:val="0"/>
                <w:szCs w:val="21"/>
              </w:rPr>
            </w:pPr>
            <w:r>
              <w:rPr>
                <w:rFonts w:hint="eastAsia" w:ascii="宋体" w:hAnsi="宋体" w:cs="宋体"/>
                <w:snapToGrid w:val="0"/>
                <w:color w:val="000000"/>
                <w:kern w:val="0"/>
                <w:szCs w:val="21"/>
              </w:rPr>
              <w:t>⑥</w:t>
            </w:r>
            <w:r>
              <w:rPr>
                <w:snapToGrid w:val="0"/>
                <w:color w:val="000000"/>
                <w:kern w:val="0"/>
                <w:szCs w:val="21"/>
              </w:rPr>
              <w:t>对弃土应及时处理、清运，多余土方可回用于绿化带建设，以减少占地，防止扬尘污染，改善施工场地的环境。</w:t>
            </w:r>
          </w:p>
          <w:p w14:paraId="25298BEC">
            <w:pPr>
              <w:topLinePunct/>
              <w:spacing w:line="360" w:lineRule="auto"/>
              <w:ind w:firstLine="420" w:firstLineChars="200"/>
              <w:contextualSpacing/>
              <w:rPr>
                <w:snapToGrid w:val="0"/>
                <w:color w:val="000000"/>
                <w:kern w:val="0"/>
                <w:szCs w:val="21"/>
              </w:rPr>
            </w:pPr>
            <w:r>
              <w:rPr>
                <w:snapToGrid w:val="0"/>
                <w:color w:val="000000"/>
                <w:kern w:val="0"/>
                <w:szCs w:val="21"/>
              </w:rPr>
              <w:t>（2）燃油设备尾气</w:t>
            </w:r>
          </w:p>
          <w:p w14:paraId="54BF4275">
            <w:pPr>
              <w:topLinePunct/>
              <w:spacing w:line="360" w:lineRule="auto"/>
              <w:ind w:firstLine="420" w:firstLineChars="200"/>
              <w:contextualSpacing/>
              <w:rPr>
                <w:color w:val="000000"/>
                <w:szCs w:val="21"/>
              </w:rPr>
            </w:pPr>
            <w:r>
              <w:rPr>
                <w:snapToGrid w:val="0"/>
                <w:color w:val="000000"/>
                <w:kern w:val="0"/>
                <w:szCs w:val="21"/>
              </w:rPr>
              <w:t>本项目施工过程中用到的施工机械，主要包括挖掘机、装载机、推土机、吊车等</w:t>
            </w:r>
            <w:r>
              <w:rPr>
                <w:rFonts w:hint="eastAsia"/>
                <w:snapToGrid w:val="0"/>
                <w:color w:val="000000"/>
                <w:kern w:val="0"/>
                <w:szCs w:val="21"/>
              </w:rPr>
              <w:t>。</w:t>
            </w:r>
            <w:r>
              <w:rPr>
                <w:snapToGrid w:val="0"/>
                <w:color w:val="000000"/>
                <w:kern w:val="0"/>
                <w:szCs w:val="21"/>
              </w:rPr>
              <w:t>以柴油为燃料，在使用过程中将产生一定量的废气，其污染物主要有CO、NO</w:t>
            </w:r>
            <w:r>
              <w:rPr>
                <w:snapToGrid w:val="0"/>
                <w:color w:val="000000"/>
                <w:kern w:val="0"/>
                <w:szCs w:val="21"/>
                <w:vertAlign w:val="subscript"/>
              </w:rPr>
              <w:t>X</w:t>
            </w:r>
            <w:r>
              <w:rPr>
                <w:snapToGrid w:val="0"/>
                <w:color w:val="000000"/>
                <w:kern w:val="0"/>
                <w:szCs w:val="21"/>
              </w:rPr>
              <w:t>、SO</w:t>
            </w:r>
            <w:r>
              <w:rPr>
                <w:snapToGrid w:val="0"/>
                <w:color w:val="000000"/>
                <w:kern w:val="0"/>
                <w:szCs w:val="21"/>
                <w:vertAlign w:val="subscript"/>
              </w:rPr>
              <w:t>2</w:t>
            </w:r>
            <w:r>
              <w:rPr>
                <w:snapToGrid w:val="0"/>
                <w:color w:val="000000"/>
                <w:kern w:val="0"/>
                <w:szCs w:val="21"/>
              </w:rPr>
              <w:t>等，施工机械所产生的燃油废气，其产生量和施工机械的选用、机械性能和维护水平有关。可采选用含硫量小、无铅柴油、该建设项目施工期间的运输车辆使用时间短、较集中，同时对车辆加强管理，禁止鸣笛、限速等，采取上述措施后对周围环境影响较小。</w:t>
            </w:r>
          </w:p>
          <w:p w14:paraId="1246FF96">
            <w:pPr>
              <w:spacing w:line="360" w:lineRule="auto"/>
              <w:ind w:firstLine="422" w:firstLineChars="200"/>
              <w:contextualSpacing/>
              <w:rPr>
                <w:b/>
                <w:bCs/>
                <w:color w:val="000000"/>
                <w:szCs w:val="21"/>
              </w:rPr>
            </w:pPr>
            <w:r>
              <w:rPr>
                <w:rFonts w:hint="eastAsia"/>
                <w:b/>
                <w:bCs/>
                <w:color w:val="000000"/>
                <w:szCs w:val="21"/>
              </w:rPr>
              <w:t xml:space="preserve">4.1.2 </w:t>
            </w:r>
            <w:r>
              <w:rPr>
                <w:b/>
                <w:bCs/>
                <w:color w:val="000000"/>
                <w:szCs w:val="21"/>
              </w:rPr>
              <w:t>水环境</w:t>
            </w:r>
          </w:p>
          <w:p w14:paraId="5D5C0DF0">
            <w:pPr>
              <w:topLinePunct/>
              <w:spacing w:line="360" w:lineRule="auto"/>
              <w:ind w:firstLine="420" w:firstLineChars="200"/>
              <w:contextualSpacing/>
              <w:rPr>
                <w:snapToGrid w:val="0"/>
                <w:color w:val="000000"/>
                <w:kern w:val="0"/>
                <w:szCs w:val="21"/>
              </w:rPr>
            </w:pPr>
            <w:r>
              <w:rPr>
                <w:snapToGrid w:val="0"/>
                <w:color w:val="000000"/>
                <w:kern w:val="0"/>
                <w:szCs w:val="21"/>
              </w:rPr>
              <w:t>施工期废水主要包括施工废水和施工人员生活污水两部分。</w:t>
            </w:r>
          </w:p>
          <w:p w14:paraId="7544D41F">
            <w:pPr>
              <w:topLinePunct/>
              <w:spacing w:line="360" w:lineRule="auto"/>
              <w:ind w:firstLine="420" w:firstLineChars="200"/>
              <w:contextualSpacing/>
              <w:rPr>
                <w:snapToGrid w:val="0"/>
                <w:color w:val="000000"/>
                <w:kern w:val="0"/>
                <w:szCs w:val="21"/>
              </w:rPr>
            </w:pPr>
            <w:r>
              <w:rPr>
                <w:snapToGrid w:val="0"/>
                <w:color w:val="000000"/>
                <w:kern w:val="0"/>
                <w:szCs w:val="21"/>
              </w:rPr>
              <w:t>（1）施工废水</w:t>
            </w:r>
          </w:p>
          <w:p w14:paraId="4CC4E06F">
            <w:pPr>
              <w:topLinePunct/>
              <w:spacing w:line="360" w:lineRule="auto"/>
              <w:ind w:firstLine="420" w:firstLineChars="200"/>
              <w:contextualSpacing/>
              <w:rPr>
                <w:snapToGrid w:val="0"/>
                <w:color w:val="000000"/>
                <w:kern w:val="0"/>
                <w:szCs w:val="21"/>
              </w:rPr>
            </w:pPr>
            <w:r>
              <w:rPr>
                <w:snapToGrid w:val="0"/>
                <w:color w:val="000000"/>
                <w:kern w:val="0"/>
                <w:szCs w:val="21"/>
              </w:rPr>
              <w:t>运输车辆、作业机械的跑、冒、滴、漏的油污及露天机械被雨水冲刷后产生一定量的油污水，由于量少，对地表水环境影响有限。管道施工期土层里的积水是主要的施工废水来源，这类废水排放量不大，废水中污染物主要是SS、石油类等。施工废水</w:t>
            </w:r>
            <w:r>
              <w:rPr>
                <w:rFonts w:hint="eastAsia"/>
                <w:snapToGrid w:val="0"/>
                <w:color w:val="000000"/>
                <w:kern w:val="0"/>
                <w:szCs w:val="21"/>
                <w:lang w:val="en-US" w:eastAsia="zh-CN"/>
              </w:rPr>
              <w:t>排入项目区</w:t>
            </w:r>
            <w:r>
              <w:rPr>
                <w:snapToGrid w:val="0"/>
                <w:color w:val="000000"/>
                <w:kern w:val="0"/>
                <w:szCs w:val="21"/>
              </w:rPr>
              <w:t>沉淀池</w:t>
            </w:r>
            <w:r>
              <w:rPr>
                <w:rFonts w:hint="eastAsia"/>
                <w:snapToGrid w:val="0"/>
                <w:color w:val="000000"/>
                <w:kern w:val="0"/>
                <w:szCs w:val="21"/>
                <w:lang w:eastAsia="zh-CN"/>
              </w:rPr>
              <w:t>，</w:t>
            </w:r>
            <w:r>
              <w:rPr>
                <w:snapToGrid w:val="0"/>
                <w:color w:val="000000"/>
                <w:kern w:val="0"/>
                <w:szCs w:val="21"/>
              </w:rPr>
              <w:t>经过预处理后洒水降尘。</w:t>
            </w:r>
          </w:p>
          <w:p w14:paraId="3D0BAF97">
            <w:pPr>
              <w:topLinePunct/>
              <w:spacing w:line="360" w:lineRule="auto"/>
              <w:ind w:firstLine="420" w:firstLineChars="200"/>
              <w:contextualSpacing/>
              <w:rPr>
                <w:snapToGrid w:val="0"/>
                <w:color w:val="000000"/>
                <w:kern w:val="0"/>
                <w:szCs w:val="21"/>
              </w:rPr>
            </w:pPr>
            <w:r>
              <w:rPr>
                <w:snapToGrid w:val="0"/>
                <w:color w:val="000000"/>
                <w:kern w:val="0"/>
                <w:szCs w:val="21"/>
              </w:rPr>
              <w:t>（2）生活污水</w:t>
            </w:r>
          </w:p>
          <w:p w14:paraId="11208EB7">
            <w:pPr>
              <w:overflowPunct w:val="0"/>
              <w:spacing w:line="360" w:lineRule="auto"/>
              <w:ind w:firstLine="420" w:firstLineChars="200"/>
              <w:contextualSpacing/>
              <w:rPr>
                <w:color w:val="000000"/>
                <w:szCs w:val="21"/>
              </w:rPr>
            </w:pPr>
            <w:r>
              <w:rPr>
                <w:snapToGrid w:val="0"/>
                <w:color w:val="000000"/>
                <w:szCs w:val="21"/>
              </w:rPr>
              <w:t>施工期间废水主要为</w:t>
            </w:r>
            <w:r>
              <w:rPr>
                <w:rFonts w:hint="eastAsia"/>
                <w:snapToGrid w:val="0"/>
                <w:color w:val="000000"/>
                <w:szCs w:val="21"/>
              </w:rPr>
              <w:t>施工废水和</w:t>
            </w:r>
            <w:r>
              <w:rPr>
                <w:snapToGrid w:val="0"/>
                <w:color w:val="000000"/>
                <w:szCs w:val="21"/>
              </w:rPr>
              <w:t>施工人员的生活污水</w:t>
            </w:r>
            <w:r>
              <w:rPr>
                <w:rFonts w:hint="eastAsia"/>
                <w:snapToGrid w:val="0"/>
                <w:color w:val="000000"/>
                <w:szCs w:val="21"/>
              </w:rPr>
              <w:t>，</w:t>
            </w:r>
            <w:r>
              <w:rPr>
                <w:snapToGrid w:val="0"/>
                <w:color w:val="000000"/>
                <w:szCs w:val="21"/>
              </w:rPr>
              <w:t>主要污染因子为COD、BOD</w:t>
            </w:r>
            <w:r>
              <w:rPr>
                <w:snapToGrid w:val="0"/>
                <w:color w:val="000000"/>
                <w:szCs w:val="21"/>
                <w:vertAlign w:val="subscript"/>
              </w:rPr>
              <w:t>5</w:t>
            </w:r>
            <w:r>
              <w:rPr>
                <w:snapToGrid w:val="0"/>
                <w:color w:val="000000"/>
                <w:szCs w:val="21"/>
              </w:rPr>
              <w:t>、SS、动植物油、氨氮等。本项目施工期间生活污水</w:t>
            </w:r>
            <w:r>
              <w:rPr>
                <w:rFonts w:hint="eastAsia"/>
                <w:snapToGrid w:val="0"/>
                <w:color w:val="000000"/>
                <w:szCs w:val="21"/>
              </w:rPr>
              <w:t>直接排入项目区化粪池处理，施工结束后清掏运至污水处理厂处理</w:t>
            </w:r>
            <w:r>
              <w:rPr>
                <w:snapToGrid w:val="0"/>
                <w:color w:val="000000"/>
                <w:szCs w:val="21"/>
              </w:rPr>
              <w:t>。</w:t>
            </w:r>
          </w:p>
          <w:p w14:paraId="193544D5">
            <w:pPr>
              <w:spacing w:line="360" w:lineRule="auto"/>
              <w:ind w:firstLine="422" w:firstLineChars="200"/>
              <w:contextualSpacing/>
              <w:rPr>
                <w:b/>
                <w:bCs/>
                <w:color w:val="000000"/>
                <w:szCs w:val="21"/>
              </w:rPr>
            </w:pPr>
            <w:r>
              <w:rPr>
                <w:rFonts w:hint="eastAsia"/>
                <w:b/>
                <w:bCs/>
                <w:color w:val="000000"/>
                <w:szCs w:val="21"/>
              </w:rPr>
              <w:t xml:space="preserve">4.1.3 </w:t>
            </w:r>
            <w:r>
              <w:rPr>
                <w:b/>
                <w:bCs/>
                <w:color w:val="000000"/>
                <w:szCs w:val="21"/>
              </w:rPr>
              <w:t>噪声环境</w:t>
            </w:r>
          </w:p>
          <w:p w14:paraId="16DC9796">
            <w:pPr>
              <w:spacing w:line="360" w:lineRule="auto"/>
              <w:ind w:firstLine="420" w:firstLineChars="200"/>
              <w:contextualSpacing/>
              <w:rPr>
                <w:color w:val="000000"/>
                <w:szCs w:val="21"/>
              </w:rPr>
            </w:pPr>
            <w:r>
              <w:rPr>
                <w:color w:val="000000"/>
                <w:szCs w:val="21"/>
              </w:rPr>
              <w:t>施工阶段的噪声主要来自于各种施工机械的噪声，机械运行时在距离声源5m处的噪声可高达75-85dB</w:t>
            </w:r>
            <w:r>
              <w:rPr>
                <w:rFonts w:hint="eastAsia"/>
                <w:color w:val="000000"/>
                <w:szCs w:val="21"/>
              </w:rPr>
              <w:t>（</w:t>
            </w:r>
            <w:r>
              <w:rPr>
                <w:color w:val="000000"/>
                <w:szCs w:val="21"/>
              </w:rPr>
              <w:t>A</w:t>
            </w:r>
            <w:r>
              <w:rPr>
                <w:rFonts w:hint="eastAsia"/>
                <w:color w:val="000000"/>
                <w:szCs w:val="21"/>
              </w:rPr>
              <w:t>）</w:t>
            </w:r>
            <w:r>
              <w:rPr>
                <w:color w:val="000000"/>
                <w:szCs w:val="21"/>
              </w:rPr>
              <w:t>。</w:t>
            </w:r>
          </w:p>
          <w:p w14:paraId="35D6E23D">
            <w:pPr>
              <w:overflowPunct w:val="0"/>
              <w:adjustRightInd w:val="0"/>
              <w:snapToGrid w:val="0"/>
              <w:spacing w:line="360" w:lineRule="auto"/>
              <w:ind w:firstLine="420" w:firstLineChars="200"/>
              <w:rPr>
                <w:color w:val="000000"/>
                <w:szCs w:val="21"/>
              </w:rPr>
            </w:pPr>
            <w:r>
              <w:rPr>
                <w:rFonts w:hint="eastAsia"/>
                <w:color w:val="000000"/>
                <w:szCs w:val="21"/>
              </w:rPr>
              <w:t>本环评要求企业在施工过程中</w:t>
            </w:r>
            <w:r>
              <w:rPr>
                <w:color w:val="000000"/>
                <w:szCs w:val="21"/>
              </w:rPr>
              <w:t>加强施工管理，严格按照《建筑施工场界环境噪声排放限值》（GB12523-2011）中相关限值的要求进行施工；合理制定施工计划，合理安排施工进程、时段及工序，尽可能缩短施工期，在施工现场周围加设围挡设施；做好施工人员个体噪声防护措施，如佩戴耳罩等防噪装备；采用低噪声施工工艺并选用低噪声施工机械设备和施工运输车辆。</w:t>
            </w:r>
          </w:p>
          <w:p w14:paraId="4DD9C164">
            <w:pPr>
              <w:spacing w:line="360" w:lineRule="auto"/>
              <w:ind w:firstLine="422" w:firstLineChars="200"/>
              <w:contextualSpacing/>
              <w:rPr>
                <w:color w:val="000000"/>
                <w:szCs w:val="21"/>
              </w:rPr>
            </w:pPr>
            <w:r>
              <w:rPr>
                <w:rFonts w:hint="eastAsia"/>
                <w:b/>
                <w:bCs/>
                <w:color w:val="000000"/>
                <w:szCs w:val="21"/>
              </w:rPr>
              <w:t>4.1.4</w:t>
            </w:r>
            <w:r>
              <w:rPr>
                <w:b/>
                <w:bCs/>
                <w:color w:val="000000"/>
                <w:szCs w:val="21"/>
              </w:rPr>
              <w:t>固体废弃物</w:t>
            </w:r>
          </w:p>
          <w:p w14:paraId="52A9394F">
            <w:pPr>
              <w:spacing w:line="360" w:lineRule="auto"/>
              <w:ind w:firstLine="420" w:firstLineChars="200"/>
              <w:jc w:val="left"/>
              <w:rPr>
                <w:color w:val="000000"/>
                <w:szCs w:val="21"/>
              </w:rPr>
            </w:pPr>
            <w:r>
              <w:rPr>
                <w:color w:val="000000"/>
                <w:szCs w:val="21"/>
              </w:rPr>
              <w:t>本项目施工期产生的固体废物主要包括：废弃建材等以及施工人员产生的生活垃圾。</w:t>
            </w:r>
          </w:p>
          <w:p w14:paraId="0B5B5C82">
            <w:pPr>
              <w:keepNext w:val="0"/>
              <w:keepLines w:val="0"/>
              <w:pageBreakBefore w:val="0"/>
              <w:widowControl w:val="0"/>
              <w:kinsoku/>
              <w:wordWrap/>
              <w:overflowPunct/>
              <w:topLinePunct w:val="0"/>
              <w:autoSpaceDE/>
              <w:autoSpaceDN/>
              <w:bidi w:val="0"/>
              <w:adjustRightInd/>
              <w:snapToGrid/>
              <w:spacing w:line="360" w:lineRule="auto"/>
              <w:textAlignment w:val="auto"/>
              <w:rPr>
                <w:color w:val="000000"/>
                <w:szCs w:val="21"/>
              </w:rPr>
            </w:pPr>
            <w:r>
              <w:rPr>
                <w:color w:val="000000"/>
                <w:szCs w:val="21"/>
              </w:rPr>
              <w:t>施工期间产</w:t>
            </w:r>
            <w:r>
              <w:rPr>
                <w:color w:val="auto"/>
                <w:szCs w:val="21"/>
              </w:rPr>
              <w:t>生的生活垃圾组成主要为纸屑、包装袋等，</w:t>
            </w:r>
            <w:r>
              <w:rPr>
                <w:rFonts w:hint="eastAsia"/>
                <w:color w:val="auto"/>
                <w:szCs w:val="21"/>
              </w:rPr>
              <w:t>生活垃圾集中收集后交由环卫部门定期</w:t>
            </w:r>
            <w:r>
              <w:rPr>
                <w:color w:val="auto"/>
                <w:szCs w:val="21"/>
              </w:rPr>
              <w:t>清</w:t>
            </w:r>
            <w:r>
              <w:rPr>
                <w:color w:val="auto"/>
                <w:highlight w:val="none"/>
              </w:rPr>
              <w:t>运</w:t>
            </w:r>
            <w:r>
              <w:rPr>
                <w:rFonts w:hint="eastAsia"/>
                <w:color w:val="auto"/>
                <w:szCs w:val="21"/>
                <w:highlight w:val="none"/>
              </w:rPr>
              <w:t>至</w:t>
            </w:r>
            <w:r>
              <w:rPr>
                <w:rFonts w:hint="eastAsia"/>
                <w:color w:val="auto"/>
                <w:lang w:val="en-US" w:eastAsia="zh-CN"/>
              </w:rPr>
              <w:t>运距约为5km的</w:t>
            </w:r>
            <w:r>
              <w:rPr>
                <w:rFonts w:hint="eastAsia"/>
                <w:color w:val="auto"/>
                <w:szCs w:val="21"/>
                <w:lang w:val="en-US" w:eastAsia="zh-CN"/>
              </w:rPr>
              <w:t>胡杨河市第七师130团11连</w:t>
            </w:r>
            <w:r>
              <w:rPr>
                <w:rFonts w:hint="eastAsia"/>
                <w:color w:val="auto"/>
                <w:highlight w:val="none"/>
              </w:rPr>
              <w:t>垃圾填埋场</w:t>
            </w:r>
            <w:r>
              <w:rPr>
                <w:color w:val="auto"/>
                <w:szCs w:val="21"/>
              </w:rPr>
              <w:t>。对于建筑垃圾应及时清运；对于施工生产废料处理，首先应考虑废料的回收利用，对钢筋、钢板、木材等下角料可分类回收，交废物收购站处理</w:t>
            </w:r>
            <w:r>
              <w:rPr>
                <w:rFonts w:hint="eastAsia"/>
                <w:color w:val="auto"/>
                <w:szCs w:val="21"/>
              </w:rPr>
              <w:t>。</w:t>
            </w:r>
          </w:p>
          <w:p w14:paraId="42B8C905">
            <w:pPr>
              <w:adjustRightInd w:val="0"/>
              <w:snapToGrid w:val="0"/>
              <w:spacing w:line="360" w:lineRule="auto"/>
              <w:ind w:firstLine="422" w:firstLineChars="200"/>
              <w:rPr>
                <w:b/>
                <w:bCs/>
                <w:color w:val="000000"/>
                <w:szCs w:val="21"/>
                <w:lang w:val="zh-CN"/>
              </w:rPr>
            </w:pPr>
            <w:r>
              <w:rPr>
                <w:rFonts w:hint="eastAsia"/>
                <w:b/>
                <w:bCs/>
                <w:color w:val="000000"/>
                <w:szCs w:val="21"/>
              </w:rPr>
              <w:t>4.1.5</w:t>
            </w:r>
            <w:r>
              <w:rPr>
                <w:b/>
                <w:bCs/>
                <w:color w:val="000000"/>
                <w:szCs w:val="21"/>
              </w:rPr>
              <w:t>生态</w:t>
            </w:r>
          </w:p>
          <w:p w14:paraId="237E1070">
            <w:pPr>
              <w:numPr>
                <w:ilvl w:val="0"/>
                <w:numId w:val="2"/>
              </w:numPr>
              <w:spacing w:line="360" w:lineRule="auto"/>
              <w:ind w:firstLine="420" w:firstLineChars="200"/>
              <w:contextualSpacing/>
              <w:rPr>
                <w:color w:val="000000"/>
                <w:kern w:val="0"/>
                <w:szCs w:val="21"/>
              </w:rPr>
            </w:pPr>
            <w:r>
              <w:rPr>
                <w:color w:val="000000"/>
                <w:kern w:val="0"/>
                <w:szCs w:val="21"/>
              </w:rPr>
              <w:t>工程占地影响</w:t>
            </w:r>
          </w:p>
          <w:p w14:paraId="3ADB1B03">
            <w:pPr>
              <w:pStyle w:val="98"/>
              <w:overflowPunct w:val="0"/>
              <w:ind w:firstLine="420" w:firstLineChars="200"/>
              <w:contextualSpacing/>
              <w:outlineLvl w:val="9"/>
              <w:rPr>
                <w:b w:val="0"/>
                <w:bCs/>
                <w:snapToGrid w:val="0"/>
                <w:color w:val="000000"/>
                <w:sz w:val="21"/>
                <w:szCs w:val="21"/>
              </w:rPr>
            </w:pPr>
            <w:r>
              <w:rPr>
                <w:b w:val="0"/>
                <w:bCs/>
                <w:color w:val="000000"/>
                <w:kern w:val="0"/>
                <w:sz w:val="21"/>
                <w:szCs w:val="21"/>
              </w:rPr>
              <w:t>本项目</w:t>
            </w:r>
            <w:r>
              <w:rPr>
                <w:rFonts w:hint="eastAsia"/>
                <w:b w:val="0"/>
                <w:bCs/>
                <w:color w:val="000000"/>
                <w:kern w:val="0"/>
                <w:sz w:val="21"/>
                <w:szCs w:val="21"/>
              </w:rPr>
              <w:t>用地为工业用地，</w:t>
            </w:r>
            <w:r>
              <w:rPr>
                <w:b w:val="0"/>
                <w:bCs/>
                <w:snapToGrid w:val="0"/>
                <w:color w:val="000000"/>
                <w:sz w:val="21"/>
                <w:szCs w:val="21"/>
              </w:rPr>
              <w:t>由于所处地植被分布较少，施工期间临时性占地不大，并且这些临时性占地可尽可能设置在永久性占地上，临时建筑设施也可结合运营期运行特点建成运营期也可利用的永久性建筑设施，施工结束后开展平整绿化工作，拆除不用临时建筑设施，故本项目施工期间临时性占地对项目所在区域生态环境影响很小。</w:t>
            </w:r>
          </w:p>
          <w:p w14:paraId="61163193">
            <w:pPr>
              <w:spacing w:line="360" w:lineRule="auto"/>
              <w:ind w:firstLine="420" w:firstLineChars="200"/>
              <w:contextualSpacing/>
              <w:rPr>
                <w:color w:val="000000"/>
                <w:kern w:val="0"/>
                <w:szCs w:val="21"/>
              </w:rPr>
            </w:pPr>
            <w:r>
              <w:rPr>
                <w:color w:val="000000"/>
                <w:kern w:val="0"/>
                <w:szCs w:val="21"/>
              </w:rPr>
              <w:t>（2）对植被的影响</w:t>
            </w:r>
          </w:p>
          <w:p w14:paraId="0A87B51A">
            <w:pPr>
              <w:spacing w:line="360" w:lineRule="auto"/>
              <w:ind w:firstLine="420" w:firstLineChars="200"/>
              <w:contextualSpacing/>
              <w:rPr>
                <w:color w:val="000000"/>
                <w:kern w:val="0"/>
                <w:szCs w:val="21"/>
              </w:rPr>
            </w:pPr>
            <w:r>
              <w:rPr>
                <w:color w:val="000000"/>
                <w:kern w:val="0"/>
                <w:szCs w:val="21"/>
              </w:rPr>
              <w:t>经现场勘查，</w:t>
            </w:r>
            <w:r>
              <w:rPr>
                <w:rFonts w:hint="eastAsia"/>
                <w:color w:val="000000"/>
                <w:kern w:val="0"/>
                <w:szCs w:val="21"/>
              </w:rPr>
              <w:t>项目现状为空地，地表植被覆盖量较少，</w:t>
            </w:r>
            <w:r>
              <w:rPr>
                <w:color w:val="000000"/>
                <w:kern w:val="0"/>
                <w:szCs w:val="21"/>
              </w:rPr>
              <w:t>对区域生态环境影响不大。</w:t>
            </w:r>
          </w:p>
          <w:p w14:paraId="4381E6AA">
            <w:pPr>
              <w:spacing w:line="360" w:lineRule="auto"/>
              <w:ind w:firstLine="420" w:firstLineChars="200"/>
              <w:contextualSpacing/>
              <w:rPr>
                <w:color w:val="000000"/>
                <w:kern w:val="0"/>
                <w:szCs w:val="21"/>
              </w:rPr>
            </w:pPr>
            <w:r>
              <w:rPr>
                <w:color w:val="000000"/>
                <w:kern w:val="0"/>
                <w:szCs w:val="21"/>
              </w:rPr>
              <w:t>另外由于施工人员、车辆、机械的活动，可能会对项目区外的小型植物产生践踏、碾压、尘土覆盖等作用，从而使植物的生长和植株个体受到程度不同的伤害和影响。施工单位应切实做好施工规划，划定施工活动范围，施工结束后应及时对受损害植被进行维护，尽可能减小或避免施工过程对植被的影响。</w:t>
            </w:r>
          </w:p>
          <w:p w14:paraId="3EF92B30">
            <w:pPr>
              <w:spacing w:line="360" w:lineRule="auto"/>
              <w:ind w:firstLine="420" w:firstLineChars="200"/>
              <w:contextualSpacing/>
              <w:rPr>
                <w:color w:val="000000"/>
                <w:kern w:val="0"/>
                <w:szCs w:val="21"/>
              </w:rPr>
            </w:pPr>
            <w:bookmarkStart w:id="3" w:name="_Toc277949382"/>
            <w:r>
              <w:rPr>
                <w:color w:val="000000"/>
                <w:kern w:val="0"/>
                <w:szCs w:val="21"/>
              </w:rPr>
              <w:t>（</w:t>
            </w:r>
            <w:r>
              <w:rPr>
                <w:rFonts w:hint="eastAsia"/>
                <w:color w:val="000000"/>
                <w:kern w:val="0"/>
                <w:szCs w:val="21"/>
              </w:rPr>
              <w:t>3</w:t>
            </w:r>
            <w:r>
              <w:rPr>
                <w:color w:val="000000"/>
                <w:kern w:val="0"/>
                <w:szCs w:val="21"/>
              </w:rPr>
              <w:t>）施工期可能造成的水土流失影响</w:t>
            </w:r>
            <w:bookmarkEnd w:id="3"/>
          </w:p>
          <w:p w14:paraId="005BA7CB">
            <w:pPr>
              <w:spacing w:line="360" w:lineRule="auto"/>
              <w:ind w:firstLine="420" w:firstLineChars="200"/>
              <w:contextualSpacing/>
              <w:rPr>
                <w:color w:val="000000"/>
                <w:kern w:val="0"/>
                <w:szCs w:val="21"/>
              </w:rPr>
            </w:pPr>
            <w:r>
              <w:rPr>
                <w:color w:val="000000"/>
                <w:kern w:val="0"/>
                <w:szCs w:val="21"/>
              </w:rPr>
              <w:t>随着施工场地开挖、填方、平整，原有的表土层将受到破坏，土壤松动，或者施工过程中由于挖方及填方过程中形成的土堆不能及时清理，遇到较大降雨冲刷，易发生水土流失。项目区所在地降雨较少，但施工集中，只要加强施工管理、合理安排施工进度，减少水土流失。随着施工期结束，建设场地及时清理恢复，水土流失可回到原有水平。</w:t>
            </w:r>
          </w:p>
          <w:p w14:paraId="2CF3F7A4">
            <w:pPr>
              <w:pStyle w:val="71"/>
              <w:spacing w:line="360" w:lineRule="auto"/>
              <w:ind w:firstLine="420" w:firstLineChars="200"/>
              <w:rPr>
                <w:rFonts w:ascii="Times New Roman" w:hAnsi="Times New Roman"/>
                <w:color w:val="000000"/>
                <w:szCs w:val="21"/>
              </w:rPr>
            </w:pPr>
            <w:r>
              <w:rPr>
                <w:rFonts w:ascii="Times New Roman" w:hAnsi="Times New Roman"/>
                <w:color w:val="000000"/>
                <w:szCs w:val="21"/>
              </w:rPr>
              <w:t>总体而言，本工程施工期对环境的影响主要表现在生态环境影响及扬尘、噪声、施工废水对环境的影响。施工期的影响是暂时的、局部的，在施工中和结束后通过采取一系列的污染防治措施，可使影响降至最低。</w:t>
            </w:r>
          </w:p>
          <w:p w14:paraId="522CD615">
            <w:pPr>
              <w:adjustRightInd w:val="0"/>
              <w:snapToGrid w:val="0"/>
              <w:spacing w:line="360" w:lineRule="auto"/>
              <w:ind w:firstLine="422" w:firstLineChars="200"/>
              <w:rPr>
                <w:b/>
                <w:bCs/>
                <w:color w:val="000000"/>
                <w:szCs w:val="21"/>
                <w:lang w:val="zh-CN"/>
              </w:rPr>
            </w:pPr>
            <w:r>
              <w:rPr>
                <w:rFonts w:hint="eastAsia"/>
                <w:b/>
                <w:bCs/>
                <w:color w:val="000000"/>
                <w:szCs w:val="21"/>
              </w:rPr>
              <w:t>4.1.6施工现场</w:t>
            </w:r>
          </w:p>
          <w:p w14:paraId="34FA9F0E">
            <w:pPr>
              <w:pStyle w:val="71"/>
              <w:spacing w:line="360" w:lineRule="auto"/>
              <w:ind w:firstLine="420" w:firstLineChars="200"/>
              <w:rPr>
                <w:rFonts w:ascii="Times New Roman" w:hAnsi="Times New Roman" w:eastAsia="Times New Roman" w:cs="Times New Roman"/>
                <w:kern w:val="0"/>
                <w:highlight w:val="yellow"/>
              </w:rPr>
            </w:pPr>
            <w:r>
              <w:rPr>
                <w:rFonts w:ascii="Times New Roman" w:hAnsi="Times New Roman"/>
                <w:color w:val="000000"/>
                <w:szCs w:val="21"/>
              </w:rPr>
              <w:t>及时对施工现场进行清理和平整，不得从高处向下倾倒或者抛洒各类物料和建筑垃圾。施工现场做到：①施工工地周边100%围挡；②物料堆放100%覆盖；③出入车辆100%冲洗；④施工现场地面100%硬化；⑤土方开挖100%湿法作业；⑥渣土车辆100%密闭运输。</w:t>
            </w:r>
          </w:p>
        </w:tc>
      </w:tr>
      <w:tr w14:paraId="414928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23" w:hRule="atLeast"/>
          <w:jc w:val="center"/>
        </w:trPr>
        <w:tc>
          <w:tcPr>
            <w:tcW w:w="535" w:type="dxa"/>
            <w:tcMar>
              <w:left w:w="28" w:type="dxa"/>
              <w:right w:w="28" w:type="dxa"/>
            </w:tcMar>
            <w:vAlign w:val="center"/>
          </w:tcPr>
          <w:p w14:paraId="43D7286B">
            <w:pPr>
              <w:adjustRightInd w:val="0"/>
              <w:snapToGrid w:val="0"/>
              <w:jc w:val="center"/>
              <w:rPr>
                <w:bCs/>
                <w:szCs w:val="21"/>
              </w:rPr>
            </w:pPr>
            <w:r>
              <w:rPr>
                <w:bCs/>
                <w:szCs w:val="21"/>
              </w:rPr>
              <w:t>运</w:t>
            </w:r>
          </w:p>
          <w:p w14:paraId="6121EE0E">
            <w:pPr>
              <w:adjustRightInd w:val="0"/>
              <w:snapToGrid w:val="0"/>
              <w:jc w:val="center"/>
              <w:rPr>
                <w:bCs/>
                <w:szCs w:val="21"/>
              </w:rPr>
            </w:pPr>
            <w:r>
              <w:rPr>
                <w:bCs/>
                <w:szCs w:val="21"/>
              </w:rPr>
              <w:t>营</w:t>
            </w:r>
          </w:p>
          <w:p w14:paraId="53A94B9E">
            <w:pPr>
              <w:adjustRightInd w:val="0"/>
              <w:snapToGrid w:val="0"/>
              <w:jc w:val="center"/>
              <w:rPr>
                <w:bCs/>
                <w:szCs w:val="21"/>
              </w:rPr>
            </w:pPr>
            <w:r>
              <w:rPr>
                <w:bCs/>
                <w:szCs w:val="21"/>
              </w:rPr>
              <w:t>期</w:t>
            </w:r>
          </w:p>
          <w:p w14:paraId="400DBF81">
            <w:pPr>
              <w:adjustRightInd w:val="0"/>
              <w:snapToGrid w:val="0"/>
              <w:jc w:val="center"/>
              <w:rPr>
                <w:bCs/>
                <w:szCs w:val="21"/>
              </w:rPr>
            </w:pPr>
            <w:r>
              <w:rPr>
                <w:bCs/>
                <w:szCs w:val="21"/>
              </w:rPr>
              <w:t>环</w:t>
            </w:r>
          </w:p>
          <w:p w14:paraId="540B0B40">
            <w:pPr>
              <w:adjustRightInd w:val="0"/>
              <w:snapToGrid w:val="0"/>
              <w:jc w:val="center"/>
              <w:rPr>
                <w:bCs/>
                <w:szCs w:val="21"/>
              </w:rPr>
            </w:pPr>
            <w:r>
              <w:rPr>
                <w:bCs/>
                <w:szCs w:val="21"/>
              </w:rPr>
              <w:t>境</w:t>
            </w:r>
          </w:p>
          <w:p w14:paraId="5B250366">
            <w:pPr>
              <w:adjustRightInd w:val="0"/>
              <w:snapToGrid w:val="0"/>
              <w:jc w:val="center"/>
              <w:rPr>
                <w:bCs/>
                <w:szCs w:val="21"/>
              </w:rPr>
            </w:pPr>
            <w:r>
              <w:rPr>
                <w:bCs/>
                <w:szCs w:val="21"/>
              </w:rPr>
              <w:t>影</w:t>
            </w:r>
          </w:p>
          <w:p w14:paraId="240F8512">
            <w:pPr>
              <w:adjustRightInd w:val="0"/>
              <w:snapToGrid w:val="0"/>
              <w:jc w:val="center"/>
              <w:rPr>
                <w:bCs/>
                <w:szCs w:val="21"/>
              </w:rPr>
            </w:pPr>
            <w:r>
              <w:rPr>
                <w:bCs/>
                <w:szCs w:val="21"/>
              </w:rPr>
              <w:t>响</w:t>
            </w:r>
          </w:p>
          <w:p w14:paraId="78AC44F0">
            <w:pPr>
              <w:adjustRightInd w:val="0"/>
              <w:snapToGrid w:val="0"/>
              <w:jc w:val="center"/>
              <w:rPr>
                <w:bCs/>
                <w:szCs w:val="21"/>
              </w:rPr>
            </w:pPr>
            <w:r>
              <w:rPr>
                <w:bCs/>
                <w:szCs w:val="21"/>
              </w:rPr>
              <w:t>和</w:t>
            </w:r>
          </w:p>
          <w:p w14:paraId="5BB9341B">
            <w:pPr>
              <w:adjustRightInd w:val="0"/>
              <w:snapToGrid w:val="0"/>
              <w:jc w:val="center"/>
              <w:rPr>
                <w:bCs/>
                <w:szCs w:val="21"/>
              </w:rPr>
            </w:pPr>
            <w:r>
              <w:rPr>
                <w:bCs/>
                <w:szCs w:val="21"/>
              </w:rPr>
              <w:t>保</w:t>
            </w:r>
          </w:p>
          <w:p w14:paraId="63757B79">
            <w:pPr>
              <w:adjustRightInd w:val="0"/>
              <w:snapToGrid w:val="0"/>
              <w:jc w:val="center"/>
              <w:rPr>
                <w:bCs/>
                <w:szCs w:val="21"/>
              </w:rPr>
            </w:pPr>
            <w:r>
              <w:rPr>
                <w:bCs/>
                <w:szCs w:val="21"/>
              </w:rPr>
              <w:t>护</w:t>
            </w:r>
          </w:p>
          <w:p w14:paraId="3BBEAA5F">
            <w:pPr>
              <w:adjustRightInd w:val="0"/>
              <w:snapToGrid w:val="0"/>
              <w:jc w:val="center"/>
              <w:rPr>
                <w:bCs/>
                <w:szCs w:val="21"/>
              </w:rPr>
            </w:pPr>
            <w:r>
              <w:rPr>
                <w:bCs/>
                <w:szCs w:val="21"/>
              </w:rPr>
              <w:t>措</w:t>
            </w:r>
          </w:p>
          <w:p w14:paraId="0E38B2C1">
            <w:pPr>
              <w:pStyle w:val="25"/>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bCs/>
                <w:szCs w:val="21"/>
              </w:rPr>
              <w:t>施</w:t>
            </w:r>
          </w:p>
        </w:tc>
        <w:tc>
          <w:tcPr>
            <w:tcW w:w="8446" w:type="dxa"/>
          </w:tcPr>
          <w:p w14:paraId="040E4F9E">
            <w:pPr>
              <w:widowControl/>
              <w:spacing w:line="360" w:lineRule="auto"/>
              <w:rPr>
                <w:b/>
                <w:bCs/>
              </w:rPr>
            </w:pPr>
            <w:r>
              <w:rPr>
                <w:rFonts w:hint="eastAsia"/>
                <w:b/>
                <w:bCs/>
              </w:rPr>
              <w:t>4.2大气环境影响及保护措施</w:t>
            </w:r>
          </w:p>
          <w:p w14:paraId="4C449A1C">
            <w:pPr>
              <w:spacing w:line="360" w:lineRule="auto"/>
              <w:rPr>
                <w:b/>
                <w:bCs/>
                <w:color w:val="000000"/>
                <w:szCs w:val="21"/>
              </w:rPr>
            </w:pPr>
            <w:r>
              <w:rPr>
                <w:rFonts w:hint="eastAsia"/>
                <w:b/>
                <w:bCs/>
              </w:rPr>
              <w:t>4.2.1</w:t>
            </w:r>
            <w:r>
              <w:rPr>
                <w:b/>
                <w:bCs/>
                <w:color w:val="000000"/>
                <w:szCs w:val="21"/>
              </w:rPr>
              <w:t>废气</w:t>
            </w:r>
          </w:p>
          <w:p w14:paraId="514C7256">
            <w:pPr>
              <w:pStyle w:val="92"/>
              <w:widowControl w:val="0"/>
              <w:ind w:firstLine="420"/>
              <w:rPr>
                <w:rFonts w:ascii="宋体" w:hAnsi="宋体" w:eastAsia="宋体"/>
                <w:b/>
                <w:bCs/>
                <w:sz w:val="21"/>
                <w:szCs w:val="21"/>
                <w:highlight w:val="none"/>
              </w:rPr>
            </w:pPr>
            <w:r>
              <w:rPr>
                <w:rFonts w:hint="eastAsia"/>
                <w:sz w:val="21"/>
                <w:szCs w:val="21"/>
                <w:highlight w:val="none"/>
              </w:rPr>
              <w:t>沥青混凝土生产过程中</w:t>
            </w:r>
            <w:r>
              <w:rPr>
                <w:rFonts w:hint="eastAsia" w:eastAsia="宋体"/>
                <w:sz w:val="21"/>
                <w:szCs w:val="21"/>
                <w:highlight w:val="none"/>
                <w:lang w:eastAsia="zh-CN"/>
              </w:rPr>
              <w:t>：</w:t>
            </w:r>
            <w:r>
              <w:rPr>
                <w:rFonts w:hint="eastAsia"/>
                <w:sz w:val="21"/>
                <w:szCs w:val="21"/>
                <w:highlight w:val="none"/>
              </w:rPr>
              <w:t>加入骨料、矿粉时产生的粉尘；</w:t>
            </w:r>
            <w:r>
              <w:rPr>
                <w:rFonts w:hint="eastAsia"/>
                <w:sz w:val="21"/>
                <w:szCs w:val="21"/>
                <w:highlight w:val="none"/>
                <w:lang w:val="en-US" w:eastAsia="zh-CN"/>
              </w:rPr>
              <w:t>骨料进入烘干筒后，以天然气作为热源加热烘干筒时产生的燃气废气</w:t>
            </w:r>
            <w:r>
              <w:rPr>
                <w:rFonts w:hint="eastAsia" w:eastAsia="宋体"/>
                <w:sz w:val="21"/>
                <w:szCs w:val="21"/>
                <w:highlight w:val="none"/>
                <w:lang w:eastAsia="zh-CN"/>
              </w:rPr>
              <w:t>；</w:t>
            </w:r>
            <w:r>
              <w:rPr>
                <w:rFonts w:hint="eastAsia"/>
                <w:sz w:val="21"/>
                <w:szCs w:val="21"/>
                <w:highlight w:val="none"/>
                <w:lang w:val="en-US" w:eastAsia="zh-CN"/>
              </w:rPr>
              <w:t>骨料进入烘干筒、粉料提升工序和振动筛分工序产生的粉尘</w:t>
            </w:r>
            <w:r>
              <w:rPr>
                <w:rFonts w:hint="eastAsia"/>
                <w:sz w:val="21"/>
                <w:szCs w:val="21"/>
                <w:highlight w:val="none"/>
              </w:rPr>
              <w:t>；卸料时产生</w:t>
            </w:r>
            <w:r>
              <w:rPr>
                <w:rFonts w:hint="eastAsia" w:eastAsia="宋体"/>
                <w:sz w:val="21"/>
                <w:szCs w:val="21"/>
                <w:highlight w:val="none"/>
                <w:lang w:val="en-US" w:eastAsia="zh-CN"/>
              </w:rPr>
              <w:t>的沥青烟气</w:t>
            </w:r>
            <w:r>
              <w:rPr>
                <w:rFonts w:hint="eastAsia" w:cs="Times New Roman"/>
                <w:sz w:val="21"/>
                <w:szCs w:val="21"/>
                <w:highlight w:val="none"/>
              </w:rPr>
              <w:t>；水稳料生产过程中</w:t>
            </w:r>
            <w:r>
              <w:rPr>
                <w:rFonts w:hint="eastAsia" w:eastAsia="宋体" w:cs="Times New Roman"/>
                <w:sz w:val="21"/>
                <w:szCs w:val="21"/>
                <w:highlight w:val="none"/>
                <w:lang w:eastAsia="zh-CN"/>
              </w:rPr>
              <w:t>：</w:t>
            </w:r>
            <w:r>
              <w:rPr>
                <w:rFonts w:hint="eastAsia" w:cs="Times New Roman"/>
                <w:sz w:val="21"/>
                <w:szCs w:val="21"/>
                <w:highlight w:val="none"/>
              </w:rPr>
              <w:t>上料、搅拌、卸料时产生的粉尘；员工食堂产生的食堂油烟。</w:t>
            </w:r>
          </w:p>
          <w:p w14:paraId="73294B95">
            <w:pPr>
              <w:widowControl/>
              <w:spacing w:line="360" w:lineRule="auto"/>
              <w:ind w:firstLine="420" w:firstLineChars="200"/>
              <w:rPr>
                <w:b/>
                <w:bCs/>
              </w:rPr>
            </w:pPr>
            <w:r>
              <w:rPr>
                <w:rFonts w:hint="eastAsia"/>
                <w:szCs w:val="20"/>
              </w:rPr>
              <w:t>（1）</w:t>
            </w:r>
            <w:r>
              <w:rPr>
                <w:szCs w:val="20"/>
              </w:rPr>
              <w:t>有组织</w:t>
            </w:r>
            <w:r>
              <w:rPr>
                <w:rFonts w:hint="eastAsia"/>
                <w:szCs w:val="20"/>
              </w:rPr>
              <w:t>废气</w:t>
            </w:r>
          </w:p>
          <w:p w14:paraId="3685F67D">
            <w:pPr>
              <w:spacing w:line="360" w:lineRule="auto"/>
              <w:ind w:firstLine="420" w:firstLineChars="200"/>
              <w:rPr>
                <w:rFonts w:hint="eastAsia" w:eastAsia="宋体"/>
                <w:color w:val="auto"/>
                <w:kern w:val="0"/>
                <w:lang w:eastAsia="zh-CN"/>
              </w:rPr>
            </w:pPr>
            <w:r>
              <w:rPr>
                <w:rFonts w:hint="eastAsia" w:eastAsia="宋体"/>
                <w:color w:val="auto"/>
                <w:kern w:val="0"/>
                <w:lang w:eastAsia="zh-CN"/>
              </w:rPr>
              <w:t>①沥青混凝土生产线</w:t>
            </w:r>
          </w:p>
          <w:p w14:paraId="52279EE3">
            <w:pPr>
              <w:spacing w:line="360" w:lineRule="auto"/>
              <w:ind w:firstLine="420" w:firstLineChars="200"/>
              <w:rPr>
                <w:rFonts w:eastAsia="Times New Roman"/>
                <w:color w:val="auto"/>
                <w:kern w:val="0"/>
              </w:rPr>
            </w:pPr>
            <w:r>
              <w:rPr>
                <w:rFonts w:hint="eastAsia" w:eastAsia="Times New Roman"/>
                <w:color w:val="auto"/>
                <w:kern w:val="0"/>
              </w:rPr>
              <w:t>a.加</w:t>
            </w:r>
            <w:r>
              <w:rPr>
                <w:rFonts w:hint="eastAsia"/>
                <w:color w:val="auto"/>
                <w:szCs w:val="21"/>
              </w:rPr>
              <w:t>入骨料、矿粉时产生的粉尘</w:t>
            </w:r>
          </w:p>
          <w:p w14:paraId="2DE6E30D">
            <w:pPr>
              <w:autoSpaceDE w:val="0"/>
              <w:adjustRightInd w:val="0"/>
              <w:snapToGrid w:val="0"/>
              <w:spacing w:line="360" w:lineRule="auto"/>
              <w:ind w:firstLine="420" w:firstLineChars="200"/>
              <w:jc w:val="left"/>
              <w:rPr>
                <w:color w:val="auto"/>
                <w:szCs w:val="20"/>
              </w:rPr>
            </w:pPr>
            <w:r>
              <w:rPr>
                <w:rFonts w:hint="eastAsia"/>
                <w:szCs w:val="20"/>
              </w:rPr>
              <w:t>项目主要在</w:t>
            </w:r>
            <w:r>
              <w:rPr>
                <w:szCs w:val="20"/>
              </w:rPr>
              <w:t>骨料</w:t>
            </w:r>
            <w:r>
              <w:rPr>
                <w:rFonts w:hint="eastAsia"/>
                <w:szCs w:val="20"/>
              </w:rPr>
              <w:t>上料时</w:t>
            </w:r>
            <w:r>
              <w:rPr>
                <w:rFonts w:hint="eastAsia"/>
                <w:bCs/>
                <w:color w:val="000000"/>
                <w:szCs w:val="21"/>
              </w:rPr>
              <w:t>产生的污染物主要为</w:t>
            </w:r>
            <w:r>
              <w:rPr>
                <w:rFonts w:hint="eastAsia"/>
                <w:szCs w:val="20"/>
              </w:rPr>
              <w:t>颗粒物。</w:t>
            </w:r>
            <w:r>
              <w:rPr>
                <w:rFonts w:hint="eastAsia" w:eastAsia="Times New Roman"/>
                <w:kern w:val="0"/>
              </w:rPr>
              <w:t>加</w:t>
            </w:r>
            <w:r>
              <w:rPr>
                <w:rFonts w:hint="eastAsia"/>
                <w:szCs w:val="21"/>
              </w:rPr>
              <w:t>入骨料、矿粉时产生的粉尘</w:t>
            </w:r>
            <w:r>
              <w:rPr>
                <w:rFonts w:hint="eastAsia"/>
                <w:szCs w:val="20"/>
              </w:rPr>
              <w:t>根据</w:t>
            </w:r>
            <w:r>
              <w:rPr>
                <w:rFonts w:hint="eastAsia"/>
                <w:color w:val="000000"/>
                <w:szCs w:val="21"/>
              </w:rPr>
              <w:t>《排放源统计调查产排污核算方法和系数手册》（生态环境部公告2021年第24号）中“3021水泥制品制造（含3022砼结构构件制造、3029其他水泥类似制品制造）行业系数手册”行业系数表可知，物料输送储存工序废气量产污系数为22.0标立方米/吨-产品，颗粒物产污系数为0.12千克/吨-产品。本项目投产后，年产12万吨，</w:t>
            </w:r>
            <w:r>
              <w:rPr>
                <w:rFonts w:hint="eastAsia"/>
                <w:szCs w:val="20"/>
              </w:rPr>
              <w:t>则废气量为611.11m</w:t>
            </w:r>
            <w:r>
              <w:rPr>
                <w:rFonts w:hint="eastAsia"/>
                <w:szCs w:val="20"/>
                <w:vertAlign w:val="superscript"/>
              </w:rPr>
              <w:t>3</w:t>
            </w:r>
            <w:r>
              <w:rPr>
                <w:rFonts w:hint="eastAsia"/>
                <w:szCs w:val="20"/>
              </w:rPr>
              <w:t>/h，上料粉尘产生量约14.4t/a，粉尘产生的速率约为3.33kg/h，产生浓度为5454</w:t>
            </w:r>
            <w:r>
              <w:rPr>
                <w:rFonts w:hint="eastAsia"/>
                <w:szCs w:val="21"/>
              </w:rPr>
              <w:t>mg/m</w:t>
            </w:r>
            <w:r>
              <w:rPr>
                <w:rFonts w:hint="eastAsia"/>
                <w:szCs w:val="21"/>
                <w:vertAlign w:val="superscript"/>
              </w:rPr>
              <w:t>3</w:t>
            </w:r>
            <w:r>
              <w:rPr>
                <w:rFonts w:hint="eastAsia"/>
                <w:szCs w:val="20"/>
              </w:rPr>
              <w:t>。本项目骨料上料过程</w:t>
            </w:r>
            <w:r>
              <w:rPr>
                <w:rFonts w:hint="eastAsia"/>
                <w:color w:val="auto"/>
                <w:szCs w:val="20"/>
              </w:rPr>
              <w:t>位于生产车间内，将粉尘</w:t>
            </w:r>
            <w:r>
              <w:rPr>
                <w:color w:val="auto"/>
              </w:rPr>
              <w:t>引入布袋除尘器中进行除尘后通过一根高15</w:t>
            </w:r>
            <w:r>
              <w:rPr>
                <w:color w:val="auto"/>
                <w:szCs w:val="21"/>
              </w:rPr>
              <w:t>m排气筒</w:t>
            </w:r>
            <w:r>
              <w:rPr>
                <w:rFonts w:hint="eastAsia"/>
                <w:color w:val="auto"/>
                <w:szCs w:val="21"/>
              </w:rPr>
              <w:t>（DA001）</w:t>
            </w:r>
            <w:r>
              <w:rPr>
                <w:color w:val="auto"/>
                <w:szCs w:val="21"/>
              </w:rPr>
              <w:t>有组织排放。</w:t>
            </w:r>
            <w:r>
              <w:rPr>
                <w:rFonts w:hint="eastAsia"/>
                <w:color w:val="auto"/>
                <w:szCs w:val="21"/>
              </w:rPr>
              <w:t>本项目布袋除尘器对粉尘净化效率为99.7%左右。则粉尘有组织排放速率约为0.01kg/h，排放浓度为16.36mg/m</w:t>
            </w:r>
            <w:r>
              <w:rPr>
                <w:rFonts w:hint="eastAsia"/>
                <w:color w:val="auto"/>
                <w:szCs w:val="21"/>
                <w:vertAlign w:val="superscript"/>
              </w:rPr>
              <w:t>3</w:t>
            </w:r>
            <w:r>
              <w:rPr>
                <w:rFonts w:hint="eastAsia"/>
                <w:color w:val="auto"/>
                <w:szCs w:val="21"/>
              </w:rPr>
              <w:t>，粉尘排放量为0.043t/a</w:t>
            </w:r>
            <w:r>
              <w:rPr>
                <w:rFonts w:hint="eastAsia"/>
                <w:color w:val="auto"/>
                <w:szCs w:val="20"/>
              </w:rPr>
              <w:t>。</w:t>
            </w:r>
          </w:p>
          <w:p w14:paraId="067B3394">
            <w:pPr>
              <w:spacing w:line="360" w:lineRule="auto"/>
              <w:ind w:firstLine="420" w:firstLineChars="200"/>
              <w:rPr>
                <w:rFonts w:hint="eastAsia" w:eastAsia="宋体"/>
                <w:color w:val="auto"/>
                <w:kern w:val="0"/>
                <w:lang w:val="en-US" w:eastAsia="zh-CN"/>
              </w:rPr>
            </w:pPr>
            <w:r>
              <w:rPr>
                <w:rFonts w:hint="eastAsia"/>
                <w:color w:val="auto"/>
                <w:szCs w:val="20"/>
                <w:lang w:val="en-US" w:eastAsia="zh-CN"/>
              </w:rPr>
              <w:t>b</w:t>
            </w:r>
            <w:r>
              <w:rPr>
                <w:rFonts w:hint="eastAsia"/>
                <w:color w:val="auto"/>
                <w:kern w:val="0"/>
                <w:lang w:val="en-US" w:eastAsia="zh-CN"/>
              </w:rPr>
              <w:t>.</w:t>
            </w:r>
            <w:r>
              <w:rPr>
                <w:rFonts w:hint="eastAsia" w:eastAsia="Times New Roman" w:cs="Times New Roman"/>
                <w:color w:val="auto"/>
                <w:kern w:val="0"/>
                <w:sz w:val="21"/>
                <w:szCs w:val="24"/>
              </w:rPr>
              <w:t>天然气烘干筒产生的燃气废气</w:t>
            </w:r>
            <w:r>
              <w:rPr>
                <w:rStyle w:val="34"/>
                <w:rFonts w:hint="eastAsia" w:cs="Times New Roman"/>
                <w:color w:val="auto"/>
                <w:kern w:val="0"/>
                <w:lang w:val="en-US" w:eastAsia="zh-CN"/>
              </w:rPr>
              <w:t>，</w:t>
            </w:r>
            <w:r>
              <w:rPr>
                <w:rFonts w:hint="eastAsia" w:eastAsia="Times New Roman"/>
                <w:color w:val="auto"/>
                <w:kern w:val="0"/>
              </w:rPr>
              <w:t>骨料进入烘干筒、粉料提升、振动筛分工序产生的粉尘</w:t>
            </w:r>
          </w:p>
          <w:p w14:paraId="3A180EBC">
            <w:pPr>
              <w:spacing w:line="360" w:lineRule="auto"/>
              <w:ind w:firstLine="420" w:firstLineChars="200"/>
              <w:rPr>
                <w:rFonts w:cs="Times New Roman"/>
                <w:color w:val="auto"/>
                <w:sz w:val="21"/>
                <w:szCs w:val="21"/>
              </w:rPr>
            </w:pPr>
            <w:r>
              <w:rPr>
                <w:rFonts w:hint="eastAsia"/>
                <w:color w:val="auto"/>
                <w:highlight w:val="none"/>
                <w:lang w:val="en-US" w:eastAsia="zh-CN"/>
              </w:rPr>
              <w:t>沥青混凝土生产过程中骨料进入烘干筒后，安装有低氮燃烧器的天然气燃烧器加热烘干筒时产生的燃气废气与骨料进入烘干筒、粉料提升工序和振动筛分工序产生的粉尘，因为沥青混凝土生产线采取封闭措施</w:t>
            </w:r>
            <w:r>
              <w:rPr>
                <w:rFonts w:hint="eastAsia"/>
                <w:color w:val="auto"/>
                <w:kern w:val="0"/>
                <w:sz w:val="21"/>
                <w:szCs w:val="21"/>
                <w:lang w:eastAsia="zh-CN"/>
              </w:rPr>
              <w:t>，</w:t>
            </w:r>
            <w:r>
              <w:rPr>
                <w:rFonts w:hint="eastAsia"/>
                <w:color w:val="auto"/>
                <w:kern w:val="0"/>
                <w:sz w:val="21"/>
                <w:szCs w:val="21"/>
                <w:lang w:val="en-US" w:eastAsia="zh-CN"/>
              </w:rPr>
              <w:t>所以混合废气</w:t>
            </w:r>
            <w:r>
              <w:rPr>
                <w:rFonts w:cs="Times New Roman"/>
                <w:color w:val="auto"/>
                <w:sz w:val="21"/>
                <w:szCs w:val="21"/>
              </w:rPr>
              <w:t>污染因子为二氧化硫、氮氧化物</w:t>
            </w:r>
            <w:r>
              <w:rPr>
                <w:rFonts w:hint="eastAsia" w:cs="Times New Roman"/>
                <w:color w:val="auto"/>
                <w:sz w:val="21"/>
                <w:szCs w:val="21"/>
                <w:lang w:eastAsia="zh-CN"/>
              </w:rPr>
              <w:t>、颗粒物（</w:t>
            </w:r>
            <w:r>
              <w:rPr>
                <w:rFonts w:hint="eastAsia" w:cs="Times New Roman"/>
                <w:color w:val="auto"/>
                <w:sz w:val="21"/>
                <w:szCs w:val="21"/>
                <w:lang w:val="en-US" w:eastAsia="zh-CN"/>
              </w:rPr>
              <w:t>烟尘、粉尘</w:t>
            </w:r>
            <w:r>
              <w:rPr>
                <w:rFonts w:hint="eastAsia" w:cs="Times New Roman"/>
                <w:color w:val="auto"/>
                <w:sz w:val="21"/>
                <w:szCs w:val="21"/>
                <w:lang w:eastAsia="zh-CN"/>
              </w:rPr>
              <w:t>）</w:t>
            </w:r>
            <w:r>
              <w:rPr>
                <w:rFonts w:cs="Times New Roman"/>
                <w:color w:val="auto"/>
                <w:sz w:val="21"/>
                <w:szCs w:val="21"/>
              </w:rPr>
              <w:t>。</w:t>
            </w:r>
          </w:p>
          <w:p w14:paraId="39537D2C">
            <w:pPr>
              <w:spacing w:line="360" w:lineRule="auto"/>
              <w:ind w:firstLine="420" w:firstLineChars="200"/>
              <w:rPr>
                <w:rFonts w:hint="eastAsia" w:ascii="Times New Roman" w:hAnsi="Times New Roman"/>
                <w:color w:val="auto"/>
                <w:sz w:val="21"/>
                <w:szCs w:val="21"/>
              </w:rPr>
            </w:pPr>
            <w:r>
              <w:rPr>
                <w:rFonts w:hint="eastAsia"/>
                <w:color w:val="auto"/>
                <w:sz w:val="21"/>
                <w:szCs w:val="21"/>
                <w:lang w:bidi="ar"/>
              </w:rPr>
              <w:t>根据</w:t>
            </w:r>
            <w:r>
              <w:rPr>
                <w:rFonts w:hint="eastAsia" w:ascii="Times New Roman" w:hAnsi="Times New Roman"/>
                <w:color w:val="auto"/>
                <w:sz w:val="21"/>
                <w:szCs w:val="21"/>
              </w:rPr>
              <w:t>《排放源统计调查产排污核算方法和系数手册》（生态环境部公告2021年第24号）中“4430工业锅炉（热力生产和供应行业）系数手册-燃气工业锅炉”行业系数表可知，废气量产物系数为1107753标立方米/万立方米-原料，二氧化硫产污系数为0.02S千克/万立方米-原料，氮氧化物产污系数为3.03千克/万立方米-原料。</w:t>
            </w:r>
            <w:r>
              <w:rPr>
                <w:rFonts w:hint="default" w:eastAsia="宋体"/>
                <w:color w:val="auto"/>
                <w:lang w:val="en-US" w:eastAsia="zh-CN"/>
              </w:rPr>
              <w:t>根据《排污许可证申请与核发技术规范 锅炉》（HJ953-2018）中表F.2提供的产排污系数可计算出运营期</w:t>
            </w:r>
            <w:r>
              <w:rPr>
                <w:rFonts w:hint="eastAsia"/>
                <w:color w:val="auto"/>
                <w:lang w:val="en-US" w:eastAsia="zh-CN"/>
              </w:rPr>
              <w:t>天然气烘干炉产生烟尘</w:t>
            </w:r>
            <w:r>
              <w:rPr>
                <w:rFonts w:hint="default" w:eastAsia="宋体"/>
                <w:color w:val="auto"/>
                <w:lang w:val="en-US" w:eastAsia="zh-CN"/>
              </w:rPr>
              <w:t>的量</w:t>
            </w:r>
            <w:r>
              <w:rPr>
                <w:rFonts w:hint="eastAsia"/>
                <w:color w:val="auto"/>
                <w:lang w:val="en-US" w:eastAsia="zh-CN"/>
              </w:rPr>
              <w:t>：颗粒物排污系数为</w:t>
            </w:r>
            <w:r>
              <w:rPr>
                <w:rFonts w:hint="eastAsia" w:ascii="Times New Roman" w:hAnsi="Times New Roman" w:eastAsia="宋体" w:cs="Times New Roman"/>
                <w:b w:val="0"/>
                <w:color w:val="auto"/>
                <w:lang w:val="en-US" w:eastAsia="zh-CN"/>
              </w:rPr>
              <w:t>2.86</w:t>
            </w:r>
            <w:r>
              <w:rPr>
                <w:rFonts w:hint="default" w:ascii="Times New Roman" w:hAnsi="Times New Roman" w:eastAsia="宋体" w:cs="Times New Roman"/>
                <w:b w:val="0"/>
                <w:color w:val="auto"/>
              </w:rPr>
              <w:t>kg/</w:t>
            </w:r>
            <w:r>
              <w:rPr>
                <w:rFonts w:hint="eastAsia" w:ascii="Times New Roman" w:hAnsi="Times New Roman" w:eastAsia="宋体" w:cs="Times New Roman"/>
                <w:b w:val="0"/>
                <w:color w:val="auto"/>
                <w:lang w:eastAsia="zh-CN"/>
              </w:rPr>
              <w:t>万</w:t>
            </w:r>
            <w:r>
              <w:rPr>
                <w:rFonts w:hint="eastAsia" w:ascii="Times New Roman" w:hAnsi="Times New Roman" w:eastAsia="宋体" w:cs="Times New Roman"/>
                <w:b w:val="0"/>
                <w:color w:val="auto"/>
                <w:lang w:val="en-US" w:eastAsia="zh-CN"/>
              </w:rPr>
              <w:t>m</w:t>
            </w:r>
            <w:r>
              <w:rPr>
                <w:rFonts w:hint="eastAsia" w:ascii="Times New Roman" w:hAnsi="Times New Roman" w:eastAsia="宋体" w:cs="Times New Roman"/>
                <w:b w:val="0"/>
                <w:color w:val="auto"/>
                <w:vertAlign w:val="superscript"/>
                <w:lang w:val="en-US" w:eastAsia="zh-CN"/>
              </w:rPr>
              <w:t>3</w:t>
            </w:r>
            <w:r>
              <w:rPr>
                <w:rFonts w:hint="default" w:ascii="Times New Roman" w:hAnsi="Times New Roman" w:eastAsia="宋体" w:cs="Times New Roman"/>
                <w:b w:val="0"/>
                <w:color w:val="auto"/>
              </w:rPr>
              <w:t>-燃料</w:t>
            </w:r>
            <w:r>
              <w:rPr>
                <w:rFonts w:hint="eastAsia" w:ascii="Times New Roman" w:hAnsi="Times New Roman" w:cs="Times New Roman"/>
                <w:b w:val="0"/>
                <w:color w:val="auto"/>
                <w:lang w:eastAsia="zh-CN"/>
              </w:rPr>
              <w:t>。</w:t>
            </w:r>
            <w:r>
              <w:rPr>
                <w:rFonts w:hint="eastAsia" w:ascii="Times New Roman" w:hAnsi="Times New Roman"/>
                <w:color w:val="auto"/>
                <w:sz w:val="21"/>
                <w:szCs w:val="21"/>
              </w:rPr>
              <w:t>本项目投产后，天然气使用量为16.32万m</w:t>
            </w:r>
            <w:r>
              <w:rPr>
                <w:rFonts w:hint="eastAsia" w:ascii="Times New Roman" w:hAnsi="Times New Roman"/>
                <w:color w:val="auto"/>
                <w:sz w:val="21"/>
                <w:szCs w:val="21"/>
                <w:vertAlign w:val="superscript"/>
              </w:rPr>
              <w:t>3</w:t>
            </w:r>
            <w:r>
              <w:rPr>
                <w:rFonts w:hint="eastAsia" w:ascii="Times New Roman" w:hAnsi="Times New Roman"/>
                <w:color w:val="auto"/>
                <w:sz w:val="21"/>
                <w:szCs w:val="21"/>
              </w:rPr>
              <w:t>，则废气量为4184.84m</w:t>
            </w:r>
            <w:r>
              <w:rPr>
                <w:rFonts w:hint="eastAsia" w:ascii="Times New Roman" w:hAnsi="Times New Roman"/>
                <w:color w:val="auto"/>
                <w:sz w:val="21"/>
                <w:szCs w:val="21"/>
                <w:vertAlign w:val="superscript"/>
              </w:rPr>
              <w:t>3</w:t>
            </w:r>
            <w:r>
              <w:rPr>
                <w:rFonts w:hint="eastAsia" w:ascii="Times New Roman" w:hAnsi="Times New Roman"/>
                <w:color w:val="auto"/>
                <w:sz w:val="21"/>
                <w:szCs w:val="21"/>
              </w:rPr>
              <w:t>/h，二氧化硫产生量为0.0651t/a，产生的速率约为0.015kg/h，产生浓度为3.59mg/m</w:t>
            </w:r>
            <w:r>
              <w:rPr>
                <w:rFonts w:hint="eastAsia" w:ascii="Times New Roman" w:hAnsi="Times New Roman"/>
                <w:color w:val="auto"/>
                <w:sz w:val="21"/>
                <w:szCs w:val="21"/>
                <w:vertAlign w:val="superscript"/>
              </w:rPr>
              <w:t>3</w:t>
            </w:r>
            <w:r>
              <w:rPr>
                <w:rFonts w:hint="eastAsia" w:ascii="Times New Roman" w:hAnsi="Times New Roman"/>
                <w:color w:val="auto"/>
                <w:sz w:val="21"/>
                <w:szCs w:val="21"/>
              </w:rPr>
              <w:t>；氮氧化物产生量为0.049t/a，产生的速率约为0.011kg/h，产生浓度为2.71mg/m</w:t>
            </w:r>
            <w:r>
              <w:rPr>
                <w:rFonts w:hint="eastAsia" w:ascii="Times New Roman" w:hAnsi="Times New Roman"/>
                <w:color w:val="auto"/>
                <w:sz w:val="21"/>
                <w:szCs w:val="21"/>
                <w:vertAlign w:val="superscript"/>
              </w:rPr>
              <w:t>3</w:t>
            </w:r>
            <w:r>
              <w:rPr>
                <w:rFonts w:hint="eastAsia"/>
                <w:color w:val="auto"/>
                <w:sz w:val="21"/>
                <w:szCs w:val="21"/>
                <w:vertAlign w:val="baseline"/>
                <w:lang w:eastAsia="zh-CN"/>
              </w:rPr>
              <w:t>；</w:t>
            </w:r>
            <w:r>
              <w:rPr>
                <w:rFonts w:hint="eastAsia"/>
                <w:color w:val="auto"/>
                <w:sz w:val="21"/>
                <w:szCs w:val="21"/>
                <w:vertAlign w:val="baseline"/>
                <w:lang w:val="en-US" w:eastAsia="zh-CN"/>
              </w:rPr>
              <w:t>烟尘颗粒物的产生量为</w:t>
            </w:r>
            <w:r>
              <w:rPr>
                <w:rFonts w:hint="eastAsia" w:ascii="Times New Roman" w:hAnsi="Times New Roman"/>
                <w:color w:val="auto"/>
                <w:sz w:val="21"/>
                <w:szCs w:val="21"/>
              </w:rPr>
              <w:t>0.04</w:t>
            </w:r>
            <w:r>
              <w:rPr>
                <w:rFonts w:hint="eastAsia" w:ascii="Times New Roman" w:hAnsi="Times New Roman"/>
                <w:color w:val="auto"/>
                <w:sz w:val="21"/>
                <w:szCs w:val="21"/>
                <w:lang w:val="en-US" w:eastAsia="zh-CN"/>
              </w:rPr>
              <w:t>6</w:t>
            </w:r>
            <w:r>
              <w:rPr>
                <w:rFonts w:hint="eastAsia" w:ascii="Times New Roman" w:hAnsi="Times New Roman"/>
                <w:color w:val="auto"/>
                <w:sz w:val="21"/>
                <w:szCs w:val="21"/>
              </w:rPr>
              <w:t>t/a，产生的速率约为0.01</w:t>
            </w:r>
            <w:r>
              <w:rPr>
                <w:rFonts w:hint="eastAsia" w:ascii="Times New Roman" w:hAnsi="Times New Roman"/>
                <w:color w:val="auto"/>
                <w:sz w:val="21"/>
                <w:szCs w:val="21"/>
                <w:lang w:val="en-US" w:eastAsia="zh-CN"/>
              </w:rPr>
              <w:t>0</w:t>
            </w:r>
            <w:r>
              <w:rPr>
                <w:rFonts w:hint="eastAsia" w:ascii="Times New Roman" w:hAnsi="Times New Roman"/>
                <w:color w:val="auto"/>
                <w:sz w:val="21"/>
                <w:szCs w:val="21"/>
              </w:rPr>
              <w:t>kg/h，产生浓度为2.</w:t>
            </w:r>
            <w:r>
              <w:rPr>
                <w:rFonts w:hint="eastAsia" w:ascii="Times New Roman" w:hAnsi="Times New Roman"/>
                <w:color w:val="auto"/>
                <w:sz w:val="21"/>
                <w:szCs w:val="21"/>
                <w:lang w:val="en-US" w:eastAsia="zh-CN"/>
              </w:rPr>
              <w:t>54</w:t>
            </w:r>
            <w:r>
              <w:rPr>
                <w:rFonts w:hint="eastAsia" w:ascii="Times New Roman" w:hAnsi="Times New Roman"/>
                <w:color w:val="auto"/>
                <w:sz w:val="21"/>
                <w:szCs w:val="21"/>
              </w:rPr>
              <w:t>mg/m</w:t>
            </w:r>
            <w:r>
              <w:rPr>
                <w:rFonts w:hint="eastAsia" w:ascii="Times New Roman" w:hAnsi="Times New Roman"/>
                <w:color w:val="auto"/>
                <w:sz w:val="21"/>
                <w:szCs w:val="21"/>
                <w:vertAlign w:val="superscript"/>
              </w:rPr>
              <w:t>3</w:t>
            </w:r>
            <w:r>
              <w:rPr>
                <w:rFonts w:hint="eastAsia" w:ascii="Times New Roman" w:hAnsi="Times New Roman"/>
                <w:color w:val="auto"/>
                <w:sz w:val="21"/>
                <w:szCs w:val="21"/>
              </w:rPr>
              <w:t>。</w:t>
            </w:r>
          </w:p>
          <w:p w14:paraId="7E2F5E3E">
            <w:pPr>
              <w:spacing w:line="360" w:lineRule="auto"/>
              <w:ind w:firstLine="420" w:firstLineChars="200"/>
              <w:rPr>
                <w:rFonts w:hint="eastAsia" w:eastAsia="Times New Roman"/>
                <w:color w:val="auto"/>
                <w:kern w:val="0"/>
              </w:rPr>
            </w:pPr>
            <w:r>
              <w:rPr>
                <w:rFonts w:hint="eastAsia" w:eastAsia="Times New Roman"/>
                <w:color w:val="auto"/>
                <w:kern w:val="0"/>
              </w:rPr>
              <w:t>项目骨料在上沥青前经过加热处理</w:t>
            </w:r>
            <w:r>
              <w:rPr>
                <w:rFonts w:hint="eastAsia" w:eastAsia="宋体"/>
                <w:color w:val="auto"/>
                <w:kern w:val="0"/>
                <w:lang w:val="en-US" w:eastAsia="zh-CN"/>
              </w:rPr>
              <w:t>时</w:t>
            </w:r>
            <w:r>
              <w:rPr>
                <w:rFonts w:hint="eastAsia" w:eastAsia="Times New Roman"/>
                <w:color w:val="auto"/>
                <w:kern w:val="0"/>
              </w:rPr>
              <w:t>通过密闭的烘干滚筒不停转动以使骨料受热均匀，骨料在烘干滚筒内加热时有粉尘产生；骨料、矿粉在热处理后，加热的骨料通过骨料提升机送到粒度检控系统内经过振动筛分，由于高差原因，会产生一定量的粉尘。根据《排放源统计调查产排污核算方法和系数手册》（生态环境部公告2021年第24号）中“3021水泥制品制造（含3022砼结构构件制造、3029其他水泥类似制品制造）行业系数手册”行业系数表可知，物料</w:t>
            </w:r>
            <w:r>
              <w:rPr>
                <w:rFonts w:hint="eastAsia" w:eastAsia="宋体"/>
                <w:color w:val="auto"/>
                <w:kern w:val="0"/>
                <w:lang w:eastAsia="zh-CN"/>
              </w:rPr>
              <w:t>混合搅拌</w:t>
            </w:r>
            <w:r>
              <w:rPr>
                <w:rFonts w:hint="eastAsia" w:eastAsia="Times New Roman"/>
                <w:color w:val="auto"/>
                <w:kern w:val="0"/>
              </w:rPr>
              <w:t>工序废气量产污系数为25.0标立方米/吨-产品，颗粒物产污系数为0.13千克/吨-产品。本项目投产后，年产12万吨，则废气量为694.44m</w:t>
            </w:r>
            <w:r>
              <w:rPr>
                <w:rFonts w:hint="eastAsia" w:eastAsia="Times New Roman"/>
                <w:color w:val="auto"/>
                <w:kern w:val="0"/>
                <w:vertAlign w:val="superscript"/>
              </w:rPr>
              <w:t>3</w:t>
            </w:r>
            <w:r>
              <w:rPr>
                <w:rFonts w:hint="eastAsia" w:eastAsia="Times New Roman"/>
                <w:color w:val="auto"/>
                <w:kern w:val="0"/>
              </w:rPr>
              <w:t>/h，</w:t>
            </w:r>
            <w:r>
              <w:rPr>
                <w:rFonts w:hint="eastAsia" w:eastAsia="宋体"/>
                <w:color w:val="auto"/>
                <w:kern w:val="0"/>
                <w:lang w:val="en-US" w:eastAsia="zh-CN"/>
              </w:rPr>
              <w:t>颗粒物</w:t>
            </w:r>
            <w:r>
              <w:rPr>
                <w:rFonts w:hint="eastAsia" w:eastAsia="Times New Roman"/>
                <w:color w:val="auto"/>
                <w:kern w:val="0"/>
              </w:rPr>
              <w:t>产生量约15.6t/a，粉尘产生的速率约为3.61kg/h，产生浓度为5200mg/m</w:t>
            </w:r>
            <w:r>
              <w:rPr>
                <w:rFonts w:hint="eastAsia" w:eastAsia="Times New Roman"/>
                <w:color w:val="auto"/>
                <w:kern w:val="0"/>
                <w:vertAlign w:val="superscript"/>
              </w:rPr>
              <w:t>3</w:t>
            </w:r>
            <w:r>
              <w:rPr>
                <w:rFonts w:hint="eastAsia" w:eastAsia="Times New Roman"/>
                <w:color w:val="auto"/>
                <w:kern w:val="0"/>
              </w:rPr>
              <w:t>。</w:t>
            </w:r>
          </w:p>
          <w:p w14:paraId="03043426">
            <w:pPr>
              <w:spacing w:line="360" w:lineRule="auto"/>
              <w:ind w:firstLine="420" w:firstLineChars="200"/>
              <w:rPr>
                <w:rFonts w:eastAsia="Times New Roman"/>
                <w:color w:val="auto"/>
                <w:kern w:val="0"/>
              </w:rPr>
            </w:pPr>
            <w:r>
              <w:rPr>
                <w:rFonts w:hint="eastAsia" w:eastAsia="Times New Roman"/>
                <w:color w:val="auto"/>
                <w:kern w:val="0"/>
              </w:rPr>
              <w:t>沥青</w:t>
            </w:r>
            <w:r>
              <w:rPr>
                <w:rFonts w:hint="eastAsia" w:eastAsia="宋体"/>
                <w:color w:val="auto"/>
                <w:kern w:val="0"/>
                <w:lang w:val="en-US" w:eastAsia="zh-CN"/>
              </w:rPr>
              <w:t>混凝土</w:t>
            </w:r>
            <w:r>
              <w:rPr>
                <w:rFonts w:hint="eastAsia" w:eastAsia="Times New Roman"/>
                <w:color w:val="auto"/>
                <w:kern w:val="0"/>
              </w:rPr>
              <w:t>砼生产线采用密闭形式，产生的粉尘气体通过布袋除尘器进行除尘后通过一根高15m排气筒（DA002）有组织排放。本项目布袋除尘器对粉尘净化效率为99.7%左右。则</w:t>
            </w:r>
            <w:r>
              <w:rPr>
                <w:rFonts w:hint="eastAsia"/>
                <w:color w:val="auto"/>
                <w:kern w:val="0"/>
                <w:lang w:val="en-US" w:eastAsia="zh-CN"/>
              </w:rPr>
              <w:t>颗粒物（烟尘+粉尘）</w:t>
            </w:r>
            <w:r>
              <w:rPr>
                <w:rFonts w:hint="eastAsia" w:eastAsia="Times New Roman"/>
                <w:color w:val="auto"/>
                <w:kern w:val="0"/>
              </w:rPr>
              <w:t>有组织排放速率约为0.011kg/h，排放浓度为15.8mg/m</w:t>
            </w:r>
            <w:r>
              <w:rPr>
                <w:rFonts w:hint="eastAsia" w:eastAsia="Times New Roman"/>
                <w:color w:val="auto"/>
                <w:kern w:val="0"/>
                <w:vertAlign w:val="superscript"/>
              </w:rPr>
              <w:t>3</w:t>
            </w:r>
            <w:r>
              <w:rPr>
                <w:rFonts w:hint="eastAsia" w:eastAsia="Times New Roman"/>
                <w:color w:val="auto"/>
                <w:kern w:val="0"/>
              </w:rPr>
              <w:t>，排放量为0.047t/a。</w:t>
            </w:r>
          </w:p>
          <w:p w14:paraId="1B4DBF7A">
            <w:pPr>
              <w:pStyle w:val="38"/>
              <w:ind w:firstLine="420" w:firstLineChars="200"/>
              <w:rPr>
                <w:rFonts w:ascii="Times New Roman" w:hAnsi="Times New Roman"/>
                <w:color w:val="auto"/>
                <w:sz w:val="21"/>
                <w:szCs w:val="21"/>
              </w:rPr>
            </w:pPr>
            <w:r>
              <w:rPr>
                <w:rFonts w:hint="eastAsia" w:ascii="Times New Roman" w:hAnsi="Times New Roman"/>
                <w:color w:val="auto"/>
                <w:sz w:val="21"/>
                <w:szCs w:val="21"/>
              </w:rPr>
              <w:t>二氧化硫、氮氧化物</w:t>
            </w: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烟尘，在采取封闭措施的沥青混凝土生产线中，一同经“布袋除尘器+二级活性炭吸附装置”进行处理后，由15m高排气筒（DA002）排放</w:t>
            </w:r>
            <w:r>
              <w:rPr>
                <w:rFonts w:hint="eastAsia" w:ascii="Times New Roman" w:hAnsi="Times New Roman"/>
                <w:color w:val="auto"/>
                <w:sz w:val="21"/>
                <w:szCs w:val="21"/>
              </w:rPr>
              <w:t>。产排污情况见表4-</w:t>
            </w:r>
            <w:r>
              <w:rPr>
                <w:rFonts w:hint="eastAsia" w:ascii="Times New Roman" w:hAnsi="Times New Roman"/>
                <w:color w:val="auto"/>
                <w:sz w:val="21"/>
                <w:szCs w:val="21"/>
                <w:lang w:val="en-US" w:eastAsia="zh-CN"/>
              </w:rPr>
              <w:t>2</w:t>
            </w:r>
            <w:r>
              <w:rPr>
                <w:rFonts w:hint="eastAsia" w:ascii="Times New Roman" w:hAnsi="Times New Roman"/>
                <w:color w:val="auto"/>
                <w:sz w:val="21"/>
                <w:szCs w:val="21"/>
              </w:rPr>
              <w:t>。</w:t>
            </w:r>
          </w:p>
          <w:p w14:paraId="2C090FC6">
            <w:pPr>
              <w:adjustRightInd w:val="0"/>
              <w:snapToGrid w:val="0"/>
              <w:spacing w:line="360" w:lineRule="auto"/>
              <w:jc w:val="center"/>
              <w:rPr>
                <w:rFonts w:eastAsia="仿宋"/>
                <w:b/>
                <w:bCs/>
                <w:color w:val="auto"/>
                <w:szCs w:val="21"/>
              </w:rPr>
            </w:pPr>
            <w:r>
              <w:rPr>
                <w:rFonts w:hint="eastAsia"/>
                <w:b/>
                <w:bCs/>
                <w:color w:val="auto"/>
                <w:szCs w:val="21"/>
              </w:rPr>
              <w:t>表4-</w:t>
            </w:r>
            <w:r>
              <w:rPr>
                <w:rFonts w:hint="eastAsia"/>
                <w:b/>
                <w:bCs/>
                <w:color w:val="auto"/>
                <w:szCs w:val="21"/>
                <w:lang w:val="en-US" w:eastAsia="zh-CN"/>
              </w:rPr>
              <w:t>2</w:t>
            </w:r>
            <w:r>
              <w:rPr>
                <w:rFonts w:hint="eastAsia"/>
                <w:b/>
                <w:bCs/>
                <w:color w:val="auto"/>
                <w:szCs w:val="21"/>
              </w:rPr>
              <w:t xml:space="preserve">  项目有组织燃烧器烟气产排情况</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1130"/>
              <w:gridCol w:w="931"/>
              <w:gridCol w:w="1316"/>
              <w:gridCol w:w="1203"/>
              <w:gridCol w:w="972"/>
              <w:gridCol w:w="1080"/>
            </w:tblGrid>
            <w:tr w14:paraId="3FDD7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545" w:type="dxa"/>
                  <w:vMerge w:val="restart"/>
                  <w:tcBorders>
                    <w:tl2br w:val="nil"/>
                    <w:tr2bl w:val="nil"/>
                  </w:tcBorders>
                  <w:vAlign w:val="center"/>
                </w:tcPr>
                <w:p w14:paraId="0D2A35B7">
                  <w:pPr>
                    <w:adjustRightInd w:val="0"/>
                    <w:snapToGrid w:val="0"/>
                    <w:spacing w:line="240" w:lineRule="exact"/>
                    <w:jc w:val="center"/>
                    <w:rPr>
                      <w:rFonts w:eastAsia="仿宋"/>
                      <w:b/>
                      <w:bCs/>
                      <w:color w:val="auto"/>
                      <w:szCs w:val="21"/>
                    </w:rPr>
                  </w:pPr>
                  <w:r>
                    <w:rPr>
                      <w:rFonts w:hint="eastAsia"/>
                      <w:b/>
                      <w:bCs/>
                      <w:color w:val="auto"/>
                      <w:szCs w:val="21"/>
                    </w:rPr>
                    <w:t>污染物</w:t>
                  </w:r>
                </w:p>
              </w:tc>
              <w:tc>
                <w:tcPr>
                  <w:tcW w:w="2061" w:type="dxa"/>
                  <w:gridSpan w:val="2"/>
                  <w:tcBorders>
                    <w:tl2br w:val="nil"/>
                    <w:tr2bl w:val="nil"/>
                  </w:tcBorders>
                  <w:vAlign w:val="center"/>
                </w:tcPr>
                <w:p w14:paraId="76F4CEEC">
                  <w:pPr>
                    <w:adjustRightInd w:val="0"/>
                    <w:snapToGrid w:val="0"/>
                    <w:spacing w:line="240" w:lineRule="exact"/>
                    <w:jc w:val="center"/>
                    <w:rPr>
                      <w:rFonts w:eastAsia="仿宋"/>
                      <w:b/>
                      <w:bCs/>
                      <w:color w:val="auto"/>
                      <w:szCs w:val="21"/>
                    </w:rPr>
                  </w:pPr>
                  <w:r>
                    <w:rPr>
                      <w:rFonts w:hint="eastAsia"/>
                      <w:b/>
                      <w:bCs/>
                      <w:color w:val="auto"/>
                      <w:szCs w:val="21"/>
                    </w:rPr>
                    <w:t>产生</w:t>
                  </w:r>
                </w:p>
              </w:tc>
              <w:tc>
                <w:tcPr>
                  <w:tcW w:w="1316" w:type="dxa"/>
                  <w:vMerge w:val="restart"/>
                  <w:tcBorders>
                    <w:tl2br w:val="nil"/>
                    <w:tr2bl w:val="nil"/>
                  </w:tcBorders>
                  <w:vAlign w:val="center"/>
                </w:tcPr>
                <w:p w14:paraId="2158EBC8">
                  <w:pPr>
                    <w:adjustRightInd w:val="0"/>
                    <w:snapToGrid w:val="0"/>
                    <w:spacing w:line="240" w:lineRule="exact"/>
                    <w:jc w:val="center"/>
                    <w:rPr>
                      <w:b/>
                      <w:bCs/>
                      <w:color w:val="auto"/>
                      <w:szCs w:val="21"/>
                    </w:rPr>
                  </w:pPr>
                  <w:r>
                    <w:rPr>
                      <w:rFonts w:hint="eastAsia"/>
                      <w:b/>
                      <w:bCs/>
                      <w:color w:val="auto"/>
                      <w:szCs w:val="21"/>
                    </w:rPr>
                    <w:t>去除效率</w:t>
                  </w:r>
                </w:p>
              </w:tc>
              <w:tc>
                <w:tcPr>
                  <w:tcW w:w="3255" w:type="dxa"/>
                  <w:gridSpan w:val="3"/>
                  <w:tcBorders>
                    <w:tl2br w:val="nil"/>
                    <w:tr2bl w:val="nil"/>
                  </w:tcBorders>
                  <w:vAlign w:val="center"/>
                </w:tcPr>
                <w:p w14:paraId="2B6DA10E">
                  <w:pPr>
                    <w:adjustRightInd w:val="0"/>
                    <w:snapToGrid w:val="0"/>
                    <w:spacing w:line="240" w:lineRule="exact"/>
                    <w:jc w:val="center"/>
                    <w:rPr>
                      <w:rFonts w:eastAsia="仿宋"/>
                      <w:b/>
                      <w:bCs/>
                      <w:color w:val="auto"/>
                      <w:szCs w:val="21"/>
                    </w:rPr>
                  </w:pPr>
                  <w:r>
                    <w:rPr>
                      <w:rFonts w:hint="eastAsia"/>
                      <w:b/>
                      <w:bCs/>
                      <w:color w:val="auto"/>
                      <w:szCs w:val="21"/>
                    </w:rPr>
                    <w:t>排放</w:t>
                  </w:r>
                </w:p>
              </w:tc>
            </w:tr>
            <w:tr w14:paraId="6DE2D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545" w:type="dxa"/>
                  <w:vMerge w:val="continue"/>
                  <w:tcBorders>
                    <w:tl2br w:val="nil"/>
                    <w:tr2bl w:val="nil"/>
                  </w:tcBorders>
                  <w:vAlign w:val="center"/>
                </w:tcPr>
                <w:p w14:paraId="6B586E6F">
                  <w:pPr>
                    <w:adjustRightInd w:val="0"/>
                    <w:snapToGrid w:val="0"/>
                    <w:spacing w:line="240" w:lineRule="exact"/>
                    <w:jc w:val="center"/>
                    <w:rPr>
                      <w:rFonts w:eastAsia="仿宋"/>
                      <w:b/>
                      <w:bCs/>
                      <w:color w:val="auto"/>
                      <w:szCs w:val="21"/>
                    </w:rPr>
                  </w:pPr>
                </w:p>
              </w:tc>
              <w:tc>
                <w:tcPr>
                  <w:tcW w:w="1130" w:type="dxa"/>
                  <w:tcBorders>
                    <w:tl2br w:val="nil"/>
                    <w:tr2bl w:val="nil"/>
                  </w:tcBorders>
                  <w:vAlign w:val="center"/>
                </w:tcPr>
                <w:p w14:paraId="47A4BF42">
                  <w:pPr>
                    <w:adjustRightInd w:val="0"/>
                    <w:snapToGrid w:val="0"/>
                    <w:spacing w:line="240" w:lineRule="exact"/>
                    <w:jc w:val="center"/>
                    <w:rPr>
                      <w:b/>
                      <w:bCs/>
                      <w:color w:val="auto"/>
                      <w:szCs w:val="21"/>
                    </w:rPr>
                  </w:pPr>
                  <w:r>
                    <w:rPr>
                      <w:rFonts w:hint="eastAsia"/>
                      <w:b/>
                      <w:bCs/>
                      <w:color w:val="auto"/>
                      <w:szCs w:val="21"/>
                    </w:rPr>
                    <w:t>浓度</w:t>
                  </w:r>
                </w:p>
                <w:p w14:paraId="5ED00887">
                  <w:pPr>
                    <w:adjustRightInd w:val="0"/>
                    <w:snapToGrid w:val="0"/>
                    <w:spacing w:line="240" w:lineRule="exact"/>
                    <w:jc w:val="center"/>
                    <w:rPr>
                      <w:b/>
                      <w:bCs/>
                      <w:color w:val="auto"/>
                      <w:szCs w:val="21"/>
                    </w:rPr>
                  </w:pPr>
                  <w:r>
                    <w:rPr>
                      <w:rFonts w:hint="eastAsia"/>
                      <w:b/>
                      <w:bCs/>
                      <w:color w:val="auto"/>
                      <w:szCs w:val="21"/>
                    </w:rPr>
                    <w:t>（mg/m</w:t>
                  </w:r>
                  <w:r>
                    <w:rPr>
                      <w:rFonts w:hint="eastAsia"/>
                      <w:b/>
                      <w:bCs/>
                      <w:color w:val="auto"/>
                      <w:szCs w:val="21"/>
                      <w:vertAlign w:val="superscript"/>
                    </w:rPr>
                    <w:t>3</w:t>
                  </w:r>
                  <w:r>
                    <w:rPr>
                      <w:rFonts w:hint="eastAsia"/>
                      <w:b/>
                      <w:bCs/>
                      <w:color w:val="auto"/>
                      <w:szCs w:val="21"/>
                    </w:rPr>
                    <w:t>）</w:t>
                  </w:r>
                </w:p>
              </w:tc>
              <w:tc>
                <w:tcPr>
                  <w:tcW w:w="931" w:type="dxa"/>
                  <w:tcBorders>
                    <w:tl2br w:val="nil"/>
                    <w:tr2bl w:val="nil"/>
                  </w:tcBorders>
                  <w:vAlign w:val="center"/>
                </w:tcPr>
                <w:p w14:paraId="25B11366">
                  <w:pPr>
                    <w:adjustRightInd w:val="0"/>
                    <w:snapToGrid w:val="0"/>
                    <w:spacing w:line="240" w:lineRule="exact"/>
                    <w:jc w:val="center"/>
                    <w:rPr>
                      <w:b/>
                      <w:bCs/>
                      <w:color w:val="auto"/>
                      <w:szCs w:val="21"/>
                    </w:rPr>
                  </w:pPr>
                  <w:r>
                    <w:rPr>
                      <w:rFonts w:hint="eastAsia"/>
                      <w:b/>
                      <w:bCs/>
                      <w:color w:val="auto"/>
                      <w:szCs w:val="21"/>
                    </w:rPr>
                    <w:t>产生量</w:t>
                  </w:r>
                </w:p>
                <w:p w14:paraId="0B51FAD4">
                  <w:pPr>
                    <w:adjustRightInd w:val="0"/>
                    <w:snapToGrid w:val="0"/>
                    <w:spacing w:line="240" w:lineRule="exact"/>
                    <w:jc w:val="center"/>
                    <w:rPr>
                      <w:rFonts w:eastAsia="仿宋"/>
                      <w:b/>
                      <w:bCs/>
                      <w:color w:val="auto"/>
                      <w:szCs w:val="21"/>
                    </w:rPr>
                  </w:pPr>
                  <w:r>
                    <w:rPr>
                      <w:rFonts w:hint="eastAsia"/>
                      <w:b/>
                      <w:bCs/>
                      <w:color w:val="auto"/>
                      <w:szCs w:val="21"/>
                    </w:rPr>
                    <w:t>（t/a）</w:t>
                  </w:r>
                </w:p>
              </w:tc>
              <w:tc>
                <w:tcPr>
                  <w:tcW w:w="1316" w:type="dxa"/>
                  <w:vMerge w:val="continue"/>
                  <w:tcBorders>
                    <w:tl2br w:val="nil"/>
                    <w:tr2bl w:val="nil"/>
                  </w:tcBorders>
                  <w:vAlign w:val="center"/>
                </w:tcPr>
                <w:p w14:paraId="34F9156E">
                  <w:pPr>
                    <w:adjustRightInd w:val="0"/>
                    <w:snapToGrid w:val="0"/>
                    <w:spacing w:line="240" w:lineRule="exact"/>
                    <w:jc w:val="center"/>
                    <w:rPr>
                      <w:rFonts w:eastAsia="仿宋"/>
                      <w:b/>
                      <w:bCs/>
                      <w:color w:val="auto"/>
                      <w:szCs w:val="21"/>
                    </w:rPr>
                  </w:pPr>
                </w:p>
              </w:tc>
              <w:tc>
                <w:tcPr>
                  <w:tcW w:w="1203" w:type="dxa"/>
                  <w:tcBorders>
                    <w:tl2br w:val="nil"/>
                    <w:tr2bl w:val="nil"/>
                  </w:tcBorders>
                  <w:vAlign w:val="center"/>
                </w:tcPr>
                <w:p w14:paraId="2C530010">
                  <w:pPr>
                    <w:adjustRightInd w:val="0"/>
                    <w:snapToGrid w:val="0"/>
                    <w:spacing w:line="240" w:lineRule="exact"/>
                    <w:jc w:val="center"/>
                    <w:rPr>
                      <w:b/>
                      <w:bCs/>
                      <w:color w:val="auto"/>
                      <w:szCs w:val="21"/>
                    </w:rPr>
                  </w:pPr>
                  <w:r>
                    <w:rPr>
                      <w:rFonts w:hint="eastAsia"/>
                      <w:b/>
                      <w:bCs/>
                      <w:color w:val="auto"/>
                      <w:szCs w:val="21"/>
                    </w:rPr>
                    <w:t>浓度</w:t>
                  </w:r>
                </w:p>
                <w:p w14:paraId="56F5B9FC">
                  <w:pPr>
                    <w:adjustRightInd w:val="0"/>
                    <w:snapToGrid w:val="0"/>
                    <w:spacing w:line="240" w:lineRule="exact"/>
                    <w:jc w:val="center"/>
                    <w:rPr>
                      <w:rFonts w:eastAsia="仿宋"/>
                      <w:b/>
                      <w:bCs/>
                      <w:color w:val="auto"/>
                      <w:szCs w:val="21"/>
                    </w:rPr>
                  </w:pPr>
                  <w:r>
                    <w:rPr>
                      <w:rFonts w:hint="eastAsia"/>
                      <w:b/>
                      <w:bCs/>
                      <w:color w:val="auto"/>
                      <w:szCs w:val="21"/>
                    </w:rPr>
                    <w:t>（mg/m</w:t>
                  </w:r>
                  <w:r>
                    <w:rPr>
                      <w:rFonts w:hint="eastAsia"/>
                      <w:b/>
                      <w:bCs/>
                      <w:color w:val="auto"/>
                      <w:szCs w:val="21"/>
                      <w:vertAlign w:val="superscript"/>
                    </w:rPr>
                    <w:t>3</w:t>
                  </w:r>
                  <w:r>
                    <w:rPr>
                      <w:rFonts w:hint="eastAsia"/>
                      <w:b/>
                      <w:bCs/>
                      <w:color w:val="auto"/>
                      <w:szCs w:val="21"/>
                    </w:rPr>
                    <w:t>）</w:t>
                  </w:r>
                </w:p>
              </w:tc>
              <w:tc>
                <w:tcPr>
                  <w:tcW w:w="972" w:type="dxa"/>
                  <w:tcBorders>
                    <w:tl2br w:val="nil"/>
                    <w:tr2bl w:val="nil"/>
                  </w:tcBorders>
                  <w:vAlign w:val="center"/>
                </w:tcPr>
                <w:p w14:paraId="53211980">
                  <w:pPr>
                    <w:adjustRightInd w:val="0"/>
                    <w:snapToGrid w:val="0"/>
                    <w:spacing w:line="240" w:lineRule="exact"/>
                    <w:jc w:val="center"/>
                    <w:rPr>
                      <w:rFonts w:eastAsia="仿宋"/>
                      <w:b/>
                      <w:bCs/>
                      <w:color w:val="auto"/>
                      <w:szCs w:val="21"/>
                    </w:rPr>
                  </w:pPr>
                  <w:r>
                    <w:rPr>
                      <w:rFonts w:hint="eastAsia"/>
                      <w:b/>
                      <w:bCs/>
                      <w:color w:val="auto"/>
                      <w:szCs w:val="21"/>
                    </w:rPr>
                    <w:t>排放量（t/a）</w:t>
                  </w:r>
                </w:p>
              </w:tc>
              <w:tc>
                <w:tcPr>
                  <w:tcW w:w="1080" w:type="dxa"/>
                  <w:tcBorders>
                    <w:tl2br w:val="nil"/>
                    <w:tr2bl w:val="nil"/>
                  </w:tcBorders>
                  <w:vAlign w:val="center"/>
                </w:tcPr>
                <w:p w14:paraId="67E0EA81">
                  <w:pPr>
                    <w:adjustRightInd w:val="0"/>
                    <w:snapToGrid w:val="0"/>
                    <w:spacing w:line="240" w:lineRule="exact"/>
                    <w:jc w:val="center"/>
                    <w:rPr>
                      <w:rFonts w:eastAsia="仿宋"/>
                      <w:b/>
                      <w:bCs/>
                      <w:color w:val="auto"/>
                      <w:szCs w:val="21"/>
                    </w:rPr>
                  </w:pPr>
                  <w:r>
                    <w:rPr>
                      <w:rFonts w:hint="eastAsia"/>
                      <w:b/>
                      <w:bCs/>
                      <w:color w:val="auto"/>
                      <w:szCs w:val="21"/>
                    </w:rPr>
                    <w:t>速率（kg/h）</w:t>
                  </w:r>
                </w:p>
              </w:tc>
            </w:tr>
            <w:tr w14:paraId="0767E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545" w:type="dxa"/>
                  <w:tcBorders>
                    <w:tl2br w:val="nil"/>
                    <w:tr2bl w:val="nil"/>
                  </w:tcBorders>
                  <w:vAlign w:val="center"/>
                </w:tcPr>
                <w:p w14:paraId="25FE7740">
                  <w:pPr>
                    <w:adjustRightInd w:val="0"/>
                    <w:snapToGrid w:val="0"/>
                    <w:spacing w:line="240" w:lineRule="exact"/>
                    <w:jc w:val="center"/>
                    <w:rPr>
                      <w:rFonts w:eastAsia="仿宋"/>
                      <w:color w:val="auto"/>
                      <w:szCs w:val="21"/>
                    </w:rPr>
                  </w:pPr>
                  <w:r>
                    <w:rPr>
                      <w:rFonts w:hint="eastAsia"/>
                      <w:color w:val="auto"/>
                      <w:szCs w:val="21"/>
                    </w:rPr>
                    <w:t>二氧化硫</w:t>
                  </w:r>
                </w:p>
              </w:tc>
              <w:tc>
                <w:tcPr>
                  <w:tcW w:w="1130" w:type="dxa"/>
                  <w:tcBorders>
                    <w:tl2br w:val="nil"/>
                    <w:tr2bl w:val="nil"/>
                  </w:tcBorders>
                  <w:vAlign w:val="center"/>
                </w:tcPr>
                <w:p w14:paraId="7C39204E">
                  <w:pPr>
                    <w:adjustRightInd w:val="0"/>
                    <w:snapToGrid w:val="0"/>
                    <w:spacing w:line="240" w:lineRule="exact"/>
                    <w:jc w:val="center"/>
                    <w:rPr>
                      <w:rFonts w:eastAsia="仿宋"/>
                      <w:color w:val="auto"/>
                      <w:szCs w:val="21"/>
                    </w:rPr>
                  </w:pPr>
                  <w:r>
                    <w:rPr>
                      <w:rFonts w:hint="eastAsia"/>
                      <w:color w:val="auto"/>
                      <w:szCs w:val="21"/>
                    </w:rPr>
                    <w:t>3.59</w:t>
                  </w:r>
                </w:p>
              </w:tc>
              <w:tc>
                <w:tcPr>
                  <w:tcW w:w="931" w:type="dxa"/>
                  <w:tcBorders>
                    <w:tl2br w:val="nil"/>
                    <w:tr2bl w:val="nil"/>
                  </w:tcBorders>
                  <w:vAlign w:val="center"/>
                </w:tcPr>
                <w:p w14:paraId="632411CD">
                  <w:pPr>
                    <w:jc w:val="center"/>
                    <w:rPr>
                      <w:rFonts w:eastAsia="仿宋"/>
                      <w:color w:val="auto"/>
                      <w:szCs w:val="21"/>
                    </w:rPr>
                  </w:pPr>
                  <w:r>
                    <w:rPr>
                      <w:rFonts w:hint="eastAsia"/>
                      <w:color w:val="auto"/>
                      <w:szCs w:val="21"/>
                    </w:rPr>
                    <w:t>0.065</w:t>
                  </w:r>
                </w:p>
              </w:tc>
              <w:tc>
                <w:tcPr>
                  <w:tcW w:w="1316" w:type="dxa"/>
                  <w:tcBorders>
                    <w:tl2br w:val="nil"/>
                    <w:tr2bl w:val="nil"/>
                  </w:tcBorders>
                  <w:vAlign w:val="center"/>
                </w:tcPr>
                <w:p w14:paraId="75338D58">
                  <w:pPr>
                    <w:adjustRightInd w:val="0"/>
                    <w:snapToGrid w:val="0"/>
                    <w:spacing w:line="240" w:lineRule="exact"/>
                    <w:jc w:val="center"/>
                    <w:rPr>
                      <w:rFonts w:eastAsia="仿宋"/>
                      <w:color w:val="auto"/>
                      <w:szCs w:val="21"/>
                    </w:rPr>
                  </w:pPr>
                  <w:r>
                    <w:rPr>
                      <w:rFonts w:hint="eastAsia"/>
                      <w:color w:val="auto"/>
                      <w:szCs w:val="21"/>
                    </w:rPr>
                    <w:t>/</w:t>
                  </w:r>
                </w:p>
              </w:tc>
              <w:tc>
                <w:tcPr>
                  <w:tcW w:w="1203" w:type="dxa"/>
                  <w:tcBorders>
                    <w:tl2br w:val="nil"/>
                    <w:tr2bl w:val="nil"/>
                  </w:tcBorders>
                  <w:vAlign w:val="center"/>
                </w:tcPr>
                <w:p w14:paraId="48D36744">
                  <w:pPr>
                    <w:adjustRightInd w:val="0"/>
                    <w:snapToGrid w:val="0"/>
                    <w:spacing w:line="240" w:lineRule="exact"/>
                    <w:jc w:val="center"/>
                    <w:rPr>
                      <w:rFonts w:eastAsia="仿宋"/>
                      <w:color w:val="auto"/>
                      <w:szCs w:val="21"/>
                    </w:rPr>
                  </w:pPr>
                  <w:r>
                    <w:rPr>
                      <w:rFonts w:hint="eastAsia"/>
                      <w:color w:val="auto"/>
                      <w:szCs w:val="21"/>
                    </w:rPr>
                    <w:t>3.59</w:t>
                  </w:r>
                </w:p>
              </w:tc>
              <w:tc>
                <w:tcPr>
                  <w:tcW w:w="972" w:type="dxa"/>
                  <w:tcBorders>
                    <w:tl2br w:val="nil"/>
                    <w:tr2bl w:val="nil"/>
                  </w:tcBorders>
                  <w:vAlign w:val="center"/>
                </w:tcPr>
                <w:p w14:paraId="5B49F83E">
                  <w:pPr>
                    <w:jc w:val="center"/>
                    <w:rPr>
                      <w:rFonts w:eastAsia="仿宋"/>
                      <w:color w:val="auto"/>
                      <w:szCs w:val="21"/>
                    </w:rPr>
                  </w:pPr>
                  <w:r>
                    <w:rPr>
                      <w:rFonts w:hint="eastAsia"/>
                      <w:color w:val="auto"/>
                      <w:szCs w:val="21"/>
                    </w:rPr>
                    <w:t>0.065</w:t>
                  </w:r>
                </w:p>
              </w:tc>
              <w:tc>
                <w:tcPr>
                  <w:tcW w:w="1080" w:type="dxa"/>
                  <w:tcBorders>
                    <w:tl2br w:val="nil"/>
                    <w:tr2bl w:val="nil"/>
                  </w:tcBorders>
                  <w:vAlign w:val="center"/>
                </w:tcPr>
                <w:p w14:paraId="155B1817">
                  <w:pPr>
                    <w:adjustRightInd w:val="0"/>
                    <w:snapToGrid w:val="0"/>
                    <w:spacing w:line="240" w:lineRule="exact"/>
                    <w:jc w:val="center"/>
                    <w:rPr>
                      <w:rFonts w:eastAsia="仿宋"/>
                      <w:color w:val="auto"/>
                      <w:szCs w:val="21"/>
                    </w:rPr>
                  </w:pPr>
                  <w:r>
                    <w:rPr>
                      <w:rFonts w:hint="eastAsia"/>
                      <w:color w:val="auto"/>
                      <w:szCs w:val="21"/>
                    </w:rPr>
                    <w:t>0.015</w:t>
                  </w:r>
                </w:p>
              </w:tc>
            </w:tr>
            <w:tr w14:paraId="4C8A7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1545" w:type="dxa"/>
                  <w:tcBorders>
                    <w:tl2br w:val="nil"/>
                    <w:tr2bl w:val="nil"/>
                  </w:tcBorders>
                  <w:vAlign w:val="center"/>
                </w:tcPr>
                <w:p w14:paraId="6C9A30ED">
                  <w:pPr>
                    <w:adjustRightInd w:val="0"/>
                    <w:snapToGrid w:val="0"/>
                    <w:spacing w:line="240" w:lineRule="exact"/>
                    <w:jc w:val="center"/>
                    <w:rPr>
                      <w:rFonts w:eastAsia="仿宋"/>
                      <w:color w:val="auto"/>
                      <w:szCs w:val="21"/>
                    </w:rPr>
                  </w:pPr>
                  <w:r>
                    <w:rPr>
                      <w:rFonts w:hint="eastAsia"/>
                      <w:color w:val="auto"/>
                      <w:szCs w:val="21"/>
                    </w:rPr>
                    <w:t>氮氧化物</w:t>
                  </w:r>
                </w:p>
              </w:tc>
              <w:tc>
                <w:tcPr>
                  <w:tcW w:w="1130" w:type="dxa"/>
                  <w:tcBorders>
                    <w:tl2br w:val="nil"/>
                    <w:tr2bl w:val="nil"/>
                  </w:tcBorders>
                  <w:vAlign w:val="center"/>
                </w:tcPr>
                <w:p w14:paraId="2ED4FBC9">
                  <w:pPr>
                    <w:adjustRightInd w:val="0"/>
                    <w:snapToGrid w:val="0"/>
                    <w:spacing w:line="240" w:lineRule="exact"/>
                    <w:jc w:val="center"/>
                    <w:rPr>
                      <w:rFonts w:eastAsia="仿宋"/>
                      <w:color w:val="auto"/>
                      <w:szCs w:val="21"/>
                    </w:rPr>
                  </w:pPr>
                  <w:r>
                    <w:rPr>
                      <w:rFonts w:hint="eastAsia"/>
                      <w:color w:val="auto"/>
                      <w:szCs w:val="21"/>
                    </w:rPr>
                    <w:t>2.71</w:t>
                  </w:r>
                </w:p>
              </w:tc>
              <w:tc>
                <w:tcPr>
                  <w:tcW w:w="931" w:type="dxa"/>
                  <w:tcBorders>
                    <w:tl2br w:val="nil"/>
                    <w:tr2bl w:val="nil"/>
                  </w:tcBorders>
                  <w:vAlign w:val="center"/>
                </w:tcPr>
                <w:p w14:paraId="2E1C4611">
                  <w:pPr>
                    <w:jc w:val="center"/>
                    <w:rPr>
                      <w:rFonts w:eastAsia="仿宋"/>
                      <w:color w:val="auto"/>
                      <w:szCs w:val="21"/>
                    </w:rPr>
                  </w:pPr>
                  <w:r>
                    <w:rPr>
                      <w:rFonts w:hint="eastAsia"/>
                      <w:color w:val="auto"/>
                      <w:szCs w:val="21"/>
                    </w:rPr>
                    <w:t>0.049</w:t>
                  </w:r>
                </w:p>
              </w:tc>
              <w:tc>
                <w:tcPr>
                  <w:tcW w:w="1316" w:type="dxa"/>
                  <w:tcBorders>
                    <w:tl2br w:val="nil"/>
                    <w:tr2bl w:val="nil"/>
                  </w:tcBorders>
                  <w:vAlign w:val="center"/>
                </w:tcPr>
                <w:p w14:paraId="15DECA96">
                  <w:pPr>
                    <w:adjustRightInd w:val="0"/>
                    <w:snapToGrid w:val="0"/>
                    <w:spacing w:line="240" w:lineRule="exact"/>
                    <w:jc w:val="center"/>
                    <w:rPr>
                      <w:rFonts w:eastAsia="仿宋"/>
                      <w:color w:val="auto"/>
                      <w:szCs w:val="21"/>
                    </w:rPr>
                  </w:pPr>
                  <w:r>
                    <w:rPr>
                      <w:rFonts w:hint="eastAsia"/>
                      <w:color w:val="auto"/>
                      <w:szCs w:val="21"/>
                    </w:rPr>
                    <w:t>/</w:t>
                  </w:r>
                </w:p>
              </w:tc>
              <w:tc>
                <w:tcPr>
                  <w:tcW w:w="1203" w:type="dxa"/>
                  <w:tcBorders>
                    <w:tl2br w:val="nil"/>
                    <w:tr2bl w:val="nil"/>
                  </w:tcBorders>
                  <w:vAlign w:val="center"/>
                </w:tcPr>
                <w:p w14:paraId="226ACF36">
                  <w:pPr>
                    <w:adjustRightInd w:val="0"/>
                    <w:snapToGrid w:val="0"/>
                    <w:spacing w:line="240" w:lineRule="exact"/>
                    <w:jc w:val="center"/>
                    <w:rPr>
                      <w:rFonts w:eastAsia="仿宋"/>
                      <w:color w:val="auto"/>
                      <w:szCs w:val="21"/>
                    </w:rPr>
                  </w:pPr>
                  <w:r>
                    <w:rPr>
                      <w:rFonts w:hint="eastAsia"/>
                      <w:color w:val="auto"/>
                      <w:szCs w:val="21"/>
                    </w:rPr>
                    <w:t>2.71</w:t>
                  </w:r>
                </w:p>
              </w:tc>
              <w:tc>
                <w:tcPr>
                  <w:tcW w:w="972" w:type="dxa"/>
                  <w:tcBorders>
                    <w:tl2br w:val="nil"/>
                    <w:tr2bl w:val="nil"/>
                  </w:tcBorders>
                  <w:vAlign w:val="center"/>
                </w:tcPr>
                <w:p w14:paraId="6B271488">
                  <w:pPr>
                    <w:jc w:val="center"/>
                    <w:rPr>
                      <w:rFonts w:eastAsia="仿宋"/>
                      <w:color w:val="auto"/>
                      <w:szCs w:val="21"/>
                    </w:rPr>
                  </w:pPr>
                  <w:r>
                    <w:rPr>
                      <w:rFonts w:hint="eastAsia"/>
                      <w:color w:val="auto"/>
                      <w:szCs w:val="21"/>
                    </w:rPr>
                    <w:t>0.049</w:t>
                  </w:r>
                </w:p>
              </w:tc>
              <w:tc>
                <w:tcPr>
                  <w:tcW w:w="1080" w:type="dxa"/>
                  <w:tcBorders>
                    <w:tl2br w:val="nil"/>
                    <w:tr2bl w:val="nil"/>
                  </w:tcBorders>
                  <w:vAlign w:val="center"/>
                </w:tcPr>
                <w:p w14:paraId="0B415347">
                  <w:pPr>
                    <w:adjustRightInd w:val="0"/>
                    <w:snapToGrid w:val="0"/>
                    <w:spacing w:line="240" w:lineRule="exact"/>
                    <w:jc w:val="center"/>
                    <w:rPr>
                      <w:rFonts w:eastAsia="仿宋"/>
                      <w:color w:val="auto"/>
                      <w:szCs w:val="21"/>
                    </w:rPr>
                  </w:pPr>
                  <w:r>
                    <w:rPr>
                      <w:rFonts w:hint="eastAsia"/>
                      <w:color w:val="auto"/>
                      <w:szCs w:val="21"/>
                    </w:rPr>
                    <w:t>0.011</w:t>
                  </w:r>
                </w:p>
              </w:tc>
            </w:tr>
            <w:tr w14:paraId="3A0E3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1545" w:type="dxa"/>
                  <w:tcBorders>
                    <w:tl2br w:val="nil"/>
                    <w:tr2bl w:val="nil"/>
                  </w:tcBorders>
                  <w:vAlign w:val="center"/>
                </w:tcPr>
                <w:p w14:paraId="600D1353">
                  <w:pPr>
                    <w:adjustRightInd w:val="0"/>
                    <w:snapToGrid w:val="0"/>
                    <w:spacing w:line="240" w:lineRule="exact"/>
                    <w:jc w:val="center"/>
                    <w:rPr>
                      <w:rFonts w:hint="default" w:eastAsia="宋体"/>
                      <w:color w:val="auto"/>
                      <w:szCs w:val="21"/>
                      <w:lang w:val="en-US" w:eastAsia="zh-CN"/>
                    </w:rPr>
                  </w:pPr>
                  <w:r>
                    <w:rPr>
                      <w:rFonts w:hint="eastAsia"/>
                      <w:color w:val="auto"/>
                      <w:szCs w:val="21"/>
                      <w:lang w:val="en-US" w:eastAsia="zh-CN"/>
                    </w:rPr>
                    <w:t>颗粒物（烟尘）</w:t>
                  </w:r>
                </w:p>
              </w:tc>
              <w:tc>
                <w:tcPr>
                  <w:tcW w:w="1130" w:type="dxa"/>
                  <w:tcBorders>
                    <w:tl2br w:val="nil"/>
                    <w:tr2bl w:val="nil"/>
                  </w:tcBorders>
                  <w:vAlign w:val="center"/>
                </w:tcPr>
                <w:p w14:paraId="06B81A73">
                  <w:pPr>
                    <w:adjustRightInd w:val="0"/>
                    <w:snapToGrid w:val="0"/>
                    <w:spacing w:line="240" w:lineRule="exact"/>
                    <w:jc w:val="center"/>
                    <w:rPr>
                      <w:rFonts w:hint="eastAsia"/>
                      <w:color w:val="auto"/>
                      <w:szCs w:val="21"/>
                    </w:rPr>
                  </w:pPr>
                  <w:r>
                    <w:rPr>
                      <w:rFonts w:hint="eastAsia" w:ascii="Times New Roman" w:hAnsi="Times New Roman"/>
                      <w:color w:val="auto"/>
                      <w:sz w:val="21"/>
                      <w:szCs w:val="21"/>
                    </w:rPr>
                    <w:t>2.</w:t>
                  </w:r>
                  <w:r>
                    <w:rPr>
                      <w:rFonts w:hint="eastAsia" w:ascii="Times New Roman" w:hAnsi="Times New Roman"/>
                      <w:color w:val="auto"/>
                      <w:sz w:val="21"/>
                      <w:szCs w:val="21"/>
                      <w:lang w:val="en-US" w:eastAsia="zh-CN"/>
                    </w:rPr>
                    <w:t>54</w:t>
                  </w:r>
                </w:p>
              </w:tc>
              <w:tc>
                <w:tcPr>
                  <w:tcW w:w="931" w:type="dxa"/>
                  <w:tcBorders>
                    <w:tl2br w:val="nil"/>
                    <w:tr2bl w:val="nil"/>
                  </w:tcBorders>
                  <w:vAlign w:val="center"/>
                </w:tcPr>
                <w:p w14:paraId="7DFFD8CE">
                  <w:pPr>
                    <w:jc w:val="center"/>
                    <w:rPr>
                      <w:rFonts w:hint="eastAsia"/>
                      <w:color w:val="auto"/>
                      <w:szCs w:val="21"/>
                    </w:rPr>
                  </w:pPr>
                  <w:r>
                    <w:rPr>
                      <w:rFonts w:hint="eastAsia" w:ascii="Times New Roman" w:hAnsi="Times New Roman"/>
                      <w:color w:val="auto"/>
                      <w:sz w:val="21"/>
                      <w:szCs w:val="21"/>
                    </w:rPr>
                    <w:t>0.04</w:t>
                  </w:r>
                  <w:r>
                    <w:rPr>
                      <w:rFonts w:hint="eastAsia" w:ascii="Times New Roman" w:hAnsi="Times New Roman"/>
                      <w:color w:val="auto"/>
                      <w:sz w:val="21"/>
                      <w:szCs w:val="21"/>
                      <w:lang w:val="en-US" w:eastAsia="zh-CN"/>
                    </w:rPr>
                    <w:t>6</w:t>
                  </w:r>
                </w:p>
              </w:tc>
              <w:tc>
                <w:tcPr>
                  <w:tcW w:w="1316" w:type="dxa"/>
                  <w:tcBorders>
                    <w:tl2br w:val="nil"/>
                    <w:tr2bl w:val="nil"/>
                  </w:tcBorders>
                  <w:vAlign w:val="center"/>
                </w:tcPr>
                <w:p w14:paraId="6896BA97">
                  <w:pPr>
                    <w:adjustRightInd w:val="0"/>
                    <w:snapToGrid w:val="0"/>
                    <w:spacing w:line="240" w:lineRule="exact"/>
                    <w:jc w:val="center"/>
                    <w:rPr>
                      <w:rFonts w:hint="default" w:eastAsia="宋体"/>
                      <w:color w:val="auto"/>
                      <w:szCs w:val="21"/>
                      <w:lang w:val="en-US" w:eastAsia="zh-CN"/>
                    </w:rPr>
                  </w:pPr>
                  <w:r>
                    <w:rPr>
                      <w:rFonts w:hint="eastAsia"/>
                      <w:color w:val="auto"/>
                      <w:szCs w:val="21"/>
                      <w:lang w:val="en-US" w:eastAsia="zh-CN"/>
                    </w:rPr>
                    <w:t>99.7%</w:t>
                  </w:r>
                </w:p>
              </w:tc>
              <w:tc>
                <w:tcPr>
                  <w:tcW w:w="1203" w:type="dxa"/>
                  <w:vMerge w:val="restart"/>
                  <w:tcBorders>
                    <w:tl2br w:val="nil"/>
                    <w:tr2bl w:val="nil"/>
                  </w:tcBorders>
                  <w:vAlign w:val="center"/>
                </w:tcPr>
                <w:p w14:paraId="21A30765">
                  <w:pPr>
                    <w:adjustRightInd w:val="0"/>
                    <w:snapToGrid w:val="0"/>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eastAsia="Times New Roman"/>
                      <w:color w:val="auto"/>
                      <w:kern w:val="0"/>
                    </w:rPr>
                    <w:t>15.8</w:t>
                  </w:r>
                </w:p>
              </w:tc>
              <w:tc>
                <w:tcPr>
                  <w:tcW w:w="972" w:type="dxa"/>
                  <w:vMerge w:val="restart"/>
                  <w:tcBorders>
                    <w:tl2br w:val="nil"/>
                    <w:tr2bl w:val="nil"/>
                  </w:tcBorders>
                  <w:vAlign w:val="center"/>
                </w:tcPr>
                <w:p w14:paraId="132294C4">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0.047</w:t>
                  </w:r>
                </w:p>
              </w:tc>
              <w:tc>
                <w:tcPr>
                  <w:tcW w:w="1080" w:type="dxa"/>
                  <w:vMerge w:val="restart"/>
                  <w:tcBorders>
                    <w:tl2br w:val="nil"/>
                    <w:tr2bl w:val="nil"/>
                  </w:tcBorders>
                  <w:vAlign w:val="center"/>
                </w:tcPr>
                <w:p w14:paraId="6A48CF4B">
                  <w:pPr>
                    <w:adjustRightInd w:val="0"/>
                    <w:snapToGrid w:val="0"/>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eastAsia="Times New Roman"/>
                      <w:color w:val="auto"/>
                      <w:kern w:val="0"/>
                    </w:rPr>
                    <w:t>0.011</w:t>
                  </w:r>
                </w:p>
              </w:tc>
            </w:tr>
            <w:tr w14:paraId="1A3BD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45" w:type="dxa"/>
                  <w:tcBorders>
                    <w:tl2br w:val="nil"/>
                    <w:tr2bl w:val="nil"/>
                  </w:tcBorders>
                  <w:vAlign w:val="center"/>
                </w:tcPr>
                <w:p w14:paraId="1DEBDDB8">
                  <w:pPr>
                    <w:adjustRightInd w:val="0"/>
                    <w:snapToGrid w:val="0"/>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颗粒物（粉尘）</w:t>
                  </w:r>
                </w:p>
              </w:tc>
              <w:tc>
                <w:tcPr>
                  <w:tcW w:w="1130" w:type="dxa"/>
                  <w:tcBorders>
                    <w:tl2br w:val="nil"/>
                    <w:tr2bl w:val="nil"/>
                  </w:tcBorders>
                  <w:vAlign w:val="center"/>
                </w:tcPr>
                <w:p w14:paraId="2D1C07B6">
                  <w:pPr>
                    <w:adjustRightInd w:val="0"/>
                    <w:snapToGrid w:val="0"/>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eastAsia="Times New Roman"/>
                      <w:color w:val="auto"/>
                      <w:kern w:val="0"/>
                    </w:rPr>
                    <w:t>5200</w:t>
                  </w:r>
                </w:p>
              </w:tc>
              <w:tc>
                <w:tcPr>
                  <w:tcW w:w="931" w:type="dxa"/>
                  <w:tcBorders>
                    <w:tl2br w:val="nil"/>
                    <w:tr2bl w:val="nil"/>
                  </w:tcBorders>
                  <w:vAlign w:val="center"/>
                </w:tcPr>
                <w:p w14:paraId="666D94AF">
                  <w:pPr>
                    <w:jc w:val="center"/>
                    <w:rPr>
                      <w:rFonts w:hint="eastAsia" w:ascii="Times New Roman" w:hAnsi="Times New Roman" w:eastAsia="宋体" w:cs="Times New Roman"/>
                      <w:color w:val="auto"/>
                      <w:kern w:val="2"/>
                      <w:sz w:val="21"/>
                      <w:szCs w:val="21"/>
                      <w:lang w:val="en-US" w:eastAsia="zh-CN" w:bidi="ar-SA"/>
                    </w:rPr>
                  </w:pPr>
                  <w:r>
                    <w:rPr>
                      <w:rFonts w:hint="eastAsia" w:eastAsia="Times New Roman"/>
                      <w:color w:val="auto"/>
                      <w:kern w:val="0"/>
                    </w:rPr>
                    <w:t>15.6</w:t>
                  </w:r>
                </w:p>
              </w:tc>
              <w:tc>
                <w:tcPr>
                  <w:tcW w:w="1316" w:type="dxa"/>
                  <w:tcBorders>
                    <w:tl2br w:val="nil"/>
                    <w:tr2bl w:val="nil"/>
                  </w:tcBorders>
                  <w:vAlign w:val="center"/>
                </w:tcPr>
                <w:p w14:paraId="1409DF76">
                  <w:pPr>
                    <w:adjustRightInd w:val="0"/>
                    <w:snapToGrid w:val="0"/>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99.7%</w:t>
                  </w:r>
                </w:p>
              </w:tc>
              <w:tc>
                <w:tcPr>
                  <w:tcW w:w="1203" w:type="dxa"/>
                  <w:vMerge w:val="continue"/>
                  <w:tcBorders>
                    <w:tl2br w:val="nil"/>
                    <w:tr2bl w:val="nil"/>
                  </w:tcBorders>
                  <w:vAlign w:val="center"/>
                </w:tcPr>
                <w:p w14:paraId="6AFD0B87">
                  <w:pPr>
                    <w:adjustRightInd w:val="0"/>
                    <w:snapToGrid w:val="0"/>
                    <w:spacing w:line="240" w:lineRule="exact"/>
                    <w:jc w:val="center"/>
                    <w:rPr>
                      <w:rFonts w:hint="eastAsia" w:ascii="Times New Roman" w:hAnsi="Times New Roman" w:eastAsia="宋体" w:cs="Times New Roman"/>
                      <w:color w:val="auto"/>
                      <w:kern w:val="2"/>
                      <w:sz w:val="21"/>
                      <w:szCs w:val="21"/>
                      <w:lang w:val="en-US" w:eastAsia="zh-CN" w:bidi="ar-SA"/>
                    </w:rPr>
                  </w:pPr>
                </w:p>
              </w:tc>
              <w:tc>
                <w:tcPr>
                  <w:tcW w:w="972" w:type="dxa"/>
                  <w:vMerge w:val="continue"/>
                  <w:tcBorders>
                    <w:tl2br w:val="nil"/>
                    <w:tr2bl w:val="nil"/>
                  </w:tcBorders>
                  <w:vAlign w:val="center"/>
                </w:tcPr>
                <w:p w14:paraId="3B1F2205">
                  <w:pPr>
                    <w:jc w:val="center"/>
                    <w:rPr>
                      <w:rFonts w:hint="eastAsia" w:ascii="Times New Roman" w:hAnsi="Times New Roman" w:eastAsia="宋体" w:cs="Times New Roman"/>
                      <w:color w:val="auto"/>
                      <w:kern w:val="2"/>
                      <w:sz w:val="21"/>
                      <w:szCs w:val="21"/>
                      <w:lang w:val="en-US" w:eastAsia="zh-CN" w:bidi="ar-SA"/>
                    </w:rPr>
                  </w:pPr>
                </w:p>
              </w:tc>
              <w:tc>
                <w:tcPr>
                  <w:tcW w:w="1080" w:type="dxa"/>
                  <w:vMerge w:val="continue"/>
                  <w:tcBorders>
                    <w:tl2br w:val="nil"/>
                    <w:tr2bl w:val="nil"/>
                  </w:tcBorders>
                  <w:vAlign w:val="center"/>
                </w:tcPr>
                <w:p w14:paraId="43549077">
                  <w:pPr>
                    <w:adjustRightInd w:val="0"/>
                    <w:snapToGrid w:val="0"/>
                    <w:spacing w:line="240" w:lineRule="exact"/>
                    <w:jc w:val="center"/>
                    <w:rPr>
                      <w:rFonts w:hint="eastAsia" w:ascii="Times New Roman" w:hAnsi="Times New Roman" w:eastAsia="宋体" w:cs="Times New Roman"/>
                      <w:color w:val="auto"/>
                      <w:kern w:val="2"/>
                      <w:sz w:val="21"/>
                      <w:szCs w:val="21"/>
                      <w:lang w:val="en-US" w:eastAsia="zh-CN" w:bidi="ar-SA"/>
                    </w:rPr>
                  </w:pPr>
                </w:p>
              </w:tc>
            </w:tr>
          </w:tbl>
          <w:p w14:paraId="19F9AC13">
            <w:pPr>
              <w:spacing w:line="360" w:lineRule="auto"/>
              <w:ind w:firstLine="420" w:firstLineChars="200"/>
              <w:rPr>
                <w:color w:val="auto"/>
                <w:szCs w:val="20"/>
              </w:rPr>
            </w:pPr>
            <w:r>
              <w:rPr>
                <w:rFonts w:hint="eastAsia"/>
                <w:color w:val="auto"/>
                <w:szCs w:val="20"/>
                <w:lang w:val="en-US" w:eastAsia="zh-CN"/>
              </w:rPr>
              <w:t>c</w:t>
            </w:r>
            <w:r>
              <w:rPr>
                <w:rFonts w:hint="eastAsia"/>
                <w:color w:val="auto"/>
                <w:szCs w:val="20"/>
              </w:rPr>
              <w:t>.</w:t>
            </w:r>
            <w:r>
              <w:rPr>
                <w:color w:val="auto"/>
                <w:szCs w:val="21"/>
                <w:lang w:bidi="ar"/>
              </w:rPr>
              <w:t>搅拌设备产生的沥青烟气</w:t>
            </w:r>
          </w:p>
          <w:p w14:paraId="11668368">
            <w:pPr>
              <w:adjustRightInd w:val="0"/>
              <w:snapToGrid w:val="0"/>
              <w:spacing w:line="360" w:lineRule="auto"/>
              <w:ind w:firstLine="420" w:firstLineChars="200"/>
              <w:rPr>
                <w:color w:val="auto"/>
                <w:szCs w:val="21"/>
              </w:rPr>
            </w:pPr>
            <w:r>
              <w:rPr>
                <w:color w:val="auto"/>
                <w:szCs w:val="21"/>
              </w:rPr>
              <w:t>根据沥青特性，当温度达到80℃左右时，便会挥发出沥青烟气。沥青烟气是含多种化学物质的混合烟气，以经类混合物为主要成分，其中含多环芳轻类物质尤多，以苯并芘为代表的多环芳轻类物质是强致癌物。本项目生产过程需将沥青加热保温至120-160℃</w:t>
            </w:r>
            <w:r>
              <w:rPr>
                <w:rFonts w:hint="eastAsia"/>
                <w:color w:val="auto"/>
                <w:szCs w:val="21"/>
              </w:rPr>
              <w:t>，</w:t>
            </w:r>
            <w:r>
              <w:rPr>
                <w:color w:val="auto"/>
                <w:szCs w:val="21"/>
              </w:rPr>
              <w:t>苯并芘的熔点179℃</w:t>
            </w:r>
            <w:r>
              <w:rPr>
                <w:rFonts w:hint="eastAsia"/>
                <w:color w:val="auto"/>
                <w:szCs w:val="21"/>
              </w:rPr>
              <w:t>，</w:t>
            </w:r>
            <w:r>
              <w:rPr>
                <w:color w:val="auto"/>
                <w:szCs w:val="21"/>
              </w:rPr>
              <w:t>故在本项目生产过程中，将有少量苯并芘挥发。</w:t>
            </w:r>
          </w:p>
          <w:p w14:paraId="33AA1E2D">
            <w:pPr>
              <w:adjustRightInd w:val="0"/>
              <w:snapToGrid w:val="0"/>
              <w:spacing w:line="360" w:lineRule="auto"/>
              <w:ind w:firstLine="420" w:firstLineChars="200"/>
              <w:rPr>
                <w:color w:val="auto"/>
                <w:szCs w:val="21"/>
              </w:rPr>
            </w:pPr>
            <w:r>
              <w:rPr>
                <w:color w:val="auto"/>
                <w:szCs w:val="21"/>
              </w:rPr>
              <w:t>由于沥青从输送到拌和全部在密闭管道和设施中进行，沥青搅拌过程产生的沥青烟气主要在搅拌缸出口料仓和卸料口产生。本项目在沥青烟气散逸部位</w:t>
            </w:r>
            <w:r>
              <w:rPr>
                <w:szCs w:val="21"/>
              </w:rPr>
              <w:t>设置吸气罩，装料通道两面封闭，形成廊道，两端装有自动感应装置，廊道内设置烟气收集装置，收集后利用负压风机引</w:t>
            </w:r>
            <w:r>
              <w:rPr>
                <w:rFonts w:hint="eastAsia"/>
                <w:szCs w:val="21"/>
              </w:rPr>
              <w:t>天然气烘干</w:t>
            </w:r>
            <w:r>
              <w:rPr>
                <w:rFonts w:hint="eastAsia"/>
                <w:color w:val="auto"/>
                <w:szCs w:val="21"/>
              </w:rPr>
              <w:t>筒</w:t>
            </w:r>
            <w:r>
              <w:rPr>
                <w:color w:val="auto"/>
                <w:szCs w:val="21"/>
              </w:rPr>
              <w:t>中，</w:t>
            </w:r>
            <w:r>
              <w:rPr>
                <w:color w:val="auto"/>
                <w:szCs w:val="21"/>
                <w:highlight w:val="none"/>
              </w:rPr>
              <w:t>烘干滚筒经燃料加热后开始</w:t>
            </w:r>
            <w:r>
              <w:rPr>
                <w:rFonts w:hint="eastAsia"/>
                <w:color w:val="auto"/>
                <w:szCs w:val="21"/>
                <w:highlight w:val="none"/>
                <w:lang w:val="en-US" w:eastAsia="zh-CN"/>
              </w:rPr>
              <w:t>焚烧</w:t>
            </w:r>
            <w:r>
              <w:rPr>
                <w:color w:val="auto"/>
                <w:szCs w:val="21"/>
                <w:highlight w:val="none"/>
              </w:rPr>
              <w:t>沥青废气</w:t>
            </w:r>
            <w:r>
              <w:rPr>
                <w:color w:val="auto"/>
                <w:szCs w:val="21"/>
              </w:rPr>
              <w:t>，同时加热石料。经净化焚烧处理后的废气进入</w:t>
            </w:r>
            <w:r>
              <w:rPr>
                <w:rFonts w:hint="eastAsia"/>
                <w:color w:val="auto"/>
                <w:szCs w:val="21"/>
                <w:lang w:val="en-US" w:eastAsia="zh-CN"/>
              </w:rPr>
              <w:t>二级</w:t>
            </w:r>
            <w:r>
              <w:rPr>
                <w:color w:val="auto"/>
                <w:szCs w:val="21"/>
              </w:rPr>
              <w:t>活性炭处理装置进行吸附，最后经15m排气筒（DA002）有组织排放。</w:t>
            </w:r>
          </w:p>
          <w:p w14:paraId="0C3DBA93">
            <w:pPr>
              <w:adjustRightInd w:val="0"/>
              <w:snapToGrid w:val="0"/>
              <w:spacing w:line="360" w:lineRule="auto"/>
              <w:ind w:firstLine="420" w:firstLineChars="200"/>
              <w:rPr>
                <w:color w:val="auto"/>
                <w:szCs w:val="21"/>
                <w:u w:val="single"/>
              </w:rPr>
            </w:pPr>
            <w:r>
              <w:rPr>
                <w:rFonts w:hint="eastAsia"/>
                <w:color w:val="auto"/>
                <w:szCs w:val="21"/>
              </w:rPr>
              <w:t>沥青烟</w:t>
            </w:r>
            <w:r>
              <w:rPr>
                <w:rFonts w:hint="eastAsia"/>
                <w:color w:val="auto"/>
                <w:szCs w:val="21"/>
                <w:lang w:eastAsia="zh-CN"/>
              </w:rPr>
              <w:t>、</w:t>
            </w:r>
            <w:r>
              <w:rPr>
                <w:rFonts w:hint="eastAsia"/>
                <w:color w:val="auto"/>
                <w:szCs w:val="21"/>
              </w:rPr>
              <w:t>苯并芘</w:t>
            </w:r>
            <w:r>
              <w:rPr>
                <w:rFonts w:hint="eastAsia"/>
                <w:color w:val="auto"/>
                <w:szCs w:val="21"/>
                <w:lang w:val="en-US" w:eastAsia="zh-CN"/>
              </w:rPr>
              <w:t>和非甲烷总烃</w:t>
            </w:r>
            <w:r>
              <w:rPr>
                <w:color w:val="auto"/>
                <w:szCs w:val="21"/>
              </w:rPr>
              <w:t>参考前苏联拉扎列夫主编的《工业生产中的有害物质手册》第一卷（化学工业出版社，1987年12月出版）及金相灿主编的《有机化合物污染化学》（清华大学出版社，1990年8月出版），每吨石油沥青在加热（150℃~170℃）过程中可产生沥青烟56.25g，苯并[a]芘气体0.10~0.15g，取其平均值为0.125g</w:t>
            </w:r>
            <w:r>
              <w:rPr>
                <w:rFonts w:hint="eastAsia"/>
                <w:color w:val="auto"/>
                <w:szCs w:val="21"/>
              </w:rPr>
              <w:t>，非甲烷总烃气体2.5g</w:t>
            </w:r>
            <w:r>
              <w:rPr>
                <w:color w:val="auto"/>
                <w:szCs w:val="21"/>
              </w:rPr>
              <w:t>。则项目苯并[a]芘产生量约为</w:t>
            </w:r>
            <w:r>
              <w:rPr>
                <w:rFonts w:hint="eastAsia"/>
                <w:color w:val="auto"/>
                <w:szCs w:val="21"/>
              </w:rPr>
              <w:t>0.00025t</w:t>
            </w:r>
            <w:r>
              <w:rPr>
                <w:color w:val="auto"/>
                <w:szCs w:val="21"/>
              </w:rPr>
              <w:t>/a</w:t>
            </w:r>
            <w:r>
              <w:rPr>
                <w:rFonts w:hint="eastAsia"/>
                <w:color w:val="auto"/>
                <w:szCs w:val="21"/>
              </w:rPr>
              <w:t>，5.79×10</w:t>
            </w:r>
            <w:r>
              <w:rPr>
                <w:rFonts w:hint="eastAsia"/>
                <w:color w:val="auto"/>
                <w:szCs w:val="21"/>
                <w:vertAlign w:val="superscript"/>
              </w:rPr>
              <w:t>-5</w:t>
            </w:r>
            <w:r>
              <w:rPr>
                <w:color w:val="auto"/>
                <w:szCs w:val="21"/>
              </w:rPr>
              <w:t>kg/h</w:t>
            </w:r>
            <w:r>
              <w:rPr>
                <w:rFonts w:hint="eastAsia"/>
                <w:color w:val="auto"/>
                <w:szCs w:val="21"/>
              </w:rPr>
              <w:t>；</w:t>
            </w:r>
            <w:r>
              <w:rPr>
                <w:color w:val="auto"/>
                <w:szCs w:val="21"/>
              </w:rPr>
              <w:t>沥青烟产生</w:t>
            </w:r>
            <w:r>
              <w:rPr>
                <w:rFonts w:hint="eastAsia"/>
                <w:color w:val="auto"/>
                <w:szCs w:val="21"/>
              </w:rPr>
              <w:t>量</w:t>
            </w:r>
            <w:r>
              <w:rPr>
                <w:color w:val="auto"/>
                <w:szCs w:val="21"/>
              </w:rPr>
              <w:t>约</w:t>
            </w:r>
            <w:r>
              <w:rPr>
                <w:rFonts w:hint="eastAsia"/>
                <w:color w:val="auto"/>
                <w:szCs w:val="21"/>
              </w:rPr>
              <w:t>0.11</w:t>
            </w:r>
            <w:r>
              <w:rPr>
                <w:color w:val="auto"/>
                <w:szCs w:val="21"/>
              </w:rPr>
              <w:t>t/a</w:t>
            </w:r>
            <w:r>
              <w:rPr>
                <w:rFonts w:hint="eastAsia"/>
                <w:color w:val="auto"/>
                <w:szCs w:val="21"/>
              </w:rPr>
              <w:t>，0.03</w:t>
            </w:r>
            <w:r>
              <w:rPr>
                <w:color w:val="auto"/>
                <w:szCs w:val="21"/>
              </w:rPr>
              <w:t>kg/h</w:t>
            </w:r>
            <w:r>
              <w:rPr>
                <w:rFonts w:hint="eastAsia"/>
                <w:color w:val="auto"/>
                <w:szCs w:val="21"/>
              </w:rPr>
              <w:t>；非甲烷总烃产生量约为0.005t/a，0.001</w:t>
            </w:r>
            <w:r>
              <w:rPr>
                <w:color w:val="auto"/>
                <w:szCs w:val="21"/>
              </w:rPr>
              <w:t>kg/h。引风机总风量为</w:t>
            </w:r>
            <w:r>
              <w:rPr>
                <w:rFonts w:hint="eastAsia"/>
                <w:color w:val="auto"/>
                <w:szCs w:val="21"/>
                <w:lang w:val="en-US" w:eastAsia="zh-CN"/>
              </w:rPr>
              <w:t>1</w:t>
            </w:r>
            <w:r>
              <w:rPr>
                <w:rFonts w:hint="eastAsia"/>
                <w:color w:val="auto"/>
                <w:szCs w:val="21"/>
              </w:rPr>
              <w:t>0000</w:t>
            </w:r>
            <w:r>
              <w:rPr>
                <w:color w:val="auto"/>
                <w:szCs w:val="21"/>
              </w:rPr>
              <w:t>m</w:t>
            </w:r>
            <w:r>
              <w:rPr>
                <w:color w:val="auto"/>
                <w:szCs w:val="21"/>
                <w:vertAlign w:val="superscript"/>
              </w:rPr>
              <w:t>3</w:t>
            </w:r>
            <w:r>
              <w:rPr>
                <w:color w:val="auto"/>
                <w:szCs w:val="21"/>
              </w:rPr>
              <w:t>/h。混凝土搅拌、成品仓及出料口集气效率按90%计，</w:t>
            </w:r>
            <w:r>
              <w:rPr>
                <w:rFonts w:hint="eastAsia"/>
                <w:color w:val="auto"/>
                <w:szCs w:val="21"/>
                <w:lang w:eastAsia="zh-CN"/>
              </w:rPr>
              <w:t>按照</w:t>
            </w:r>
            <w:r>
              <w:rPr>
                <w:rFonts w:hint="eastAsia"/>
                <w:color w:val="auto"/>
                <w:szCs w:val="21"/>
                <w:lang w:val="en-US" w:eastAsia="zh-CN"/>
              </w:rPr>
              <w:t>生态环境部发布的《VOCs废气收集率和治理设施去除率通用系数》</w:t>
            </w:r>
            <w:r>
              <w:rPr>
                <w:rFonts w:hint="eastAsia"/>
                <w:color w:val="auto"/>
                <w:szCs w:val="21"/>
                <w:lang w:eastAsia="zh-CN"/>
              </w:rPr>
              <w:t>，</w:t>
            </w:r>
            <w:r>
              <w:rPr>
                <w:rFonts w:hint="eastAsia"/>
                <w:color w:val="auto"/>
                <w:szCs w:val="21"/>
                <w:lang w:val="en-US" w:eastAsia="zh-CN"/>
              </w:rPr>
              <w:t>二级</w:t>
            </w:r>
            <w:r>
              <w:rPr>
                <w:color w:val="auto"/>
                <w:szCs w:val="21"/>
              </w:rPr>
              <w:t>活性炭吸附装置处理效率按</w:t>
            </w:r>
            <w:r>
              <w:rPr>
                <w:rFonts w:hint="eastAsia"/>
                <w:color w:val="auto"/>
                <w:szCs w:val="21"/>
                <w:lang w:val="en-US" w:eastAsia="zh-CN"/>
              </w:rPr>
              <w:t>50</w:t>
            </w:r>
            <w:r>
              <w:rPr>
                <w:color w:val="auto"/>
                <w:szCs w:val="21"/>
              </w:rPr>
              <w:t>%计，则经除尘系统+</w:t>
            </w:r>
            <w:r>
              <w:rPr>
                <w:rFonts w:hint="eastAsia"/>
                <w:color w:val="auto"/>
                <w:szCs w:val="21"/>
                <w:lang w:val="en-US" w:eastAsia="zh-CN"/>
              </w:rPr>
              <w:t>二级</w:t>
            </w:r>
            <w:r>
              <w:rPr>
                <w:color w:val="auto"/>
              </w:rPr>
              <w:t>活性炭吸附设备</w:t>
            </w:r>
            <w:r>
              <w:rPr>
                <w:color w:val="auto"/>
                <w:szCs w:val="21"/>
              </w:rPr>
              <w:t>收集后沥青烟、苯并[a]芘</w:t>
            </w:r>
            <w:r>
              <w:rPr>
                <w:rFonts w:hint="eastAsia"/>
                <w:color w:val="auto"/>
                <w:szCs w:val="21"/>
              </w:rPr>
              <w:t>和非甲烷总烃</w:t>
            </w:r>
            <w:r>
              <w:rPr>
                <w:color w:val="auto"/>
                <w:szCs w:val="21"/>
              </w:rPr>
              <w:t>的产排污情况见表</w:t>
            </w:r>
            <w:r>
              <w:rPr>
                <w:rFonts w:hint="eastAsia"/>
                <w:color w:val="auto"/>
                <w:szCs w:val="21"/>
              </w:rPr>
              <w:t>4-</w:t>
            </w:r>
            <w:r>
              <w:rPr>
                <w:rFonts w:hint="eastAsia"/>
                <w:color w:val="auto"/>
                <w:szCs w:val="21"/>
                <w:lang w:val="en-US" w:eastAsia="zh-CN"/>
              </w:rPr>
              <w:t>1</w:t>
            </w:r>
            <w:r>
              <w:rPr>
                <w:rFonts w:hint="eastAsia"/>
                <w:color w:val="auto"/>
                <w:szCs w:val="21"/>
              </w:rPr>
              <w:t>。</w:t>
            </w:r>
          </w:p>
          <w:p w14:paraId="26E903A7">
            <w:pPr>
              <w:adjustRightInd w:val="0"/>
              <w:snapToGrid w:val="0"/>
              <w:spacing w:line="360" w:lineRule="auto"/>
              <w:jc w:val="center"/>
              <w:rPr>
                <w:rFonts w:eastAsia="仿宋"/>
                <w:b/>
                <w:bCs/>
                <w:color w:val="auto"/>
                <w:szCs w:val="21"/>
              </w:rPr>
            </w:pPr>
            <w:r>
              <w:rPr>
                <w:rFonts w:hint="eastAsia"/>
                <w:b/>
                <w:bCs/>
                <w:color w:val="auto"/>
                <w:szCs w:val="21"/>
              </w:rPr>
              <w:t>表4-</w:t>
            </w:r>
            <w:r>
              <w:rPr>
                <w:rFonts w:hint="eastAsia"/>
                <w:b/>
                <w:bCs/>
                <w:color w:val="auto"/>
                <w:szCs w:val="21"/>
                <w:lang w:val="en-US" w:eastAsia="zh-CN"/>
              </w:rPr>
              <w:t>1</w:t>
            </w:r>
            <w:r>
              <w:rPr>
                <w:rFonts w:hint="eastAsia"/>
                <w:b/>
                <w:bCs/>
                <w:color w:val="auto"/>
                <w:szCs w:val="21"/>
              </w:rPr>
              <w:t xml:space="preserve">  项目有组织沥青烟</w:t>
            </w:r>
            <w:r>
              <w:rPr>
                <w:rFonts w:hint="eastAsia"/>
                <w:b/>
                <w:bCs/>
                <w:color w:val="auto"/>
                <w:szCs w:val="21"/>
                <w:lang w:eastAsia="zh-CN"/>
              </w:rPr>
              <w:t>、</w:t>
            </w:r>
            <w:r>
              <w:rPr>
                <w:rFonts w:hint="eastAsia"/>
                <w:b/>
                <w:bCs/>
                <w:color w:val="auto"/>
                <w:szCs w:val="21"/>
              </w:rPr>
              <w:t>苯并[a]芘</w:t>
            </w:r>
            <w:r>
              <w:rPr>
                <w:rFonts w:hint="eastAsia"/>
                <w:b/>
                <w:bCs/>
                <w:color w:val="auto"/>
                <w:szCs w:val="21"/>
                <w:lang w:val="en-US" w:eastAsia="zh-CN"/>
              </w:rPr>
              <w:t>及非甲烷总烃</w:t>
            </w:r>
            <w:r>
              <w:rPr>
                <w:rFonts w:hint="eastAsia"/>
                <w:b/>
                <w:bCs/>
                <w:color w:val="auto"/>
                <w:szCs w:val="21"/>
              </w:rPr>
              <w:t>产排情况</w:t>
            </w:r>
          </w:p>
          <w:tbl>
            <w:tblPr>
              <w:tblStyle w:val="31"/>
              <w:tblW w:w="83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025"/>
              <w:gridCol w:w="1125"/>
              <w:gridCol w:w="788"/>
              <w:gridCol w:w="700"/>
              <w:gridCol w:w="700"/>
              <w:gridCol w:w="1157"/>
              <w:gridCol w:w="903"/>
              <w:gridCol w:w="1180"/>
            </w:tblGrid>
            <w:tr w14:paraId="42FDC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Merge w:val="restart"/>
                  <w:tcBorders>
                    <w:tl2br w:val="nil"/>
                    <w:tr2bl w:val="nil"/>
                  </w:tcBorders>
                  <w:vAlign w:val="center"/>
                </w:tcPr>
                <w:p w14:paraId="304EE77B">
                  <w:pPr>
                    <w:adjustRightInd w:val="0"/>
                    <w:snapToGrid w:val="0"/>
                    <w:spacing w:line="240" w:lineRule="atLeast"/>
                    <w:jc w:val="center"/>
                    <w:rPr>
                      <w:rFonts w:eastAsia="仿宋"/>
                      <w:b/>
                      <w:bCs/>
                      <w:color w:val="auto"/>
                      <w:szCs w:val="21"/>
                    </w:rPr>
                  </w:pPr>
                  <w:r>
                    <w:rPr>
                      <w:rFonts w:hint="eastAsia"/>
                      <w:b/>
                      <w:bCs/>
                      <w:color w:val="auto"/>
                      <w:szCs w:val="21"/>
                    </w:rPr>
                    <w:t>污染物</w:t>
                  </w:r>
                </w:p>
              </w:tc>
              <w:tc>
                <w:tcPr>
                  <w:tcW w:w="1025" w:type="dxa"/>
                  <w:vMerge w:val="restart"/>
                  <w:tcBorders>
                    <w:tl2br w:val="nil"/>
                    <w:tr2bl w:val="nil"/>
                  </w:tcBorders>
                  <w:vAlign w:val="center"/>
                </w:tcPr>
                <w:p w14:paraId="2DB037C9">
                  <w:pPr>
                    <w:adjustRightInd w:val="0"/>
                    <w:snapToGrid w:val="0"/>
                    <w:spacing w:line="240" w:lineRule="atLeast"/>
                    <w:jc w:val="center"/>
                    <w:rPr>
                      <w:b/>
                      <w:bCs/>
                      <w:color w:val="auto"/>
                      <w:szCs w:val="21"/>
                    </w:rPr>
                  </w:pPr>
                  <w:r>
                    <w:rPr>
                      <w:rFonts w:hint="eastAsia"/>
                      <w:b/>
                      <w:bCs/>
                      <w:color w:val="auto"/>
                      <w:szCs w:val="21"/>
                    </w:rPr>
                    <w:t>风量</w:t>
                  </w:r>
                </w:p>
                <w:p w14:paraId="280AB90E">
                  <w:pPr>
                    <w:adjustRightInd w:val="0"/>
                    <w:snapToGrid w:val="0"/>
                    <w:spacing w:line="240" w:lineRule="atLeast"/>
                    <w:jc w:val="center"/>
                    <w:rPr>
                      <w:rFonts w:eastAsia="仿宋"/>
                      <w:b/>
                      <w:bCs/>
                      <w:color w:val="auto"/>
                      <w:szCs w:val="21"/>
                    </w:rPr>
                  </w:pPr>
                  <w:r>
                    <w:rPr>
                      <w:rFonts w:hint="eastAsia"/>
                      <w:b/>
                      <w:bCs/>
                      <w:color w:val="auto"/>
                      <w:szCs w:val="21"/>
                    </w:rPr>
                    <w:t>（m</w:t>
                  </w:r>
                  <w:r>
                    <w:rPr>
                      <w:rFonts w:hint="eastAsia"/>
                      <w:b/>
                      <w:bCs/>
                      <w:color w:val="auto"/>
                      <w:szCs w:val="21"/>
                      <w:vertAlign w:val="superscript"/>
                    </w:rPr>
                    <w:t>3</w:t>
                  </w:r>
                  <w:r>
                    <w:rPr>
                      <w:rFonts w:hint="eastAsia"/>
                      <w:b/>
                      <w:bCs/>
                      <w:color w:val="auto"/>
                      <w:szCs w:val="21"/>
                    </w:rPr>
                    <w:t>/h）</w:t>
                  </w:r>
                </w:p>
              </w:tc>
              <w:tc>
                <w:tcPr>
                  <w:tcW w:w="1913" w:type="dxa"/>
                  <w:gridSpan w:val="2"/>
                  <w:tcBorders>
                    <w:tl2br w:val="nil"/>
                    <w:tr2bl w:val="nil"/>
                  </w:tcBorders>
                  <w:vAlign w:val="center"/>
                </w:tcPr>
                <w:p w14:paraId="03C00C1F">
                  <w:pPr>
                    <w:adjustRightInd w:val="0"/>
                    <w:snapToGrid w:val="0"/>
                    <w:spacing w:line="240" w:lineRule="atLeast"/>
                    <w:jc w:val="center"/>
                    <w:rPr>
                      <w:rFonts w:eastAsia="仿宋"/>
                      <w:b/>
                      <w:bCs/>
                      <w:color w:val="auto"/>
                      <w:szCs w:val="21"/>
                    </w:rPr>
                  </w:pPr>
                  <w:r>
                    <w:rPr>
                      <w:rFonts w:hint="eastAsia"/>
                      <w:b/>
                      <w:bCs/>
                      <w:color w:val="auto"/>
                      <w:szCs w:val="21"/>
                    </w:rPr>
                    <w:t>产生</w:t>
                  </w:r>
                </w:p>
              </w:tc>
              <w:tc>
                <w:tcPr>
                  <w:tcW w:w="700" w:type="dxa"/>
                  <w:vMerge w:val="restart"/>
                  <w:tcBorders>
                    <w:tl2br w:val="nil"/>
                    <w:tr2bl w:val="nil"/>
                  </w:tcBorders>
                  <w:vAlign w:val="center"/>
                </w:tcPr>
                <w:p w14:paraId="7286F395">
                  <w:pPr>
                    <w:adjustRightInd w:val="0"/>
                    <w:snapToGrid w:val="0"/>
                    <w:spacing w:line="240" w:lineRule="atLeast"/>
                    <w:jc w:val="center"/>
                    <w:rPr>
                      <w:rFonts w:eastAsia="仿宋"/>
                      <w:b/>
                      <w:bCs/>
                      <w:color w:val="auto"/>
                      <w:szCs w:val="21"/>
                    </w:rPr>
                  </w:pPr>
                  <w:r>
                    <w:rPr>
                      <w:rFonts w:hint="eastAsia"/>
                      <w:b/>
                      <w:bCs/>
                      <w:color w:val="auto"/>
                      <w:szCs w:val="21"/>
                    </w:rPr>
                    <w:t>集气效率</w:t>
                  </w:r>
                </w:p>
              </w:tc>
              <w:tc>
                <w:tcPr>
                  <w:tcW w:w="700" w:type="dxa"/>
                  <w:vMerge w:val="restart"/>
                  <w:tcBorders>
                    <w:tl2br w:val="nil"/>
                    <w:tr2bl w:val="nil"/>
                  </w:tcBorders>
                  <w:vAlign w:val="center"/>
                </w:tcPr>
                <w:p w14:paraId="71EB6A29">
                  <w:pPr>
                    <w:adjustRightInd w:val="0"/>
                    <w:snapToGrid w:val="0"/>
                    <w:spacing w:line="240" w:lineRule="atLeast"/>
                    <w:jc w:val="center"/>
                    <w:rPr>
                      <w:b/>
                      <w:bCs/>
                      <w:color w:val="auto"/>
                      <w:szCs w:val="21"/>
                    </w:rPr>
                  </w:pPr>
                  <w:r>
                    <w:rPr>
                      <w:rFonts w:hint="eastAsia"/>
                      <w:b/>
                      <w:bCs/>
                      <w:color w:val="auto"/>
                      <w:szCs w:val="21"/>
                    </w:rPr>
                    <w:t>去除效率</w:t>
                  </w:r>
                </w:p>
              </w:tc>
              <w:tc>
                <w:tcPr>
                  <w:tcW w:w="3240" w:type="dxa"/>
                  <w:gridSpan w:val="3"/>
                  <w:tcBorders>
                    <w:tl2br w:val="nil"/>
                    <w:tr2bl w:val="nil"/>
                  </w:tcBorders>
                  <w:vAlign w:val="center"/>
                </w:tcPr>
                <w:p w14:paraId="54D5A8B3">
                  <w:pPr>
                    <w:adjustRightInd w:val="0"/>
                    <w:snapToGrid w:val="0"/>
                    <w:spacing w:line="240" w:lineRule="atLeast"/>
                    <w:jc w:val="center"/>
                    <w:rPr>
                      <w:rFonts w:eastAsia="仿宋"/>
                      <w:b/>
                      <w:bCs/>
                      <w:color w:val="auto"/>
                      <w:szCs w:val="21"/>
                    </w:rPr>
                  </w:pPr>
                  <w:r>
                    <w:rPr>
                      <w:rFonts w:hint="eastAsia"/>
                      <w:b/>
                      <w:bCs/>
                      <w:color w:val="auto"/>
                      <w:szCs w:val="21"/>
                    </w:rPr>
                    <w:t>排放</w:t>
                  </w:r>
                </w:p>
              </w:tc>
            </w:tr>
            <w:tr w14:paraId="29DFB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Merge w:val="continue"/>
                  <w:tcBorders>
                    <w:tl2br w:val="nil"/>
                    <w:tr2bl w:val="nil"/>
                  </w:tcBorders>
                  <w:vAlign w:val="center"/>
                </w:tcPr>
                <w:p w14:paraId="52B03461">
                  <w:pPr>
                    <w:adjustRightInd w:val="0"/>
                    <w:snapToGrid w:val="0"/>
                    <w:spacing w:line="240" w:lineRule="atLeast"/>
                    <w:jc w:val="center"/>
                    <w:rPr>
                      <w:rFonts w:eastAsia="仿宋"/>
                      <w:color w:val="auto"/>
                      <w:szCs w:val="21"/>
                    </w:rPr>
                  </w:pPr>
                </w:p>
              </w:tc>
              <w:tc>
                <w:tcPr>
                  <w:tcW w:w="1025" w:type="dxa"/>
                  <w:vMerge w:val="continue"/>
                  <w:tcBorders>
                    <w:tl2br w:val="nil"/>
                    <w:tr2bl w:val="nil"/>
                  </w:tcBorders>
                  <w:vAlign w:val="center"/>
                </w:tcPr>
                <w:p w14:paraId="144A43BD">
                  <w:pPr>
                    <w:adjustRightInd w:val="0"/>
                    <w:snapToGrid w:val="0"/>
                    <w:spacing w:line="240" w:lineRule="atLeast"/>
                    <w:jc w:val="center"/>
                    <w:rPr>
                      <w:rFonts w:eastAsia="仿宋"/>
                      <w:b/>
                      <w:bCs/>
                      <w:color w:val="auto"/>
                      <w:szCs w:val="21"/>
                    </w:rPr>
                  </w:pPr>
                </w:p>
              </w:tc>
              <w:tc>
                <w:tcPr>
                  <w:tcW w:w="1125" w:type="dxa"/>
                  <w:tcBorders>
                    <w:tl2br w:val="nil"/>
                    <w:tr2bl w:val="nil"/>
                  </w:tcBorders>
                  <w:vAlign w:val="center"/>
                </w:tcPr>
                <w:p w14:paraId="50D87BA4">
                  <w:pPr>
                    <w:adjustRightInd w:val="0"/>
                    <w:snapToGrid w:val="0"/>
                    <w:spacing w:line="240" w:lineRule="atLeast"/>
                    <w:jc w:val="center"/>
                    <w:rPr>
                      <w:b/>
                      <w:bCs/>
                      <w:color w:val="auto"/>
                      <w:szCs w:val="21"/>
                    </w:rPr>
                  </w:pPr>
                  <w:r>
                    <w:rPr>
                      <w:rFonts w:hint="eastAsia"/>
                      <w:b/>
                      <w:bCs/>
                      <w:color w:val="auto"/>
                      <w:szCs w:val="21"/>
                    </w:rPr>
                    <w:t>浓度</w:t>
                  </w:r>
                </w:p>
                <w:p w14:paraId="0CFE5FA4">
                  <w:pPr>
                    <w:adjustRightInd w:val="0"/>
                    <w:snapToGrid w:val="0"/>
                    <w:spacing w:line="240" w:lineRule="atLeast"/>
                    <w:jc w:val="center"/>
                    <w:rPr>
                      <w:b/>
                      <w:bCs/>
                      <w:color w:val="auto"/>
                      <w:szCs w:val="21"/>
                    </w:rPr>
                  </w:pPr>
                  <w:r>
                    <w:rPr>
                      <w:rFonts w:hint="eastAsia"/>
                      <w:b/>
                      <w:bCs/>
                      <w:color w:val="auto"/>
                      <w:szCs w:val="21"/>
                    </w:rPr>
                    <w:t>（mg/m</w:t>
                  </w:r>
                  <w:r>
                    <w:rPr>
                      <w:rFonts w:hint="eastAsia"/>
                      <w:b/>
                      <w:bCs/>
                      <w:color w:val="auto"/>
                      <w:szCs w:val="21"/>
                      <w:vertAlign w:val="superscript"/>
                    </w:rPr>
                    <w:t>3</w:t>
                  </w:r>
                  <w:r>
                    <w:rPr>
                      <w:rFonts w:hint="eastAsia"/>
                      <w:b/>
                      <w:bCs/>
                      <w:color w:val="auto"/>
                      <w:szCs w:val="21"/>
                    </w:rPr>
                    <w:t>）</w:t>
                  </w:r>
                </w:p>
              </w:tc>
              <w:tc>
                <w:tcPr>
                  <w:tcW w:w="788" w:type="dxa"/>
                  <w:tcBorders>
                    <w:tl2br w:val="nil"/>
                    <w:tr2bl w:val="nil"/>
                  </w:tcBorders>
                  <w:vAlign w:val="center"/>
                </w:tcPr>
                <w:p w14:paraId="529E1887">
                  <w:pPr>
                    <w:adjustRightInd w:val="0"/>
                    <w:snapToGrid w:val="0"/>
                    <w:spacing w:line="240" w:lineRule="atLeast"/>
                    <w:jc w:val="center"/>
                    <w:rPr>
                      <w:b/>
                      <w:bCs/>
                      <w:color w:val="auto"/>
                      <w:szCs w:val="21"/>
                    </w:rPr>
                  </w:pPr>
                  <w:r>
                    <w:rPr>
                      <w:rFonts w:hint="eastAsia"/>
                      <w:b/>
                      <w:bCs/>
                      <w:color w:val="auto"/>
                      <w:szCs w:val="21"/>
                    </w:rPr>
                    <w:t>产生量</w:t>
                  </w:r>
                </w:p>
                <w:p w14:paraId="4E603DB6">
                  <w:pPr>
                    <w:adjustRightInd w:val="0"/>
                    <w:snapToGrid w:val="0"/>
                    <w:spacing w:line="240" w:lineRule="atLeast"/>
                    <w:jc w:val="center"/>
                    <w:rPr>
                      <w:rFonts w:eastAsia="仿宋"/>
                      <w:b/>
                      <w:bCs/>
                      <w:color w:val="auto"/>
                      <w:szCs w:val="21"/>
                    </w:rPr>
                  </w:pPr>
                  <w:r>
                    <w:rPr>
                      <w:rFonts w:hint="eastAsia"/>
                      <w:b/>
                      <w:bCs/>
                      <w:color w:val="auto"/>
                      <w:szCs w:val="21"/>
                    </w:rPr>
                    <w:t>（t/a）</w:t>
                  </w:r>
                </w:p>
              </w:tc>
              <w:tc>
                <w:tcPr>
                  <w:tcW w:w="700" w:type="dxa"/>
                  <w:vMerge w:val="continue"/>
                  <w:tcBorders>
                    <w:tl2br w:val="nil"/>
                    <w:tr2bl w:val="nil"/>
                  </w:tcBorders>
                  <w:vAlign w:val="center"/>
                </w:tcPr>
                <w:p w14:paraId="1F0CFECB">
                  <w:pPr>
                    <w:adjustRightInd w:val="0"/>
                    <w:snapToGrid w:val="0"/>
                    <w:spacing w:line="240" w:lineRule="atLeast"/>
                    <w:jc w:val="center"/>
                    <w:rPr>
                      <w:rFonts w:eastAsia="仿宋"/>
                      <w:b/>
                      <w:bCs/>
                      <w:color w:val="auto"/>
                      <w:szCs w:val="21"/>
                    </w:rPr>
                  </w:pPr>
                </w:p>
              </w:tc>
              <w:tc>
                <w:tcPr>
                  <w:tcW w:w="700" w:type="dxa"/>
                  <w:vMerge w:val="continue"/>
                  <w:tcBorders>
                    <w:tl2br w:val="nil"/>
                    <w:tr2bl w:val="nil"/>
                  </w:tcBorders>
                  <w:vAlign w:val="center"/>
                </w:tcPr>
                <w:p w14:paraId="02DCEC42">
                  <w:pPr>
                    <w:adjustRightInd w:val="0"/>
                    <w:snapToGrid w:val="0"/>
                    <w:spacing w:line="240" w:lineRule="atLeast"/>
                    <w:jc w:val="center"/>
                    <w:rPr>
                      <w:rFonts w:eastAsia="仿宋"/>
                      <w:b/>
                      <w:bCs/>
                      <w:color w:val="auto"/>
                      <w:szCs w:val="21"/>
                    </w:rPr>
                  </w:pPr>
                </w:p>
              </w:tc>
              <w:tc>
                <w:tcPr>
                  <w:tcW w:w="1157" w:type="dxa"/>
                  <w:tcBorders>
                    <w:tl2br w:val="nil"/>
                    <w:tr2bl w:val="nil"/>
                  </w:tcBorders>
                  <w:vAlign w:val="center"/>
                </w:tcPr>
                <w:p w14:paraId="789FC838">
                  <w:pPr>
                    <w:adjustRightInd w:val="0"/>
                    <w:snapToGrid w:val="0"/>
                    <w:spacing w:line="240" w:lineRule="atLeast"/>
                    <w:jc w:val="center"/>
                    <w:rPr>
                      <w:b/>
                      <w:bCs/>
                      <w:color w:val="auto"/>
                      <w:szCs w:val="21"/>
                    </w:rPr>
                  </w:pPr>
                  <w:r>
                    <w:rPr>
                      <w:rFonts w:hint="eastAsia"/>
                      <w:b/>
                      <w:bCs/>
                      <w:color w:val="auto"/>
                      <w:szCs w:val="21"/>
                    </w:rPr>
                    <w:t>浓度</w:t>
                  </w:r>
                </w:p>
                <w:p w14:paraId="16402729">
                  <w:pPr>
                    <w:adjustRightInd w:val="0"/>
                    <w:snapToGrid w:val="0"/>
                    <w:spacing w:line="240" w:lineRule="atLeast"/>
                    <w:jc w:val="center"/>
                    <w:rPr>
                      <w:rFonts w:eastAsia="仿宋"/>
                      <w:b/>
                      <w:bCs/>
                      <w:color w:val="auto"/>
                      <w:szCs w:val="21"/>
                    </w:rPr>
                  </w:pPr>
                  <w:r>
                    <w:rPr>
                      <w:rFonts w:hint="eastAsia"/>
                      <w:b/>
                      <w:bCs/>
                      <w:color w:val="auto"/>
                      <w:szCs w:val="21"/>
                    </w:rPr>
                    <w:t>（mg/m</w:t>
                  </w:r>
                  <w:r>
                    <w:rPr>
                      <w:rFonts w:hint="eastAsia"/>
                      <w:b/>
                      <w:bCs/>
                      <w:color w:val="auto"/>
                      <w:szCs w:val="21"/>
                      <w:vertAlign w:val="superscript"/>
                    </w:rPr>
                    <w:t>3</w:t>
                  </w:r>
                  <w:r>
                    <w:rPr>
                      <w:rFonts w:hint="eastAsia"/>
                      <w:b/>
                      <w:bCs/>
                      <w:color w:val="auto"/>
                      <w:szCs w:val="21"/>
                    </w:rPr>
                    <w:t>）</w:t>
                  </w:r>
                </w:p>
              </w:tc>
              <w:tc>
                <w:tcPr>
                  <w:tcW w:w="903" w:type="dxa"/>
                  <w:tcBorders>
                    <w:tl2br w:val="nil"/>
                    <w:tr2bl w:val="nil"/>
                  </w:tcBorders>
                  <w:vAlign w:val="center"/>
                </w:tcPr>
                <w:p w14:paraId="60E2C41B">
                  <w:pPr>
                    <w:adjustRightInd w:val="0"/>
                    <w:snapToGrid w:val="0"/>
                    <w:spacing w:line="240" w:lineRule="atLeast"/>
                    <w:jc w:val="center"/>
                    <w:rPr>
                      <w:rFonts w:eastAsia="仿宋"/>
                      <w:b/>
                      <w:bCs/>
                      <w:color w:val="auto"/>
                      <w:szCs w:val="21"/>
                    </w:rPr>
                  </w:pPr>
                  <w:r>
                    <w:rPr>
                      <w:rFonts w:hint="eastAsia"/>
                      <w:b/>
                      <w:bCs/>
                      <w:color w:val="auto"/>
                      <w:szCs w:val="21"/>
                    </w:rPr>
                    <w:t>排放量（t/a）</w:t>
                  </w:r>
                </w:p>
              </w:tc>
              <w:tc>
                <w:tcPr>
                  <w:tcW w:w="1180" w:type="dxa"/>
                  <w:tcBorders>
                    <w:tl2br w:val="nil"/>
                    <w:tr2bl w:val="nil"/>
                  </w:tcBorders>
                  <w:vAlign w:val="center"/>
                </w:tcPr>
                <w:p w14:paraId="08732350">
                  <w:pPr>
                    <w:adjustRightInd w:val="0"/>
                    <w:snapToGrid w:val="0"/>
                    <w:spacing w:line="240" w:lineRule="atLeast"/>
                    <w:jc w:val="center"/>
                    <w:rPr>
                      <w:rFonts w:eastAsia="仿宋"/>
                      <w:b/>
                      <w:bCs/>
                      <w:color w:val="auto"/>
                      <w:szCs w:val="21"/>
                    </w:rPr>
                  </w:pPr>
                  <w:r>
                    <w:rPr>
                      <w:rFonts w:hint="eastAsia"/>
                      <w:b/>
                      <w:bCs/>
                      <w:color w:val="auto"/>
                      <w:szCs w:val="21"/>
                    </w:rPr>
                    <w:t>速率（kg/h）</w:t>
                  </w:r>
                </w:p>
              </w:tc>
            </w:tr>
            <w:tr w14:paraId="0066C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3" w:type="dxa"/>
                  <w:tcBorders>
                    <w:tl2br w:val="nil"/>
                    <w:tr2bl w:val="nil"/>
                  </w:tcBorders>
                  <w:vAlign w:val="center"/>
                </w:tcPr>
                <w:p w14:paraId="3E4317A3">
                  <w:pPr>
                    <w:adjustRightInd w:val="0"/>
                    <w:snapToGrid w:val="0"/>
                    <w:spacing w:line="240" w:lineRule="atLeast"/>
                    <w:jc w:val="center"/>
                    <w:rPr>
                      <w:rFonts w:eastAsia="仿宋"/>
                      <w:color w:val="auto"/>
                      <w:szCs w:val="21"/>
                    </w:rPr>
                  </w:pPr>
                  <w:r>
                    <w:rPr>
                      <w:rFonts w:hint="eastAsia"/>
                      <w:color w:val="auto"/>
                      <w:szCs w:val="21"/>
                    </w:rPr>
                    <w:t>沥青烟</w:t>
                  </w:r>
                </w:p>
              </w:tc>
              <w:tc>
                <w:tcPr>
                  <w:tcW w:w="1025" w:type="dxa"/>
                  <w:vMerge w:val="restart"/>
                  <w:tcBorders>
                    <w:tl2br w:val="nil"/>
                    <w:tr2bl w:val="nil"/>
                  </w:tcBorders>
                  <w:vAlign w:val="center"/>
                </w:tcPr>
                <w:p w14:paraId="20E6F095">
                  <w:pPr>
                    <w:adjustRightInd w:val="0"/>
                    <w:snapToGrid w:val="0"/>
                    <w:spacing w:line="240" w:lineRule="atLeast"/>
                    <w:jc w:val="center"/>
                    <w:rPr>
                      <w:rFonts w:eastAsia="仿宋"/>
                      <w:color w:val="auto"/>
                      <w:szCs w:val="21"/>
                    </w:rPr>
                  </w:pPr>
                  <w:r>
                    <w:rPr>
                      <w:rFonts w:hint="eastAsia"/>
                      <w:color w:val="auto"/>
                      <w:szCs w:val="21"/>
                    </w:rPr>
                    <w:t>10000</w:t>
                  </w:r>
                </w:p>
              </w:tc>
              <w:tc>
                <w:tcPr>
                  <w:tcW w:w="1125" w:type="dxa"/>
                  <w:tcBorders>
                    <w:tl2br w:val="nil"/>
                    <w:tr2bl w:val="nil"/>
                  </w:tcBorders>
                  <w:vAlign w:val="center"/>
                </w:tcPr>
                <w:p w14:paraId="4201FD66">
                  <w:pPr>
                    <w:adjustRightInd w:val="0"/>
                    <w:snapToGrid w:val="0"/>
                    <w:spacing w:line="240" w:lineRule="exact"/>
                    <w:jc w:val="center"/>
                    <w:rPr>
                      <w:rFonts w:eastAsia="仿宋"/>
                      <w:color w:val="auto"/>
                      <w:szCs w:val="21"/>
                    </w:rPr>
                  </w:pPr>
                  <w:r>
                    <w:rPr>
                      <w:rFonts w:hint="eastAsia"/>
                      <w:bCs/>
                      <w:color w:val="auto"/>
                      <w:szCs w:val="21"/>
                    </w:rPr>
                    <w:t>2.6</w:t>
                  </w:r>
                </w:p>
              </w:tc>
              <w:tc>
                <w:tcPr>
                  <w:tcW w:w="788" w:type="dxa"/>
                  <w:tcBorders>
                    <w:tl2br w:val="nil"/>
                    <w:tr2bl w:val="nil"/>
                  </w:tcBorders>
                  <w:vAlign w:val="center"/>
                </w:tcPr>
                <w:p w14:paraId="45A3E90B">
                  <w:pPr>
                    <w:jc w:val="center"/>
                    <w:rPr>
                      <w:rFonts w:eastAsia="仿宋"/>
                      <w:color w:val="auto"/>
                      <w:szCs w:val="21"/>
                    </w:rPr>
                  </w:pPr>
                  <w:r>
                    <w:rPr>
                      <w:rFonts w:hint="eastAsia"/>
                      <w:color w:val="auto"/>
                      <w:szCs w:val="21"/>
                    </w:rPr>
                    <w:t>0.11</w:t>
                  </w:r>
                </w:p>
              </w:tc>
              <w:tc>
                <w:tcPr>
                  <w:tcW w:w="700" w:type="dxa"/>
                  <w:vMerge w:val="restart"/>
                  <w:tcBorders>
                    <w:tl2br w:val="nil"/>
                    <w:tr2bl w:val="nil"/>
                  </w:tcBorders>
                  <w:vAlign w:val="center"/>
                </w:tcPr>
                <w:p w14:paraId="32244EAE">
                  <w:pPr>
                    <w:adjustRightInd w:val="0"/>
                    <w:snapToGrid w:val="0"/>
                    <w:spacing w:line="240" w:lineRule="atLeast"/>
                    <w:jc w:val="center"/>
                    <w:rPr>
                      <w:rFonts w:eastAsia="仿宋"/>
                      <w:color w:val="auto"/>
                      <w:szCs w:val="21"/>
                    </w:rPr>
                  </w:pPr>
                  <w:r>
                    <w:rPr>
                      <w:rFonts w:hint="eastAsia"/>
                      <w:color w:val="auto"/>
                      <w:szCs w:val="21"/>
                    </w:rPr>
                    <w:t>90%</w:t>
                  </w:r>
                </w:p>
              </w:tc>
              <w:tc>
                <w:tcPr>
                  <w:tcW w:w="700" w:type="dxa"/>
                  <w:vMerge w:val="restart"/>
                  <w:tcBorders>
                    <w:tl2br w:val="nil"/>
                    <w:tr2bl w:val="nil"/>
                  </w:tcBorders>
                  <w:vAlign w:val="center"/>
                </w:tcPr>
                <w:p w14:paraId="18F85D17">
                  <w:pPr>
                    <w:adjustRightInd w:val="0"/>
                    <w:snapToGrid w:val="0"/>
                    <w:spacing w:line="240" w:lineRule="atLeast"/>
                    <w:jc w:val="center"/>
                    <w:rPr>
                      <w:rFonts w:eastAsia="仿宋"/>
                      <w:color w:val="auto"/>
                      <w:szCs w:val="21"/>
                    </w:rPr>
                  </w:pPr>
                  <w:r>
                    <w:rPr>
                      <w:rFonts w:hint="eastAsia"/>
                      <w:color w:val="auto"/>
                      <w:szCs w:val="21"/>
                      <w:lang w:val="en-US" w:eastAsia="zh-CN"/>
                    </w:rPr>
                    <w:t>5</w:t>
                  </w:r>
                  <w:r>
                    <w:rPr>
                      <w:rFonts w:hint="eastAsia"/>
                      <w:color w:val="auto"/>
                      <w:szCs w:val="21"/>
                    </w:rPr>
                    <w:t>0%</w:t>
                  </w:r>
                </w:p>
              </w:tc>
              <w:tc>
                <w:tcPr>
                  <w:tcW w:w="1157" w:type="dxa"/>
                  <w:tcBorders>
                    <w:tl2br w:val="nil"/>
                    <w:tr2bl w:val="nil"/>
                  </w:tcBorders>
                  <w:vAlign w:val="center"/>
                </w:tcPr>
                <w:p w14:paraId="6640A20A">
                  <w:pPr>
                    <w:adjustRightInd w:val="0"/>
                    <w:snapToGrid w:val="0"/>
                    <w:spacing w:line="240" w:lineRule="atLeast"/>
                    <w:jc w:val="center"/>
                    <w:rPr>
                      <w:rFonts w:hint="default" w:eastAsia="仿宋"/>
                      <w:color w:val="auto"/>
                      <w:szCs w:val="21"/>
                      <w:lang w:val="en-US" w:eastAsia="zh-CN"/>
                    </w:rPr>
                  </w:pPr>
                  <w:r>
                    <w:rPr>
                      <w:rFonts w:hint="eastAsia" w:eastAsia="仿宋"/>
                      <w:color w:val="auto"/>
                      <w:szCs w:val="21"/>
                      <w:lang w:val="en-US" w:eastAsia="zh-CN"/>
                    </w:rPr>
                    <w:t>1.145</w:t>
                  </w:r>
                </w:p>
              </w:tc>
              <w:tc>
                <w:tcPr>
                  <w:tcW w:w="903" w:type="dxa"/>
                  <w:tcBorders>
                    <w:tl2br w:val="nil"/>
                    <w:tr2bl w:val="nil"/>
                  </w:tcBorders>
                  <w:vAlign w:val="center"/>
                </w:tcPr>
                <w:p w14:paraId="69B2CC79">
                  <w:pPr>
                    <w:adjustRightInd w:val="0"/>
                    <w:snapToGrid w:val="0"/>
                    <w:spacing w:line="240" w:lineRule="atLeast"/>
                    <w:jc w:val="center"/>
                    <w:rPr>
                      <w:rFonts w:hint="default" w:eastAsia="仿宋"/>
                      <w:color w:val="auto"/>
                      <w:szCs w:val="21"/>
                      <w:lang w:val="en-US" w:eastAsia="zh-CN"/>
                    </w:rPr>
                  </w:pPr>
                  <w:r>
                    <w:rPr>
                      <w:rFonts w:hint="eastAsia" w:eastAsia="仿宋"/>
                      <w:color w:val="auto"/>
                      <w:szCs w:val="21"/>
                      <w:lang w:val="en-US" w:eastAsia="zh-CN"/>
                    </w:rPr>
                    <w:t>0.0495</w:t>
                  </w:r>
                </w:p>
              </w:tc>
              <w:tc>
                <w:tcPr>
                  <w:tcW w:w="1180" w:type="dxa"/>
                  <w:tcBorders>
                    <w:tl2br w:val="nil"/>
                    <w:tr2bl w:val="nil"/>
                  </w:tcBorders>
                  <w:vAlign w:val="center"/>
                </w:tcPr>
                <w:p w14:paraId="551113FB">
                  <w:pPr>
                    <w:adjustRightInd w:val="0"/>
                    <w:snapToGrid w:val="0"/>
                    <w:spacing w:line="240" w:lineRule="atLeast"/>
                    <w:jc w:val="center"/>
                    <w:rPr>
                      <w:rFonts w:hint="default" w:eastAsia="仿宋"/>
                      <w:color w:val="auto"/>
                      <w:szCs w:val="21"/>
                      <w:lang w:val="en-US" w:eastAsia="zh-CN"/>
                    </w:rPr>
                  </w:pPr>
                  <w:r>
                    <w:rPr>
                      <w:rFonts w:hint="eastAsia" w:eastAsia="仿宋"/>
                      <w:color w:val="auto"/>
                      <w:szCs w:val="21"/>
                      <w:lang w:val="en-US" w:eastAsia="zh-CN"/>
                    </w:rPr>
                    <w:t>0.011</w:t>
                  </w:r>
                </w:p>
              </w:tc>
            </w:tr>
            <w:tr w14:paraId="6B801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723" w:type="dxa"/>
                  <w:tcBorders>
                    <w:tl2br w:val="nil"/>
                    <w:tr2bl w:val="nil"/>
                  </w:tcBorders>
                  <w:vAlign w:val="center"/>
                </w:tcPr>
                <w:p w14:paraId="29BAB854">
                  <w:pPr>
                    <w:adjustRightInd w:val="0"/>
                    <w:snapToGrid w:val="0"/>
                    <w:spacing w:line="240" w:lineRule="atLeast"/>
                    <w:jc w:val="center"/>
                    <w:rPr>
                      <w:rFonts w:eastAsia="仿宋"/>
                      <w:color w:val="auto"/>
                      <w:szCs w:val="21"/>
                    </w:rPr>
                  </w:pPr>
                  <w:r>
                    <w:rPr>
                      <w:rFonts w:hint="eastAsia"/>
                      <w:color w:val="auto"/>
                      <w:szCs w:val="21"/>
                    </w:rPr>
                    <w:t>苯并芘</w:t>
                  </w:r>
                </w:p>
              </w:tc>
              <w:tc>
                <w:tcPr>
                  <w:tcW w:w="1025" w:type="dxa"/>
                  <w:vMerge w:val="continue"/>
                  <w:tcBorders>
                    <w:tl2br w:val="nil"/>
                    <w:tr2bl w:val="nil"/>
                  </w:tcBorders>
                  <w:vAlign w:val="center"/>
                </w:tcPr>
                <w:p w14:paraId="0E68A51F">
                  <w:pPr>
                    <w:adjustRightInd w:val="0"/>
                    <w:snapToGrid w:val="0"/>
                    <w:spacing w:line="240" w:lineRule="atLeast"/>
                    <w:jc w:val="center"/>
                    <w:rPr>
                      <w:rFonts w:eastAsia="仿宋"/>
                      <w:color w:val="auto"/>
                      <w:szCs w:val="21"/>
                    </w:rPr>
                  </w:pPr>
                </w:p>
              </w:tc>
              <w:tc>
                <w:tcPr>
                  <w:tcW w:w="1125" w:type="dxa"/>
                  <w:tcBorders>
                    <w:tl2br w:val="nil"/>
                    <w:tr2bl w:val="nil"/>
                  </w:tcBorders>
                  <w:vAlign w:val="center"/>
                </w:tcPr>
                <w:p w14:paraId="6319945D">
                  <w:pPr>
                    <w:adjustRightInd w:val="0"/>
                    <w:snapToGrid w:val="0"/>
                    <w:spacing w:line="240" w:lineRule="exact"/>
                    <w:jc w:val="center"/>
                    <w:rPr>
                      <w:rFonts w:eastAsia="仿宋"/>
                      <w:color w:val="auto"/>
                      <w:szCs w:val="21"/>
                    </w:rPr>
                  </w:pPr>
                  <w:r>
                    <w:rPr>
                      <w:rFonts w:hint="eastAsia"/>
                      <w:bCs/>
                      <w:color w:val="auto"/>
                      <w:szCs w:val="21"/>
                    </w:rPr>
                    <w:t>0.0005</w:t>
                  </w:r>
                </w:p>
              </w:tc>
              <w:tc>
                <w:tcPr>
                  <w:tcW w:w="788" w:type="dxa"/>
                  <w:tcBorders>
                    <w:tl2br w:val="nil"/>
                    <w:tr2bl w:val="nil"/>
                  </w:tcBorders>
                  <w:vAlign w:val="center"/>
                </w:tcPr>
                <w:p w14:paraId="50DBC54A">
                  <w:pPr>
                    <w:jc w:val="center"/>
                    <w:rPr>
                      <w:rFonts w:eastAsia="仿宋"/>
                      <w:color w:val="auto"/>
                      <w:szCs w:val="21"/>
                    </w:rPr>
                  </w:pPr>
                  <w:r>
                    <w:rPr>
                      <w:rFonts w:hint="eastAsia"/>
                      <w:color w:val="auto"/>
                      <w:szCs w:val="21"/>
                    </w:rPr>
                    <w:t>0.00025</w:t>
                  </w:r>
                </w:p>
              </w:tc>
              <w:tc>
                <w:tcPr>
                  <w:tcW w:w="700" w:type="dxa"/>
                  <w:vMerge w:val="continue"/>
                  <w:tcBorders>
                    <w:tl2br w:val="nil"/>
                    <w:tr2bl w:val="nil"/>
                  </w:tcBorders>
                  <w:vAlign w:val="center"/>
                </w:tcPr>
                <w:p w14:paraId="4D780CD6">
                  <w:pPr>
                    <w:adjustRightInd w:val="0"/>
                    <w:snapToGrid w:val="0"/>
                    <w:spacing w:line="240" w:lineRule="atLeast"/>
                    <w:jc w:val="center"/>
                    <w:rPr>
                      <w:rFonts w:eastAsia="仿宋"/>
                      <w:color w:val="auto"/>
                      <w:szCs w:val="21"/>
                    </w:rPr>
                  </w:pPr>
                </w:p>
              </w:tc>
              <w:tc>
                <w:tcPr>
                  <w:tcW w:w="700" w:type="dxa"/>
                  <w:vMerge w:val="continue"/>
                  <w:tcBorders>
                    <w:tl2br w:val="nil"/>
                    <w:tr2bl w:val="nil"/>
                  </w:tcBorders>
                  <w:vAlign w:val="center"/>
                </w:tcPr>
                <w:p w14:paraId="219770BC">
                  <w:pPr>
                    <w:adjustRightInd w:val="0"/>
                    <w:snapToGrid w:val="0"/>
                    <w:spacing w:line="240" w:lineRule="atLeast"/>
                    <w:jc w:val="center"/>
                    <w:rPr>
                      <w:rFonts w:eastAsia="仿宋"/>
                      <w:color w:val="auto"/>
                      <w:szCs w:val="21"/>
                    </w:rPr>
                  </w:pPr>
                </w:p>
              </w:tc>
              <w:tc>
                <w:tcPr>
                  <w:tcW w:w="1157" w:type="dxa"/>
                  <w:tcBorders>
                    <w:tl2br w:val="nil"/>
                    <w:tr2bl w:val="nil"/>
                  </w:tcBorders>
                  <w:vAlign w:val="center"/>
                </w:tcPr>
                <w:p w14:paraId="2E355F87">
                  <w:pPr>
                    <w:adjustRightInd w:val="0"/>
                    <w:snapToGrid w:val="0"/>
                    <w:spacing w:line="240" w:lineRule="atLeast"/>
                    <w:jc w:val="center"/>
                    <w:rPr>
                      <w:rFonts w:hint="default" w:eastAsia="仿宋"/>
                      <w:color w:val="auto"/>
                      <w:szCs w:val="21"/>
                      <w:lang w:val="en-US" w:eastAsia="zh-CN"/>
                    </w:rPr>
                  </w:pPr>
                  <w:r>
                    <w:rPr>
                      <w:rFonts w:hint="eastAsia" w:eastAsia="仿宋"/>
                      <w:color w:val="auto"/>
                      <w:szCs w:val="21"/>
                      <w:lang w:val="en-US" w:eastAsia="zh-CN"/>
                    </w:rPr>
                    <w:t>0.0027</w:t>
                  </w:r>
                </w:p>
              </w:tc>
              <w:tc>
                <w:tcPr>
                  <w:tcW w:w="903" w:type="dxa"/>
                  <w:tcBorders>
                    <w:tl2br w:val="nil"/>
                    <w:tr2bl w:val="nil"/>
                  </w:tcBorders>
                  <w:vAlign w:val="center"/>
                </w:tcPr>
                <w:p w14:paraId="6B5C8FC3">
                  <w:pPr>
                    <w:adjustRightInd w:val="0"/>
                    <w:snapToGrid w:val="0"/>
                    <w:spacing w:line="240" w:lineRule="atLeast"/>
                    <w:jc w:val="center"/>
                    <w:rPr>
                      <w:rFonts w:hint="default" w:eastAsia="仿宋"/>
                      <w:color w:val="auto"/>
                      <w:szCs w:val="21"/>
                      <w:lang w:val="en-US" w:eastAsia="zh-CN"/>
                    </w:rPr>
                  </w:pPr>
                  <w:r>
                    <w:rPr>
                      <w:rFonts w:hint="eastAsia" w:eastAsia="仿宋"/>
                      <w:color w:val="auto"/>
                      <w:szCs w:val="21"/>
                      <w:lang w:val="en-US" w:eastAsia="zh-CN"/>
                    </w:rPr>
                    <w:t>0.00012</w:t>
                  </w:r>
                </w:p>
              </w:tc>
              <w:tc>
                <w:tcPr>
                  <w:tcW w:w="1180" w:type="dxa"/>
                  <w:tcBorders>
                    <w:tl2br w:val="nil"/>
                    <w:tr2bl w:val="nil"/>
                  </w:tcBorders>
                  <w:vAlign w:val="center"/>
                </w:tcPr>
                <w:p w14:paraId="3864F5B8">
                  <w:pPr>
                    <w:adjustRightInd w:val="0"/>
                    <w:snapToGrid w:val="0"/>
                    <w:spacing w:line="240" w:lineRule="atLeast"/>
                    <w:jc w:val="center"/>
                    <w:rPr>
                      <w:rFonts w:eastAsia="仿宋"/>
                      <w:color w:val="auto"/>
                      <w:szCs w:val="21"/>
                    </w:rPr>
                  </w:pPr>
                  <w:r>
                    <w:rPr>
                      <w:rFonts w:hint="eastAsia"/>
                      <w:color w:val="auto"/>
                      <w:szCs w:val="21"/>
                      <w:lang w:val="en-US" w:eastAsia="zh-CN"/>
                    </w:rPr>
                    <w:t>2.77</w:t>
                  </w:r>
                  <w:r>
                    <w:rPr>
                      <w:rFonts w:hint="eastAsia"/>
                      <w:color w:val="auto"/>
                      <w:szCs w:val="21"/>
                    </w:rPr>
                    <w:t>×10</w:t>
                  </w:r>
                  <w:r>
                    <w:rPr>
                      <w:rFonts w:hint="eastAsia"/>
                      <w:color w:val="auto"/>
                      <w:szCs w:val="21"/>
                      <w:vertAlign w:val="superscript"/>
                    </w:rPr>
                    <w:t>-5</w:t>
                  </w:r>
                </w:p>
              </w:tc>
            </w:tr>
            <w:tr w14:paraId="23FD4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3" w:type="dxa"/>
                  <w:tcBorders>
                    <w:tl2br w:val="nil"/>
                    <w:tr2bl w:val="nil"/>
                  </w:tcBorders>
                  <w:vAlign w:val="center"/>
                </w:tcPr>
                <w:p w14:paraId="1DA46D72">
                  <w:pPr>
                    <w:adjustRightInd w:val="0"/>
                    <w:snapToGrid w:val="0"/>
                    <w:spacing w:line="240" w:lineRule="atLeast"/>
                    <w:jc w:val="center"/>
                    <w:rPr>
                      <w:color w:val="auto"/>
                      <w:szCs w:val="21"/>
                    </w:rPr>
                  </w:pPr>
                  <w:r>
                    <w:rPr>
                      <w:rFonts w:hint="eastAsia"/>
                      <w:color w:val="auto"/>
                      <w:szCs w:val="21"/>
                    </w:rPr>
                    <w:t>非甲烷总烃</w:t>
                  </w:r>
                </w:p>
              </w:tc>
              <w:tc>
                <w:tcPr>
                  <w:tcW w:w="1025" w:type="dxa"/>
                  <w:vMerge w:val="continue"/>
                  <w:tcBorders>
                    <w:tl2br w:val="nil"/>
                    <w:tr2bl w:val="nil"/>
                  </w:tcBorders>
                  <w:vAlign w:val="center"/>
                </w:tcPr>
                <w:p w14:paraId="62189613">
                  <w:pPr>
                    <w:adjustRightInd w:val="0"/>
                    <w:snapToGrid w:val="0"/>
                    <w:spacing w:line="240" w:lineRule="atLeast"/>
                    <w:jc w:val="center"/>
                    <w:rPr>
                      <w:rFonts w:eastAsia="仿宋"/>
                      <w:color w:val="auto"/>
                      <w:szCs w:val="21"/>
                    </w:rPr>
                  </w:pPr>
                </w:p>
              </w:tc>
              <w:tc>
                <w:tcPr>
                  <w:tcW w:w="1125" w:type="dxa"/>
                  <w:tcBorders>
                    <w:tl2br w:val="nil"/>
                    <w:tr2bl w:val="nil"/>
                  </w:tcBorders>
                  <w:vAlign w:val="center"/>
                </w:tcPr>
                <w:p w14:paraId="07F5CFB0">
                  <w:pPr>
                    <w:adjustRightInd w:val="0"/>
                    <w:snapToGrid w:val="0"/>
                    <w:spacing w:line="240" w:lineRule="exact"/>
                    <w:jc w:val="center"/>
                    <w:rPr>
                      <w:color w:val="auto"/>
                      <w:szCs w:val="21"/>
                    </w:rPr>
                  </w:pPr>
                  <w:r>
                    <w:rPr>
                      <w:rFonts w:hint="eastAsia"/>
                      <w:color w:val="auto"/>
                      <w:szCs w:val="21"/>
                      <w:lang w:bidi="ar"/>
                    </w:rPr>
                    <w:t>0.12</w:t>
                  </w:r>
                </w:p>
              </w:tc>
              <w:tc>
                <w:tcPr>
                  <w:tcW w:w="788" w:type="dxa"/>
                  <w:tcBorders>
                    <w:tl2br w:val="nil"/>
                    <w:tr2bl w:val="nil"/>
                  </w:tcBorders>
                  <w:vAlign w:val="center"/>
                </w:tcPr>
                <w:p w14:paraId="51058B1B">
                  <w:pPr>
                    <w:jc w:val="center"/>
                    <w:rPr>
                      <w:color w:val="auto"/>
                      <w:szCs w:val="21"/>
                    </w:rPr>
                  </w:pPr>
                  <w:r>
                    <w:rPr>
                      <w:rFonts w:hint="eastAsia"/>
                      <w:color w:val="auto"/>
                      <w:szCs w:val="21"/>
                    </w:rPr>
                    <w:t>0.005</w:t>
                  </w:r>
                </w:p>
              </w:tc>
              <w:tc>
                <w:tcPr>
                  <w:tcW w:w="700" w:type="dxa"/>
                  <w:vMerge w:val="continue"/>
                  <w:tcBorders>
                    <w:tl2br w:val="nil"/>
                    <w:tr2bl w:val="nil"/>
                  </w:tcBorders>
                  <w:vAlign w:val="center"/>
                </w:tcPr>
                <w:p w14:paraId="6158F489">
                  <w:pPr>
                    <w:adjustRightInd w:val="0"/>
                    <w:snapToGrid w:val="0"/>
                    <w:spacing w:line="240" w:lineRule="atLeast"/>
                    <w:jc w:val="center"/>
                    <w:rPr>
                      <w:rFonts w:eastAsia="仿宋"/>
                      <w:color w:val="auto"/>
                      <w:szCs w:val="21"/>
                    </w:rPr>
                  </w:pPr>
                </w:p>
              </w:tc>
              <w:tc>
                <w:tcPr>
                  <w:tcW w:w="700" w:type="dxa"/>
                  <w:vMerge w:val="continue"/>
                  <w:tcBorders>
                    <w:tl2br w:val="nil"/>
                    <w:tr2bl w:val="nil"/>
                  </w:tcBorders>
                  <w:vAlign w:val="center"/>
                </w:tcPr>
                <w:p w14:paraId="6551EEA4">
                  <w:pPr>
                    <w:adjustRightInd w:val="0"/>
                    <w:snapToGrid w:val="0"/>
                    <w:spacing w:line="240" w:lineRule="atLeast"/>
                    <w:jc w:val="center"/>
                    <w:rPr>
                      <w:rFonts w:eastAsia="仿宋"/>
                      <w:color w:val="auto"/>
                      <w:szCs w:val="21"/>
                    </w:rPr>
                  </w:pPr>
                </w:p>
              </w:tc>
              <w:tc>
                <w:tcPr>
                  <w:tcW w:w="1157" w:type="dxa"/>
                  <w:tcBorders>
                    <w:tl2br w:val="nil"/>
                    <w:tr2bl w:val="nil"/>
                  </w:tcBorders>
                  <w:vAlign w:val="center"/>
                </w:tcPr>
                <w:p w14:paraId="6F6FB52F">
                  <w:pPr>
                    <w:adjustRightInd w:val="0"/>
                    <w:snapToGrid w:val="0"/>
                    <w:spacing w:line="240" w:lineRule="atLeast"/>
                    <w:jc w:val="center"/>
                    <w:rPr>
                      <w:rFonts w:hint="default" w:eastAsia="宋体"/>
                      <w:color w:val="auto"/>
                      <w:szCs w:val="21"/>
                      <w:lang w:val="en-US" w:eastAsia="zh-CN"/>
                    </w:rPr>
                  </w:pPr>
                  <w:r>
                    <w:rPr>
                      <w:rFonts w:hint="eastAsia"/>
                      <w:color w:val="auto"/>
                      <w:szCs w:val="21"/>
                      <w:lang w:val="en-US" w:eastAsia="zh-CN"/>
                    </w:rPr>
                    <w:t>0.05</w:t>
                  </w:r>
                </w:p>
              </w:tc>
              <w:tc>
                <w:tcPr>
                  <w:tcW w:w="903" w:type="dxa"/>
                  <w:tcBorders>
                    <w:tl2br w:val="nil"/>
                    <w:tr2bl w:val="nil"/>
                  </w:tcBorders>
                  <w:vAlign w:val="center"/>
                </w:tcPr>
                <w:p w14:paraId="4E7576D4">
                  <w:pPr>
                    <w:adjustRightInd w:val="0"/>
                    <w:snapToGrid w:val="0"/>
                    <w:spacing w:line="240" w:lineRule="atLeast"/>
                    <w:jc w:val="center"/>
                    <w:rPr>
                      <w:rFonts w:hint="default" w:eastAsia="宋体"/>
                      <w:color w:val="auto"/>
                      <w:szCs w:val="21"/>
                      <w:lang w:val="en-US" w:eastAsia="zh-CN"/>
                    </w:rPr>
                  </w:pPr>
                  <w:r>
                    <w:rPr>
                      <w:rFonts w:hint="eastAsia"/>
                      <w:color w:val="auto"/>
                      <w:szCs w:val="21"/>
                      <w:lang w:val="en-US" w:eastAsia="zh-CN"/>
                    </w:rPr>
                    <w:t>0.0022</w:t>
                  </w:r>
                </w:p>
              </w:tc>
              <w:tc>
                <w:tcPr>
                  <w:tcW w:w="1180" w:type="dxa"/>
                  <w:tcBorders>
                    <w:tl2br w:val="nil"/>
                    <w:tr2bl w:val="nil"/>
                  </w:tcBorders>
                  <w:vAlign w:val="center"/>
                </w:tcPr>
                <w:p w14:paraId="3EA05616">
                  <w:pPr>
                    <w:adjustRightInd w:val="0"/>
                    <w:snapToGrid w:val="0"/>
                    <w:spacing w:line="240" w:lineRule="atLeast"/>
                    <w:jc w:val="center"/>
                    <w:rPr>
                      <w:rFonts w:hint="default" w:eastAsia="宋体"/>
                      <w:color w:val="auto"/>
                      <w:szCs w:val="21"/>
                      <w:lang w:val="en-US" w:eastAsia="zh-CN"/>
                    </w:rPr>
                  </w:pPr>
                  <w:r>
                    <w:rPr>
                      <w:rFonts w:hint="eastAsia"/>
                      <w:color w:val="auto"/>
                      <w:szCs w:val="21"/>
                      <w:lang w:val="en-US" w:eastAsia="zh-CN"/>
                    </w:rPr>
                    <w:t>0.0005</w:t>
                  </w:r>
                </w:p>
              </w:tc>
            </w:tr>
          </w:tbl>
          <w:p w14:paraId="6F5498AD">
            <w:pPr>
              <w:spacing w:line="360" w:lineRule="auto"/>
              <w:ind w:firstLine="420" w:firstLineChars="200"/>
              <w:jc w:val="left"/>
              <w:textAlignment w:val="baseline"/>
              <w:rPr>
                <w:color w:val="auto"/>
                <w:sz w:val="24"/>
              </w:rPr>
            </w:pPr>
            <w:r>
              <w:rPr>
                <w:rFonts w:hint="eastAsia"/>
                <w:color w:val="auto"/>
                <w:kern w:val="0"/>
                <w:lang w:eastAsia="zh-CN"/>
              </w:rPr>
              <w:t>②水泥稳定土</w:t>
            </w:r>
            <w:r>
              <w:rPr>
                <w:rFonts w:hint="eastAsia" w:eastAsia="宋体"/>
                <w:color w:val="auto"/>
                <w:kern w:val="0"/>
                <w:lang w:eastAsia="zh-CN"/>
              </w:rPr>
              <w:t>生产线</w:t>
            </w:r>
            <w:r>
              <w:rPr>
                <w:rFonts w:hint="eastAsia"/>
                <w:color w:val="auto"/>
                <w:lang w:val="en-US" w:eastAsia="zh-CN"/>
              </w:rPr>
              <w:t>产生的</w:t>
            </w:r>
            <w:r>
              <w:rPr>
                <w:rFonts w:hint="eastAsia"/>
                <w:color w:val="auto"/>
                <w:szCs w:val="21"/>
              </w:rPr>
              <w:t>粉尘</w:t>
            </w:r>
          </w:p>
          <w:p w14:paraId="284CD596">
            <w:pPr>
              <w:spacing w:line="360" w:lineRule="auto"/>
              <w:ind w:firstLine="420" w:firstLineChars="200"/>
              <w:textAlignment w:val="baseline"/>
              <w:rPr>
                <w:color w:val="auto"/>
              </w:rPr>
            </w:pPr>
            <w:r>
              <w:rPr>
                <w:color w:val="auto"/>
              </w:rPr>
              <w:t>水稳料生产过程中</w:t>
            </w:r>
            <w:r>
              <w:rPr>
                <w:rFonts w:hint="eastAsia"/>
                <w:color w:val="auto"/>
              </w:rPr>
              <w:t>上料、</w:t>
            </w:r>
            <w:r>
              <w:rPr>
                <w:color w:val="auto"/>
              </w:rPr>
              <w:t>搅拌、卸料时</w:t>
            </w:r>
            <w:r>
              <w:rPr>
                <w:rFonts w:hint="eastAsia"/>
                <w:color w:val="auto"/>
              </w:rPr>
              <w:t>会</w:t>
            </w:r>
            <w:r>
              <w:rPr>
                <w:color w:val="auto"/>
              </w:rPr>
              <w:t>产生粉尘</w:t>
            </w:r>
            <w:r>
              <w:rPr>
                <w:rFonts w:hint="eastAsia"/>
                <w:color w:val="auto"/>
              </w:rPr>
              <w:t>。</w:t>
            </w:r>
          </w:p>
          <w:p w14:paraId="276E9F4B">
            <w:pPr>
              <w:spacing w:line="360" w:lineRule="auto"/>
              <w:ind w:firstLine="420" w:firstLineChars="200"/>
              <w:textAlignment w:val="baseline"/>
              <w:rPr>
                <w:color w:val="auto"/>
                <w:szCs w:val="21"/>
                <w:highlight w:val="yellow"/>
              </w:rPr>
            </w:pPr>
            <w:r>
              <w:rPr>
                <w:rFonts w:hint="eastAsia"/>
                <w:color w:val="auto"/>
                <w:szCs w:val="21"/>
              </w:rPr>
              <w:t>根据《排放源统计调查产排污核算方法和系数手册》（生态环境部公告2021年第24号）中“3021水泥制品制造（含3022砼结构构件制造、3029其他水泥类似制品制造）行业系数手册”行业系数表可知，物料混合搅拌工序废气量产污系数为25.0标立方米/吨-产品，颗粒物产污系数为0.13千克/吨-产品。本项目投产后，年产20万吨，则废气产生量为</w:t>
            </w:r>
            <w:r>
              <w:rPr>
                <w:rFonts w:hint="eastAsia"/>
                <w:color w:val="auto"/>
                <w:szCs w:val="20"/>
              </w:rPr>
              <w:t>1157.4m</w:t>
            </w:r>
            <w:r>
              <w:rPr>
                <w:rFonts w:hint="eastAsia"/>
                <w:color w:val="auto"/>
                <w:szCs w:val="20"/>
                <w:vertAlign w:val="superscript"/>
              </w:rPr>
              <w:t>3</w:t>
            </w:r>
            <w:r>
              <w:rPr>
                <w:rFonts w:hint="eastAsia"/>
                <w:color w:val="auto"/>
                <w:szCs w:val="20"/>
              </w:rPr>
              <w:t>/h</w:t>
            </w:r>
            <w:r>
              <w:rPr>
                <w:rFonts w:hint="eastAsia"/>
                <w:color w:val="auto"/>
                <w:szCs w:val="21"/>
              </w:rPr>
              <w:t>，</w:t>
            </w:r>
            <w:r>
              <w:rPr>
                <w:rFonts w:hint="eastAsia"/>
                <w:color w:val="auto"/>
                <w:szCs w:val="21"/>
                <w:lang w:val="en-US" w:eastAsia="zh-CN"/>
              </w:rPr>
              <w:t>水泥稳定土生产线</w:t>
            </w:r>
            <w:r>
              <w:rPr>
                <w:rFonts w:hint="eastAsia"/>
                <w:color w:val="auto"/>
                <w:szCs w:val="21"/>
              </w:rPr>
              <w:t>粉尘产生量约为26t/a，产生速率为6.02kg/h，产生浓度为5200.03mg/m</w:t>
            </w:r>
            <w:r>
              <w:rPr>
                <w:rFonts w:hint="eastAsia"/>
                <w:color w:val="auto"/>
                <w:szCs w:val="21"/>
                <w:vertAlign w:val="superscript"/>
              </w:rPr>
              <w:t>3</w:t>
            </w:r>
            <w:r>
              <w:rPr>
                <w:rFonts w:hint="eastAsia"/>
                <w:color w:val="auto"/>
                <w:szCs w:val="21"/>
              </w:rPr>
              <w:t>。</w:t>
            </w:r>
            <w:r>
              <w:rPr>
                <w:rFonts w:hint="eastAsia"/>
                <w:color w:val="auto"/>
                <w:szCs w:val="21"/>
                <w:lang w:val="en-US" w:eastAsia="zh-CN"/>
              </w:rPr>
              <w:t>设置一</w:t>
            </w:r>
            <w:r>
              <w:rPr>
                <w:rFonts w:hint="eastAsia"/>
                <w:color w:val="auto"/>
                <w:szCs w:val="21"/>
              </w:rPr>
              <w:t>套袋式除尘器（除尘效率为99.9%），经处理后的粉尘经1根排气筒（DA003）排放。最终，本项目</w:t>
            </w:r>
            <w:r>
              <w:rPr>
                <w:color w:val="auto"/>
              </w:rPr>
              <w:t>水稳料生产过程中产生</w:t>
            </w:r>
            <w:r>
              <w:rPr>
                <w:rFonts w:hint="eastAsia"/>
                <w:color w:val="auto"/>
                <w:lang w:val="en-US" w:eastAsia="zh-CN"/>
              </w:rPr>
              <w:t>的</w:t>
            </w:r>
            <w:r>
              <w:rPr>
                <w:color w:val="auto"/>
              </w:rPr>
              <w:t>粉尘</w:t>
            </w:r>
            <w:r>
              <w:rPr>
                <w:rFonts w:hint="eastAsia"/>
                <w:color w:val="auto"/>
                <w:szCs w:val="21"/>
              </w:rPr>
              <w:t>有组织排放量为0.026t/a，排放速率0.006kg/h，排放浓度5.2mg/m</w:t>
            </w:r>
            <w:r>
              <w:rPr>
                <w:rFonts w:hint="eastAsia"/>
                <w:color w:val="auto"/>
                <w:szCs w:val="21"/>
                <w:vertAlign w:val="superscript"/>
              </w:rPr>
              <w:t>3</w:t>
            </w:r>
            <w:r>
              <w:rPr>
                <w:rFonts w:hint="eastAsia"/>
                <w:color w:val="auto"/>
                <w:szCs w:val="21"/>
              </w:rPr>
              <w:t>。</w:t>
            </w:r>
          </w:p>
          <w:p w14:paraId="56186FA0">
            <w:pPr>
              <w:pStyle w:val="37"/>
              <w:ind w:firstLine="420"/>
              <w:jc w:val="left"/>
              <w:rPr>
                <w:rFonts w:hint="eastAsia" w:ascii="Times New Roman" w:hAnsi="Times New Roman" w:eastAsia="宋体" w:cs="Times New Roman"/>
                <w:color w:val="auto"/>
                <w:kern w:val="0"/>
                <w:sz w:val="21"/>
                <w:szCs w:val="24"/>
                <w:lang w:val="en-US" w:eastAsia="zh-CN" w:bidi="ar-SA"/>
              </w:rPr>
            </w:pPr>
            <w:r>
              <w:rPr>
                <w:rFonts w:hint="eastAsia" w:cs="Times New Roman"/>
                <w:color w:val="auto"/>
                <w:kern w:val="0"/>
                <w:sz w:val="21"/>
                <w:szCs w:val="24"/>
                <w:lang w:val="en-US" w:eastAsia="zh-CN" w:bidi="ar-SA"/>
              </w:rPr>
              <w:t>③</w:t>
            </w:r>
            <w:r>
              <w:rPr>
                <w:rFonts w:hint="eastAsia" w:ascii="Times New Roman" w:hAnsi="Times New Roman" w:eastAsia="宋体" w:cs="Times New Roman"/>
                <w:color w:val="auto"/>
                <w:kern w:val="0"/>
                <w:sz w:val="21"/>
                <w:szCs w:val="24"/>
                <w:lang w:val="en-US" w:eastAsia="zh-CN" w:bidi="ar-SA"/>
              </w:rPr>
              <w:t>食堂废气</w:t>
            </w:r>
          </w:p>
          <w:p w14:paraId="7AFD3A3F">
            <w:pPr>
              <w:pStyle w:val="37"/>
              <w:ind w:firstLine="420"/>
              <w:jc w:val="left"/>
              <w:rPr>
                <w:rFonts w:cs="Times New Roman"/>
                <w:color w:val="auto"/>
                <w:sz w:val="21"/>
                <w:szCs w:val="21"/>
              </w:rPr>
            </w:pPr>
            <w:r>
              <w:rPr>
                <w:rFonts w:cs="Times New Roman"/>
                <w:color w:val="auto"/>
                <w:sz w:val="21"/>
                <w:szCs w:val="21"/>
              </w:rPr>
              <w:t>本项目设置一座职工食堂，为厂区工作人员提供饮食，厨房所用燃料为液化石油气，食堂</w:t>
            </w:r>
            <w:r>
              <w:rPr>
                <w:rFonts w:hint="eastAsia" w:cs="Times New Roman"/>
                <w:color w:val="auto"/>
                <w:sz w:val="21"/>
                <w:szCs w:val="21"/>
              </w:rPr>
              <w:t>烹饪</w:t>
            </w:r>
            <w:r>
              <w:rPr>
                <w:rFonts w:cs="Times New Roman"/>
                <w:color w:val="auto"/>
                <w:sz w:val="21"/>
                <w:szCs w:val="21"/>
              </w:rPr>
              <w:t>过程中产生的废气主要为饮食油烟。本项目劳动定员为</w:t>
            </w:r>
            <w:r>
              <w:rPr>
                <w:rFonts w:hint="eastAsia" w:cs="Times New Roman"/>
                <w:color w:val="auto"/>
                <w:sz w:val="21"/>
                <w:szCs w:val="21"/>
              </w:rPr>
              <w:t>16</w:t>
            </w:r>
            <w:r>
              <w:rPr>
                <w:rFonts w:cs="Times New Roman"/>
                <w:color w:val="auto"/>
                <w:sz w:val="21"/>
                <w:szCs w:val="21"/>
              </w:rPr>
              <w:t>人，食用油的用量约为</w:t>
            </w:r>
            <w:r>
              <w:rPr>
                <w:rFonts w:hint="eastAsia" w:cs="Times New Roman"/>
                <w:color w:val="auto"/>
                <w:sz w:val="21"/>
                <w:szCs w:val="21"/>
              </w:rPr>
              <w:t>0.72</w:t>
            </w:r>
            <w:r>
              <w:rPr>
                <w:rFonts w:cs="Times New Roman"/>
                <w:color w:val="auto"/>
                <w:sz w:val="21"/>
                <w:szCs w:val="21"/>
              </w:rPr>
              <w:t>kg/d，每天烹饪时间为3h，类比调查表明，一般油烟和油的挥发量占总耗油量的2%～4%之间，取其均值3%，则油烟的产生速率约0.0</w:t>
            </w:r>
            <w:r>
              <w:rPr>
                <w:rFonts w:hint="eastAsia" w:cs="Times New Roman"/>
                <w:color w:val="auto"/>
                <w:sz w:val="21"/>
                <w:szCs w:val="21"/>
              </w:rPr>
              <w:t>07</w:t>
            </w:r>
            <w:r>
              <w:rPr>
                <w:rFonts w:cs="Times New Roman"/>
                <w:color w:val="auto"/>
                <w:sz w:val="21"/>
                <w:szCs w:val="21"/>
              </w:rPr>
              <w:t>kg/h，产生量约为0.0</w:t>
            </w:r>
            <w:r>
              <w:rPr>
                <w:rFonts w:hint="eastAsia" w:cs="Times New Roman"/>
                <w:color w:val="auto"/>
                <w:sz w:val="21"/>
                <w:szCs w:val="21"/>
              </w:rPr>
              <w:t>21</w:t>
            </w:r>
            <w:r>
              <w:rPr>
                <w:rFonts w:cs="Times New Roman"/>
                <w:color w:val="auto"/>
                <w:sz w:val="21"/>
                <w:szCs w:val="21"/>
              </w:rPr>
              <w:t>kg/d，</w:t>
            </w:r>
            <w:r>
              <w:rPr>
                <w:rFonts w:hint="eastAsia" w:cs="Times New Roman"/>
                <w:color w:val="auto"/>
                <w:sz w:val="21"/>
                <w:szCs w:val="21"/>
              </w:rPr>
              <w:t>3.88</w:t>
            </w:r>
            <w:r>
              <w:rPr>
                <w:rFonts w:cs="Times New Roman"/>
                <w:color w:val="auto"/>
                <w:sz w:val="21"/>
                <w:szCs w:val="21"/>
              </w:rPr>
              <w:t>kg/a（年烹饪日以180天计），产生浓度约为</w:t>
            </w:r>
            <w:r>
              <w:rPr>
                <w:rFonts w:hint="eastAsia" w:cs="Times New Roman"/>
                <w:color w:val="auto"/>
                <w:sz w:val="21"/>
                <w:szCs w:val="21"/>
              </w:rPr>
              <w:t>1.4</w:t>
            </w:r>
            <w:r>
              <w:rPr>
                <w:rFonts w:cs="Times New Roman"/>
                <w:color w:val="auto"/>
                <w:sz w:val="21"/>
                <w:szCs w:val="21"/>
              </w:rPr>
              <w:t>mg/m</w:t>
            </w:r>
            <w:r>
              <w:rPr>
                <w:rFonts w:cs="Times New Roman"/>
                <w:color w:val="auto"/>
                <w:sz w:val="21"/>
                <w:szCs w:val="21"/>
                <w:vertAlign w:val="superscript"/>
              </w:rPr>
              <w:t>3</w:t>
            </w:r>
            <w:r>
              <w:rPr>
                <w:rFonts w:cs="Times New Roman"/>
                <w:color w:val="auto"/>
                <w:sz w:val="21"/>
                <w:szCs w:val="21"/>
              </w:rPr>
              <w:t>，环评要求该项目安装油烟净化器，其净化效率按80%计算，则本项目油烟的排放速率约</w:t>
            </w:r>
            <w:r>
              <w:rPr>
                <w:rFonts w:hint="eastAsia" w:cs="Times New Roman"/>
                <w:color w:val="auto"/>
                <w:sz w:val="21"/>
                <w:szCs w:val="21"/>
              </w:rPr>
              <w:t>0.0001t</w:t>
            </w:r>
            <w:r>
              <w:rPr>
                <w:rFonts w:cs="Times New Roman"/>
                <w:color w:val="auto"/>
                <w:sz w:val="21"/>
                <w:szCs w:val="21"/>
              </w:rPr>
              <w:t>/h，排放量为</w:t>
            </w:r>
            <w:r>
              <w:rPr>
                <w:rFonts w:hint="eastAsia" w:cs="Times New Roman"/>
                <w:color w:val="auto"/>
                <w:sz w:val="21"/>
                <w:szCs w:val="21"/>
              </w:rPr>
              <w:t>0.0006t</w:t>
            </w:r>
            <w:r>
              <w:rPr>
                <w:rFonts w:cs="Times New Roman"/>
                <w:color w:val="auto"/>
                <w:sz w:val="21"/>
                <w:szCs w:val="21"/>
              </w:rPr>
              <w:t>/a，排放浓度约为</w:t>
            </w:r>
            <w:r>
              <w:rPr>
                <w:rFonts w:hint="eastAsia" w:cs="Times New Roman"/>
                <w:color w:val="auto"/>
                <w:sz w:val="21"/>
                <w:szCs w:val="21"/>
              </w:rPr>
              <w:t>0.027</w:t>
            </w:r>
            <w:r>
              <w:rPr>
                <w:rFonts w:cs="Times New Roman"/>
                <w:color w:val="auto"/>
                <w:sz w:val="21"/>
                <w:szCs w:val="21"/>
              </w:rPr>
              <w:t>mg/m</w:t>
            </w:r>
            <w:r>
              <w:rPr>
                <w:rFonts w:cs="Times New Roman"/>
                <w:color w:val="auto"/>
                <w:sz w:val="21"/>
                <w:szCs w:val="21"/>
                <w:vertAlign w:val="superscript"/>
              </w:rPr>
              <w:t>3</w:t>
            </w:r>
            <w:r>
              <w:rPr>
                <w:rFonts w:cs="Times New Roman"/>
                <w:color w:val="auto"/>
                <w:sz w:val="21"/>
                <w:szCs w:val="21"/>
              </w:rPr>
              <w:t>。</w:t>
            </w:r>
          </w:p>
          <w:p w14:paraId="54038422">
            <w:pPr>
              <w:spacing w:line="360" w:lineRule="auto"/>
              <w:ind w:firstLine="480"/>
              <w:rPr>
                <w:color w:val="auto"/>
                <w:szCs w:val="21"/>
              </w:rPr>
            </w:pPr>
            <w:r>
              <w:rPr>
                <w:rFonts w:hint="eastAsia" w:eastAsia="Times New Roman"/>
                <w:color w:val="auto"/>
                <w:kern w:val="0"/>
              </w:rPr>
              <w:t>（2）</w:t>
            </w:r>
            <w:r>
              <w:rPr>
                <w:rFonts w:hint="eastAsia"/>
                <w:color w:val="auto"/>
                <w:szCs w:val="21"/>
              </w:rPr>
              <w:t>无组织废气</w:t>
            </w:r>
          </w:p>
          <w:p w14:paraId="43BB76EB">
            <w:pPr>
              <w:spacing w:line="360" w:lineRule="auto"/>
              <w:ind w:firstLine="420" w:firstLineChars="200"/>
              <w:rPr>
                <w:rFonts w:hint="eastAsia" w:eastAsia="宋体"/>
                <w:color w:val="auto"/>
                <w:kern w:val="0"/>
                <w:lang w:eastAsia="zh-CN"/>
              </w:rPr>
            </w:pPr>
            <w:r>
              <w:rPr>
                <w:rFonts w:hint="eastAsia" w:eastAsia="宋体"/>
                <w:color w:val="auto"/>
                <w:kern w:val="0"/>
                <w:lang w:eastAsia="zh-CN"/>
              </w:rPr>
              <w:t>①沥青混凝土生产线</w:t>
            </w:r>
          </w:p>
          <w:p w14:paraId="63EDBF91">
            <w:pPr>
              <w:spacing w:line="360" w:lineRule="auto"/>
              <w:ind w:firstLine="480"/>
              <w:rPr>
                <w:color w:val="auto"/>
                <w:szCs w:val="21"/>
              </w:rPr>
            </w:pPr>
            <w:r>
              <w:rPr>
                <w:rFonts w:hint="eastAsia"/>
                <w:color w:val="auto"/>
                <w:szCs w:val="21"/>
              </w:rPr>
              <w:t>a.</w:t>
            </w:r>
            <w:r>
              <w:rPr>
                <w:rFonts w:ascii="Times New Roman" w:hAnsi="Times New Roman"/>
                <w:color w:val="auto"/>
                <w:spacing w:val="4"/>
                <w:kern w:val="0"/>
                <w:sz w:val="21"/>
                <w:szCs w:val="21"/>
              </w:rPr>
              <w:t>物料运输、储存和装卸</w:t>
            </w:r>
            <w:r>
              <w:rPr>
                <w:rFonts w:hint="eastAsia"/>
                <w:color w:val="auto"/>
                <w:szCs w:val="21"/>
              </w:rPr>
              <w:t>时产生的粉尘</w:t>
            </w:r>
          </w:p>
          <w:p w14:paraId="190D5158">
            <w:pPr>
              <w:pStyle w:val="38"/>
              <w:ind w:firstLine="436" w:firstLineChars="200"/>
              <w:rPr>
                <w:rFonts w:ascii="Times New Roman" w:hAnsi="Times New Roman"/>
                <w:color w:val="auto"/>
                <w:spacing w:val="4"/>
                <w:kern w:val="0"/>
                <w:sz w:val="21"/>
                <w:szCs w:val="21"/>
              </w:rPr>
            </w:pPr>
            <w:r>
              <w:rPr>
                <w:rFonts w:hint="eastAsia" w:ascii="Times New Roman" w:hAnsi="Times New Roman"/>
                <w:color w:val="auto"/>
                <w:spacing w:val="4"/>
                <w:kern w:val="0"/>
                <w:sz w:val="21"/>
                <w:szCs w:val="21"/>
              </w:rPr>
              <w:t>沥青砼生产过程中，</w:t>
            </w:r>
            <w:r>
              <w:rPr>
                <w:rFonts w:ascii="Times New Roman" w:hAnsi="Times New Roman"/>
                <w:color w:val="auto"/>
                <w:spacing w:val="4"/>
                <w:kern w:val="0"/>
                <w:sz w:val="21"/>
                <w:szCs w:val="21"/>
              </w:rPr>
              <w:t>本项目原料仓库采用轻钢式结构，四周封闭并加盖顶棚，可较大程度的减少原料储存风蚀产生的粉尘。经以上措施处理后，可使该部分粉尘</w:t>
            </w:r>
            <w:r>
              <w:rPr>
                <w:rFonts w:hint="eastAsia" w:ascii="Times New Roman" w:hAnsi="Times New Roman"/>
                <w:color w:val="auto"/>
                <w:spacing w:val="4"/>
                <w:kern w:val="0"/>
                <w:sz w:val="21"/>
                <w:szCs w:val="21"/>
              </w:rPr>
              <w:t>无组织的</w:t>
            </w:r>
            <w:r>
              <w:rPr>
                <w:rFonts w:ascii="Times New Roman" w:hAnsi="Times New Roman"/>
                <w:color w:val="auto"/>
                <w:spacing w:val="4"/>
                <w:kern w:val="0"/>
                <w:sz w:val="21"/>
                <w:szCs w:val="21"/>
              </w:rPr>
              <w:t>排放量减少90%左右，根据《逸散性工业粉尘控制技术》</w:t>
            </w:r>
            <w:r>
              <w:rPr>
                <w:rFonts w:hint="eastAsia" w:ascii="Times New Roman" w:hAnsi="Times New Roman"/>
                <w:color w:val="auto"/>
                <w:spacing w:val="4"/>
                <w:kern w:val="0"/>
                <w:sz w:val="21"/>
                <w:szCs w:val="21"/>
              </w:rPr>
              <w:t>，</w:t>
            </w:r>
            <w:r>
              <w:rPr>
                <w:rFonts w:ascii="Times New Roman" w:hAnsi="Times New Roman"/>
                <w:color w:val="auto"/>
                <w:spacing w:val="4"/>
                <w:kern w:val="0"/>
                <w:sz w:val="21"/>
                <w:szCs w:val="21"/>
              </w:rPr>
              <w:t>本项目</w:t>
            </w:r>
            <w:r>
              <w:rPr>
                <w:rFonts w:hint="eastAsia" w:ascii="Times New Roman" w:hAnsi="Times New Roman"/>
                <w:color w:val="auto"/>
                <w:spacing w:val="4"/>
                <w:kern w:val="0"/>
                <w:sz w:val="21"/>
                <w:szCs w:val="21"/>
              </w:rPr>
              <w:t>沥青砼生产过程</w:t>
            </w:r>
            <w:r>
              <w:rPr>
                <w:rFonts w:ascii="Times New Roman" w:hAnsi="Times New Roman"/>
                <w:color w:val="auto"/>
                <w:spacing w:val="4"/>
                <w:kern w:val="0"/>
                <w:sz w:val="21"/>
                <w:szCs w:val="21"/>
              </w:rPr>
              <w:t>物料运输、储存和装卸粉尘排放量约为0.0</w:t>
            </w:r>
            <w:r>
              <w:rPr>
                <w:rFonts w:hint="eastAsia" w:ascii="Times New Roman" w:hAnsi="Times New Roman"/>
                <w:color w:val="auto"/>
                <w:spacing w:val="4"/>
                <w:kern w:val="0"/>
                <w:sz w:val="21"/>
                <w:szCs w:val="21"/>
              </w:rPr>
              <w:t>01</w:t>
            </w:r>
            <w:r>
              <w:rPr>
                <w:rFonts w:ascii="Times New Roman" w:hAnsi="Times New Roman"/>
                <w:color w:val="auto"/>
                <w:spacing w:val="4"/>
                <w:kern w:val="0"/>
                <w:sz w:val="21"/>
                <w:szCs w:val="21"/>
              </w:rPr>
              <w:t>kg/t原料，即</w:t>
            </w:r>
            <w:r>
              <w:rPr>
                <w:rFonts w:hint="eastAsia" w:ascii="Times New Roman" w:hAnsi="Times New Roman"/>
                <w:color w:val="auto"/>
                <w:spacing w:val="4"/>
                <w:kern w:val="0"/>
                <w:sz w:val="21"/>
                <w:szCs w:val="21"/>
              </w:rPr>
              <w:t>0.118</w:t>
            </w:r>
            <w:r>
              <w:rPr>
                <w:rFonts w:ascii="Times New Roman" w:hAnsi="Times New Roman"/>
                <w:color w:val="auto"/>
                <w:spacing w:val="4"/>
                <w:kern w:val="0"/>
                <w:sz w:val="21"/>
                <w:szCs w:val="21"/>
              </w:rPr>
              <w:t>t/a，以无组织形式排放。</w:t>
            </w:r>
          </w:p>
          <w:p w14:paraId="22DBE711">
            <w:pPr>
              <w:spacing w:line="360" w:lineRule="auto"/>
              <w:ind w:firstLine="480"/>
              <w:rPr>
                <w:color w:val="auto"/>
                <w:szCs w:val="21"/>
              </w:rPr>
            </w:pPr>
            <w:r>
              <w:rPr>
                <w:rFonts w:hint="eastAsia"/>
                <w:color w:val="auto"/>
                <w:szCs w:val="21"/>
                <w:lang w:val="en-US" w:eastAsia="zh-CN"/>
              </w:rPr>
              <w:t>b</w:t>
            </w:r>
            <w:r>
              <w:rPr>
                <w:rFonts w:hint="eastAsia"/>
                <w:color w:val="auto"/>
                <w:szCs w:val="21"/>
              </w:rPr>
              <w:t>.沥青混凝土生产线</w:t>
            </w:r>
            <w:r>
              <w:rPr>
                <w:color w:val="auto"/>
                <w:szCs w:val="21"/>
                <w:lang w:bidi="ar"/>
              </w:rPr>
              <w:t>搅拌设备产生</w:t>
            </w:r>
            <w:r>
              <w:rPr>
                <w:rFonts w:hint="eastAsia"/>
                <w:color w:val="auto"/>
                <w:szCs w:val="21"/>
              </w:rPr>
              <w:t>沥青烟气</w:t>
            </w:r>
          </w:p>
          <w:p w14:paraId="2DF40EAA">
            <w:pPr>
              <w:spacing w:line="360" w:lineRule="auto"/>
              <w:ind w:firstLine="480"/>
              <w:rPr>
                <w:color w:val="auto"/>
                <w:szCs w:val="21"/>
              </w:rPr>
            </w:pPr>
            <w:r>
              <w:rPr>
                <w:rFonts w:hint="eastAsia"/>
                <w:color w:val="auto"/>
                <w:szCs w:val="21"/>
              </w:rPr>
              <w:t>加热和混合搅拌工序产生的沥青烟，</w:t>
            </w:r>
            <w:r>
              <w:rPr>
                <w:color w:val="auto"/>
                <w:szCs w:val="21"/>
              </w:rPr>
              <w:t>收集后利用负压风机引至</w:t>
            </w:r>
            <w:r>
              <w:rPr>
                <w:rFonts w:hint="eastAsia"/>
                <w:color w:val="auto"/>
                <w:szCs w:val="21"/>
              </w:rPr>
              <w:t>天然气烘干筒</w:t>
            </w:r>
            <w:r>
              <w:rPr>
                <w:color w:val="auto"/>
                <w:szCs w:val="21"/>
              </w:rPr>
              <w:t>中，烘干滚筒经燃料加热后开始燃烧沥青废气，沥青烟气中的基本成分是碳氢化合物，在一定的温度条件下可以燃烧，当焙烧温度达到790°C以</w:t>
            </w:r>
            <w:r>
              <w:rPr>
                <w:rFonts w:hint="eastAsia"/>
                <w:color w:val="auto"/>
                <w:szCs w:val="21"/>
              </w:rPr>
              <w:t>上时，烃类物质即可燃烧殆尽。</w:t>
            </w:r>
            <w:r>
              <w:rPr>
                <w:color w:val="auto"/>
                <w:szCs w:val="21"/>
              </w:rPr>
              <w:t>经净化焚烧处理后的废气进入</w:t>
            </w:r>
            <w:r>
              <w:rPr>
                <w:rFonts w:hint="eastAsia"/>
                <w:color w:val="auto"/>
                <w:szCs w:val="21"/>
                <w:lang w:val="en-US" w:eastAsia="zh-CN"/>
              </w:rPr>
              <w:t>二级</w:t>
            </w:r>
            <w:r>
              <w:rPr>
                <w:color w:val="auto"/>
                <w:szCs w:val="21"/>
              </w:rPr>
              <w:t>活性炭处理装置进行吸附</w:t>
            </w:r>
            <w:r>
              <w:rPr>
                <w:rFonts w:hint="eastAsia"/>
                <w:color w:val="auto"/>
                <w:szCs w:val="21"/>
              </w:rPr>
              <w:t>，尾气由15m高排气筒（DA002）排放。其余混合在产品内，装车后运输过程中缓慢释放，为无组织排放。则本项目沥青烟的无组织排放量为0.0044t/a、苯并[a]芘的无组织排放量为1×10</w:t>
            </w:r>
            <w:r>
              <w:rPr>
                <w:rFonts w:hint="eastAsia"/>
                <w:color w:val="auto"/>
                <w:szCs w:val="21"/>
                <w:vertAlign w:val="superscript"/>
              </w:rPr>
              <w:t>-5</w:t>
            </w:r>
            <w:r>
              <w:rPr>
                <w:rFonts w:hint="eastAsia"/>
                <w:color w:val="auto"/>
                <w:szCs w:val="21"/>
              </w:rPr>
              <w:t>t/a、非甲烷总烃的无组织排放量为0.0002t/a。</w:t>
            </w:r>
          </w:p>
          <w:p w14:paraId="3901EF91">
            <w:pPr>
              <w:spacing w:line="360" w:lineRule="auto"/>
              <w:ind w:firstLine="420" w:firstLineChars="200"/>
              <w:rPr>
                <w:rFonts w:hint="eastAsia" w:eastAsia="宋体"/>
                <w:color w:val="auto"/>
                <w:kern w:val="0"/>
                <w:lang w:eastAsia="zh-CN"/>
              </w:rPr>
            </w:pPr>
            <w:r>
              <w:rPr>
                <w:rFonts w:hint="eastAsia" w:eastAsia="宋体"/>
                <w:color w:val="auto"/>
                <w:kern w:val="0"/>
                <w:lang w:eastAsia="zh-CN"/>
              </w:rPr>
              <w:t>②水泥稳定土生产线</w:t>
            </w:r>
          </w:p>
          <w:p w14:paraId="39CA480C">
            <w:pPr>
              <w:pStyle w:val="38"/>
              <w:ind w:firstLine="420" w:firstLineChars="200"/>
              <w:rPr>
                <w:rFonts w:ascii="Times New Roman" w:hAnsi="Times New Roman"/>
                <w:color w:val="auto"/>
                <w:sz w:val="21"/>
                <w:szCs w:val="21"/>
              </w:rPr>
            </w:pPr>
            <w:r>
              <w:rPr>
                <w:rFonts w:hint="eastAsia" w:ascii="Times New Roman" w:hAnsi="Times New Roman"/>
                <w:color w:val="auto"/>
                <w:sz w:val="21"/>
                <w:szCs w:val="21"/>
                <w:lang w:val="en-US" w:eastAsia="zh-CN"/>
              </w:rPr>
              <w:t>a</w:t>
            </w:r>
            <w:r>
              <w:rPr>
                <w:rFonts w:hint="eastAsia" w:ascii="Times New Roman" w:hAnsi="Times New Roman"/>
                <w:color w:val="auto"/>
                <w:sz w:val="21"/>
                <w:szCs w:val="21"/>
              </w:rPr>
              <w:t>.卸料粉尘</w:t>
            </w:r>
          </w:p>
          <w:p w14:paraId="262A7177">
            <w:pPr>
              <w:spacing w:line="360" w:lineRule="auto"/>
              <w:ind w:firstLine="420" w:firstLineChars="200"/>
              <w:rPr>
                <w:color w:val="auto"/>
                <w:spacing w:val="4"/>
                <w:kern w:val="0"/>
                <w:szCs w:val="21"/>
              </w:rPr>
            </w:pPr>
            <w:r>
              <w:rPr>
                <w:rFonts w:hint="eastAsia"/>
                <w:color w:val="auto"/>
              </w:rPr>
              <w:t>水稳砼生产过程中，</w:t>
            </w:r>
            <w:r>
              <w:rPr>
                <w:color w:val="auto"/>
                <w:spacing w:val="4"/>
                <w:kern w:val="0"/>
                <w:szCs w:val="21"/>
              </w:rPr>
              <w:t>根据《逸散性工业粉尘控制技术》，在</w:t>
            </w:r>
            <w:r>
              <w:rPr>
                <w:rFonts w:hint="eastAsia"/>
                <w:color w:val="auto"/>
                <w:spacing w:val="4"/>
                <w:kern w:val="0"/>
                <w:szCs w:val="21"/>
              </w:rPr>
              <w:t>卡车自动卸料的过程</w:t>
            </w:r>
            <w:r>
              <w:rPr>
                <w:color w:val="auto"/>
                <w:spacing w:val="4"/>
                <w:kern w:val="0"/>
                <w:szCs w:val="21"/>
              </w:rPr>
              <w:t>中粉尘的产生系数为0.</w:t>
            </w:r>
            <w:r>
              <w:rPr>
                <w:rFonts w:hint="eastAsia"/>
                <w:color w:val="auto"/>
                <w:spacing w:val="4"/>
                <w:kern w:val="0"/>
                <w:szCs w:val="21"/>
              </w:rPr>
              <w:t>01</w:t>
            </w:r>
            <w:r>
              <w:rPr>
                <w:color w:val="auto"/>
                <w:spacing w:val="4"/>
                <w:kern w:val="0"/>
                <w:szCs w:val="21"/>
              </w:rPr>
              <w:t>kg/t原料。</w:t>
            </w:r>
            <w:r>
              <w:rPr>
                <w:rFonts w:hint="eastAsia"/>
                <w:color w:val="auto"/>
                <w:spacing w:val="4"/>
                <w:kern w:val="0"/>
                <w:szCs w:val="21"/>
              </w:rPr>
              <w:t>则卸料过程中产生粉尘量约为1.2</w:t>
            </w:r>
            <w:r>
              <w:rPr>
                <w:color w:val="auto"/>
                <w:spacing w:val="4"/>
                <w:kern w:val="0"/>
                <w:szCs w:val="21"/>
              </w:rPr>
              <w:t>t/a</w:t>
            </w:r>
            <w:r>
              <w:rPr>
                <w:rFonts w:hint="eastAsia"/>
                <w:color w:val="auto"/>
                <w:spacing w:val="4"/>
                <w:kern w:val="0"/>
                <w:szCs w:val="21"/>
              </w:rPr>
              <w:t>，</w:t>
            </w:r>
            <w:r>
              <w:rPr>
                <w:color w:val="auto"/>
                <w:spacing w:val="4"/>
                <w:kern w:val="0"/>
                <w:szCs w:val="21"/>
              </w:rPr>
              <w:t>以无组织形式排放。</w:t>
            </w:r>
          </w:p>
          <w:p w14:paraId="57FB04F2">
            <w:pPr>
              <w:pStyle w:val="37"/>
              <w:ind w:firstLine="420"/>
              <w:rPr>
                <w:rFonts w:eastAsia="Times New Roman" w:cs="Times New Roman"/>
                <w:color w:val="auto"/>
                <w:kern w:val="0"/>
                <w:sz w:val="21"/>
                <w:szCs w:val="24"/>
              </w:rPr>
            </w:pPr>
            <w:r>
              <w:rPr>
                <w:rFonts w:hint="eastAsia" w:eastAsia="宋体" w:cs="Times New Roman"/>
                <w:color w:val="auto"/>
                <w:kern w:val="0"/>
                <w:sz w:val="21"/>
                <w:szCs w:val="24"/>
                <w:lang w:val="en-US" w:eastAsia="zh-CN"/>
              </w:rPr>
              <w:t>b</w:t>
            </w:r>
            <w:r>
              <w:rPr>
                <w:rFonts w:hint="eastAsia" w:eastAsia="Times New Roman" w:cs="Times New Roman"/>
                <w:color w:val="auto"/>
                <w:kern w:val="0"/>
                <w:sz w:val="21"/>
                <w:szCs w:val="24"/>
              </w:rPr>
              <w:t>.水稳砼生产线粉料仓上料粉尘</w:t>
            </w:r>
          </w:p>
          <w:p w14:paraId="016EE04D">
            <w:pPr>
              <w:spacing w:line="360" w:lineRule="auto"/>
              <w:ind w:firstLine="420" w:firstLineChars="200"/>
              <w:jc w:val="left"/>
              <w:textAlignment w:val="baseline"/>
              <w:rPr>
                <w:color w:val="auto"/>
                <w:szCs w:val="21"/>
              </w:rPr>
            </w:pPr>
            <w:r>
              <w:rPr>
                <w:rFonts w:hint="eastAsia"/>
                <w:color w:val="auto"/>
                <w:szCs w:val="21"/>
              </w:rPr>
              <w:t>本项目水泥及</w:t>
            </w:r>
            <w:r>
              <w:rPr>
                <w:rFonts w:hint="eastAsia"/>
                <w:color w:val="auto"/>
                <w:szCs w:val="21"/>
                <w:lang w:val="en-US" w:eastAsia="zh-CN"/>
              </w:rPr>
              <w:t>石粉采用水泥罐和矿粉储备罐</w:t>
            </w:r>
            <w:r>
              <w:rPr>
                <w:rFonts w:hint="eastAsia"/>
                <w:color w:val="auto"/>
                <w:szCs w:val="21"/>
              </w:rPr>
              <w:t>储存，厂区共有3个</w:t>
            </w:r>
            <w:r>
              <w:rPr>
                <w:rFonts w:hint="eastAsia"/>
                <w:color w:val="auto"/>
                <w:szCs w:val="21"/>
                <w:lang w:val="en-US" w:eastAsia="zh-CN"/>
              </w:rPr>
              <w:t>储存罐</w:t>
            </w:r>
            <w:r>
              <w:rPr>
                <w:rFonts w:hint="eastAsia"/>
                <w:color w:val="auto"/>
                <w:szCs w:val="21"/>
              </w:rPr>
              <w:t>，分别为</w:t>
            </w:r>
            <w:r>
              <w:rPr>
                <w:rFonts w:hint="eastAsia"/>
                <w:color w:val="auto"/>
                <w:szCs w:val="21"/>
                <w:lang w:val="en-US" w:eastAsia="zh-CN"/>
              </w:rPr>
              <w:t>2</w:t>
            </w:r>
            <w:r>
              <w:rPr>
                <w:rFonts w:hint="eastAsia"/>
                <w:color w:val="auto"/>
                <w:szCs w:val="21"/>
              </w:rPr>
              <w:t>个水泥</w:t>
            </w:r>
            <w:r>
              <w:rPr>
                <w:rFonts w:hint="eastAsia"/>
                <w:color w:val="auto"/>
                <w:szCs w:val="21"/>
                <w:lang w:val="en-US" w:eastAsia="zh-CN"/>
              </w:rPr>
              <w:t>罐</w:t>
            </w:r>
            <w:r>
              <w:rPr>
                <w:rFonts w:hint="eastAsia"/>
                <w:color w:val="auto"/>
                <w:szCs w:val="21"/>
              </w:rPr>
              <w:t>，1个</w:t>
            </w:r>
            <w:r>
              <w:rPr>
                <w:rFonts w:hint="eastAsia"/>
                <w:color w:val="auto"/>
                <w:szCs w:val="21"/>
                <w:lang w:val="en-US" w:eastAsia="zh-CN"/>
              </w:rPr>
              <w:t>矿粉储备罐</w:t>
            </w:r>
            <w:r>
              <w:rPr>
                <w:rFonts w:hint="eastAsia"/>
                <w:color w:val="auto"/>
                <w:szCs w:val="21"/>
              </w:rPr>
              <w:t>。</w:t>
            </w:r>
          </w:p>
          <w:p w14:paraId="1E9B8E1C">
            <w:pPr>
              <w:spacing w:line="360" w:lineRule="auto"/>
              <w:ind w:firstLine="420" w:firstLineChars="200"/>
              <w:jc w:val="left"/>
              <w:textAlignment w:val="baseline"/>
              <w:rPr>
                <w:color w:val="auto"/>
                <w:szCs w:val="21"/>
              </w:rPr>
            </w:pPr>
            <w:r>
              <w:rPr>
                <w:rFonts w:hint="eastAsia"/>
                <w:color w:val="auto"/>
                <w:szCs w:val="21"/>
              </w:rPr>
              <w:t>项目水泥、</w:t>
            </w:r>
            <w:r>
              <w:rPr>
                <w:rFonts w:hint="eastAsia"/>
                <w:color w:val="auto"/>
                <w:szCs w:val="21"/>
                <w:lang w:val="en-US" w:eastAsia="zh-CN"/>
              </w:rPr>
              <w:t>石粉</w:t>
            </w:r>
            <w:r>
              <w:rPr>
                <w:rFonts w:hint="eastAsia"/>
                <w:color w:val="auto"/>
                <w:szCs w:val="21"/>
              </w:rPr>
              <w:t>在罐装车中通过压力压入</w:t>
            </w:r>
            <w:r>
              <w:rPr>
                <w:rFonts w:hint="eastAsia"/>
                <w:color w:val="auto"/>
                <w:szCs w:val="21"/>
                <w:lang w:val="en-US" w:eastAsia="zh-CN"/>
              </w:rPr>
              <w:t>罐仓</w:t>
            </w:r>
            <w:r>
              <w:rPr>
                <w:rFonts w:hint="eastAsia"/>
                <w:color w:val="auto"/>
                <w:szCs w:val="21"/>
              </w:rPr>
              <w:t>，此时粉尘经</w:t>
            </w:r>
            <w:r>
              <w:rPr>
                <w:rFonts w:hint="eastAsia"/>
                <w:color w:val="auto"/>
                <w:szCs w:val="21"/>
                <w:lang w:val="en-US" w:eastAsia="zh-CN"/>
              </w:rPr>
              <w:t>罐顶自带的</w:t>
            </w:r>
            <w:r>
              <w:rPr>
                <w:rFonts w:hint="eastAsia"/>
                <w:color w:val="auto"/>
                <w:szCs w:val="21"/>
              </w:rPr>
              <w:t>除尘器处理后</w:t>
            </w:r>
            <w:r>
              <w:rPr>
                <w:rFonts w:hint="eastAsia"/>
                <w:color w:val="auto"/>
                <w:szCs w:val="21"/>
                <w:lang w:val="en-US" w:eastAsia="zh-CN"/>
              </w:rPr>
              <w:t>由罐顶</w:t>
            </w:r>
            <w:r>
              <w:rPr>
                <w:rFonts w:hint="eastAsia"/>
                <w:color w:val="auto"/>
                <w:szCs w:val="21"/>
              </w:rPr>
              <w:t>排出。</w:t>
            </w:r>
          </w:p>
          <w:p w14:paraId="137AA35C">
            <w:pPr>
              <w:pStyle w:val="37"/>
              <w:ind w:firstLine="420"/>
              <w:rPr>
                <w:rFonts w:eastAsia="Times New Roman" w:cs="Times New Roman"/>
                <w:color w:val="auto"/>
                <w:kern w:val="0"/>
                <w:sz w:val="21"/>
                <w:szCs w:val="24"/>
              </w:rPr>
            </w:pPr>
            <w:r>
              <w:rPr>
                <w:rFonts w:hint="eastAsia" w:eastAsia="Times New Roman" w:cs="Times New Roman"/>
                <w:color w:val="auto"/>
                <w:kern w:val="0"/>
                <w:sz w:val="21"/>
                <w:szCs w:val="24"/>
              </w:rPr>
              <w:t>项目</w:t>
            </w:r>
            <w:r>
              <w:rPr>
                <w:rFonts w:hint="eastAsia" w:eastAsia="Times New Roman" w:cs="Times New Roman"/>
                <w:color w:val="auto"/>
                <w:kern w:val="0"/>
                <w:sz w:val="21"/>
                <w:szCs w:val="24"/>
                <w:lang w:val="en-US" w:eastAsia="zh-CN"/>
              </w:rPr>
              <w:t>石粉</w:t>
            </w:r>
            <w:r>
              <w:rPr>
                <w:rFonts w:hint="eastAsia" w:eastAsia="Times New Roman" w:cs="Times New Roman"/>
                <w:color w:val="auto"/>
                <w:kern w:val="0"/>
                <w:sz w:val="21"/>
                <w:szCs w:val="24"/>
              </w:rPr>
              <w:t>进料时，</w:t>
            </w:r>
            <w:r>
              <w:rPr>
                <w:rFonts w:hint="eastAsia" w:eastAsia="宋体" w:cs="Times New Roman"/>
                <w:color w:val="auto"/>
                <w:kern w:val="0"/>
                <w:sz w:val="21"/>
                <w:szCs w:val="24"/>
                <w:lang w:val="en-US" w:eastAsia="zh-CN"/>
              </w:rPr>
              <w:t>罐仓</w:t>
            </w:r>
            <w:r>
              <w:rPr>
                <w:rFonts w:hint="eastAsia" w:eastAsia="Times New Roman" w:cs="Times New Roman"/>
                <w:color w:val="auto"/>
                <w:kern w:val="0"/>
                <w:sz w:val="21"/>
                <w:szCs w:val="24"/>
              </w:rPr>
              <w:t>内会有含尘的产生，本项目</w:t>
            </w:r>
            <w:r>
              <w:rPr>
                <w:rFonts w:hint="eastAsia" w:eastAsia="宋体" w:cs="Times New Roman"/>
                <w:color w:val="auto"/>
                <w:kern w:val="0"/>
                <w:sz w:val="21"/>
                <w:szCs w:val="24"/>
                <w:lang w:val="en-US" w:eastAsia="zh-CN"/>
              </w:rPr>
              <w:t>罐仓</w:t>
            </w:r>
            <w:r>
              <w:rPr>
                <w:rFonts w:hint="eastAsia" w:eastAsia="Times New Roman" w:cs="Times New Roman"/>
                <w:color w:val="auto"/>
                <w:kern w:val="0"/>
                <w:sz w:val="21"/>
                <w:szCs w:val="24"/>
              </w:rPr>
              <w:t>仓顶安装布袋除尘装置。</w:t>
            </w:r>
            <w:r>
              <w:rPr>
                <w:rFonts w:hint="eastAsia" w:cs="Times New Roman"/>
                <w:color w:val="auto"/>
                <w:sz w:val="21"/>
                <w:szCs w:val="21"/>
              </w:rPr>
              <w:t>根据《排放源统计调查产排污核算方法和系数手册》（生态环境部公告2021年第24号）中“3021水泥制品制造（含3022砼结构构件制造、3029其他水泥类似制品制造）行业系数手册”行业系数表可知，物料输送储存工序废气量产污系数为22.0标立方米/吨-产品，颗粒物产污系数为0.12千克/吨-产品。</w:t>
            </w:r>
            <w:r>
              <w:rPr>
                <w:rFonts w:hint="eastAsia" w:eastAsia="Times New Roman" w:cs="Times New Roman"/>
                <w:color w:val="auto"/>
                <w:kern w:val="0"/>
                <w:sz w:val="21"/>
                <w:szCs w:val="24"/>
              </w:rPr>
              <w:t>本项目年产20万吨，则废气产生量为1018.52</w:t>
            </w:r>
            <w:r>
              <w:rPr>
                <w:rFonts w:hint="eastAsia" w:eastAsia="Times New Roman" w:cs="Times New Roman"/>
                <w:color w:val="auto"/>
                <w:kern w:val="0"/>
                <w:sz w:val="21"/>
                <w:szCs w:val="21"/>
              </w:rPr>
              <w:t>m</w:t>
            </w:r>
            <w:r>
              <w:rPr>
                <w:rFonts w:hint="eastAsia" w:eastAsia="Times New Roman" w:cs="Times New Roman"/>
                <w:color w:val="auto"/>
                <w:kern w:val="0"/>
                <w:sz w:val="21"/>
                <w:szCs w:val="21"/>
                <w:vertAlign w:val="superscript"/>
              </w:rPr>
              <w:t>3</w:t>
            </w:r>
            <w:r>
              <w:rPr>
                <w:rFonts w:hint="eastAsia" w:eastAsia="Times New Roman" w:cs="Times New Roman"/>
                <w:color w:val="auto"/>
                <w:kern w:val="0"/>
                <w:sz w:val="21"/>
                <w:szCs w:val="21"/>
              </w:rPr>
              <w:t>/h，</w:t>
            </w:r>
            <w:r>
              <w:rPr>
                <w:rFonts w:hint="eastAsia" w:eastAsia="Times New Roman" w:cs="Times New Roman"/>
                <w:color w:val="auto"/>
                <w:kern w:val="0"/>
                <w:sz w:val="21"/>
                <w:szCs w:val="24"/>
              </w:rPr>
              <w:t>粉料仓粉尘产生量约24t/a，粉尘产生的速率</w:t>
            </w:r>
            <w:r>
              <w:rPr>
                <w:rFonts w:hint="eastAsia" w:eastAsia="Times New Roman" w:cs="Times New Roman"/>
                <w:color w:val="auto"/>
                <w:kern w:val="0"/>
                <w:sz w:val="21"/>
                <w:szCs w:val="21"/>
              </w:rPr>
              <w:t>约为5.56kg/h</w:t>
            </w:r>
            <w:r>
              <w:rPr>
                <w:rFonts w:hint="eastAsia" w:cs="Times New Roman"/>
                <w:color w:val="auto"/>
                <w:sz w:val="21"/>
                <w:szCs w:val="21"/>
              </w:rPr>
              <w:t>，产生浓度为5454.53mg/m</w:t>
            </w:r>
            <w:r>
              <w:rPr>
                <w:rFonts w:hint="eastAsia" w:cs="Times New Roman"/>
                <w:color w:val="auto"/>
                <w:sz w:val="21"/>
                <w:szCs w:val="21"/>
                <w:vertAlign w:val="superscript"/>
              </w:rPr>
              <w:t>3</w:t>
            </w:r>
            <w:r>
              <w:rPr>
                <w:rFonts w:hint="eastAsia" w:eastAsia="Times New Roman" w:cs="Times New Roman"/>
                <w:color w:val="auto"/>
                <w:kern w:val="0"/>
                <w:sz w:val="21"/>
                <w:szCs w:val="21"/>
              </w:rPr>
              <w:t>。</w:t>
            </w:r>
            <w:r>
              <w:rPr>
                <w:rFonts w:hint="eastAsia" w:eastAsia="宋体" w:cs="Times New Roman"/>
                <w:color w:val="auto"/>
                <w:kern w:val="0"/>
                <w:sz w:val="21"/>
                <w:szCs w:val="21"/>
                <w:lang w:val="en-US" w:eastAsia="zh-CN"/>
              </w:rPr>
              <w:t>罐体</w:t>
            </w:r>
            <w:r>
              <w:rPr>
                <w:rFonts w:hint="eastAsia" w:eastAsia="Times New Roman" w:cs="Times New Roman"/>
                <w:color w:val="auto"/>
                <w:kern w:val="0"/>
                <w:sz w:val="21"/>
                <w:szCs w:val="21"/>
              </w:rPr>
              <w:t>采用密闭形式，产生的粉尘气体经过</w:t>
            </w:r>
            <w:r>
              <w:rPr>
                <w:rFonts w:hint="eastAsia" w:eastAsia="宋体" w:cs="Times New Roman"/>
                <w:color w:val="auto"/>
                <w:kern w:val="0"/>
                <w:sz w:val="21"/>
                <w:szCs w:val="21"/>
                <w:lang w:val="en-US" w:eastAsia="zh-CN"/>
              </w:rPr>
              <w:t>罐</w:t>
            </w:r>
            <w:r>
              <w:rPr>
                <w:rFonts w:hint="eastAsia" w:eastAsia="Times New Roman" w:cs="Times New Roman"/>
                <w:color w:val="auto"/>
                <w:kern w:val="0"/>
                <w:sz w:val="21"/>
                <w:szCs w:val="21"/>
              </w:rPr>
              <w:t>仓顶</w:t>
            </w:r>
            <w:r>
              <w:rPr>
                <w:rFonts w:hint="eastAsia" w:eastAsia="宋体" w:cs="Times New Roman"/>
                <w:color w:val="auto"/>
                <w:kern w:val="0"/>
                <w:sz w:val="21"/>
                <w:szCs w:val="21"/>
                <w:lang w:val="en-US" w:eastAsia="zh-CN"/>
              </w:rPr>
              <w:t>部</w:t>
            </w:r>
            <w:r>
              <w:rPr>
                <w:rFonts w:hint="eastAsia" w:eastAsia="Times New Roman" w:cs="Times New Roman"/>
                <w:color w:val="auto"/>
                <w:kern w:val="0"/>
                <w:sz w:val="21"/>
                <w:szCs w:val="21"/>
              </w:rPr>
              <w:t>的布袋除尘装置处理后有组织排放。本项目除尘装置对粉尘净化</w:t>
            </w:r>
            <w:r>
              <w:rPr>
                <w:rFonts w:hint="eastAsia" w:eastAsia="Times New Roman" w:cs="Times New Roman"/>
                <w:color w:val="auto"/>
                <w:kern w:val="0"/>
                <w:sz w:val="21"/>
                <w:szCs w:val="24"/>
              </w:rPr>
              <w:t>效率为99.7%左右。则粉尘有组织排放速率约为0.016kg/h，排放浓度为16.36mg/m</w:t>
            </w:r>
            <w:r>
              <w:rPr>
                <w:rFonts w:hint="eastAsia" w:eastAsia="Times New Roman" w:cs="Times New Roman"/>
                <w:color w:val="auto"/>
                <w:kern w:val="0"/>
                <w:sz w:val="21"/>
                <w:szCs w:val="24"/>
                <w:vertAlign w:val="superscript"/>
              </w:rPr>
              <w:t>3</w:t>
            </w:r>
            <w:r>
              <w:rPr>
                <w:rFonts w:hint="eastAsia" w:eastAsia="Times New Roman" w:cs="Times New Roman"/>
                <w:color w:val="auto"/>
                <w:kern w:val="0"/>
                <w:sz w:val="21"/>
                <w:szCs w:val="24"/>
              </w:rPr>
              <w:t>，排放量为0.072t/a。</w:t>
            </w:r>
          </w:p>
          <w:p w14:paraId="4825C448">
            <w:pPr>
              <w:spacing w:line="360" w:lineRule="auto"/>
              <w:ind w:firstLine="480"/>
              <w:rPr>
                <w:color w:val="auto"/>
                <w:szCs w:val="21"/>
              </w:rPr>
            </w:pPr>
            <w:r>
              <w:rPr>
                <w:rFonts w:hint="eastAsia"/>
                <w:color w:val="auto"/>
                <w:szCs w:val="21"/>
                <w:lang w:eastAsia="zh-CN"/>
              </w:rPr>
              <w:t>③</w:t>
            </w:r>
            <w:r>
              <w:rPr>
                <w:rFonts w:hint="eastAsia"/>
                <w:color w:val="auto"/>
                <w:szCs w:val="21"/>
              </w:rPr>
              <w:t>运输扬尘</w:t>
            </w:r>
          </w:p>
          <w:p w14:paraId="44FD905E">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本项目砂石、矿粉、再生料、沥青等原辅料均由汽车进行运输，车辆行驶会产生扬尘。厂区道路进行硬化，采</w:t>
            </w:r>
            <w:r>
              <w:rPr>
                <w:rFonts w:hint="eastAsia" w:cs="Times New Roman"/>
                <w:szCs w:val="21"/>
              </w:rPr>
              <w:t>用在运输车进场道路前设置一个水</w:t>
            </w:r>
            <w:r>
              <w:rPr>
                <w:rFonts w:hint="default" w:ascii="Times New Roman" w:hAnsi="Times New Roman" w:cs="Times New Roman"/>
                <w:szCs w:val="21"/>
              </w:rPr>
              <w:t>槽（4.5m×2m），车辆</w:t>
            </w:r>
            <w:r>
              <w:rPr>
                <w:rFonts w:hint="eastAsia" w:cs="Times New Roman"/>
                <w:szCs w:val="21"/>
              </w:rPr>
              <w:t>通过水槽进入项目区，同时在车辆进出时对车辆进行洒水，以减轻车辆运输扬尘</w:t>
            </w:r>
            <w:r>
              <w:rPr>
                <w:rFonts w:hint="eastAsia" w:ascii="Times New Roman" w:hAnsi="Times New Roman" w:eastAsia="Times New Roman" w:cs="Times New Roman"/>
                <w:kern w:val="0"/>
              </w:rPr>
              <w:t>，矿粉采用专用密封罐车运输，由罐车自备的吹送系统将其输送至全封闭筒仓内，骨料的运输过程必须采用密闭苫布覆盖措施，防止洒落。可有效地降低运输车辆行驶过程中产生的扬尘。采取上述措施后基本抑制了原辅料及产品包装及运输过程产生的扬尘，汽车动力起尘不会对周边环境产生明显的影响。本次评价不再量化。</w:t>
            </w:r>
          </w:p>
          <w:p w14:paraId="2D949F9F">
            <w:pPr>
              <w:spacing w:line="360" w:lineRule="auto"/>
              <w:ind w:firstLine="480"/>
              <w:rPr>
                <w:color w:val="000000"/>
                <w:szCs w:val="21"/>
              </w:rPr>
            </w:pPr>
            <w:r>
              <w:rPr>
                <w:rFonts w:hint="eastAsia"/>
                <w:lang w:eastAsia="zh-CN"/>
              </w:rPr>
              <w:t>④</w:t>
            </w:r>
            <w:r>
              <w:t>恶臭</w:t>
            </w:r>
          </w:p>
          <w:p w14:paraId="3DE6029D">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本项目所用原料之一为沥青，沥青储存在密闭的储罐中，生产时将其加热至120℃-160℃，然后使用沥青泵通过密闭管道将沥青输送至搅拌仓与砂石等进行搅拌。根据相关资料调查，当温度达到80℃左右时，沥青便会发出异味，但由于沥青从输送到搅拌全部在密闭的管道和设施中进行。因此，本项目只在成品出料口处散发出少量的沥青恶臭污染物，不会对周边环境产生明显的影响。本次评价不再量化。</w:t>
            </w:r>
          </w:p>
          <w:p w14:paraId="17A6491F">
            <w:pPr>
              <w:spacing w:line="360" w:lineRule="auto"/>
              <w:ind w:firstLine="420" w:firstLineChars="200"/>
              <w:rPr>
                <w:rFonts w:eastAsia="Times New Roman"/>
                <w:kern w:val="0"/>
              </w:rPr>
            </w:pPr>
            <w:r>
              <w:rPr>
                <w:rFonts w:hint="eastAsia" w:eastAsia="Times New Roman"/>
                <w:kern w:val="0"/>
              </w:rPr>
              <w:t>本项目废气产生及排放情况见表4-</w:t>
            </w:r>
            <w:r>
              <w:rPr>
                <w:rFonts w:hint="eastAsia" w:eastAsia="宋体"/>
                <w:kern w:val="0"/>
                <w:lang w:val="en-US" w:eastAsia="zh-CN"/>
              </w:rPr>
              <w:t>3</w:t>
            </w:r>
            <w:r>
              <w:rPr>
                <w:rFonts w:hint="eastAsia" w:eastAsia="Times New Roman"/>
                <w:kern w:val="0"/>
              </w:rPr>
              <w:t>。</w:t>
            </w:r>
          </w:p>
          <w:p w14:paraId="34AA0CBB">
            <w:pPr>
              <w:spacing w:line="360" w:lineRule="auto"/>
              <w:ind w:firstLine="517" w:firstLineChars="245"/>
              <w:jc w:val="center"/>
            </w:pPr>
            <w:r>
              <w:rPr>
                <w:b/>
                <w:bCs/>
                <w:szCs w:val="21"/>
              </w:rPr>
              <w:t>表</w:t>
            </w:r>
            <w:r>
              <w:rPr>
                <w:rFonts w:hint="eastAsia"/>
                <w:b/>
                <w:bCs/>
                <w:szCs w:val="21"/>
              </w:rPr>
              <w:t>4-</w:t>
            </w:r>
            <w:r>
              <w:rPr>
                <w:rFonts w:hint="eastAsia"/>
                <w:b/>
                <w:bCs/>
                <w:szCs w:val="21"/>
                <w:lang w:val="en-US" w:eastAsia="zh-CN"/>
              </w:rPr>
              <w:t>3</w:t>
            </w:r>
            <w:r>
              <w:rPr>
                <w:rFonts w:hint="eastAsia"/>
                <w:b/>
                <w:bCs/>
                <w:szCs w:val="21"/>
              </w:rPr>
              <w:t xml:space="preserve"> 本</w:t>
            </w:r>
            <w:r>
              <w:rPr>
                <w:b/>
                <w:bCs/>
                <w:szCs w:val="21"/>
              </w:rPr>
              <w:t>项目废气产生情况表</w:t>
            </w:r>
          </w:p>
          <w:tbl>
            <w:tblPr>
              <w:tblStyle w:val="30"/>
              <w:tblW w:w="823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93"/>
              <w:gridCol w:w="835"/>
              <w:gridCol w:w="706"/>
              <w:gridCol w:w="916"/>
              <w:gridCol w:w="874"/>
              <w:gridCol w:w="826"/>
              <w:gridCol w:w="916"/>
              <w:gridCol w:w="972"/>
              <w:gridCol w:w="896"/>
            </w:tblGrid>
            <w:tr w14:paraId="7E192E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25" w:hRule="atLeast"/>
              </w:trPr>
              <w:tc>
                <w:tcPr>
                  <w:tcW w:w="1293" w:type="dxa"/>
                  <w:tcBorders>
                    <w:top w:val="single" w:color="auto" w:sz="4" w:space="0"/>
                    <w:left w:val="single" w:color="auto" w:sz="4" w:space="0"/>
                    <w:tl2br w:val="nil"/>
                    <w:tr2bl w:val="nil"/>
                  </w:tcBorders>
                  <w:vAlign w:val="center"/>
                </w:tcPr>
                <w:p w14:paraId="40B320BE">
                  <w:pPr>
                    <w:spacing w:line="240" w:lineRule="atLeast"/>
                    <w:jc w:val="center"/>
                    <w:rPr>
                      <w:b/>
                      <w:szCs w:val="21"/>
                    </w:rPr>
                  </w:pPr>
                  <w:r>
                    <w:rPr>
                      <w:b/>
                      <w:szCs w:val="21"/>
                    </w:rPr>
                    <w:t>排放源</w:t>
                  </w:r>
                </w:p>
              </w:tc>
              <w:tc>
                <w:tcPr>
                  <w:tcW w:w="835" w:type="dxa"/>
                  <w:tcBorders>
                    <w:top w:val="single" w:color="auto" w:sz="4" w:space="0"/>
                    <w:tl2br w:val="nil"/>
                    <w:tr2bl w:val="nil"/>
                  </w:tcBorders>
                  <w:vAlign w:val="center"/>
                </w:tcPr>
                <w:p w14:paraId="4A7FA73C">
                  <w:pPr>
                    <w:spacing w:line="240" w:lineRule="atLeast"/>
                    <w:jc w:val="center"/>
                    <w:rPr>
                      <w:b/>
                      <w:szCs w:val="21"/>
                    </w:rPr>
                  </w:pPr>
                  <w:r>
                    <w:rPr>
                      <w:b/>
                      <w:szCs w:val="21"/>
                    </w:rPr>
                    <w:t>主要污染物</w:t>
                  </w:r>
                </w:p>
              </w:tc>
              <w:tc>
                <w:tcPr>
                  <w:tcW w:w="706" w:type="dxa"/>
                  <w:tcBorders>
                    <w:top w:val="single" w:color="auto" w:sz="4" w:space="0"/>
                    <w:tl2br w:val="nil"/>
                    <w:tr2bl w:val="nil"/>
                  </w:tcBorders>
                  <w:vAlign w:val="center"/>
                </w:tcPr>
                <w:p w14:paraId="3AFAAA58">
                  <w:pPr>
                    <w:spacing w:line="240" w:lineRule="atLeast"/>
                    <w:jc w:val="center"/>
                    <w:rPr>
                      <w:b/>
                      <w:szCs w:val="21"/>
                    </w:rPr>
                  </w:pPr>
                  <w:r>
                    <w:rPr>
                      <w:rFonts w:hint="eastAsia"/>
                      <w:b/>
                      <w:szCs w:val="21"/>
                    </w:rPr>
                    <w:t>产生量（t/a）</w:t>
                  </w:r>
                </w:p>
              </w:tc>
              <w:tc>
                <w:tcPr>
                  <w:tcW w:w="916" w:type="dxa"/>
                  <w:tcBorders>
                    <w:top w:val="single" w:color="auto" w:sz="4" w:space="0"/>
                    <w:tl2br w:val="nil"/>
                    <w:tr2bl w:val="nil"/>
                  </w:tcBorders>
                  <w:vAlign w:val="center"/>
                </w:tcPr>
                <w:p w14:paraId="5449B201">
                  <w:pPr>
                    <w:spacing w:line="240" w:lineRule="atLeast"/>
                    <w:jc w:val="center"/>
                    <w:rPr>
                      <w:b/>
                      <w:szCs w:val="21"/>
                    </w:rPr>
                  </w:pPr>
                  <w:r>
                    <w:rPr>
                      <w:b/>
                      <w:szCs w:val="21"/>
                    </w:rPr>
                    <w:t>产生速率kg/h</w:t>
                  </w:r>
                </w:p>
              </w:tc>
              <w:tc>
                <w:tcPr>
                  <w:tcW w:w="874" w:type="dxa"/>
                  <w:tcBorders>
                    <w:top w:val="single" w:color="auto" w:sz="4" w:space="0"/>
                    <w:tl2br w:val="nil"/>
                    <w:tr2bl w:val="nil"/>
                  </w:tcBorders>
                  <w:vAlign w:val="center"/>
                </w:tcPr>
                <w:p w14:paraId="4B8CA885">
                  <w:pPr>
                    <w:spacing w:line="240" w:lineRule="atLeast"/>
                    <w:jc w:val="center"/>
                    <w:rPr>
                      <w:b/>
                      <w:szCs w:val="21"/>
                    </w:rPr>
                  </w:pPr>
                  <w:r>
                    <w:rPr>
                      <w:b/>
                      <w:szCs w:val="21"/>
                    </w:rPr>
                    <w:t>产生浓度mg/m</w:t>
                  </w:r>
                  <w:r>
                    <w:rPr>
                      <w:b/>
                      <w:szCs w:val="21"/>
                      <w:vertAlign w:val="superscript"/>
                    </w:rPr>
                    <w:t>3</w:t>
                  </w:r>
                </w:p>
              </w:tc>
              <w:tc>
                <w:tcPr>
                  <w:tcW w:w="826" w:type="dxa"/>
                  <w:tcBorders>
                    <w:top w:val="single" w:color="auto" w:sz="4" w:space="0"/>
                    <w:tl2br w:val="nil"/>
                    <w:tr2bl w:val="nil"/>
                  </w:tcBorders>
                  <w:vAlign w:val="center"/>
                </w:tcPr>
                <w:p w14:paraId="117D4F6A">
                  <w:pPr>
                    <w:spacing w:line="240" w:lineRule="atLeast"/>
                    <w:jc w:val="center"/>
                    <w:rPr>
                      <w:b/>
                      <w:szCs w:val="21"/>
                    </w:rPr>
                  </w:pPr>
                  <w:r>
                    <w:rPr>
                      <w:rFonts w:hint="eastAsia"/>
                      <w:b/>
                      <w:szCs w:val="21"/>
                    </w:rPr>
                    <w:t>排放量（t/a）</w:t>
                  </w:r>
                </w:p>
              </w:tc>
              <w:tc>
                <w:tcPr>
                  <w:tcW w:w="916" w:type="dxa"/>
                  <w:tcBorders>
                    <w:top w:val="single" w:color="auto" w:sz="4" w:space="0"/>
                    <w:tl2br w:val="nil"/>
                    <w:tr2bl w:val="nil"/>
                  </w:tcBorders>
                  <w:vAlign w:val="center"/>
                </w:tcPr>
                <w:p w14:paraId="235B4BA6">
                  <w:pPr>
                    <w:spacing w:line="240" w:lineRule="atLeast"/>
                    <w:jc w:val="center"/>
                    <w:rPr>
                      <w:b/>
                      <w:szCs w:val="21"/>
                    </w:rPr>
                  </w:pPr>
                  <w:r>
                    <w:rPr>
                      <w:b/>
                      <w:szCs w:val="21"/>
                    </w:rPr>
                    <w:t>排放速率kg/h</w:t>
                  </w:r>
                </w:p>
              </w:tc>
              <w:tc>
                <w:tcPr>
                  <w:tcW w:w="972" w:type="dxa"/>
                  <w:tcBorders>
                    <w:top w:val="single" w:color="auto" w:sz="4" w:space="0"/>
                    <w:right w:val="single" w:color="auto" w:sz="4" w:space="0"/>
                    <w:tl2br w:val="nil"/>
                    <w:tr2bl w:val="nil"/>
                  </w:tcBorders>
                  <w:vAlign w:val="center"/>
                </w:tcPr>
                <w:p w14:paraId="3B426DDF">
                  <w:pPr>
                    <w:spacing w:line="240" w:lineRule="atLeast"/>
                    <w:jc w:val="center"/>
                    <w:rPr>
                      <w:b/>
                      <w:szCs w:val="21"/>
                    </w:rPr>
                  </w:pPr>
                  <w:r>
                    <w:rPr>
                      <w:b/>
                      <w:szCs w:val="21"/>
                    </w:rPr>
                    <w:t>排放浓度mg/m</w:t>
                  </w:r>
                  <w:r>
                    <w:rPr>
                      <w:b/>
                      <w:szCs w:val="21"/>
                      <w:vertAlign w:val="superscript"/>
                    </w:rPr>
                    <w:t>3</w:t>
                  </w:r>
                </w:p>
              </w:tc>
              <w:tc>
                <w:tcPr>
                  <w:tcW w:w="896" w:type="dxa"/>
                  <w:tcBorders>
                    <w:top w:val="single" w:color="auto" w:sz="4" w:space="0"/>
                    <w:right w:val="single" w:color="auto" w:sz="4" w:space="0"/>
                    <w:tl2br w:val="nil"/>
                    <w:tr2bl w:val="nil"/>
                  </w:tcBorders>
                  <w:vAlign w:val="center"/>
                </w:tcPr>
                <w:p w14:paraId="0C4BE853">
                  <w:pPr>
                    <w:tabs>
                      <w:tab w:val="left" w:pos="393"/>
                    </w:tabs>
                    <w:spacing w:line="240" w:lineRule="atLeast"/>
                    <w:jc w:val="left"/>
                    <w:rPr>
                      <w:b/>
                      <w:szCs w:val="21"/>
                    </w:rPr>
                  </w:pPr>
                  <w:r>
                    <w:rPr>
                      <w:rFonts w:hint="eastAsia"/>
                      <w:b/>
                      <w:szCs w:val="21"/>
                    </w:rPr>
                    <w:t>无组织排放量（t/a）</w:t>
                  </w:r>
                </w:p>
              </w:tc>
            </w:tr>
            <w:tr w14:paraId="789D83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2" w:hRule="atLeast"/>
              </w:trPr>
              <w:tc>
                <w:tcPr>
                  <w:tcW w:w="1293" w:type="dxa"/>
                  <w:tcBorders>
                    <w:left w:val="single" w:color="auto" w:sz="4" w:space="0"/>
                    <w:tl2br w:val="nil"/>
                    <w:tr2bl w:val="nil"/>
                  </w:tcBorders>
                  <w:vAlign w:val="center"/>
                </w:tcPr>
                <w:p w14:paraId="40F1FCEA">
                  <w:pPr>
                    <w:spacing w:line="240" w:lineRule="atLeast"/>
                    <w:jc w:val="center"/>
                    <w:rPr>
                      <w:bCs/>
                      <w:color w:val="auto"/>
                      <w:szCs w:val="21"/>
                    </w:rPr>
                  </w:pPr>
                  <w:r>
                    <w:rPr>
                      <w:rFonts w:hint="eastAsia"/>
                      <w:color w:val="auto"/>
                      <w:szCs w:val="20"/>
                    </w:rPr>
                    <w:t>沥青砼生产线</w:t>
                  </w:r>
                  <w:r>
                    <w:rPr>
                      <w:rFonts w:hint="eastAsia" w:eastAsia="Times New Roman"/>
                      <w:color w:val="auto"/>
                      <w:kern w:val="0"/>
                    </w:rPr>
                    <w:t>骨料上料</w:t>
                  </w:r>
                  <w:r>
                    <w:rPr>
                      <w:color w:val="auto"/>
                      <w:szCs w:val="20"/>
                    </w:rPr>
                    <w:t>粉尘</w:t>
                  </w:r>
                </w:p>
              </w:tc>
              <w:tc>
                <w:tcPr>
                  <w:tcW w:w="835" w:type="dxa"/>
                  <w:tcBorders>
                    <w:tl2br w:val="nil"/>
                    <w:tr2bl w:val="nil"/>
                  </w:tcBorders>
                  <w:vAlign w:val="center"/>
                </w:tcPr>
                <w:p w14:paraId="4D8E23EE">
                  <w:pPr>
                    <w:spacing w:line="240" w:lineRule="atLeast"/>
                    <w:jc w:val="center"/>
                    <w:rPr>
                      <w:bCs/>
                      <w:color w:val="auto"/>
                      <w:szCs w:val="21"/>
                    </w:rPr>
                  </w:pPr>
                  <w:r>
                    <w:rPr>
                      <w:rFonts w:hint="eastAsia"/>
                      <w:color w:val="auto"/>
                      <w:szCs w:val="21"/>
                    </w:rPr>
                    <w:t>颗粒物</w:t>
                  </w:r>
                </w:p>
              </w:tc>
              <w:tc>
                <w:tcPr>
                  <w:tcW w:w="706" w:type="dxa"/>
                  <w:tcBorders>
                    <w:tl2br w:val="nil"/>
                    <w:tr2bl w:val="nil"/>
                  </w:tcBorders>
                  <w:vAlign w:val="center"/>
                </w:tcPr>
                <w:p w14:paraId="61B9608A">
                  <w:pPr>
                    <w:spacing w:line="240" w:lineRule="atLeast"/>
                    <w:jc w:val="center"/>
                    <w:rPr>
                      <w:bCs/>
                      <w:color w:val="auto"/>
                      <w:szCs w:val="21"/>
                    </w:rPr>
                  </w:pPr>
                  <w:r>
                    <w:rPr>
                      <w:rFonts w:hint="eastAsia"/>
                      <w:color w:val="auto"/>
                      <w:szCs w:val="20"/>
                    </w:rPr>
                    <w:t>14.4</w:t>
                  </w:r>
                </w:p>
              </w:tc>
              <w:tc>
                <w:tcPr>
                  <w:tcW w:w="916" w:type="dxa"/>
                  <w:tcBorders>
                    <w:tl2br w:val="nil"/>
                    <w:tr2bl w:val="nil"/>
                  </w:tcBorders>
                  <w:vAlign w:val="center"/>
                </w:tcPr>
                <w:p w14:paraId="754DCAAB">
                  <w:pPr>
                    <w:spacing w:line="240" w:lineRule="atLeast"/>
                    <w:jc w:val="center"/>
                    <w:rPr>
                      <w:bCs/>
                      <w:color w:val="auto"/>
                      <w:szCs w:val="21"/>
                    </w:rPr>
                  </w:pPr>
                  <w:r>
                    <w:rPr>
                      <w:rFonts w:hint="eastAsia"/>
                      <w:color w:val="auto"/>
                      <w:szCs w:val="20"/>
                    </w:rPr>
                    <w:t>3.33</w:t>
                  </w:r>
                </w:p>
              </w:tc>
              <w:tc>
                <w:tcPr>
                  <w:tcW w:w="874" w:type="dxa"/>
                  <w:tcBorders>
                    <w:tl2br w:val="nil"/>
                    <w:tr2bl w:val="nil"/>
                  </w:tcBorders>
                  <w:vAlign w:val="center"/>
                </w:tcPr>
                <w:p w14:paraId="36F717F6">
                  <w:pPr>
                    <w:spacing w:line="240" w:lineRule="atLeast"/>
                    <w:jc w:val="center"/>
                    <w:rPr>
                      <w:bCs/>
                      <w:color w:val="auto"/>
                      <w:szCs w:val="21"/>
                    </w:rPr>
                  </w:pPr>
                  <w:r>
                    <w:rPr>
                      <w:rFonts w:hint="eastAsia"/>
                      <w:color w:val="auto"/>
                      <w:szCs w:val="20"/>
                    </w:rPr>
                    <w:t>5454</w:t>
                  </w:r>
                </w:p>
              </w:tc>
              <w:tc>
                <w:tcPr>
                  <w:tcW w:w="826" w:type="dxa"/>
                  <w:tcBorders>
                    <w:tl2br w:val="nil"/>
                    <w:tr2bl w:val="nil"/>
                  </w:tcBorders>
                  <w:vAlign w:val="center"/>
                </w:tcPr>
                <w:p w14:paraId="62D6DC69">
                  <w:pPr>
                    <w:spacing w:line="240" w:lineRule="atLeast"/>
                    <w:jc w:val="center"/>
                    <w:rPr>
                      <w:bCs/>
                      <w:szCs w:val="21"/>
                    </w:rPr>
                  </w:pPr>
                  <w:r>
                    <w:rPr>
                      <w:rFonts w:hint="eastAsia"/>
                      <w:bCs/>
                      <w:szCs w:val="21"/>
                    </w:rPr>
                    <w:t>0.043</w:t>
                  </w:r>
                </w:p>
              </w:tc>
              <w:tc>
                <w:tcPr>
                  <w:tcW w:w="916" w:type="dxa"/>
                  <w:tcBorders>
                    <w:tl2br w:val="nil"/>
                    <w:tr2bl w:val="nil"/>
                  </w:tcBorders>
                  <w:vAlign w:val="center"/>
                </w:tcPr>
                <w:p w14:paraId="7F461C6E">
                  <w:pPr>
                    <w:spacing w:line="240" w:lineRule="atLeast"/>
                    <w:jc w:val="center"/>
                    <w:rPr>
                      <w:bCs/>
                      <w:szCs w:val="21"/>
                    </w:rPr>
                  </w:pPr>
                  <w:r>
                    <w:rPr>
                      <w:rFonts w:hint="eastAsia"/>
                      <w:bCs/>
                      <w:szCs w:val="21"/>
                    </w:rPr>
                    <w:t>0.01</w:t>
                  </w:r>
                </w:p>
              </w:tc>
              <w:tc>
                <w:tcPr>
                  <w:tcW w:w="972" w:type="dxa"/>
                  <w:tcBorders>
                    <w:right w:val="single" w:color="auto" w:sz="4" w:space="0"/>
                    <w:tl2br w:val="nil"/>
                    <w:tr2bl w:val="nil"/>
                  </w:tcBorders>
                  <w:vAlign w:val="center"/>
                </w:tcPr>
                <w:p w14:paraId="40F88D84">
                  <w:pPr>
                    <w:spacing w:line="240" w:lineRule="atLeast"/>
                    <w:jc w:val="center"/>
                    <w:rPr>
                      <w:bCs/>
                      <w:szCs w:val="21"/>
                    </w:rPr>
                  </w:pPr>
                  <w:r>
                    <w:rPr>
                      <w:rFonts w:hint="eastAsia"/>
                      <w:bCs/>
                      <w:szCs w:val="21"/>
                    </w:rPr>
                    <w:t>16.36</w:t>
                  </w:r>
                </w:p>
              </w:tc>
              <w:tc>
                <w:tcPr>
                  <w:tcW w:w="896" w:type="dxa"/>
                  <w:tcBorders>
                    <w:right w:val="single" w:color="auto" w:sz="4" w:space="0"/>
                    <w:tl2br w:val="nil"/>
                    <w:tr2bl w:val="nil"/>
                  </w:tcBorders>
                  <w:vAlign w:val="center"/>
                </w:tcPr>
                <w:p w14:paraId="3719AFD2">
                  <w:pPr>
                    <w:spacing w:line="240" w:lineRule="atLeast"/>
                    <w:jc w:val="center"/>
                    <w:rPr>
                      <w:szCs w:val="21"/>
                      <w:lang w:bidi="ar"/>
                    </w:rPr>
                  </w:pPr>
                  <w:r>
                    <w:rPr>
                      <w:rFonts w:hint="eastAsia"/>
                      <w:szCs w:val="21"/>
                      <w:lang w:bidi="ar"/>
                    </w:rPr>
                    <w:t>0.118</w:t>
                  </w:r>
                </w:p>
              </w:tc>
            </w:tr>
            <w:tr w14:paraId="1CF745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02" w:hRule="atLeast"/>
              </w:trPr>
              <w:tc>
                <w:tcPr>
                  <w:tcW w:w="1293" w:type="dxa"/>
                  <w:vMerge w:val="restart"/>
                  <w:tcBorders>
                    <w:left w:val="single" w:color="auto" w:sz="4" w:space="0"/>
                    <w:tl2br w:val="nil"/>
                    <w:tr2bl w:val="nil"/>
                  </w:tcBorders>
                  <w:vAlign w:val="center"/>
                </w:tcPr>
                <w:p w14:paraId="6436DAC0">
                  <w:pPr>
                    <w:spacing w:line="240" w:lineRule="atLeast"/>
                    <w:jc w:val="center"/>
                    <w:rPr>
                      <w:color w:val="auto"/>
                      <w:szCs w:val="20"/>
                    </w:rPr>
                  </w:pPr>
                  <w:r>
                    <w:rPr>
                      <w:rFonts w:hint="eastAsia"/>
                      <w:color w:val="auto"/>
                      <w:szCs w:val="20"/>
                    </w:rPr>
                    <w:t>沥青砼生产线</w:t>
                  </w:r>
                  <w:r>
                    <w:rPr>
                      <w:color w:val="auto"/>
                    </w:rPr>
                    <w:t>骨料加热</w:t>
                  </w:r>
                  <w:r>
                    <w:rPr>
                      <w:rFonts w:hint="eastAsia"/>
                      <w:color w:val="auto"/>
                    </w:rPr>
                    <w:t>、</w:t>
                  </w:r>
                  <w:r>
                    <w:rPr>
                      <w:rFonts w:hint="eastAsia"/>
                      <w:color w:val="auto"/>
                      <w:szCs w:val="21"/>
                    </w:rPr>
                    <w:t>粉料提升、振动筛分粉尘</w:t>
                  </w:r>
                  <w:r>
                    <w:rPr>
                      <w:rFonts w:hint="eastAsia"/>
                      <w:color w:val="auto"/>
                      <w:szCs w:val="21"/>
                      <w:lang w:val="en-US" w:eastAsia="zh-CN"/>
                    </w:rPr>
                    <w:t>及</w:t>
                  </w:r>
                  <w:r>
                    <w:rPr>
                      <w:rFonts w:hint="eastAsia"/>
                      <w:color w:val="auto"/>
                      <w:szCs w:val="21"/>
                    </w:rPr>
                    <w:t>天然气烘干筒产生的燃气废气</w:t>
                  </w:r>
                </w:p>
              </w:tc>
              <w:tc>
                <w:tcPr>
                  <w:tcW w:w="835" w:type="dxa"/>
                  <w:tcBorders>
                    <w:tl2br w:val="nil"/>
                    <w:tr2bl w:val="nil"/>
                  </w:tcBorders>
                  <w:vAlign w:val="center"/>
                </w:tcPr>
                <w:p w14:paraId="50293DDA">
                  <w:pPr>
                    <w:spacing w:line="240" w:lineRule="atLeast"/>
                    <w:jc w:val="center"/>
                    <w:rPr>
                      <w:rFonts w:hint="eastAsia" w:eastAsia="宋体"/>
                      <w:bCs/>
                      <w:color w:val="auto"/>
                      <w:szCs w:val="21"/>
                      <w:lang w:eastAsia="zh-CN"/>
                    </w:rPr>
                  </w:pPr>
                  <w:r>
                    <w:rPr>
                      <w:rFonts w:hint="eastAsia"/>
                      <w:color w:val="auto"/>
                      <w:szCs w:val="21"/>
                    </w:rPr>
                    <w:t>颗粒物</w:t>
                  </w:r>
                  <w:r>
                    <w:rPr>
                      <w:rFonts w:hint="eastAsia"/>
                      <w:color w:val="auto"/>
                      <w:szCs w:val="21"/>
                      <w:lang w:eastAsia="zh-CN"/>
                    </w:rPr>
                    <w:t>（</w:t>
                  </w:r>
                  <w:r>
                    <w:rPr>
                      <w:rFonts w:hint="eastAsia"/>
                      <w:color w:val="auto"/>
                      <w:szCs w:val="21"/>
                      <w:lang w:val="en-US" w:eastAsia="zh-CN"/>
                    </w:rPr>
                    <w:t>粉尘</w:t>
                  </w:r>
                  <w:r>
                    <w:rPr>
                      <w:rFonts w:hint="eastAsia"/>
                      <w:color w:val="auto"/>
                      <w:szCs w:val="21"/>
                      <w:lang w:eastAsia="zh-CN"/>
                    </w:rPr>
                    <w:t>）</w:t>
                  </w:r>
                </w:p>
              </w:tc>
              <w:tc>
                <w:tcPr>
                  <w:tcW w:w="706" w:type="dxa"/>
                  <w:tcBorders>
                    <w:tl2br w:val="nil"/>
                    <w:tr2bl w:val="nil"/>
                  </w:tcBorders>
                  <w:vAlign w:val="center"/>
                </w:tcPr>
                <w:p w14:paraId="1F3085A5">
                  <w:pPr>
                    <w:spacing w:line="240" w:lineRule="atLeast"/>
                    <w:jc w:val="center"/>
                    <w:rPr>
                      <w:bCs/>
                      <w:color w:val="auto"/>
                      <w:szCs w:val="21"/>
                    </w:rPr>
                  </w:pPr>
                  <w:r>
                    <w:rPr>
                      <w:rFonts w:hint="eastAsia" w:eastAsia="Times New Roman"/>
                      <w:color w:val="auto"/>
                      <w:kern w:val="0"/>
                    </w:rPr>
                    <w:t>15.6</w:t>
                  </w:r>
                </w:p>
              </w:tc>
              <w:tc>
                <w:tcPr>
                  <w:tcW w:w="916" w:type="dxa"/>
                  <w:tcBorders>
                    <w:tl2br w:val="nil"/>
                    <w:tr2bl w:val="nil"/>
                  </w:tcBorders>
                  <w:vAlign w:val="center"/>
                </w:tcPr>
                <w:p w14:paraId="4F9D9A06">
                  <w:pPr>
                    <w:spacing w:line="240" w:lineRule="atLeast"/>
                    <w:jc w:val="center"/>
                    <w:rPr>
                      <w:bCs/>
                      <w:color w:val="auto"/>
                      <w:szCs w:val="21"/>
                    </w:rPr>
                  </w:pPr>
                  <w:r>
                    <w:rPr>
                      <w:rFonts w:hint="eastAsia" w:eastAsia="Times New Roman"/>
                      <w:color w:val="auto"/>
                      <w:kern w:val="0"/>
                    </w:rPr>
                    <w:t>3.61</w:t>
                  </w:r>
                </w:p>
              </w:tc>
              <w:tc>
                <w:tcPr>
                  <w:tcW w:w="874" w:type="dxa"/>
                  <w:tcBorders>
                    <w:tl2br w:val="nil"/>
                    <w:tr2bl w:val="nil"/>
                  </w:tcBorders>
                  <w:vAlign w:val="center"/>
                </w:tcPr>
                <w:p w14:paraId="1D29570A">
                  <w:pPr>
                    <w:spacing w:line="240" w:lineRule="atLeast"/>
                    <w:jc w:val="center"/>
                    <w:rPr>
                      <w:color w:val="auto"/>
                    </w:rPr>
                  </w:pPr>
                  <w:r>
                    <w:rPr>
                      <w:rFonts w:hint="eastAsia" w:eastAsia="Times New Roman"/>
                      <w:color w:val="auto"/>
                      <w:kern w:val="0"/>
                    </w:rPr>
                    <w:t>5200</w:t>
                  </w:r>
                </w:p>
              </w:tc>
              <w:tc>
                <w:tcPr>
                  <w:tcW w:w="826" w:type="dxa"/>
                  <w:vMerge w:val="restart"/>
                  <w:tcBorders>
                    <w:tl2br w:val="nil"/>
                    <w:tr2bl w:val="nil"/>
                  </w:tcBorders>
                  <w:vAlign w:val="center"/>
                </w:tcPr>
                <w:p w14:paraId="15FDCBAE">
                  <w:pPr>
                    <w:spacing w:line="240" w:lineRule="atLeast"/>
                    <w:jc w:val="center"/>
                    <w:rPr>
                      <w:rFonts w:hint="eastAsia" w:eastAsia="Times New Roman"/>
                      <w:kern w:val="0"/>
                    </w:rPr>
                  </w:pPr>
                  <w:r>
                    <w:rPr>
                      <w:rFonts w:hint="eastAsia" w:eastAsia="Times New Roman"/>
                      <w:kern w:val="0"/>
                    </w:rPr>
                    <w:t>0.047</w:t>
                  </w:r>
                </w:p>
              </w:tc>
              <w:tc>
                <w:tcPr>
                  <w:tcW w:w="916" w:type="dxa"/>
                  <w:vMerge w:val="restart"/>
                  <w:tcBorders>
                    <w:tl2br w:val="nil"/>
                    <w:tr2bl w:val="nil"/>
                  </w:tcBorders>
                  <w:vAlign w:val="center"/>
                </w:tcPr>
                <w:p w14:paraId="69AEF0F1">
                  <w:pPr>
                    <w:spacing w:line="240" w:lineRule="atLeast"/>
                    <w:jc w:val="center"/>
                    <w:rPr>
                      <w:rFonts w:hint="eastAsia" w:eastAsia="Times New Roman"/>
                      <w:kern w:val="0"/>
                    </w:rPr>
                  </w:pPr>
                  <w:r>
                    <w:rPr>
                      <w:rFonts w:hint="eastAsia" w:eastAsia="Times New Roman"/>
                      <w:kern w:val="0"/>
                    </w:rPr>
                    <w:t>0.011</w:t>
                  </w:r>
                </w:p>
              </w:tc>
              <w:tc>
                <w:tcPr>
                  <w:tcW w:w="972" w:type="dxa"/>
                  <w:vMerge w:val="restart"/>
                  <w:tcBorders>
                    <w:right w:val="single" w:color="auto" w:sz="4" w:space="0"/>
                    <w:tl2br w:val="nil"/>
                    <w:tr2bl w:val="nil"/>
                  </w:tcBorders>
                  <w:vAlign w:val="center"/>
                </w:tcPr>
                <w:p w14:paraId="33BEAFEA">
                  <w:pPr>
                    <w:spacing w:line="240" w:lineRule="atLeast"/>
                    <w:jc w:val="center"/>
                    <w:rPr>
                      <w:rFonts w:hint="eastAsia" w:eastAsia="Times New Roman"/>
                      <w:kern w:val="0"/>
                    </w:rPr>
                  </w:pPr>
                  <w:r>
                    <w:rPr>
                      <w:rFonts w:hint="eastAsia" w:eastAsia="Times New Roman"/>
                      <w:kern w:val="0"/>
                    </w:rPr>
                    <w:t>15.8</w:t>
                  </w:r>
                </w:p>
              </w:tc>
              <w:tc>
                <w:tcPr>
                  <w:tcW w:w="896" w:type="dxa"/>
                  <w:vMerge w:val="restart"/>
                  <w:tcBorders>
                    <w:right w:val="single" w:color="auto" w:sz="4" w:space="0"/>
                    <w:tl2br w:val="nil"/>
                    <w:tr2bl w:val="nil"/>
                  </w:tcBorders>
                  <w:vAlign w:val="center"/>
                </w:tcPr>
                <w:p w14:paraId="4B0357F3">
                  <w:pPr>
                    <w:spacing w:line="240" w:lineRule="atLeast"/>
                    <w:jc w:val="center"/>
                    <w:rPr>
                      <w:rFonts w:hint="eastAsia" w:eastAsia="宋体"/>
                      <w:szCs w:val="21"/>
                      <w:lang w:val="en-US" w:eastAsia="zh-CN" w:bidi="ar"/>
                    </w:rPr>
                  </w:pPr>
                  <w:r>
                    <w:rPr>
                      <w:rFonts w:hint="eastAsia"/>
                      <w:szCs w:val="21"/>
                      <w:lang w:bidi="ar"/>
                    </w:rPr>
                    <w:t>/</w:t>
                  </w:r>
                </w:p>
              </w:tc>
            </w:tr>
            <w:tr w14:paraId="20F898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1293" w:type="dxa"/>
                  <w:vMerge w:val="continue"/>
                  <w:tcBorders>
                    <w:left w:val="single" w:color="auto" w:sz="4" w:space="0"/>
                    <w:tl2br w:val="nil"/>
                    <w:tr2bl w:val="nil"/>
                  </w:tcBorders>
                  <w:vAlign w:val="center"/>
                </w:tcPr>
                <w:p w14:paraId="0A4A4011">
                  <w:pPr>
                    <w:spacing w:line="240" w:lineRule="atLeast"/>
                    <w:jc w:val="center"/>
                    <w:rPr>
                      <w:rFonts w:hint="eastAsia"/>
                      <w:color w:val="auto"/>
                      <w:szCs w:val="20"/>
                    </w:rPr>
                  </w:pPr>
                </w:p>
              </w:tc>
              <w:tc>
                <w:tcPr>
                  <w:tcW w:w="835" w:type="dxa"/>
                  <w:tcBorders>
                    <w:tl2br w:val="nil"/>
                    <w:tr2bl w:val="nil"/>
                  </w:tcBorders>
                  <w:vAlign w:val="center"/>
                </w:tcPr>
                <w:p w14:paraId="28D682E9">
                  <w:pPr>
                    <w:spacing w:line="240" w:lineRule="atLeast"/>
                    <w:jc w:val="center"/>
                    <w:rPr>
                      <w:rFonts w:hint="default" w:eastAsia="宋体"/>
                      <w:color w:val="auto"/>
                      <w:szCs w:val="21"/>
                      <w:lang w:val="en-US" w:eastAsia="zh-CN"/>
                    </w:rPr>
                  </w:pPr>
                  <w:r>
                    <w:rPr>
                      <w:rFonts w:hint="eastAsia"/>
                      <w:color w:val="auto"/>
                      <w:szCs w:val="21"/>
                      <w:lang w:val="en-US" w:eastAsia="zh-CN"/>
                    </w:rPr>
                    <w:t>颗粒物（烟尘）</w:t>
                  </w:r>
                </w:p>
              </w:tc>
              <w:tc>
                <w:tcPr>
                  <w:tcW w:w="706" w:type="dxa"/>
                  <w:tcBorders>
                    <w:tl2br w:val="nil"/>
                    <w:tr2bl w:val="nil"/>
                  </w:tcBorders>
                  <w:vAlign w:val="center"/>
                </w:tcPr>
                <w:p w14:paraId="2DFE87CC">
                  <w:pPr>
                    <w:spacing w:line="240" w:lineRule="atLeast"/>
                    <w:jc w:val="center"/>
                    <w:rPr>
                      <w:rFonts w:hint="eastAsia" w:eastAsia="Times New Roman"/>
                      <w:color w:val="auto"/>
                      <w:kern w:val="0"/>
                    </w:rPr>
                  </w:pPr>
                  <w:r>
                    <w:rPr>
                      <w:rFonts w:hint="eastAsia" w:ascii="Times New Roman" w:hAnsi="Times New Roman"/>
                      <w:color w:val="auto"/>
                      <w:sz w:val="21"/>
                      <w:szCs w:val="21"/>
                    </w:rPr>
                    <w:t>0.04</w:t>
                  </w:r>
                  <w:r>
                    <w:rPr>
                      <w:rFonts w:hint="eastAsia" w:ascii="Times New Roman" w:hAnsi="Times New Roman"/>
                      <w:color w:val="auto"/>
                      <w:sz w:val="21"/>
                      <w:szCs w:val="21"/>
                      <w:lang w:val="en-US" w:eastAsia="zh-CN"/>
                    </w:rPr>
                    <w:t>6</w:t>
                  </w:r>
                </w:p>
              </w:tc>
              <w:tc>
                <w:tcPr>
                  <w:tcW w:w="916" w:type="dxa"/>
                  <w:tcBorders>
                    <w:tl2br w:val="nil"/>
                    <w:tr2bl w:val="nil"/>
                  </w:tcBorders>
                  <w:vAlign w:val="center"/>
                </w:tcPr>
                <w:p w14:paraId="007ADEF0">
                  <w:pPr>
                    <w:spacing w:line="240" w:lineRule="atLeast"/>
                    <w:jc w:val="center"/>
                    <w:rPr>
                      <w:rFonts w:hint="eastAsia" w:eastAsia="Times New Roman"/>
                      <w:color w:val="auto"/>
                      <w:kern w:val="0"/>
                    </w:rPr>
                  </w:pPr>
                  <w:r>
                    <w:rPr>
                      <w:rFonts w:hint="eastAsia" w:ascii="Times New Roman" w:hAnsi="Times New Roman"/>
                      <w:color w:val="auto"/>
                      <w:sz w:val="21"/>
                      <w:szCs w:val="21"/>
                    </w:rPr>
                    <w:t>0.01</w:t>
                  </w:r>
                  <w:r>
                    <w:rPr>
                      <w:rFonts w:hint="eastAsia" w:ascii="Times New Roman" w:hAnsi="Times New Roman"/>
                      <w:color w:val="auto"/>
                      <w:sz w:val="21"/>
                      <w:szCs w:val="21"/>
                      <w:lang w:val="en-US" w:eastAsia="zh-CN"/>
                    </w:rPr>
                    <w:t>0</w:t>
                  </w:r>
                </w:p>
              </w:tc>
              <w:tc>
                <w:tcPr>
                  <w:tcW w:w="874" w:type="dxa"/>
                  <w:tcBorders>
                    <w:tl2br w:val="nil"/>
                    <w:tr2bl w:val="nil"/>
                  </w:tcBorders>
                  <w:vAlign w:val="center"/>
                </w:tcPr>
                <w:p w14:paraId="4786B97F">
                  <w:pPr>
                    <w:spacing w:line="240" w:lineRule="atLeast"/>
                    <w:jc w:val="center"/>
                    <w:rPr>
                      <w:rFonts w:hint="eastAsia" w:eastAsia="Times New Roman"/>
                      <w:color w:val="auto"/>
                      <w:kern w:val="0"/>
                    </w:rPr>
                  </w:pPr>
                  <w:r>
                    <w:rPr>
                      <w:rFonts w:hint="eastAsia" w:ascii="Times New Roman" w:hAnsi="Times New Roman"/>
                      <w:color w:val="auto"/>
                      <w:sz w:val="21"/>
                      <w:szCs w:val="21"/>
                    </w:rPr>
                    <w:t>2.</w:t>
                  </w:r>
                  <w:r>
                    <w:rPr>
                      <w:rFonts w:hint="eastAsia" w:ascii="Times New Roman" w:hAnsi="Times New Roman"/>
                      <w:color w:val="auto"/>
                      <w:sz w:val="21"/>
                      <w:szCs w:val="21"/>
                      <w:lang w:val="en-US" w:eastAsia="zh-CN"/>
                    </w:rPr>
                    <w:t>54</w:t>
                  </w:r>
                </w:p>
              </w:tc>
              <w:tc>
                <w:tcPr>
                  <w:tcW w:w="826" w:type="dxa"/>
                  <w:vMerge w:val="continue"/>
                  <w:tcBorders>
                    <w:tl2br w:val="nil"/>
                    <w:tr2bl w:val="nil"/>
                  </w:tcBorders>
                  <w:vAlign w:val="center"/>
                </w:tcPr>
                <w:p w14:paraId="5FEF5433">
                  <w:pPr>
                    <w:spacing w:line="240" w:lineRule="atLeast"/>
                    <w:jc w:val="center"/>
                    <w:rPr>
                      <w:rFonts w:hint="eastAsia" w:eastAsia="Times New Roman"/>
                      <w:kern w:val="0"/>
                    </w:rPr>
                  </w:pPr>
                </w:p>
              </w:tc>
              <w:tc>
                <w:tcPr>
                  <w:tcW w:w="916" w:type="dxa"/>
                  <w:vMerge w:val="continue"/>
                  <w:tcBorders>
                    <w:tl2br w:val="nil"/>
                    <w:tr2bl w:val="nil"/>
                  </w:tcBorders>
                  <w:vAlign w:val="center"/>
                </w:tcPr>
                <w:p w14:paraId="59E758C3">
                  <w:pPr>
                    <w:spacing w:line="240" w:lineRule="atLeast"/>
                    <w:jc w:val="center"/>
                    <w:rPr>
                      <w:rFonts w:hint="eastAsia" w:eastAsia="Times New Roman"/>
                      <w:kern w:val="0"/>
                    </w:rPr>
                  </w:pPr>
                </w:p>
              </w:tc>
              <w:tc>
                <w:tcPr>
                  <w:tcW w:w="972" w:type="dxa"/>
                  <w:vMerge w:val="continue"/>
                  <w:tcBorders>
                    <w:right w:val="single" w:color="auto" w:sz="4" w:space="0"/>
                    <w:tl2br w:val="nil"/>
                    <w:tr2bl w:val="nil"/>
                  </w:tcBorders>
                  <w:vAlign w:val="center"/>
                </w:tcPr>
                <w:p w14:paraId="22FA98A6">
                  <w:pPr>
                    <w:spacing w:line="240" w:lineRule="atLeast"/>
                    <w:jc w:val="center"/>
                    <w:rPr>
                      <w:rFonts w:hint="eastAsia" w:eastAsia="Times New Roman"/>
                      <w:kern w:val="0"/>
                    </w:rPr>
                  </w:pPr>
                </w:p>
              </w:tc>
              <w:tc>
                <w:tcPr>
                  <w:tcW w:w="896" w:type="dxa"/>
                  <w:vMerge w:val="continue"/>
                  <w:tcBorders>
                    <w:right w:val="single" w:color="auto" w:sz="4" w:space="0"/>
                    <w:tl2br w:val="nil"/>
                    <w:tr2bl w:val="nil"/>
                  </w:tcBorders>
                  <w:vAlign w:val="center"/>
                </w:tcPr>
                <w:p w14:paraId="62049D19">
                  <w:pPr>
                    <w:spacing w:line="240" w:lineRule="atLeast"/>
                    <w:jc w:val="center"/>
                    <w:rPr>
                      <w:rFonts w:hint="eastAsia" w:eastAsia="宋体"/>
                      <w:szCs w:val="21"/>
                      <w:lang w:val="en-US" w:eastAsia="zh-CN" w:bidi="ar"/>
                    </w:rPr>
                  </w:pPr>
                </w:p>
              </w:tc>
            </w:tr>
            <w:tr w14:paraId="64053F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3" w:hRule="atLeast"/>
              </w:trPr>
              <w:tc>
                <w:tcPr>
                  <w:tcW w:w="1293" w:type="dxa"/>
                  <w:vMerge w:val="continue"/>
                  <w:tcBorders>
                    <w:left w:val="single" w:color="auto" w:sz="4" w:space="0"/>
                    <w:tl2br w:val="nil"/>
                    <w:tr2bl w:val="nil"/>
                  </w:tcBorders>
                  <w:vAlign w:val="center"/>
                </w:tcPr>
                <w:p w14:paraId="5085D98D">
                  <w:pPr>
                    <w:spacing w:line="240" w:lineRule="atLeast"/>
                    <w:jc w:val="center"/>
                    <w:rPr>
                      <w:color w:val="auto"/>
                      <w:szCs w:val="20"/>
                    </w:rPr>
                  </w:pPr>
                </w:p>
              </w:tc>
              <w:tc>
                <w:tcPr>
                  <w:tcW w:w="835" w:type="dxa"/>
                  <w:tcBorders>
                    <w:tl2br w:val="nil"/>
                    <w:tr2bl w:val="nil"/>
                  </w:tcBorders>
                  <w:vAlign w:val="center"/>
                </w:tcPr>
                <w:p w14:paraId="66FBBB73">
                  <w:pPr>
                    <w:spacing w:line="240" w:lineRule="atLeast"/>
                    <w:jc w:val="center"/>
                    <w:rPr>
                      <w:color w:val="auto"/>
                      <w:szCs w:val="21"/>
                    </w:rPr>
                  </w:pPr>
                  <w:r>
                    <w:rPr>
                      <w:rFonts w:hint="eastAsia"/>
                      <w:color w:val="auto"/>
                      <w:szCs w:val="21"/>
                    </w:rPr>
                    <w:t>二氧化硫</w:t>
                  </w:r>
                </w:p>
              </w:tc>
              <w:tc>
                <w:tcPr>
                  <w:tcW w:w="706" w:type="dxa"/>
                  <w:tcBorders>
                    <w:tl2br w:val="nil"/>
                    <w:tr2bl w:val="nil"/>
                  </w:tcBorders>
                  <w:vAlign w:val="center"/>
                </w:tcPr>
                <w:p w14:paraId="581E7534">
                  <w:pPr>
                    <w:jc w:val="center"/>
                    <w:rPr>
                      <w:bCs/>
                      <w:color w:val="auto"/>
                      <w:szCs w:val="21"/>
                    </w:rPr>
                  </w:pPr>
                  <w:r>
                    <w:rPr>
                      <w:rFonts w:hint="eastAsia"/>
                      <w:color w:val="auto"/>
                      <w:szCs w:val="21"/>
                    </w:rPr>
                    <w:t>0.065</w:t>
                  </w:r>
                </w:p>
              </w:tc>
              <w:tc>
                <w:tcPr>
                  <w:tcW w:w="916" w:type="dxa"/>
                  <w:tcBorders>
                    <w:tl2br w:val="nil"/>
                    <w:tr2bl w:val="nil"/>
                  </w:tcBorders>
                  <w:vAlign w:val="center"/>
                </w:tcPr>
                <w:p w14:paraId="51D2CB6D">
                  <w:pPr>
                    <w:adjustRightInd w:val="0"/>
                    <w:snapToGrid w:val="0"/>
                    <w:spacing w:line="240" w:lineRule="exact"/>
                    <w:jc w:val="center"/>
                    <w:rPr>
                      <w:color w:val="auto"/>
                      <w:szCs w:val="21"/>
                      <w:lang w:bidi="ar"/>
                    </w:rPr>
                  </w:pPr>
                  <w:r>
                    <w:rPr>
                      <w:rFonts w:hint="eastAsia"/>
                      <w:color w:val="auto"/>
                      <w:szCs w:val="21"/>
                    </w:rPr>
                    <w:t>0.015</w:t>
                  </w:r>
                </w:p>
              </w:tc>
              <w:tc>
                <w:tcPr>
                  <w:tcW w:w="874" w:type="dxa"/>
                  <w:tcBorders>
                    <w:tl2br w:val="nil"/>
                    <w:tr2bl w:val="nil"/>
                  </w:tcBorders>
                  <w:vAlign w:val="center"/>
                </w:tcPr>
                <w:p w14:paraId="4BCE4015">
                  <w:pPr>
                    <w:adjustRightInd w:val="0"/>
                    <w:snapToGrid w:val="0"/>
                    <w:spacing w:line="240" w:lineRule="exact"/>
                    <w:jc w:val="center"/>
                    <w:rPr>
                      <w:color w:val="auto"/>
                      <w:szCs w:val="21"/>
                      <w:lang w:bidi="ar"/>
                    </w:rPr>
                  </w:pPr>
                  <w:r>
                    <w:rPr>
                      <w:rFonts w:hint="eastAsia"/>
                      <w:color w:val="auto"/>
                      <w:szCs w:val="21"/>
                    </w:rPr>
                    <w:t>3.59</w:t>
                  </w:r>
                </w:p>
              </w:tc>
              <w:tc>
                <w:tcPr>
                  <w:tcW w:w="826" w:type="dxa"/>
                  <w:tcBorders>
                    <w:tl2br w:val="nil"/>
                    <w:tr2bl w:val="nil"/>
                  </w:tcBorders>
                  <w:vAlign w:val="center"/>
                </w:tcPr>
                <w:p w14:paraId="1835B6A2">
                  <w:pPr>
                    <w:jc w:val="center"/>
                    <w:rPr>
                      <w:szCs w:val="21"/>
                      <w:lang w:bidi="ar"/>
                    </w:rPr>
                  </w:pPr>
                  <w:r>
                    <w:rPr>
                      <w:rFonts w:hint="eastAsia"/>
                      <w:szCs w:val="21"/>
                    </w:rPr>
                    <w:t>0.065</w:t>
                  </w:r>
                </w:p>
              </w:tc>
              <w:tc>
                <w:tcPr>
                  <w:tcW w:w="916" w:type="dxa"/>
                  <w:tcBorders>
                    <w:tl2br w:val="nil"/>
                    <w:tr2bl w:val="nil"/>
                  </w:tcBorders>
                  <w:vAlign w:val="center"/>
                </w:tcPr>
                <w:p w14:paraId="5145FD94">
                  <w:pPr>
                    <w:adjustRightInd w:val="0"/>
                    <w:snapToGrid w:val="0"/>
                    <w:spacing w:line="240" w:lineRule="exact"/>
                    <w:jc w:val="center"/>
                    <w:rPr>
                      <w:szCs w:val="21"/>
                      <w:lang w:bidi="ar"/>
                    </w:rPr>
                  </w:pPr>
                  <w:r>
                    <w:rPr>
                      <w:rFonts w:hint="eastAsia"/>
                      <w:szCs w:val="21"/>
                    </w:rPr>
                    <w:t>0.015</w:t>
                  </w:r>
                </w:p>
              </w:tc>
              <w:tc>
                <w:tcPr>
                  <w:tcW w:w="972" w:type="dxa"/>
                  <w:tcBorders>
                    <w:right w:val="single" w:color="auto" w:sz="4" w:space="0"/>
                    <w:tl2br w:val="nil"/>
                    <w:tr2bl w:val="nil"/>
                  </w:tcBorders>
                  <w:vAlign w:val="center"/>
                </w:tcPr>
                <w:p w14:paraId="52A762D0">
                  <w:pPr>
                    <w:adjustRightInd w:val="0"/>
                    <w:snapToGrid w:val="0"/>
                    <w:spacing w:line="240" w:lineRule="exact"/>
                    <w:jc w:val="center"/>
                    <w:rPr>
                      <w:szCs w:val="21"/>
                      <w:lang w:bidi="ar"/>
                    </w:rPr>
                  </w:pPr>
                  <w:r>
                    <w:rPr>
                      <w:rFonts w:hint="eastAsia"/>
                      <w:szCs w:val="21"/>
                    </w:rPr>
                    <w:t>3.59</w:t>
                  </w:r>
                </w:p>
              </w:tc>
              <w:tc>
                <w:tcPr>
                  <w:tcW w:w="896" w:type="dxa"/>
                  <w:tcBorders>
                    <w:right w:val="single" w:color="auto" w:sz="4" w:space="0"/>
                    <w:tl2br w:val="nil"/>
                    <w:tr2bl w:val="nil"/>
                  </w:tcBorders>
                  <w:vAlign w:val="center"/>
                </w:tcPr>
                <w:p w14:paraId="699B29F5">
                  <w:pPr>
                    <w:spacing w:line="240" w:lineRule="atLeast"/>
                    <w:jc w:val="center"/>
                    <w:rPr>
                      <w:szCs w:val="21"/>
                      <w:lang w:bidi="ar"/>
                    </w:rPr>
                  </w:pPr>
                  <w:r>
                    <w:rPr>
                      <w:rFonts w:hint="eastAsia"/>
                      <w:szCs w:val="21"/>
                      <w:lang w:bidi="ar"/>
                    </w:rPr>
                    <w:t>/</w:t>
                  </w:r>
                </w:p>
              </w:tc>
            </w:tr>
            <w:tr w14:paraId="532162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3" w:hRule="atLeast"/>
              </w:trPr>
              <w:tc>
                <w:tcPr>
                  <w:tcW w:w="1293" w:type="dxa"/>
                  <w:vMerge w:val="continue"/>
                  <w:tcBorders>
                    <w:left w:val="single" w:color="auto" w:sz="4" w:space="0"/>
                    <w:tl2br w:val="nil"/>
                    <w:tr2bl w:val="nil"/>
                  </w:tcBorders>
                  <w:vAlign w:val="center"/>
                </w:tcPr>
                <w:p w14:paraId="158BE4E8">
                  <w:pPr>
                    <w:spacing w:line="240" w:lineRule="atLeast"/>
                    <w:jc w:val="center"/>
                    <w:rPr>
                      <w:color w:val="auto"/>
                      <w:szCs w:val="21"/>
                    </w:rPr>
                  </w:pPr>
                </w:p>
              </w:tc>
              <w:tc>
                <w:tcPr>
                  <w:tcW w:w="835" w:type="dxa"/>
                  <w:tcBorders>
                    <w:tl2br w:val="nil"/>
                    <w:tr2bl w:val="nil"/>
                  </w:tcBorders>
                  <w:vAlign w:val="center"/>
                </w:tcPr>
                <w:p w14:paraId="24BC8AC2">
                  <w:pPr>
                    <w:spacing w:line="240" w:lineRule="atLeast"/>
                    <w:jc w:val="center"/>
                    <w:rPr>
                      <w:color w:val="auto"/>
                      <w:szCs w:val="21"/>
                    </w:rPr>
                  </w:pPr>
                  <w:r>
                    <w:rPr>
                      <w:rFonts w:hint="eastAsia"/>
                      <w:color w:val="auto"/>
                      <w:szCs w:val="21"/>
                    </w:rPr>
                    <w:t>氮氧化物</w:t>
                  </w:r>
                </w:p>
              </w:tc>
              <w:tc>
                <w:tcPr>
                  <w:tcW w:w="706" w:type="dxa"/>
                  <w:tcBorders>
                    <w:tl2br w:val="nil"/>
                    <w:tr2bl w:val="nil"/>
                  </w:tcBorders>
                  <w:vAlign w:val="center"/>
                </w:tcPr>
                <w:p w14:paraId="391DC5CA">
                  <w:pPr>
                    <w:jc w:val="center"/>
                    <w:rPr>
                      <w:bCs/>
                      <w:color w:val="auto"/>
                      <w:szCs w:val="21"/>
                    </w:rPr>
                  </w:pPr>
                  <w:r>
                    <w:rPr>
                      <w:rFonts w:hint="eastAsia"/>
                      <w:color w:val="auto"/>
                      <w:szCs w:val="21"/>
                    </w:rPr>
                    <w:t>0.049</w:t>
                  </w:r>
                </w:p>
              </w:tc>
              <w:tc>
                <w:tcPr>
                  <w:tcW w:w="916" w:type="dxa"/>
                  <w:tcBorders>
                    <w:tl2br w:val="nil"/>
                    <w:tr2bl w:val="nil"/>
                  </w:tcBorders>
                  <w:vAlign w:val="center"/>
                </w:tcPr>
                <w:p w14:paraId="7545F792">
                  <w:pPr>
                    <w:adjustRightInd w:val="0"/>
                    <w:snapToGrid w:val="0"/>
                    <w:spacing w:line="240" w:lineRule="exact"/>
                    <w:jc w:val="center"/>
                    <w:rPr>
                      <w:color w:val="auto"/>
                      <w:szCs w:val="21"/>
                      <w:lang w:bidi="ar"/>
                    </w:rPr>
                  </w:pPr>
                  <w:r>
                    <w:rPr>
                      <w:rFonts w:hint="eastAsia"/>
                      <w:color w:val="auto"/>
                      <w:szCs w:val="21"/>
                    </w:rPr>
                    <w:t>0.011</w:t>
                  </w:r>
                </w:p>
              </w:tc>
              <w:tc>
                <w:tcPr>
                  <w:tcW w:w="874" w:type="dxa"/>
                  <w:tcBorders>
                    <w:tl2br w:val="nil"/>
                    <w:tr2bl w:val="nil"/>
                  </w:tcBorders>
                  <w:vAlign w:val="center"/>
                </w:tcPr>
                <w:p w14:paraId="29E6A25E">
                  <w:pPr>
                    <w:adjustRightInd w:val="0"/>
                    <w:snapToGrid w:val="0"/>
                    <w:spacing w:line="240" w:lineRule="exact"/>
                    <w:jc w:val="center"/>
                    <w:rPr>
                      <w:color w:val="auto"/>
                      <w:szCs w:val="21"/>
                      <w:lang w:bidi="ar"/>
                    </w:rPr>
                  </w:pPr>
                  <w:r>
                    <w:rPr>
                      <w:rFonts w:hint="eastAsia"/>
                      <w:color w:val="auto"/>
                      <w:szCs w:val="21"/>
                    </w:rPr>
                    <w:t>2.71</w:t>
                  </w:r>
                </w:p>
              </w:tc>
              <w:tc>
                <w:tcPr>
                  <w:tcW w:w="826" w:type="dxa"/>
                  <w:tcBorders>
                    <w:tl2br w:val="nil"/>
                    <w:tr2bl w:val="nil"/>
                  </w:tcBorders>
                  <w:vAlign w:val="center"/>
                </w:tcPr>
                <w:p w14:paraId="4F96DB7B">
                  <w:pPr>
                    <w:jc w:val="center"/>
                    <w:rPr>
                      <w:szCs w:val="21"/>
                      <w:lang w:bidi="ar"/>
                    </w:rPr>
                  </w:pPr>
                  <w:r>
                    <w:rPr>
                      <w:rFonts w:hint="eastAsia"/>
                      <w:szCs w:val="21"/>
                    </w:rPr>
                    <w:t>0.049</w:t>
                  </w:r>
                </w:p>
              </w:tc>
              <w:tc>
                <w:tcPr>
                  <w:tcW w:w="916" w:type="dxa"/>
                  <w:tcBorders>
                    <w:tl2br w:val="nil"/>
                    <w:tr2bl w:val="nil"/>
                  </w:tcBorders>
                  <w:vAlign w:val="center"/>
                </w:tcPr>
                <w:p w14:paraId="443502CF">
                  <w:pPr>
                    <w:adjustRightInd w:val="0"/>
                    <w:snapToGrid w:val="0"/>
                    <w:spacing w:line="240" w:lineRule="exact"/>
                    <w:jc w:val="center"/>
                    <w:rPr>
                      <w:szCs w:val="21"/>
                      <w:lang w:bidi="ar"/>
                    </w:rPr>
                  </w:pPr>
                  <w:r>
                    <w:rPr>
                      <w:rFonts w:hint="eastAsia"/>
                      <w:szCs w:val="21"/>
                    </w:rPr>
                    <w:t>0.011</w:t>
                  </w:r>
                </w:p>
              </w:tc>
              <w:tc>
                <w:tcPr>
                  <w:tcW w:w="972" w:type="dxa"/>
                  <w:tcBorders>
                    <w:right w:val="single" w:color="auto" w:sz="4" w:space="0"/>
                    <w:tl2br w:val="nil"/>
                    <w:tr2bl w:val="nil"/>
                  </w:tcBorders>
                  <w:vAlign w:val="center"/>
                </w:tcPr>
                <w:p w14:paraId="5F9AFA0A">
                  <w:pPr>
                    <w:adjustRightInd w:val="0"/>
                    <w:snapToGrid w:val="0"/>
                    <w:spacing w:line="240" w:lineRule="exact"/>
                    <w:jc w:val="center"/>
                    <w:rPr>
                      <w:szCs w:val="21"/>
                      <w:lang w:bidi="ar"/>
                    </w:rPr>
                  </w:pPr>
                  <w:r>
                    <w:rPr>
                      <w:rFonts w:hint="eastAsia"/>
                      <w:szCs w:val="21"/>
                    </w:rPr>
                    <w:t>2.71</w:t>
                  </w:r>
                </w:p>
              </w:tc>
              <w:tc>
                <w:tcPr>
                  <w:tcW w:w="896" w:type="dxa"/>
                  <w:tcBorders>
                    <w:right w:val="single" w:color="auto" w:sz="4" w:space="0"/>
                    <w:tl2br w:val="nil"/>
                    <w:tr2bl w:val="nil"/>
                  </w:tcBorders>
                  <w:vAlign w:val="center"/>
                </w:tcPr>
                <w:p w14:paraId="66A65293">
                  <w:pPr>
                    <w:spacing w:line="240" w:lineRule="atLeast"/>
                    <w:jc w:val="center"/>
                    <w:rPr>
                      <w:szCs w:val="21"/>
                      <w:lang w:bidi="ar"/>
                    </w:rPr>
                  </w:pPr>
                  <w:r>
                    <w:rPr>
                      <w:rFonts w:hint="eastAsia"/>
                      <w:szCs w:val="21"/>
                      <w:lang w:bidi="ar"/>
                    </w:rPr>
                    <w:t>/</w:t>
                  </w:r>
                </w:p>
              </w:tc>
            </w:tr>
            <w:tr w14:paraId="417A02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93" w:type="dxa"/>
                  <w:vMerge w:val="restart"/>
                  <w:tcBorders>
                    <w:left w:val="single" w:color="auto" w:sz="4" w:space="0"/>
                    <w:tl2br w:val="nil"/>
                    <w:tr2bl w:val="nil"/>
                  </w:tcBorders>
                  <w:vAlign w:val="center"/>
                </w:tcPr>
                <w:p w14:paraId="0AB192A3">
                  <w:pPr>
                    <w:spacing w:line="240" w:lineRule="atLeast"/>
                    <w:jc w:val="center"/>
                    <w:rPr>
                      <w:rFonts w:hint="eastAsia"/>
                      <w:color w:val="auto"/>
                      <w:szCs w:val="20"/>
                    </w:rPr>
                  </w:pPr>
                  <w:r>
                    <w:rPr>
                      <w:rFonts w:hint="eastAsia"/>
                      <w:color w:val="auto"/>
                      <w:szCs w:val="21"/>
                    </w:rPr>
                    <w:t>沥青烟气</w:t>
                  </w:r>
                </w:p>
              </w:tc>
              <w:tc>
                <w:tcPr>
                  <w:tcW w:w="835" w:type="dxa"/>
                  <w:tcBorders>
                    <w:tl2br w:val="nil"/>
                    <w:tr2bl w:val="nil"/>
                  </w:tcBorders>
                  <w:vAlign w:val="center"/>
                </w:tcPr>
                <w:p w14:paraId="2DA823B3">
                  <w:pPr>
                    <w:spacing w:line="240" w:lineRule="atLeas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沥青烟</w:t>
                  </w:r>
                </w:p>
              </w:tc>
              <w:tc>
                <w:tcPr>
                  <w:tcW w:w="706" w:type="dxa"/>
                  <w:tcBorders>
                    <w:tl2br w:val="nil"/>
                    <w:tr2bl w:val="nil"/>
                  </w:tcBorders>
                  <w:vAlign w:val="center"/>
                </w:tcPr>
                <w:p w14:paraId="34CA9913">
                  <w:pPr>
                    <w:jc w:val="center"/>
                    <w:rPr>
                      <w:rFonts w:hint="eastAsia" w:ascii="Times New Roman" w:hAnsi="Times New Roman" w:eastAsia="宋体" w:cs="Times New Roman"/>
                      <w:bCs/>
                      <w:color w:val="auto"/>
                      <w:kern w:val="2"/>
                      <w:sz w:val="21"/>
                      <w:szCs w:val="21"/>
                      <w:lang w:val="en-US" w:eastAsia="zh-CN" w:bidi="ar-SA"/>
                    </w:rPr>
                  </w:pPr>
                  <w:r>
                    <w:rPr>
                      <w:rFonts w:hint="eastAsia"/>
                      <w:color w:val="auto"/>
                      <w:szCs w:val="21"/>
                    </w:rPr>
                    <w:t>0.11</w:t>
                  </w:r>
                </w:p>
              </w:tc>
              <w:tc>
                <w:tcPr>
                  <w:tcW w:w="916" w:type="dxa"/>
                  <w:tcBorders>
                    <w:tl2br w:val="nil"/>
                    <w:tr2bl w:val="nil"/>
                  </w:tcBorders>
                  <w:vAlign w:val="center"/>
                </w:tcPr>
                <w:p w14:paraId="5F29A985">
                  <w:pPr>
                    <w:adjustRightInd w:val="0"/>
                    <w:snapToGrid w:val="0"/>
                    <w:spacing w:line="240" w:lineRule="exact"/>
                    <w:jc w:val="center"/>
                    <w:rPr>
                      <w:rFonts w:hint="eastAsia" w:ascii="Times New Roman" w:hAnsi="Times New Roman" w:eastAsia="宋体" w:cs="Times New Roman"/>
                      <w:bCs/>
                      <w:color w:val="auto"/>
                      <w:kern w:val="2"/>
                      <w:sz w:val="21"/>
                      <w:szCs w:val="21"/>
                      <w:lang w:val="en-US" w:eastAsia="zh-CN" w:bidi="ar-SA"/>
                    </w:rPr>
                  </w:pPr>
                  <w:r>
                    <w:rPr>
                      <w:rFonts w:hint="eastAsia"/>
                      <w:color w:val="auto"/>
                      <w:szCs w:val="21"/>
                    </w:rPr>
                    <w:t>0.03</w:t>
                  </w:r>
                </w:p>
              </w:tc>
              <w:tc>
                <w:tcPr>
                  <w:tcW w:w="874" w:type="dxa"/>
                  <w:tcBorders>
                    <w:tl2br w:val="nil"/>
                    <w:tr2bl w:val="nil"/>
                  </w:tcBorders>
                  <w:vAlign w:val="center"/>
                </w:tcPr>
                <w:p w14:paraId="6D4BBA19">
                  <w:pPr>
                    <w:adjustRightInd w:val="0"/>
                    <w:snapToGrid w:val="0"/>
                    <w:spacing w:line="240" w:lineRule="exact"/>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rPr>
                    <w:t>2.6</w:t>
                  </w:r>
                </w:p>
              </w:tc>
              <w:tc>
                <w:tcPr>
                  <w:tcW w:w="826" w:type="dxa"/>
                  <w:tcBorders>
                    <w:tl2br w:val="nil"/>
                    <w:tr2bl w:val="nil"/>
                  </w:tcBorders>
                  <w:vAlign w:val="center"/>
                </w:tcPr>
                <w:p w14:paraId="67C78FF1">
                  <w:pPr>
                    <w:adjustRightInd w:val="0"/>
                    <w:snapToGrid w:val="0"/>
                    <w:spacing w:line="240" w:lineRule="atLeast"/>
                    <w:jc w:val="center"/>
                    <w:rPr>
                      <w:rFonts w:hint="eastAsia" w:ascii="Times New Roman" w:hAnsi="Times New Roman" w:eastAsia="宋体" w:cs="Times New Roman"/>
                      <w:kern w:val="2"/>
                      <w:sz w:val="21"/>
                      <w:szCs w:val="21"/>
                      <w:lang w:val="en-US" w:eastAsia="zh-CN" w:bidi="ar-SA"/>
                    </w:rPr>
                  </w:pPr>
                  <w:r>
                    <w:rPr>
                      <w:rFonts w:hint="eastAsia" w:eastAsia="仿宋"/>
                      <w:szCs w:val="21"/>
                      <w:lang w:val="en-US" w:eastAsia="zh-CN"/>
                    </w:rPr>
                    <w:t>0.0495</w:t>
                  </w:r>
                </w:p>
              </w:tc>
              <w:tc>
                <w:tcPr>
                  <w:tcW w:w="916" w:type="dxa"/>
                  <w:tcBorders>
                    <w:tl2br w:val="nil"/>
                    <w:tr2bl w:val="nil"/>
                  </w:tcBorders>
                  <w:vAlign w:val="center"/>
                </w:tcPr>
                <w:p w14:paraId="22C3C821">
                  <w:pPr>
                    <w:adjustRightInd w:val="0"/>
                    <w:snapToGrid w:val="0"/>
                    <w:spacing w:line="240" w:lineRule="atLeast"/>
                    <w:jc w:val="center"/>
                    <w:rPr>
                      <w:rFonts w:hint="eastAsia" w:ascii="Times New Roman" w:hAnsi="Times New Roman" w:eastAsia="宋体" w:cs="Times New Roman"/>
                      <w:kern w:val="2"/>
                      <w:sz w:val="21"/>
                      <w:szCs w:val="21"/>
                      <w:lang w:val="en-US" w:eastAsia="zh-CN" w:bidi="ar-SA"/>
                    </w:rPr>
                  </w:pPr>
                  <w:r>
                    <w:rPr>
                      <w:rFonts w:hint="eastAsia" w:eastAsia="仿宋"/>
                      <w:szCs w:val="21"/>
                      <w:lang w:val="en-US" w:eastAsia="zh-CN"/>
                    </w:rPr>
                    <w:t>0.011</w:t>
                  </w:r>
                </w:p>
              </w:tc>
              <w:tc>
                <w:tcPr>
                  <w:tcW w:w="972" w:type="dxa"/>
                  <w:tcBorders>
                    <w:right w:val="single" w:color="auto" w:sz="4" w:space="0"/>
                    <w:tl2br w:val="nil"/>
                    <w:tr2bl w:val="nil"/>
                  </w:tcBorders>
                  <w:vAlign w:val="center"/>
                </w:tcPr>
                <w:p w14:paraId="58C2CFD0">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eastAsia="仿宋"/>
                      <w:szCs w:val="21"/>
                      <w:lang w:val="en-US" w:eastAsia="zh-CN"/>
                    </w:rPr>
                    <w:t>1.145</w:t>
                  </w:r>
                </w:p>
              </w:tc>
              <w:tc>
                <w:tcPr>
                  <w:tcW w:w="896" w:type="dxa"/>
                  <w:tcBorders>
                    <w:right w:val="single" w:color="auto" w:sz="4" w:space="0"/>
                    <w:tl2br w:val="nil"/>
                    <w:tr2bl w:val="nil"/>
                  </w:tcBorders>
                  <w:vAlign w:val="center"/>
                </w:tcPr>
                <w:p w14:paraId="001B4EB1">
                  <w:pPr>
                    <w:adjustRightInd w:val="0"/>
                    <w:snapToGrid w:val="0"/>
                    <w:spacing w:line="240" w:lineRule="atLeast"/>
                    <w:jc w:val="center"/>
                    <w:rPr>
                      <w:rFonts w:hint="eastAsia" w:ascii="Times New Roman" w:hAnsi="Times New Roman" w:eastAsia="仿宋" w:cs="Times New Roman"/>
                      <w:kern w:val="2"/>
                      <w:sz w:val="21"/>
                      <w:szCs w:val="21"/>
                      <w:lang w:val="en-US" w:eastAsia="zh-CN" w:bidi="ar-SA"/>
                    </w:rPr>
                  </w:pPr>
                  <w:r>
                    <w:rPr>
                      <w:rFonts w:hint="eastAsia"/>
                      <w:color w:val="000000"/>
                      <w:szCs w:val="21"/>
                    </w:rPr>
                    <w:t>0.0044</w:t>
                  </w:r>
                </w:p>
              </w:tc>
            </w:tr>
            <w:tr w14:paraId="2AEE10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93" w:type="dxa"/>
                  <w:vMerge w:val="continue"/>
                  <w:tcBorders>
                    <w:left w:val="single" w:color="auto" w:sz="4" w:space="0"/>
                    <w:tl2br w:val="nil"/>
                    <w:tr2bl w:val="nil"/>
                  </w:tcBorders>
                  <w:vAlign w:val="center"/>
                </w:tcPr>
                <w:p w14:paraId="77C5765E">
                  <w:pPr>
                    <w:spacing w:line="240" w:lineRule="atLeast"/>
                    <w:jc w:val="center"/>
                    <w:rPr>
                      <w:rFonts w:hint="eastAsia"/>
                      <w:color w:val="auto"/>
                      <w:szCs w:val="20"/>
                    </w:rPr>
                  </w:pPr>
                </w:p>
              </w:tc>
              <w:tc>
                <w:tcPr>
                  <w:tcW w:w="835" w:type="dxa"/>
                  <w:tcBorders>
                    <w:tl2br w:val="nil"/>
                    <w:tr2bl w:val="nil"/>
                  </w:tcBorders>
                  <w:vAlign w:val="center"/>
                </w:tcPr>
                <w:p w14:paraId="11BB7909">
                  <w:pPr>
                    <w:spacing w:line="240" w:lineRule="atLeas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苯并芘</w:t>
                  </w:r>
                </w:p>
              </w:tc>
              <w:tc>
                <w:tcPr>
                  <w:tcW w:w="706" w:type="dxa"/>
                  <w:tcBorders>
                    <w:tl2br w:val="nil"/>
                    <w:tr2bl w:val="nil"/>
                  </w:tcBorders>
                  <w:vAlign w:val="center"/>
                </w:tcPr>
                <w:p w14:paraId="3AA512DC">
                  <w:pPr>
                    <w:jc w:val="center"/>
                    <w:rPr>
                      <w:rFonts w:hint="eastAsia" w:ascii="Times New Roman" w:hAnsi="Times New Roman" w:eastAsia="宋体" w:cs="Times New Roman"/>
                      <w:bCs/>
                      <w:color w:val="auto"/>
                      <w:kern w:val="2"/>
                      <w:sz w:val="21"/>
                      <w:szCs w:val="21"/>
                      <w:lang w:val="en-US" w:eastAsia="zh-CN" w:bidi="ar-SA"/>
                    </w:rPr>
                  </w:pPr>
                  <w:r>
                    <w:rPr>
                      <w:rFonts w:hint="eastAsia"/>
                      <w:color w:val="auto"/>
                      <w:szCs w:val="21"/>
                    </w:rPr>
                    <w:t>0.00025</w:t>
                  </w:r>
                </w:p>
              </w:tc>
              <w:tc>
                <w:tcPr>
                  <w:tcW w:w="916" w:type="dxa"/>
                  <w:tcBorders>
                    <w:tl2br w:val="nil"/>
                    <w:tr2bl w:val="nil"/>
                  </w:tcBorders>
                  <w:vAlign w:val="center"/>
                </w:tcPr>
                <w:p w14:paraId="35AFB2D4">
                  <w:pPr>
                    <w:adjustRightInd w:val="0"/>
                    <w:snapToGrid w:val="0"/>
                    <w:spacing w:line="240" w:lineRule="exact"/>
                    <w:jc w:val="center"/>
                    <w:rPr>
                      <w:rFonts w:hint="eastAsia" w:ascii="Times New Roman" w:hAnsi="Times New Roman" w:eastAsia="宋体" w:cs="Times New Roman"/>
                      <w:bCs/>
                      <w:color w:val="auto"/>
                      <w:kern w:val="2"/>
                      <w:sz w:val="21"/>
                      <w:szCs w:val="21"/>
                      <w:lang w:val="en-US" w:eastAsia="zh-CN" w:bidi="ar-SA"/>
                    </w:rPr>
                  </w:pPr>
                  <w:r>
                    <w:rPr>
                      <w:rFonts w:hint="eastAsia"/>
                      <w:color w:val="auto"/>
                      <w:szCs w:val="21"/>
                    </w:rPr>
                    <w:t>5.79×10</w:t>
                  </w:r>
                  <w:r>
                    <w:rPr>
                      <w:rFonts w:hint="eastAsia"/>
                      <w:color w:val="auto"/>
                      <w:szCs w:val="21"/>
                      <w:vertAlign w:val="superscript"/>
                    </w:rPr>
                    <w:t>-5</w:t>
                  </w:r>
                </w:p>
              </w:tc>
              <w:tc>
                <w:tcPr>
                  <w:tcW w:w="874" w:type="dxa"/>
                  <w:tcBorders>
                    <w:tl2br w:val="nil"/>
                    <w:tr2bl w:val="nil"/>
                  </w:tcBorders>
                  <w:vAlign w:val="center"/>
                </w:tcPr>
                <w:p w14:paraId="378A8FD8">
                  <w:pPr>
                    <w:adjustRightInd w:val="0"/>
                    <w:snapToGrid w:val="0"/>
                    <w:spacing w:line="240" w:lineRule="exact"/>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rPr>
                    <w:t>0.0005</w:t>
                  </w:r>
                </w:p>
              </w:tc>
              <w:tc>
                <w:tcPr>
                  <w:tcW w:w="826" w:type="dxa"/>
                  <w:tcBorders>
                    <w:tl2br w:val="nil"/>
                    <w:tr2bl w:val="nil"/>
                  </w:tcBorders>
                  <w:vAlign w:val="center"/>
                </w:tcPr>
                <w:p w14:paraId="3387AD1D">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eastAsia="仿宋"/>
                      <w:szCs w:val="21"/>
                      <w:lang w:val="en-US" w:eastAsia="zh-CN"/>
                    </w:rPr>
                    <w:t>0.00012</w:t>
                  </w:r>
                </w:p>
              </w:tc>
              <w:tc>
                <w:tcPr>
                  <w:tcW w:w="916" w:type="dxa"/>
                  <w:tcBorders>
                    <w:tl2br w:val="nil"/>
                    <w:tr2bl w:val="nil"/>
                  </w:tcBorders>
                  <w:vAlign w:val="center"/>
                </w:tcPr>
                <w:p w14:paraId="1EEE689E">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color w:val="000000"/>
                      <w:szCs w:val="21"/>
                      <w:lang w:val="en-US" w:eastAsia="zh-CN"/>
                    </w:rPr>
                    <w:t>2.77</w:t>
                  </w:r>
                  <w:r>
                    <w:rPr>
                      <w:rFonts w:hint="eastAsia"/>
                      <w:color w:val="000000"/>
                      <w:szCs w:val="21"/>
                    </w:rPr>
                    <w:t>×10</w:t>
                  </w:r>
                  <w:r>
                    <w:rPr>
                      <w:rFonts w:hint="eastAsia"/>
                      <w:color w:val="000000"/>
                      <w:szCs w:val="21"/>
                      <w:vertAlign w:val="superscript"/>
                    </w:rPr>
                    <w:t>-5</w:t>
                  </w:r>
                </w:p>
              </w:tc>
              <w:tc>
                <w:tcPr>
                  <w:tcW w:w="972" w:type="dxa"/>
                  <w:tcBorders>
                    <w:right w:val="single" w:color="auto" w:sz="4" w:space="0"/>
                    <w:tl2br w:val="nil"/>
                    <w:tr2bl w:val="nil"/>
                  </w:tcBorders>
                  <w:vAlign w:val="center"/>
                </w:tcPr>
                <w:p w14:paraId="280416C1">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eastAsia="仿宋"/>
                      <w:szCs w:val="21"/>
                      <w:lang w:val="en-US" w:eastAsia="zh-CN"/>
                    </w:rPr>
                    <w:t>0.0027</w:t>
                  </w:r>
                </w:p>
              </w:tc>
              <w:tc>
                <w:tcPr>
                  <w:tcW w:w="896" w:type="dxa"/>
                  <w:tcBorders>
                    <w:right w:val="single" w:color="auto" w:sz="4" w:space="0"/>
                    <w:tl2br w:val="nil"/>
                    <w:tr2bl w:val="nil"/>
                  </w:tcBorders>
                  <w:vAlign w:val="center"/>
                </w:tcPr>
                <w:p w14:paraId="4A7EBEE1">
                  <w:pPr>
                    <w:adjustRightInd w:val="0"/>
                    <w:snapToGrid w:val="0"/>
                    <w:spacing w:line="240" w:lineRule="atLeast"/>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rPr>
                    <w:t>1×10</w:t>
                  </w:r>
                  <w:r>
                    <w:rPr>
                      <w:rFonts w:hint="eastAsia"/>
                      <w:color w:val="000000"/>
                      <w:szCs w:val="21"/>
                      <w:vertAlign w:val="superscript"/>
                    </w:rPr>
                    <w:t>-5</w:t>
                  </w:r>
                </w:p>
              </w:tc>
            </w:tr>
            <w:tr w14:paraId="00E382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2" w:hRule="atLeast"/>
              </w:trPr>
              <w:tc>
                <w:tcPr>
                  <w:tcW w:w="1293" w:type="dxa"/>
                  <w:vMerge w:val="continue"/>
                  <w:tcBorders>
                    <w:left w:val="single" w:color="auto" w:sz="4" w:space="0"/>
                    <w:tl2br w:val="nil"/>
                    <w:tr2bl w:val="nil"/>
                  </w:tcBorders>
                  <w:vAlign w:val="center"/>
                </w:tcPr>
                <w:p w14:paraId="0EC49CB3">
                  <w:pPr>
                    <w:spacing w:line="240" w:lineRule="atLeast"/>
                    <w:jc w:val="center"/>
                    <w:rPr>
                      <w:rFonts w:hint="eastAsia"/>
                      <w:color w:val="auto"/>
                      <w:szCs w:val="20"/>
                    </w:rPr>
                  </w:pPr>
                </w:p>
              </w:tc>
              <w:tc>
                <w:tcPr>
                  <w:tcW w:w="835" w:type="dxa"/>
                  <w:tcBorders>
                    <w:tl2br w:val="nil"/>
                    <w:tr2bl w:val="nil"/>
                  </w:tcBorders>
                  <w:vAlign w:val="center"/>
                </w:tcPr>
                <w:p w14:paraId="7C488F24">
                  <w:pPr>
                    <w:spacing w:line="240" w:lineRule="atLeas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bidi="ar"/>
                    </w:rPr>
                    <w:t>VOC</w:t>
                  </w:r>
                  <w:r>
                    <w:rPr>
                      <w:rFonts w:hint="eastAsia"/>
                      <w:color w:val="auto"/>
                      <w:szCs w:val="21"/>
                      <w:vertAlign w:val="subscript"/>
                      <w:lang w:bidi="ar"/>
                    </w:rPr>
                    <w:t>S</w:t>
                  </w:r>
                </w:p>
              </w:tc>
              <w:tc>
                <w:tcPr>
                  <w:tcW w:w="706" w:type="dxa"/>
                  <w:tcBorders>
                    <w:tl2br w:val="nil"/>
                    <w:tr2bl w:val="nil"/>
                  </w:tcBorders>
                  <w:vAlign w:val="center"/>
                </w:tcPr>
                <w:p w14:paraId="20A1B08E">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0.005</w:t>
                  </w:r>
                </w:p>
              </w:tc>
              <w:tc>
                <w:tcPr>
                  <w:tcW w:w="916" w:type="dxa"/>
                  <w:tcBorders>
                    <w:tl2br w:val="nil"/>
                    <w:tr2bl w:val="nil"/>
                  </w:tcBorders>
                  <w:vAlign w:val="center"/>
                </w:tcPr>
                <w:p w14:paraId="27F6CD21">
                  <w:pPr>
                    <w:adjustRightInd w:val="0"/>
                    <w:snapToGrid w:val="0"/>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0.001</w:t>
                  </w:r>
                </w:p>
              </w:tc>
              <w:tc>
                <w:tcPr>
                  <w:tcW w:w="874" w:type="dxa"/>
                  <w:tcBorders>
                    <w:tl2br w:val="nil"/>
                    <w:tr2bl w:val="nil"/>
                  </w:tcBorders>
                  <w:vAlign w:val="center"/>
                </w:tcPr>
                <w:p w14:paraId="542B7FF4">
                  <w:pPr>
                    <w:adjustRightInd w:val="0"/>
                    <w:snapToGrid w:val="0"/>
                    <w:spacing w:line="240" w:lineRule="exact"/>
                    <w:jc w:val="center"/>
                    <w:rPr>
                      <w:rFonts w:hint="eastAsia" w:ascii="Times New Roman" w:hAnsi="Times New Roman" w:eastAsia="宋体" w:cs="Times New Roman"/>
                      <w:color w:val="auto"/>
                      <w:kern w:val="2"/>
                      <w:sz w:val="21"/>
                      <w:szCs w:val="21"/>
                      <w:lang w:val="en-US" w:eastAsia="zh-CN" w:bidi="ar"/>
                    </w:rPr>
                  </w:pPr>
                  <w:r>
                    <w:rPr>
                      <w:rFonts w:hint="eastAsia"/>
                      <w:color w:val="auto"/>
                      <w:szCs w:val="21"/>
                      <w:lang w:bidi="ar"/>
                    </w:rPr>
                    <w:t>0.12</w:t>
                  </w:r>
                </w:p>
              </w:tc>
              <w:tc>
                <w:tcPr>
                  <w:tcW w:w="826" w:type="dxa"/>
                  <w:tcBorders>
                    <w:tl2br w:val="nil"/>
                    <w:tr2bl w:val="nil"/>
                  </w:tcBorders>
                  <w:vAlign w:val="center"/>
                </w:tcPr>
                <w:p w14:paraId="7CDD693C">
                  <w:pPr>
                    <w:adjustRightInd w:val="0"/>
                    <w:snapToGrid w:val="0"/>
                    <w:spacing w:line="240" w:lineRule="atLeast"/>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0.0022</w:t>
                  </w:r>
                </w:p>
              </w:tc>
              <w:tc>
                <w:tcPr>
                  <w:tcW w:w="916" w:type="dxa"/>
                  <w:tcBorders>
                    <w:tl2br w:val="nil"/>
                    <w:tr2bl w:val="nil"/>
                  </w:tcBorders>
                  <w:vAlign w:val="center"/>
                </w:tcPr>
                <w:p w14:paraId="6CB3F0C9">
                  <w:pPr>
                    <w:adjustRightInd w:val="0"/>
                    <w:snapToGrid w:val="0"/>
                    <w:spacing w:line="240" w:lineRule="atLeast"/>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0.0005</w:t>
                  </w:r>
                </w:p>
              </w:tc>
              <w:tc>
                <w:tcPr>
                  <w:tcW w:w="972" w:type="dxa"/>
                  <w:tcBorders>
                    <w:right w:val="single" w:color="auto" w:sz="4" w:space="0"/>
                    <w:tl2br w:val="nil"/>
                    <w:tr2bl w:val="nil"/>
                  </w:tcBorders>
                  <w:vAlign w:val="center"/>
                </w:tcPr>
                <w:p w14:paraId="48BA9F78">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color w:val="000000"/>
                      <w:szCs w:val="21"/>
                      <w:lang w:val="en-US" w:eastAsia="zh-CN"/>
                    </w:rPr>
                    <w:t>0.05</w:t>
                  </w:r>
                </w:p>
              </w:tc>
              <w:tc>
                <w:tcPr>
                  <w:tcW w:w="896" w:type="dxa"/>
                  <w:tcBorders>
                    <w:right w:val="single" w:color="auto" w:sz="4" w:space="0"/>
                    <w:tl2br w:val="nil"/>
                    <w:tr2bl w:val="nil"/>
                  </w:tcBorders>
                  <w:vAlign w:val="center"/>
                </w:tcPr>
                <w:p w14:paraId="1B186BD3">
                  <w:pPr>
                    <w:spacing w:line="240" w:lineRule="atLeast"/>
                    <w:jc w:val="center"/>
                    <w:rPr>
                      <w:rFonts w:hint="eastAsia" w:ascii="Times New Roman" w:hAnsi="Times New Roman" w:eastAsia="宋体" w:cs="Times New Roman"/>
                      <w:bCs/>
                      <w:kern w:val="2"/>
                      <w:sz w:val="21"/>
                      <w:szCs w:val="21"/>
                      <w:lang w:val="en-US" w:eastAsia="zh-CN" w:bidi="ar-SA"/>
                    </w:rPr>
                  </w:pPr>
                  <w:r>
                    <w:rPr>
                      <w:rFonts w:hint="eastAsia"/>
                      <w:color w:val="000000"/>
                      <w:szCs w:val="21"/>
                    </w:rPr>
                    <w:t>0.0002</w:t>
                  </w:r>
                </w:p>
              </w:tc>
            </w:tr>
            <w:tr w14:paraId="3D56C4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4" w:hRule="atLeast"/>
              </w:trPr>
              <w:tc>
                <w:tcPr>
                  <w:tcW w:w="1293" w:type="dxa"/>
                  <w:tcBorders>
                    <w:left w:val="single" w:color="auto" w:sz="4" w:space="0"/>
                    <w:tl2br w:val="nil"/>
                    <w:tr2bl w:val="nil"/>
                  </w:tcBorders>
                  <w:vAlign w:val="center"/>
                </w:tcPr>
                <w:p w14:paraId="50196043">
                  <w:pPr>
                    <w:spacing w:line="240" w:lineRule="atLeast"/>
                    <w:jc w:val="center"/>
                    <w:rPr>
                      <w:color w:val="auto"/>
                      <w:szCs w:val="21"/>
                    </w:rPr>
                  </w:pPr>
                  <w:r>
                    <w:rPr>
                      <w:rFonts w:hint="eastAsia"/>
                      <w:color w:val="auto"/>
                      <w:szCs w:val="20"/>
                    </w:rPr>
                    <w:t>水稳砼生产线</w:t>
                  </w:r>
                  <w:r>
                    <w:rPr>
                      <w:rFonts w:hint="eastAsia" w:eastAsia="Times New Roman"/>
                      <w:color w:val="auto"/>
                      <w:kern w:val="0"/>
                    </w:rPr>
                    <w:t>进料粉尘</w:t>
                  </w:r>
                </w:p>
              </w:tc>
              <w:tc>
                <w:tcPr>
                  <w:tcW w:w="835" w:type="dxa"/>
                  <w:tcBorders>
                    <w:tl2br w:val="nil"/>
                    <w:tr2bl w:val="nil"/>
                  </w:tcBorders>
                  <w:vAlign w:val="center"/>
                </w:tcPr>
                <w:p w14:paraId="3A65B371">
                  <w:pPr>
                    <w:spacing w:line="240" w:lineRule="atLeast"/>
                    <w:jc w:val="center"/>
                    <w:rPr>
                      <w:color w:val="auto"/>
                      <w:szCs w:val="21"/>
                      <w:lang w:bidi="ar"/>
                    </w:rPr>
                  </w:pPr>
                  <w:r>
                    <w:rPr>
                      <w:rFonts w:hint="eastAsia"/>
                      <w:color w:val="auto"/>
                      <w:szCs w:val="21"/>
                    </w:rPr>
                    <w:t>颗粒物</w:t>
                  </w:r>
                </w:p>
              </w:tc>
              <w:tc>
                <w:tcPr>
                  <w:tcW w:w="706" w:type="dxa"/>
                  <w:tcBorders>
                    <w:tl2br w:val="nil"/>
                    <w:tr2bl w:val="nil"/>
                  </w:tcBorders>
                  <w:vAlign w:val="center"/>
                </w:tcPr>
                <w:p w14:paraId="49427D2C">
                  <w:pPr>
                    <w:spacing w:line="240" w:lineRule="atLeast"/>
                    <w:jc w:val="center"/>
                    <w:rPr>
                      <w:bCs/>
                      <w:color w:val="auto"/>
                      <w:szCs w:val="21"/>
                    </w:rPr>
                  </w:pPr>
                  <w:r>
                    <w:rPr>
                      <w:rFonts w:hint="eastAsia" w:eastAsia="Times New Roman"/>
                      <w:color w:val="auto"/>
                      <w:kern w:val="0"/>
                    </w:rPr>
                    <w:t>24</w:t>
                  </w:r>
                </w:p>
              </w:tc>
              <w:tc>
                <w:tcPr>
                  <w:tcW w:w="916" w:type="dxa"/>
                  <w:tcBorders>
                    <w:tl2br w:val="nil"/>
                    <w:tr2bl w:val="nil"/>
                  </w:tcBorders>
                  <w:vAlign w:val="center"/>
                </w:tcPr>
                <w:p w14:paraId="160D9733">
                  <w:pPr>
                    <w:spacing w:line="240" w:lineRule="atLeast"/>
                    <w:jc w:val="center"/>
                    <w:rPr>
                      <w:bCs/>
                      <w:color w:val="auto"/>
                      <w:szCs w:val="21"/>
                    </w:rPr>
                  </w:pPr>
                  <w:r>
                    <w:rPr>
                      <w:rFonts w:hint="eastAsia" w:eastAsia="Times New Roman"/>
                      <w:color w:val="auto"/>
                      <w:kern w:val="0"/>
                      <w:szCs w:val="21"/>
                    </w:rPr>
                    <w:t>5.56</w:t>
                  </w:r>
                </w:p>
              </w:tc>
              <w:tc>
                <w:tcPr>
                  <w:tcW w:w="874" w:type="dxa"/>
                  <w:tcBorders>
                    <w:tl2br w:val="nil"/>
                    <w:tr2bl w:val="nil"/>
                  </w:tcBorders>
                  <w:vAlign w:val="center"/>
                </w:tcPr>
                <w:p w14:paraId="1F97BDCB">
                  <w:pPr>
                    <w:spacing w:line="240" w:lineRule="atLeast"/>
                    <w:jc w:val="center"/>
                    <w:rPr>
                      <w:color w:val="auto"/>
                      <w:szCs w:val="21"/>
                    </w:rPr>
                  </w:pPr>
                  <w:r>
                    <w:rPr>
                      <w:rFonts w:hint="eastAsia"/>
                      <w:color w:val="auto"/>
                      <w:szCs w:val="21"/>
                    </w:rPr>
                    <w:t>5454.53</w:t>
                  </w:r>
                </w:p>
              </w:tc>
              <w:tc>
                <w:tcPr>
                  <w:tcW w:w="826" w:type="dxa"/>
                  <w:tcBorders>
                    <w:tl2br w:val="nil"/>
                    <w:tr2bl w:val="nil"/>
                  </w:tcBorders>
                  <w:vAlign w:val="center"/>
                </w:tcPr>
                <w:p w14:paraId="1C5D48BD">
                  <w:pPr>
                    <w:spacing w:line="240" w:lineRule="atLeast"/>
                    <w:jc w:val="center"/>
                    <w:rPr>
                      <w:szCs w:val="21"/>
                    </w:rPr>
                  </w:pPr>
                  <w:r>
                    <w:rPr>
                      <w:rFonts w:hint="eastAsia" w:eastAsia="Times New Roman"/>
                      <w:kern w:val="0"/>
                    </w:rPr>
                    <w:t>0.072</w:t>
                  </w:r>
                </w:p>
              </w:tc>
              <w:tc>
                <w:tcPr>
                  <w:tcW w:w="916" w:type="dxa"/>
                  <w:tcBorders>
                    <w:tl2br w:val="nil"/>
                    <w:tr2bl w:val="nil"/>
                  </w:tcBorders>
                  <w:vAlign w:val="center"/>
                </w:tcPr>
                <w:p w14:paraId="46CFFE3E">
                  <w:pPr>
                    <w:spacing w:line="240" w:lineRule="atLeast"/>
                    <w:jc w:val="center"/>
                    <w:rPr>
                      <w:szCs w:val="21"/>
                    </w:rPr>
                  </w:pPr>
                  <w:r>
                    <w:rPr>
                      <w:rFonts w:hint="eastAsia" w:eastAsia="Times New Roman"/>
                      <w:kern w:val="0"/>
                    </w:rPr>
                    <w:t>0.016</w:t>
                  </w:r>
                </w:p>
              </w:tc>
              <w:tc>
                <w:tcPr>
                  <w:tcW w:w="972" w:type="dxa"/>
                  <w:tcBorders>
                    <w:right w:val="single" w:color="auto" w:sz="4" w:space="0"/>
                    <w:tl2br w:val="nil"/>
                    <w:tr2bl w:val="nil"/>
                  </w:tcBorders>
                  <w:vAlign w:val="center"/>
                </w:tcPr>
                <w:p w14:paraId="2628840B">
                  <w:pPr>
                    <w:spacing w:line="240" w:lineRule="atLeast"/>
                    <w:jc w:val="center"/>
                    <w:rPr>
                      <w:bCs/>
                      <w:szCs w:val="21"/>
                    </w:rPr>
                  </w:pPr>
                  <w:r>
                    <w:rPr>
                      <w:rFonts w:hint="eastAsia" w:eastAsia="Times New Roman"/>
                      <w:kern w:val="0"/>
                    </w:rPr>
                    <w:t>16.36</w:t>
                  </w:r>
                </w:p>
              </w:tc>
              <w:tc>
                <w:tcPr>
                  <w:tcW w:w="896" w:type="dxa"/>
                  <w:tcBorders>
                    <w:right w:val="single" w:color="auto" w:sz="4" w:space="0"/>
                    <w:tl2br w:val="nil"/>
                    <w:tr2bl w:val="nil"/>
                  </w:tcBorders>
                  <w:vAlign w:val="center"/>
                </w:tcPr>
                <w:p w14:paraId="50793AFD">
                  <w:pPr>
                    <w:spacing w:line="240" w:lineRule="atLeast"/>
                    <w:jc w:val="center"/>
                    <w:rPr>
                      <w:szCs w:val="21"/>
                      <w:lang w:bidi="ar"/>
                    </w:rPr>
                  </w:pPr>
                  <w:r>
                    <w:rPr>
                      <w:rFonts w:hint="eastAsia"/>
                      <w:szCs w:val="21"/>
                      <w:lang w:bidi="ar"/>
                    </w:rPr>
                    <w:t>1.2</w:t>
                  </w:r>
                </w:p>
              </w:tc>
            </w:tr>
            <w:tr w14:paraId="697007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9" w:hRule="atLeast"/>
              </w:trPr>
              <w:tc>
                <w:tcPr>
                  <w:tcW w:w="1293" w:type="dxa"/>
                  <w:tcBorders>
                    <w:left w:val="single" w:color="auto" w:sz="4" w:space="0"/>
                    <w:tl2br w:val="nil"/>
                    <w:tr2bl w:val="nil"/>
                  </w:tcBorders>
                  <w:vAlign w:val="center"/>
                </w:tcPr>
                <w:p w14:paraId="4A7A970C">
                  <w:pPr>
                    <w:spacing w:line="240" w:lineRule="atLeast"/>
                    <w:jc w:val="center"/>
                    <w:rPr>
                      <w:color w:val="auto"/>
                    </w:rPr>
                  </w:pPr>
                  <w:r>
                    <w:rPr>
                      <w:rFonts w:hint="eastAsia"/>
                      <w:color w:val="auto"/>
                      <w:szCs w:val="21"/>
                    </w:rPr>
                    <w:t>水稳砼生产线粉尘</w:t>
                  </w:r>
                </w:p>
              </w:tc>
              <w:tc>
                <w:tcPr>
                  <w:tcW w:w="835" w:type="dxa"/>
                  <w:tcBorders>
                    <w:tl2br w:val="nil"/>
                    <w:tr2bl w:val="nil"/>
                  </w:tcBorders>
                  <w:vAlign w:val="center"/>
                </w:tcPr>
                <w:p w14:paraId="3B3B32A8">
                  <w:pPr>
                    <w:spacing w:line="240" w:lineRule="atLeast"/>
                    <w:jc w:val="center"/>
                    <w:rPr>
                      <w:color w:val="auto"/>
                      <w:szCs w:val="21"/>
                    </w:rPr>
                  </w:pPr>
                  <w:r>
                    <w:rPr>
                      <w:rFonts w:hint="eastAsia"/>
                      <w:color w:val="auto"/>
                      <w:szCs w:val="21"/>
                    </w:rPr>
                    <w:t>颗粒物</w:t>
                  </w:r>
                </w:p>
              </w:tc>
              <w:tc>
                <w:tcPr>
                  <w:tcW w:w="706" w:type="dxa"/>
                  <w:tcBorders>
                    <w:tl2br w:val="nil"/>
                    <w:tr2bl w:val="nil"/>
                  </w:tcBorders>
                  <w:vAlign w:val="center"/>
                </w:tcPr>
                <w:p w14:paraId="52AF0B00">
                  <w:pPr>
                    <w:spacing w:line="240" w:lineRule="atLeast"/>
                    <w:jc w:val="center"/>
                    <w:rPr>
                      <w:bCs/>
                      <w:color w:val="auto"/>
                      <w:szCs w:val="21"/>
                    </w:rPr>
                  </w:pPr>
                  <w:r>
                    <w:rPr>
                      <w:rFonts w:hint="eastAsia"/>
                      <w:color w:val="auto"/>
                      <w:szCs w:val="21"/>
                    </w:rPr>
                    <w:t>26</w:t>
                  </w:r>
                </w:p>
              </w:tc>
              <w:tc>
                <w:tcPr>
                  <w:tcW w:w="916" w:type="dxa"/>
                  <w:tcBorders>
                    <w:tl2br w:val="nil"/>
                    <w:tr2bl w:val="nil"/>
                  </w:tcBorders>
                  <w:vAlign w:val="center"/>
                </w:tcPr>
                <w:p w14:paraId="55C4CC59">
                  <w:pPr>
                    <w:spacing w:line="240" w:lineRule="atLeast"/>
                    <w:jc w:val="center"/>
                    <w:rPr>
                      <w:color w:val="auto"/>
                      <w:szCs w:val="21"/>
                    </w:rPr>
                  </w:pPr>
                  <w:r>
                    <w:rPr>
                      <w:rFonts w:hint="eastAsia"/>
                      <w:color w:val="auto"/>
                      <w:szCs w:val="21"/>
                    </w:rPr>
                    <w:t>6.02</w:t>
                  </w:r>
                </w:p>
              </w:tc>
              <w:tc>
                <w:tcPr>
                  <w:tcW w:w="874" w:type="dxa"/>
                  <w:tcBorders>
                    <w:tl2br w:val="nil"/>
                    <w:tr2bl w:val="nil"/>
                  </w:tcBorders>
                  <w:vAlign w:val="center"/>
                </w:tcPr>
                <w:p w14:paraId="3360AC0B">
                  <w:pPr>
                    <w:spacing w:line="240" w:lineRule="atLeast"/>
                    <w:jc w:val="center"/>
                    <w:rPr>
                      <w:bCs/>
                      <w:color w:val="auto"/>
                      <w:szCs w:val="21"/>
                    </w:rPr>
                  </w:pPr>
                  <w:r>
                    <w:rPr>
                      <w:rFonts w:hint="eastAsia"/>
                      <w:color w:val="auto"/>
                      <w:szCs w:val="21"/>
                    </w:rPr>
                    <w:t>5200.03</w:t>
                  </w:r>
                </w:p>
              </w:tc>
              <w:tc>
                <w:tcPr>
                  <w:tcW w:w="826" w:type="dxa"/>
                  <w:tcBorders>
                    <w:tl2br w:val="nil"/>
                    <w:tr2bl w:val="nil"/>
                  </w:tcBorders>
                  <w:vAlign w:val="center"/>
                </w:tcPr>
                <w:p w14:paraId="248A06C5">
                  <w:pPr>
                    <w:spacing w:line="240" w:lineRule="atLeast"/>
                    <w:jc w:val="center"/>
                    <w:rPr>
                      <w:szCs w:val="21"/>
                    </w:rPr>
                  </w:pPr>
                  <w:r>
                    <w:rPr>
                      <w:rFonts w:hint="eastAsia"/>
                      <w:color w:val="000000"/>
                      <w:szCs w:val="21"/>
                    </w:rPr>
                    <w:t>0.026</w:t>
                  </w:r>
                </w:p>
              </w:tc>
              <w:tc>
                <w:tcPr>
                  <w:tcW w:w="916" w:type="dxa"/>
                  <w:tcBorders>
                    <w:tl2br w:val="nil"/>
                    <w:tr2bl w:val="nil"/>
                  </w:tcBorders>
                  <w:vAlign w:val="center"/>
                </w:tcPr>
                <w:p w14:paraId="3D9EEB41">
                  <w:pPr>
                    <w:spacing w:line="240" w:lineRule="atLeast"/>
                    <w:jc w:val="center"/>
                    <w:rPr>
                      <w:szCs w:val="21"/>
                    </w:rPr>
                  </w:pPr>
                  <w:r>
                    <w:rPr>
                      <w:rFonts w:hint="eastAsia"/>
                      <w:color w:val="000000"/>
                      <w:szCs w:val="21"/>
                    </w:rPr>
                    <w:t>0.006</w:t>
                  </w:r>
                </w:p>
              </w:tc>
              <w:tc>
                <w:tcPr>
                  <w:tcW w:w="972" w:type="dxa"/>
                  <w:tcBorders>
                    <w:right w:val="single" w:color="auto" w:sz="4" w:space="0"/>
                    <w:tl2br w:val="nil"/>
                    <w:tr2bl w:val="nil"/>
                  </w:tcBorders>
                  <w:vAlign w:val="center"/>
                </w:tcPr>
                <w:p w14:paraId="4685C0FD">
                  <w:pPr>
                    <w:spacing w:line="240" w:lineRule="atLeast"/>
                    <w:jc w:val="center"/>
                    <w:rPr>
                      <w:bCs/>
                      <w:szCs w:val="21"/>
                    </w:rPr>
                  </w:pPr>
                  <w:r>
                    <w:rPr>
                      <w:rFonts w:hint="eastAsia"/>
                      <w:color w:val="000000"/>
                      <w:szCs w:val="21"/>
                    </w:rPr>
                    <w:t>5.2</w:t>
                  </w:r>
                </w:p>
              </w:tc>
              <w:tc>
                <w:tcPr>
                  <w:tcW w:w="896" w:type="dxa"/>
                  <w:tcBorders>
                    <w:right w:val="single" w:color="auto" w:sz="4" w:space="0"/>
                    <w:tl2br w:val="nil"/>
                    <w:tr2bl w:val="nil"/>
                  </w:tcBorders>
                  <w:vAlign w:val="center"/>
                </w:tcPr>
                <w:p w14:paraId="27344E13">
                  <w:pPr>
                    <w:spacing w:line="240" w:lineRule="atLeast"/>
                    <w:jc w:val="center"/>
                    <w:rPr>
                      <w:szCs w:val="21"/>
                      <w:lang w:bidi="ar"/>
                    </w:rPr>
                  </w:pPr>
                  <w:r>
                    <w:rPr>
                      <w:rFonts w:hint="eastAsia"/>
                      <w:szCs w:val="21"/>
                      <w:lang w:bidi="ar"/>
                    </w:rPr>
                    <w:t>/</w:t>
                  </w:r>
                </w:p>
              </w:tc>
            </w:tr>
            <w:tr w14:paraId="6AF002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1293" w:type="dxa"/>
                  <w:tcBorders>
                    <w:left w:val="single" w:color="auto" w:sz="4" w:space="0"/>
                    <w:bottom w:val="single" w:color="auto" w:sz="4" w:space="0"/>
                    <w:tl2br w:val="nil"/>
                    <w:tr2bl w:val="nil"/>
                  </w:tcBorders>
                  <w:vAlign w:val="center"/>
                </w:tcPr>
                <w:p w14:paraId="4B837E54">
                  <w:pPr>
                    <w:spacing w:line="240" w:lineRule="atLeast"/>
                    <w:jc w:val="center"/>
                    <w:rPr>
                      <w:bCs/>
                      <w:color w:val="auto"/>
                      <w:szCs w:val="21"/>
                    </w:rPr>
                  </w:pPr>
                  <w:r>
                    <w:rPr>
                      <w:rFonts w:hint="eastAsia"/>
                      <w:color w:val="auto"/>
                      <w:szCs w:val="21"/>
                    </w:rPr>
                    <w:t>食堂废气</w:t>
                  </w:r>
                </w:p>
              </w:tc>
              <w:tc>
                <w:tcPr>
                  <w:tcW w:w="835" w:type="dxa"/>
                  <w:tcBorders>
                    <w:bottom w:val="single" w:color="auto" w:sz="4" w:space="0"/>
                    <w:tl2br w:val="nil"/>
                    <w:tr2bl w:val="nil"/>
                  </w:tcBorders>
                  <w:vAlign w:val="center"/>
                </w:tcPr>
                <w:p w14:paraId="258E5F2B">
                  <w:pPr>
                    <w:spacing w:line="240" w:lineRule="atLeast"/>
                    <w:jc w:val="center"/>
                    <w:rPr>
                      <w:bCs/>
                      <w:color w:val="auto"/>
                      <w:szCs w:val="21"/>
                      <w:lang w:bidi="ar"/>
                    </w:rPr>
                  </w:pPr>
                  <w:r>
                    <w:rPr>
                      <w:color w:val="auto"/>
                      <w:szCs w:val="21"/>
                    </w:rPr>
                    <w:t>饮食油烟</w:t>
                  </w:r>
                </w:p>
              </w:tc>
              <w:tc>
                <w:tcPr>
                  <w:tcW w:w="706" w:type="dxa"/>
                  <w:tcBorders>
                    <w:bottom w:val="single" w:color="auto" w:sz="4" w:space="0"/>
                    <w:tl2br w:val="nil"/>
                    <w:tr2bl w:val="nil"/>
                  </w:tcBorders>
                  <w:vAlign w:val="center"/>
                </w:tcPr>
                <w:p w14:paraId="760A88AF">
                  <w:pPr>
                    <w:jc w:val="center"/>
                    <w:rPr>
                      <w:bCs/>
                      <w:color w:val="auto"/>
                      <w:szCs w:val="21"/>
                    </w:rPr>
                  </w:pPr>
                  <w:r>
                    <w:rPr>
                      <w:rFonts w:hint="eastAsia"/>
                      <w:bCs/>
                      <w:color w:val="auto"/>
                      <w:szCs w:val="21"/>
                    </w:rPr>
                    <w:t>0.003</w:t>
                  </w:r>
                </w:p>
              </w:tc>
              <w:tc>
                <w:tcPr>
                  <w:tcW w:w="916" w:type="dxa"/>
                  <w:tcBorders>
                    <w:bottom w:val="single" w:color="auto" w:sz="4" w:space="0"/>
                    <w:tl2br w:val="nil"/>
                    <w:tr2bl w:val="nil"/>
                  </w:tcBorders>
                  <w:vAlign w:val="center"/>
                </w:tcPr>
                <w:p w14:paraId="7B6ED8B4">
                  <w:pPr>
                    <w:jc w:val="center"/>
                    <w:rPr>
                      <w:bCs/>
                      <w:color w:val="auto"/>
                      <w:szCs w:val="21"/>
                    </w:rPr>
                  </w:pPr>
                  <w:r>
                    <w:rPr>
                      <w:rFonts w:hint="eastAsia"/>
                      <w:bCs/>
                      <w:color w:val="auto"/>
                      <w:szCs w:val="21"/>
                    </w:rPr>
                    <w:t>0.007</w:t>
                  </w:r>
                </w:p>
              </w:tc>
              <w:tc>
                <w:tcPr>
                  <w:tcW w:w="874" w:type="dxa"/>
                  <w:tcBorders>
                    <w:bottom w:val="single" w:color="auto" w:sz="4" w:space="0"/>
                    <w:tl2br w:val="nil"/>
                    <w:tr2bl w:val="nil"/>
                  </w:tcBorders>
                  <w:vAlign w:val="center"/>
                </w:tcPr>
                <w:p w14:paraId="1E71AD45">
                  <w:pPr>
                    <w:jc w:val="center"/>
                    <w:rPr>
                      <w:bCs/>
                      <w:color w:val="auto"/>
                      <w:szCs w:val="21"/>
                    </w:rPr>
                  </w:pPr>
                  <w:r>
                    <w:rPr>
                      <w:rFonts w:hint="eastAsia"/>
                      <w:bCs/>
                      <w:color w:val="auto"/>
                      <w:szCs w:val="21"/>
                    </w:rPr>
                    <w:t>1.4</w:t>
                  </w:r>
                </w:p>
              </w:tc>
              <w:tc>
                <w:tcPr>
                  <w:tcW w:w="826" w:type="dxa"/>
                  <w:tcBorders>
                    <w:bottom w:val="single" w:color="auto" w:sz="4" w:space="0"/>
                    <w:tl2br w:val="nil"/>
                    <w:tr2bl w:val="nil"/>
                  </w:tcBorders>
                  <w:vAlign w:val="center"/>
                </w:tcPr>
                <w:p w14:paraId="1931CED9">
                  <w:pPr>
                    <w:jc w:val="center"/>
                    <w:rPr>
                      <w:bCs/>
                      <w:szCs w:val="21"/>
                    </w:rPr>
                  </w:pPr>
                  <w:r>
                    <w:rPr>
                      <w:rFonts w:hint="eastAsia"/>
                      <w:bCs/>
                      <w:szCs w:val="21"/>
                    </w:rPr>
                    <w:t>0.0006</w:t>
                  </w:r>
                </w:p>
              </w:tc>
              <w:tc>
                <w:tcPr>
                  <w:tcW w:w="916" w:type="dxa"/>
                  <w:tcBorders>
                    <w:bottom w:val="single" w:color="auto" w:sz="4" w:space="0"/>
                    <w:tl2br w:val="nil"/>
                    <w:tr2bl w:val="nil"/>
                  </w:tcBorders>
                  <w:vAlign w:val="center"/>
                </w:tcPr>
                <w:p w14:paraId="79B75719">
                  <w:pPr>
                    <w:jc w:val="center"/>
                    <w:rPr>
                      <w:bCs/>
                      <w:szCs w:val="21"/>
                    </w:rPr>
                  </w:pPr>
                  <w:r>
                    <w:rPr>
                      <w:rFonts w:hint="eastAsia"/>
                      <w:bCs/>
                      <w:szCs w:val="21"/>
                    </w:rPr>
                    <w:t>0.0001</w:t>
                  </w:r>
                </w:p>
              </w:tc>
              <w:tc>
                <w:tcPr>
                  <w:tcW w:w="972" w:type="dxa"/>
                  <w:tcBorders>
                    <w:bottom w:val="single" w:color="auto" w:sz="4" w:space="0"/>
                    <w:right w:val="single" w:color="auto" w:sz="4" w:space="0"/>
                    <w:tl2br w:val="nil"/>
                    <w:tr2bl w:val="nil"/>
                  </w:tcBorders>
                  <w:vAlign w:val="center"/>
                </w:tcPr>
                <w:p w14:paraId="36F47CEF">
                  <w:pPr>
                    <w:jc w:val="center"/>
                    <w:rPr>
                      <w:bCs/>
                      <w:szCs w:val="21"/>
                    </w:rPr>
                  </w:pPr>
                  <w:r>
                    <w:rPr>
                      <w:rFonts w:hint="eastAsia"/>
                      <w:bCs/>
                      <w:szCs w:val="21"/>
                    </w:rPr>
                    <w:t>0.027</w:t>
                  </w:r>
                </w:p>
              </w:tc>
              <w:tc>
                <w:tcPr>
                  <w:tcW w:w="896" w:type="dxa"/>
                  <w:tcBorders>
                    <w:bottom w:val="single" w:color="auto" w:sz="4" w:space="0"/>
                    <w:right w:val="single" w:color="auto" w:sz="4" w:space="0"/>
                    <w:tl2br w:val="nil"/>
                    <w:tr2bl w:val="nil"/>
                  </w:tcBorders>
                  <w:vAlign w:val="center"/>
                </w:tcPr>
                <w:p w14:paraId="43E41C04">
                  <w:pPr>
                    <w:spacing w:line="240" w:lineRule="atLeast"/>
                    <w:jc w:val="center"/>
                    <w:rPr>
                      <w:color w:val="000000"/>
                      <w:szCs w:val="21"/>
                    </w:rPr>
                  </w:pPr>
                  <w:r>
                    <w:rPr>
                      <w:rFonts w:hint="eastAsia"/>
                      <w:color w:val="000000"/>
                      <w:szCs w:val="21"/>
                    </w:rPr>
                    <w:t>/</w:t>
                  </w:r>
                </w:p>
              </w:tc>
            </w:tr>
          </w:tbl>
          <w:p w14:paraId="053AEBFC">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（3）非正常工况</w:t>
            </w:r>
          </w:p>
          <w:p w14:paraId="5E917924">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非正常排放是指生产过程中开停车（工、炉）、设备检修、工艺设备运转异常等非正常工况下的污染物排放，以及污染物排放控制措施达不到应有效率等情况下的排放。废气处理设施出现故障不能正常运行时，应立即停产进行维修，避免对周围环境造成污染。废气非正常工况源强情况见表4-</w:t>
            </w:r>
            <w:r>
              <w:rPr>
                <w:rFonts w:hint="eastAsia" w:ascii="Times New Roman" w:hAnsi="Times New Roman" w:eastAsia="宋体" w:cs="Times New Roman"/>
                <w:kern w:val="0"/>
                <w:lang w:val="en-US" w:eastAsia="zh-CN"/>
              </w:rPr>
              <w:t>4</w:t>
            </w:r>
            <w:r>
              <w:rPr>
                <w:rFonts w:hint="eastAsia" w:ascii="Times New Roman" w:hAnsi="Times New Roman" w:eastAsia="Times New Roman" w:cs="Times New Roman"/>
                <w:kern w:val="0"/>
              </w:rPr>
              <w:t>。</w:t>
            </w:r>
          </w:p>
          <w:p w14:paraId="3FDBA36F">
            <w:pPr>
              <w:spacing w:line="360" w:lineRule="auto"/>
              <w:ind w:firstLine="517" w:firstLineChars="245"/>
              <w:jc w:val="center"/>
              <w:rPr>
                <w:b/>
                <w:bCs/>
                <w:szCs w:val="21"/>
              </w:rPr>
            </w:pPr>
            <w:r>
              <w:rPr>
                <w:rFonts w:hint="eastAsia"/>
                <w:b/>
                <w:bCs/>
                <w:szCs w:val="21"/>
              </w:rPr>
              <w:t>表</w:t>
            </w:r>
            <w:r>
              <w:rPr>
                <w:b/>
                <w:bCs/>
                <w:szCs w:val="21"/>
              </w:rPr>
              <w:t>4-</w:t>
            </w:r>
            <w:r>
              <w:rPr>
                <w:rFonts w:hint="eastAsia"/>
                <w:b/>
                <w:bCs/>
                <w:szCs w:val="21"/>
                <w:lang w:val="en-US" w:eastAsia="zh-CN"/>
              </w:rPr>
              <w:t>4</w:t>
            </w:r>
            <w:r>
              <w:rPr>
                <w:rFonts w:hint="eastAsia"/>
                <w:b/>
                <w:bCs/>
                <w:szCs w:val="21"/>
              </w:rPr>
              <w:t xml:space="preserve">  废气非正常工况排放量核算表</w:t>
            </w:r>
          </w:p>
          <w:tbl>
            <w:tblPr>
              <w:tblStyle w:val="3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1660"/>
              <w:gridCol w:w="947"/>
              <w:gridCol w:w="937"/>
              <w:gridCol w:w="1218"/>
              <w:gridCol w:w="944"/>
              <w:gridCol w:w="724"/>
              <w:gridCol w:w="874"/>
            </w:tblGrid>
            <w:tr w14:paraId="02C3E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553" w:type="pct"/>
                  <w:vAlign w:val="center"/>
                </w:tcPr>
                <w:p w14:paraId="7AAB4546">
                  <w:pPr>
                    <w:spacing w:line="276" w:lineRule="auto"/>
                    <w:jc w:val="center"/>
                    <w:rPr>
                      <w:b/>
                      <w:szCs w:val="21"/>
                    </w:rPr>
                  </w:pPr>
                  <w:r>
                    <w:rPr>
                      <w:rFonts w:hint="eastAsia"/>
                      <w:b/>
                      <w:szCs w:val="21"/>
                    </w:rPr>
                    <w:t>序号</w:t>
                  </w:r>
                </w:p>
              </w:tc>
              <w:tc>
                <w:tcPr>
                  <w:tcW w:w="1010" w:type="pct"/>
                  <w:vAlign w:val="center"/>
                </w:tcPr>
                <w:p w14:paraId="4D5F75D2">
                  <w:pPr>
                    <w:spacing w:line="276" w:lineRule="auto"/>
                    <w:jc w:val="center"/>
                    <w:rPr>
                      <w:b/>
                      <w:szCs w:val="21"/>
                    </w:rPr>
                  </w:pPr>
                  <w:r>
                    <w:rPr>
                      <w:rFonts w:hint="eastAsia"/>
                      <w:b/>
                      <w:szCs w:val="21"/>
                    </w:rPr>
                    <w:t>非正常排放原因</w:t>
                  </w:r>
                </w:p>
              </w:tc>
              <w:tc>
                <w:tcPr>
                  <w:tcW w:w="576" w:type="pct"/>
                  <w:vAlign w:val="center"/>
                </w:tcPr>
                <w:p w14:paraId="0C8632B2">
                  <w:pPr>
                    <w:spacing w:line="276" w:lineRule="auto"/>
                    <w:jc w:val="center"/>
                    <w:rPr>
                      <w:b/>
                      <w:szCs w:val="21"/>
                    </w:rPr>
                  </w:pPr>
                  <w:r>
                    <w:rPr>
                      <w:rFonts w:hint="eastAsia"/>
                      <w:b/>
                      <w:szCs w:val="21"/>
                    </w:rPr>
                    <w:t>污染物</w:t>
                  </w:r>
                </w:p>
              </w:tc>
              <w:tc>
                <w:tcPr>
                  <w:tcW w:w="570" w:type="pct"/>
                  <w:vAlign w:val="center"/>
                </w:tcPr>
                <w:p w14:paraId="0C078E0A">
                  <w:pPr>
                    <w:spacing w:line="276" w:lineRule="auto"/>
                    <w:jc w:val="center"/>
                    <w:rPr>
                      <w:b/>
                      <w:szCs w:val="21"/>
                    </w:rPr>
                  </w:pPr>
                  <w:r>
                    <w:rPr>
                      <w:rFonts w:hint="eastAsia"/>
                      <w:b/>
                      <w:szCs w:val="21"/>
                    </w:rPr>
                    <w:t>非正常排放量（t/a）</w:t>
                  </w:r>
                </w:p>
              </w:tc>
              <w:tc>
                <w:tcPr>
                  <w:tcW w:w="741" w:type="pct"/>
                  <w:vAlign w:val="center"/>
                </w:tcPr>
                <w:p w14:paraId="30ED1A9E">
                  <w:pPr>
                    <w:spacing w:line="276" w:lineRule="auto"/>
                    <w:jc w:val="center"/>
                    <w:rPr>
                      <w:b/>
                      <w:szCs w:val="21"/>
                    </w:rPr>
                  </w:pPr>
                  <w:r>
                    <w:rPr>
                      <w:rFonts w:hint="eastAsia"/>
                      <w:b/>
                      <w:szCs w:val="21"/>
                    </w:rPr>
                    <w:t>非正常排放浓度</w:t>
                  </w:r>
                  <w:r>
                    <w:rPr>
                      <w:b/>
                      <w:szCs w:val="21"/>
                    </w:rPr>
                    <w:t>/</w:t>
                  </w:r>
                  <w:r>
                    <w:rPr>
                      <w:rFonts w:hint="eastAsia"/>
                      <w:b/>
                      <w:szCs w:val="21"/>
                    </w:rPr>
                    <w:t>（</w:t>
                  </w:r>
                  <w:r>
                    <w:rPr>
                      <w:b/>
                      <w:szCs w:val="21"/>
                    </w:rPr>
                    <w:t>mg/m</w:t>
                  </w:r>
                  <w:r>
                    <w:rPr>
                      <w:b/>
                      <w:szCs w:val="21"/>
                      <w:vertAlign w:val="superscript"/>
                    </w:rPr>
                    <w:t>3</w:t>
                  </w:r>
                  <w:r>
                    <w:rPr>
                      <w:rFonts w:hint="eastAsia"/>
                      <w:b/>
                      <w:szCs w:val="21"/>
                    </w:rPr>
                    <w:t>）</w:t>
                  </w:r>
                </w:p>
              </w:tc>
              <w:tc>
                <w:tcPr>
                  <w:tcW w:w="574" w:type="pct"/>
                  <w:vAlign w:val="center"/>
                </w:tcPr>
                <w:p w14:paraId="4A0F9DDE">
                  <w:pPr>
                    <w:spacing w:line="276" w:lineRule="auto"/>
                    <w:jc w:val="center"/>
                    <w:rPr>
                      <w:b/>
                      <w:szCs w:val="21"/>
                    </w:rPr>
                  </w:pPr>
                  <w:r>
                    <w:rPr>
                      <w:rFonts w:hint="eastAsia"/>
                      <w:b/>
                      <w:szCs w:val="21"/>
                    </w:rPr>
                    <w:t>单次持续时间</w:t>
                  </w:r>
                  <w:r>
                    <w:rPr>
                      <w:b/>
                      <w:szCs w:val="21"/>
                    </w:rPr>
                    <w:t>/h</w:t>
                  </w:r>
                </w:p>
              </w:tc>
              <w:tc>
                <w:tcPr>
                  <w:tcW w:w="440" w:type="pct"/>
                  <w:vAlign w:val="center"/>
                </w:tcPr>
                <w:p w14:paraId="090FCA41">
                  <w:pPr>
                    <w:spacing w:line="276" w:lineRule="auto"/>
                    <w:jc w:val="center"/>
                    <w:rPr>
                      <w:b/>
                      <w:szCs w:val="21"/>
                    </w:rPr>
                  </w:pPr>
                  <w:r>
                    <w:rPr>
                      <w:rFonts w:hint="eastAsia"/>
                      <w:b/>
                      <w:szCs w:val="21"/>
                    </w:rPr>
                    <w:t>年发生频次</w:t>
                  </w:r>
                </w:p>
              </w:tc>
              <w:tc>
                <w:tcPr>
                  <w:tcW w:w="532" w:type="pct"/>
                  <w:vAlign w:val="center"/>
                </w:tcPr>
                <w:p w14:paraId="3C06DB55">
                  <w:pPr>
                    <w:spacing w:line="276" w:lineRule="auto"/>
                    <w:jc w:val="center"/>
                    <w:rPr>
                      <w:b/>
                      <w:szCs w:val="21"/>
                    </w:rPr>
                  </w:pPr>
                  <w:r>
                    <w:rPr>
                      <w:rFonts w:hint="eastAsia"/>
                      <w:b/>
                      <w:szCs w:val="21"/>
                    </w:rPr>
                    <w:t>应对措施</w:t>
                  </w:r>
                </w:p>
              </w:tc>
            </w:tr>
            <w:tr w14:paraId="68EE1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553" w:type="pct"/>
                  <w:vAlign w:val="center"/>
                </w:tcPr>
                <w:p w14:paraId="3F298B6E">
                  <w:pPr>
                    <w:ind w:left="-42" w:leftChars="-20" w:right="-42" w:rightChars="-20"/>
                    <w:jc w:val="center"/>
                    <w:rPr>
                      <w:bCs/>
                      <w:szCs w:val="21"/>
                    </w:rPr>
                  </w:pPr>
                  <w:r>
                    <w:rPr>
                      <w:rFonts w:hint="eastAsia"/>
                      <w:bCs/>
                      <w:szCs w:val="21"/>
                    </w:rPr>
                    <w:t>DA001</w:t>
                  </w:r>
                </w:p>
              </w:tc>
              <w:tc>
                <w:tcPr>
                  <w:tcW w:w="1010" w:type="pct"/>
                  <w:vAlign w:val="center"/>
                </w:tcPr>
                <w:p w14:paraId="0CE8462F">
                  <w:pPr>
                    <w:spacing w:line="276" w:lineRule="auto"/>
                    <w:rPr>
                      <w:bCs/>
                      <w:szCs w:val="21"/>
                    </w:rPr>
                  </w:pPr>
                  <w:r>
                    <w:rPr>
                      <w:rFonts w:hint="eastAsia"/>
                      <w:bCs/>
                      <w:szCs w:val="21"/>
                    </w:rPr>
                    <w:t>布袋除尘器故障，处理效率为60%</w:t>
                  </w:r>
                </w:p>
              </w:tc>
              <w:tc>
                <w:tcPr>
                  <w:tcW w:w="576" w:type="pct"/>
                  <w:vAlign w:val="center"/>
                </w:tcPr>
                <w:p w14:paraId="584B0567">
                  <w:pPr>
                    <w:snapToGrid w:val="0"/>
                    <w:jc w:val="center"/>
                    <w:rPr>
                      <w:bCs/>
                      <w:szCs w:val="21"/>
                    </w:rPr>
                  </w:pPr>
                  <w:r>
                    <w:rPr>
                      <w:rFonts w:hint="eastAsia"/>
                      <w:bCs/>
                      <w:szCs w:val="21"/>
                    </w:rPr>
                    <w:t>颗粒物</w:t>
                  </w:r>
                </w:p>
              </w:tc>
              <w:tc>
                <w:tcPr>
                  <w:tcW w:w="570" w:type="pct"/>
                  <w:vAlign w:val="center"/>
                </w:tcPr>
                <w:p w14:paraId="6A90918E">
                  <w:pPr>
                    <w:spacing w:line="276" w:lineRule="auto"/>
                    <w:jc w:val="center"/>
                    <w:rPr>
                      <w:bCs/>
                      <w:szCs w:val="21"/>
                    </w:rPr>
                  </w:pPr>
                  <w:r>
                    <w:rPr>
                      <w:rFonts w:hint="eastAsia"/>
                      <w:bCs/>
                      <w:szCs w:val="21"/>
                    </w:rPr>
                    <w:t>5.76</w:t>
                  </w:r>
                </w:p>
              </w:tc>
              <w:tc>
                <w:tcPr>
                  <w:tcW w:w="741" w:type="pct"/>
                  <w:vAlign w:val="center"/>
                </w:tcPr>
                <w:p w14:paraId="3136B218">
                  <w:pPr>
                    <w:spacing w:line="276" w:lineRule="auto"/>
                    <w:jc w:val="center"/>
                    <w:rPr>
                      <w:bCs/>
                      <w:szCs w:val="21"/>
                    </w:rPr>
                  </w:pPr>
                  <w:r>
                    <w:rPr>
                      <w:rFonts w:hint="eastAsia"/>
                      <w:bCs/>
                      <w:szCs w:val="21"/>
                    </w:rPr>
                    <w:t>2181.82</w:t>
                  </w:r>
                </w:p>
              </w:tc>
              <w:tc>
                <w:tcPr>
                  <w:tcW w:w="574" w:type="pct"/>
                  <w:vAlign w:val="center"/>
                </w:tcPr>
                <w:p w14:paraId="42CF5FDA">
                  <w:pPr>
                    <w:spacing w:line="276" w:lineRule="auto"/>
                    <w:jc w:val="center"/>
                    <w:rPr>
                      <w:bCs/>
                      <w:szCs w:val="21"/>
                    </w:rPr>
                  </w:pPr>
                  <w:r>
                    <w:rPr>
                      <w:rFonts w:hint="eastAsia"/>
                      <w:bCs/>
                      <w:szCs w:val="21"/>
                    </w:rPr>
                    <w:t>1</w:t>
                  </w:r>
                </w:p>
              </w:tc>
              <w:tc>
                <w:tcPr>
                  <w:tcW w:w="440" w:type="pct"/>
                  <w:vAlign w:val="center"/>
                </w:tcPr>
                <w:p w14:paraId="4CE8C5DD">
                  <w:pPr>
                    <w:spacing w:line="276" w:lineRule="auto"/>
                    <w:jc w:val="center"/>
                    <w:rPr>
                      <w:bCs/>
                      <w:szCs w:val="21"/>
                    </w:rPr>
                  </w:pPr>
                  <w:r>
                    <w:rPr>
                      <w:rFonts w:hint="eastAsia"/>
                      <w:bCs/>
                      <w:szCs w:val="21"/>
                    </w:rPr>
                    <w:t>1</w:t>
                  </w:r>
                </w:p>
              </w:tc>
              <w:tc>
                <w:tcPr>
                  <w:tcW w:w="532" w:type="pct"/>
                  <w:vMerge w:val="restart"/>
                  <w:vAlign w:val="center"/>
                </w:tcPr>
                <w:p w14:paraId="32F463ED">
                  <w:pPr>
                    <w:spacing w:line="276" w:lineRule="auto"/>
                    <w:rPr>
                      <w:bCs/>
                      <w:szCs w:val="21"/>
                    </w:rPr>
                  </w:pPr>
                  <w:r>
                    <w:rPr>
                      <w:rFonts w:hint="eastAsia"/>
                      <w:bCs/>
                      <w:szCs w:val="21"/>
                    </w:rPr>
                    <w:t>设备定期维护检修，设备发生异常立即停止生产</w:t>
                  </w:r>
                </w:p>
                <w:p w14:paraId="2F24B996">
                  <w:pPr>
                    <w:spacing w:line="276" w:lineRule="auto"/>
                    <w:jc w:val="center"/>
                    <w:rPr>
                      <w:bCs/>
                      <w:szCs w:val="21"/>
                    </w:rPr>
                  </w:pPr>
                </w:p>
              </w:tc>
            </w:tr>
            <w:tr w14:paraId="3D3AC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553" w:type="pct"/>
                  <w:vMerge w:val="restart"/>
                  <w:vAlign w:val="center"/>
                </w:tcPr>
                <w:p w14:paraId="2BC33BA8">
                  <w:pPr>
                    <w:ind w:left="-42" w:leftChars="-20" w:right="-42" w:rightChars="-20"/>
                    <w:jc w:val="center"/>
                    <w:rPr>
                      <w:bCs/>
                      <w:szCs w:val="21"/>
                    </w:rPr>
                  </w:pPr>
                  <w:r>
                    <w:rPr>
                      <w:rFonts w:hint="eastAsia"/>
                      <w:bCs/>
                      <w:szCs w:val="21"/>
                    </w:rPr>
                    <w:t>DA002</w:t>
                  </w:r>
                </w:p>
              </w:tc>
              <w:tc>
                <w:tcPr>
                  <w:tcW w:w="1010" w:type="pct"/>
                  <w:vMerge w:val="restart"/>
                  <w:vAlign w:val="center"/>
                </w:tcPr>
                <w:p w14:paraId="364C9ABF">
                  <w:pPr>
                    <w:spacing w:line="276" w:lineRule="auto"/>
                    <w:rPr>
                      <w:bCs/>
                      <w:szCs w:val="21"/>
                    </w:rPr>
                  </w:pPr>
                  <w:r>
                    <w:rPr>
                      <w:rFonts w:hint="eastAsia"/>
                      <w:bCs/>
                      <w:szCs w:val="21"/>
                    </w:rPr>
                    <w:t>布袋除尘器故障，处理效率为60%</w:t>
                  </w:r>
                </w:p>
              </w:tc>
              <w:tc>
                <w:tcPr>
                  <w:tcW w:w="576" w:type="pct"/>
                  <w:vAlign w:val="center"/>
                </w:tcPr>
                <w:p w14:paraId="7E8AE838">
                  <w:pPr>
                    <w:snapToGrid w:val="0"/>
                    <w:jc w:val="center"/>
                    <w:rPr>
                      <w:bCs/>
                      <w:szCs w:val="21"/>
                    </w:rPr>
                  </w:pPr>
                  <w:r>
                    <w:rPr>
                      <w:rFonts w:hint="eastAsia"/>
                      <w:bCs/>
                      <w:szCs w:val="21"/>
                    </w:rPr>
                    <w:t>颗粒物</w:t>
                  </w:r>
                </w:p>
              </w:tc>
              <w:tc>
                <w:tcPr>
                  <w:tcW w:w="570" w:type="pct"/>
                  <w:vAlign w:val="center"/>
                </w:tcPr>
                <w:p w14:paraId="1D9BB527">
                  <w:pPr>
                    <w:spacing w:line="276" w:lineRule="auto"/>
                    <w:jc w:val="center"/>
                    <w:rPr>
                      <w:bCs/>
                      <w:szCs w:val="21"/>
                    </w:rPr>
                  </w:pPr>
                  <w:r>
                    <w:rPr>
                      <w:rFonts w:hint="eastAsia"/>
                      <w:bCs/>
                      <w:szCs w:val="21"/>
                    </w:rPr>
                    <w:t>6.24</w:t>
                  </w:r>
                </w:p>
              </w:tc>
              <w:tc>
                <w:tcPr>
                  <w:tcW w:w="741" w:type="pct"/>
                  <w:vAlign w:val="center"/>
                </w:tcPr>
                <w:p w14:paraId="2FD9152F">
                  <w:pPr>
                    <w:spacing w:line="276" w:lineRule="auto"/>
                    <w:jc w:val="center"/>
                    <w:rPr>
                      <w:bCs/>
                      <w:szCs w:val="21"/>
                    </w:rPr>
                  </w:pPr>
                  <w:r>
                    <w:rPr>
                      <w:rFonts w:hint="eastAsia"/>
                      <w:bCs/>
                      <w:szCs w:val="21"/>
                    </w:rPr>
                    <w:t>2081.82</w:t>
                  </w:r>
                </w:p>
              </w:tc>
              <w:tc>
                <w:tcPr>
                  <w:tcW w:w="574" w:type="pct"/>
                  <w:vAlign w:val="center"/>
                </w:tcPr>
                <w:p w14:paraId="4E3E0B09">
                  <w:pPr>
                    <w:spacing w:line="276" w:lineRule="auto"/>
                    <w:jc w:val="center"/>
                    <w:rPr>
                      <w:bCs/>
                      <w:szCs w:val="21"/>
                    </w:rPr>
                  </w:pPr>
                  <w:r>
                    <w:rPr>
                      <w:rFonts w:hint="eastAsia"/>
                      <w:bCs/>
                      <w:szCs w:val="21"/>
                    </w:rPr>
                    <w:t>1</w:t>
                  </w:r>
                </w:p>
              </w:tc>
              <w:tc>
                <w:tcPr>
                  <w:tcW w:w="440" w:type="pct"/>
                  <w:vAlign w:val="center"/>
                </w:tcPr>
                <w:p w14:paraId="5639B5F6">
                  <w:pPr>
                    <w:spacing w:line="276" w:lineRule="auto"/>
                    <w:jc w:val="center"/>
                    <w:rPr>
                      <w:bCs/>
                      <w:szCs w:val="21"/>
                    </w:rPr>
                  </w:pPr>
                  <w:r>
                    <w:rPr>
                      <w:rFonts w:hint="eastAsia"/>
                      <w:bCs/>
                      <w:szCs w:val="21"/>
                    </w:rPr>
                    <w:t>1</w:t>
                  </w:r>
                </w:p>
              </w:tc>
              <w:tc>
                <w:tcPr>
                  <w:tcW w:w="532" w:type="pct"/>
                  <w:vMerge w:val="continue"/>
                  <w:vAlign w:val="center"/>
                </w:tcPr>
                <w:p w14:paraId="3524F11F">
                  <w:pPr>
                    <w:spacing w:line="276" w:lineRule="auto"/>
                    <w:jc w:val="center"/>
                    <w:rPr>
                      <w:bCs/>
                      <w:szCs w:val="21"/>
                    </w:rPr>
                  </w:pPr>
                </w:p>
              </w:tc>
            </w:tr>
            <w:tr w14:paraId="4E77D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53" w:type="pct"/>
                  <w:vMerge w:val="continue"/>
                  <w:vAlign w:val="center"/>
                </w:tcPr>
                <w:p w14:paraId="56E6E19B">
                  <w:pPr>
                    <w:ind w:left="-42" w:leftChars="-20" w:right="-42" w:rightChars="-20"/>
                    <w:jc w:val="center"/>
                    <w:rPr>
                      <w:bCs/>
                      <w:szCs w:val="21"/>
                    </w:rPr>
                  </w:pPr>
                </w:p>
              </w:tc>
              <w:tc>
                <w:tcPr>
                  <w:tcW w:w="1010" w:type="pct"/>
                  <w:vMerge w:val="restart"/>
                  <w:vAlign w:val="center"/>
                </w:tcPr>
                <w:p w14:paraId="5D713E07">
                  <w:pPr>
                    <w:spacing w:line="276" w:lineRule="auto"/>
                    <w:rPr>
                      <w:bCs/>
                      <w:szCs w:val="21"/>
                    </w:rPr>
                  </w:pPr>
                  <w:r>
                    <w:rPr>
                      <w:rFonts w:hint="eastAsia"/>
                      <w:bCs/>
                      <w:szCs w:val="21"/>
                    </w:rPr>
                    <w:t>废气处理设施故障，处理效率为47.5%</w:t>
                  </w:r>
                </w:p>
              </w:tc>
              <w:tc>
                <w:tcPr>
                  <w:tcW w:w="576" w:type="pct"/>
                  <w:vAlign w:val="center"/>
                </w:tcPr>
                <w:p w14:paraId="41E212D1">
                  <w:pPr>
                    <w:snapToGrid w:val="0"/>
                    <w:jc w:val="center"/>
                    <w:rPr>
                      <w:szCs w:val="21"/>
                    </w:rPr>
                  </w:pPr>
                  <w:r>
                    <w:rPr>
                      <w:rFonts w:hint="eastAsia"/>
                      <w:szCs w:val="21"/>
                    </w:rPr>
                    <w:t>沥青烟</w:t>
                  </w:r>
                </w:p>
              </w:tc>
              <w:tc>
                <w:tcPr>
                  <w:tcW w:w="570" w:type="pct"/>
                  <w:vAlign w:val="center"/>
                </w:tcPr>
                <w:p w14:paraId="134C3E5E">
                  <w:pPr>
                    <w:spacing w:line="276" w:lineRule="auto"/>
                    <w:jc w:val="center"/>
                    <w:rPr>
                      <w:color w:val="000000"/>
                      <w:szCs w:val="21"/>
                    </w:rPr>
                  </w:pPr>
                  <w:r>
                    <w:rPr>
                      <w:rFonts w:hint="eastAsia"/>
                      <w:color w:val="000000"/>
                      <w:szCs w:val="21"/>
                    </w:rPr>
                    <w:t>0.057</w:t>
                  </w:r>
                </w:p>
              </w:tc>
              <w:tc>
                <w:tcPr>
                  <w:tcW w:w="741" w:type="pct"/>
                  <w:vAlign w:val="center"/>
                </w:tcPr>
                <w:p w14:paraId="28616891">
                  <w:pPr>
                    <w:spacing w:line="276" w:lineRule="auto"/>
                    <w:jc w:val="center"/>
                    <w:rPr>
                      <w:bCs/>
                      <w:szCs w:val="21"/>
                    </w:rPr>
                  </w:pPr>
                  <w:r>
                    <w:rPr>
                      <w:rFonts w:hint="eastAsia"/>
                      <w:bCs/>
                      <w:szCs w:val="21"/>
                    </w:rPr>
                    <w:t>1.48</w:t>
                  </w:r>
                </w:p>
              </w:tc>
              <w:tc>
                <w:tcPr>
                  <w:tcW w:w="574" w:type="pct"/>
                  <w:vAlign w:val="center"/>
                </w:tcPr>
                <w:p w14:paraId="3CCB0FCB">
                  <w:pPr>
                    <w:spacing w:line="276" w:lineRule="auto"/>
                    <w:jc w:val="center"/>
                    <w:rPr>
                      <w:bCs/>
                      <w:szCs w:val="21"/>
                    </w:rPr>
                  </w:pPr>
                  <w:r>
                    <w:rPr>
                      <w:rFonts w:hint="eastAsia"/>
                      <w:bCs/>
                      <w:szCs w:val="21"/>
                    </w:rPr>
                    <w:t>1</w:t>
                  </w:r>
                </w:p>
              </w:tc>
              <w:tc>
                <w:tcPr>
                  <w:tcW w:w="440" w:type="pct"/>
                  <w:vAlign w:val="center"/>
                </w:tcPr>
                <w:p w14:paraId="1299D32B">
                  <w:pPr>
                    <w:spacing w:line="276" w:lineRule="auto"/>
                    <w:jc w:val="center"/>
                    <w:rPr>
                      <w:bCs/>
                      <w:szCs w:val="21"/>
                    </w:rPr>
                  </w:pPr>
                  <w:r>
                    <w:rPr>
                      <w:rFonts w:hint="eastAsia"/>
                      <w:bCs/>
                      <w:szCs w:val="21"/>
                    </w:rPr>
                    <w:t>1</w:t>
                  </w:r>
                </w:p>
              </w:tc>
              <w:tc>
                <w:tcPr>
                  <w:tcW w:w="532" w:type="pct"/>
                  <w:vMerge w:val="continue"/>
                  <w:vAlign w:val="center"/>
                </w:tcPr>
                <w:p w14:paraId="736308A3">
                  <w:pPr>
                    <w:spacing w:line="276" w:lineRule="auto"/>
                    <w:jc w:val="center"/>
                    <w:rPr>
                      <w:bCs/>
                      <w:szCs w:val="21"/>
                    </w:rPr>
                  </w:pPr>
                </w:p>
              </w:tc>
            </w:tr>
            <w:tr w14:paraId="02179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53" w:type="pct"/>
                  <w:vMerge w:val="continue"/>
                  <w:vAlign w:val="center"/>
                </w:tcPr>
                <w:p w14:paraId="5B37BC73">
                  <w:pPr>
                    <w:ind w:left="-42" w:leftChars="-20" w:right="-42" w:rightChars="-20"/>
                    <w:jc w:val="center"/>
                    <w:rPr>
                      <w:bCs/>
                      <w:szCs w:val="21"/>
                    </w:rPr>
                  </w:pPr>
                </w:p>
              </w:tc>
              <w:tc>
                <w:tcPr>
                  <w:tcW w:w="1010" w:type="pct"/>
                  <w:vMerge w:val="continue"/>
                  <w:vAlign w:val="center"/>
                </w:tcPr>
                <w:p w14:paraId="294FB733">
                  <w:pPr>
                    <w:spacing w:line="276" w:lineRule="auto"/>
                    <w:rPr>
                      <w:bCs/>
                      <w:szCs w:val="21"/>
                    </w:rPr>
                  </w:pPr>
                </w:p>
              </w:tc>
              <w:tc>
                <w:tcPr>
                  <w:tcW w:w="576" w:type="pct"/>
                  <w:vAlign w:val="center"/>
                </w:tcPr>
                <w:p w14:paraId="2B3AB912">
                  <w:pPr>
                    <w:snapToGrid w:val="0"/>
                    <w:jc w:val="center"/>
                    <w:rPr>
                      <w:szCs w:val="21"/>
                    </w:rPr>
                  </w:pPr>
                  <w:r>
                    <w:rPr>
                      <w:rFonts w:hint="eastAsia"/>
                      <w:szCs w:val="21"/>
                    </w:rPr>
                    <w:t>苯并芘</w:t>
                  </w:r>
                </w:p>
              </w:tc>
              <w:tc>
                <w:tcPr>
                  <w:tcW w:w="570" w:type="pct"/>
                  <w:vAlign w:val="center"/>
                </w:tcPr>
                <w:p w14:paraId="447CCB32">
                  <w:pPr>
                    <w:spacing w:line="276" w:lineRule="auto"/>
                    <w:jc w:val="center"/>
                    <w:rPr>
                      <w:color w:val="000000"/>
                      <w:szCs w:val="21"/>
                    </w:rPr>
                  </w:pPr>
                  <w:r>
                    <w:rPr>
                      <w:rFonts w:hint="eastAsia"/>
                      <w:color w:val="000000"/>
                      <w:szCs w:val="21"/>
                    </w:rPr>
                    <w:t>0.0001</w:t>
                  </w:r>
                </w:p>
              </w:tc>
              <w:tc>
                <w:tcPr>
                  <w:tcW w:w="741" w:type="pct"/>
                  <w:vAlign w:val="center"/>
                </w:tcPr>
                <w:p w14:paraId="25B0A2CB">
                  <w:pPr>
                    <w:spacing w:line="276" w:lineRule="auto"/>
                    <w:jc w:val="center"/>
                    <w:rPr>
                      <w:bCs/>
                      <w:szCs w:val="21"/>
                    </w:rPr>
                  </w:pPr>
                  <w:r>
                    <w:rPr>
                      <w:rFonts w:hint="eastAsia"/>
                      <w:bCs/>
                      <w:szCs w:val="21"/>
                    </w:rPr>
                    <w:t>0.003</w:t>
                  </w:r>
                </w:p>
              </w:tc>
              <w:tc>
                <w:tcPr>
                  <w:tcW w:w="574" w:type="pct"/>
                  <w:vAlign w:val="center"/>
                </w:tcPr>
                <w:p w14:paraId="42990728">
                  <w:pPr>
                    <w:spacing w:line="276" w:lineRule="auto"/>
                    <w:jc w:val="center"/>
                    <w:rPr>
                      <w:bCs/>
                      <w:szCs w:val="21"/>
                    </w:rPr>
                  </w:pPr>
                  <w:r>
                    <w:rPr>
                      <w:rFonts w:hint="eastAsia"/>
                      <w:bCs/>
                      <w:szCs w:val="21"/>
                    </w:rPr>
                    <w:t>1</w:t>
                  </w:r>
                </w:p>
              </w:tc>
              <w:tc>
                <w:tcPr>
                  <w:tcW w:w="440" w:type="pct"/>
                  <w:vAlign w:val="center"/>
                </w:tcPr>
                <w:p w14:paraId="348791BA">
                  <w:pPr>
                    <w:spacing w:line="276" w:lineRule="auto"/>
                    <w:jc w:val="center"/>
                    <w:rPr>
                      <w:bCs/>
                      <w:szCs w:val="21"/>
                    </w:rPr>
                  </w:pPr>
                  <w:r>
                    <w:rPr>
                      <w:rFonts w:hint="eastAsia"/>
                      <w:bCs/>
                      <w:szCs w:val="21"/>
                    </w:rPr>
                    <w:t>1</w:t>
                  </w:r>
                </w:p>
              </w:tc>
              <w:tc>
                <w:tcPr>
                  <w:tcW w:w="532" w:type="pct"/>
                  <w:vMerge w:val="continue"/>
                  <w:vAlign w:val="center"/>
                </w:tcPr>
                <w:p w14:paraId="1857C474">
                  <w:pPr>
                    <w:spacing w:line="276" w:lineRule="auto"/>
                    <w:jc w:val="center"/>
                    <w:rPr>
                      <w:bCs/>
                      <w:szCs w:val="21"/>
                    </w:rPr>
                  </w:pPr>
                </w:p>
              </w:tc>
            </w:tr>
            <w:tr w14:paraId="311B4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53" w:type="pct"/>
                  <w:vMerge w:val="continue"/>
                  <w:vAlign w:val="center"/>
                </w:tcPr>
                <w:p w14:paraId="3A467D30">
                  <w:pPr>
                    <w:ind w:left="-42" w:leftChars="-20" w:right="-42" w:rightChars="-20"/>
                    <w:jc w:val="center"/>
                    <w:rPr>
                      <w:bCs/>
                      <w:szCs w:val="21"/>
                    </w:rPr>
                  </w:pPr>
                </w:p>
              </w:tc>
              <w:tc>
                <w:tcPr>
                  <w:tcW w:w="1010" w:type="pct"/>
                  <w:vMerge w:val="continue"/>
                  <w:vAlign w:val="center"/>
                </w:tcPr>
                <w:p w14:paraId="7C06A564">
                  <w:pPr>
                    <w:spacing w:line="276" w:lineRule="auto"/>
                    <w:rPr>
                      <w:bCs/>
                      <w:szCs w:val="21"/>
                    </w:rPr>
                  </w:pPr>
                </w:p>
              </w:tc>
              <w:tc>
                <w:tcPr>
                  <w:tcW w:w="576" w:type="pct"/>
                  <w:vAlign w:val="center"/>
                </w:tcPr>
                <w:p w14:paraId="02967027">
                  <w:pPr>
                    <w:snapToGrid w:val="0"/>
                    <w:jc w:val="center"/>
                    <w:rPr>
                      <w:szCs w:val="21"/>
                    </w:rPr>
                  </w:pPr>
                  <w:r>
                    <w:rPr>
                      <w:rFonts w:hint="eastAsia"/>
                      <w:szCs w:val="21"/>
                    </w:rPr>
                    <w:t>VOC</w:t>
                  </w:r>
                  <w:r>
                    <w:rPr>
                      <w:rFonts w:hint="eastAsia"/>
                      <w:szCs w:val="21"/>
                      <w:vertAlign w:val="subscript"/>
                    </w:rPr>
                    <w:t>s</w:t>
                  </w:r>
                </w:p>
              </w:tc>
              <w:tc>
                <w:tcPr>
                  <w:tcW w:w="570" w:type="pct"/>
                  <w:vAlign w:val="center"/>
                </w:tcPr>
                <w:p w14:paraId="4B10F614">
                  <w:pPr>
                    <w:spacing w:line="276" w:lineRule="auto"/>
                    <w:jc w:val="center"/>
                    <w:rPr>
                      <w:color w:val="000000"/>
                      <w:szCs w:val="21"/>
                    </w:rPr>
                  </w:pPr>
                  <w:r>
                    <w:rPr>
                      <w:rFonts w:hint="eastAsia"/>
                      <w:color w:val="000000"/>
                      <w:szCs w:val="21"/>
                    </w:rPr>
                    <w:t>0.006</w:t>
                  </w:r>
                </w:p>
              </w:tc>
              <w:tc>
                <w:tcPr>
                  <w:tcW w:w="741" w:type="pct"/>
                  <w:vAlign w:val="center"/>
                </w:tcPr>
                <w:p w14:paraId="2B995EC9">
                  <w:pPr>
                    <w:spacing w:line="276" w:lineRule="auto"/>
                    <w:jc w:val="center"/>
                    <w:rPr>
                      <w:bCs/>
                      <w:szCs w:val="21"/>
                    </w:rPr>
                  </w:pPr>
                  <w:r>
                    <w:rPr>
                      <w:rFonts w:hint="eastAsia"/>
                      <w:bCs/>
                      <w:szCs w:val="21"/>
                    </w:rPr>
                    <w:t>0.068</w:t>
                  </w:r>
                </w:p>
              </w:tc>
              <w:tc>
                <w:tcPr>
                  <w:tcW w:w="574" w:type="pct"/>
                  <w:vAlign w:val="center"/>
                </w:tcPr>
                <w:p w14:paraId="5F6F4B72">
                  <w:pPr>
                    <w:spacing w:line="276" w:lineRule="auto"/>
                    <w:jc w:val="center"/>
                    <w:rPr>
                      <w:bCs/>
                      <w:szCs w:val="21"/>
                    </w:rPr>
                  </w:pPr>
                  <w:r>
                    <w:rPr>
                      <w:rFonts w:hint="eastAsia"/>
                      <w:bCs/>
                      <w:szCs w:val="21"/>
                    </w:rPr>
                    <w:t>1</w:t>
                  </w:r>
                </w:p>
              </w:tc>
              <w:tc>
                <w:tcPr>
                  <w:tcW w:w="440" w:type="pct"/>
                  <w:vAlign w:val="center"/>
                </w:tcPr>
                <w:p w14:paraId="2909C4E1">
                  <w:pPr>
                    <w:spacing w:line="276" w:lineRule="auto"/>
                    <w:jc w:val="center"/>
                    <w:rPr>
                      <w:bCs/>
                      <w:szCs w:val="21"/>
                    </w:rPr>
                  </w:pPr>
                  <w:r>
                    <w:rPr>
                      <w:rFonts w:hint="eastAsia"/>
                      <w:bCs/>
                      <w:szCs w:val="21"/>
                    </w:rPr>
                    <w:t>1</w:t>
                  </w:r>
                </w:p>
              </w:tc>
              <w:tc>
                <w:tcPr>
                  <w:tcW w:w="532" w:type="pct"/>
                  <w:vMerge w:val="continue"/>
                  <w:vAlign w:val="center"/>
                </w:tcPr>
                <w:p w14:paraId="1BABA0E1">
                  <w:pPr>
                    <w:spacing w:line="276" w:lineRule="auto"/>
                    <w:jc w:val="center"/>
                    <w:rPr>
                      <w:bCs/>
                      <w:szCs w:val="21"/>
                    </w:rPr>
                  </w:pPr>
                </w:p>
              </w:tc>
            </w:tr>
            <w:tr w14:paraId="73879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553" w:type="pct"/>
                  <w:vAlign w:val="center"/>
                </w:tcPr>
                <w:p w14:paraId="742AD008">
                  <w:pPr>
                    <w:ind w:left="-42" w:leftChars="-20" w:right="-42" w:rightChars="-20"/>
                    <w:jc w:val="center"/>
                    <w:rPr>
                      <w:bCs/>
                      <w:szCs w:val="21"/>
                    </w:rPr>
                  </w:pPr>
                  <w:r>
                    <w:rPr>
                      <w:rFonts w:hint="eastAsia"/>
                      <w:bCs/>
                      <w:szCs w:val="21"/>
                    </w:rPr>
                    <w:t>DA003</w:t>
                  </w:r>
                </w:p>
              </w:tc>
              <w:tc>
                <w:tcPr>
                  <w:tcW w:w="1010" w:type="pct"/>
                  <w:vAlign w:val="center"/>
                </w:tcPr>
                <w:p w14:paraId="040AC61D">
                  <w:pPr>
                    <w:spacing w:line="276" w:lineRule="auto"/>
                    <w:rPr>
                      <w:bCs/>
                      <w:szCs w:val="21"/>
                    </w:rPr>
                  </w:pPr>
                  <w:r>
                    <w:rPr>
                      <w:rFonts w:hint="eastAsia"/>
                      <w:bCs/>
                      <w:szCs w:val="21"/>
                    </w:rPr>
                    <w:t>布袋除尘器故障，处理效率为60%</w:t>
                  </w:r>
                </w:p>
              </w:tc>
              <w:tc>
                <w:tcPr>
                  <w:tcW w:w="576" w:type="pct"/>
                  <w:vAlign w:val="center"/>
                </w:tcPr>
                <w:p w14:paraId="10F0A35D">
                  <w:pPr>
                    <w:snapToGrid w:val="0"/>
                    <w:jc w:val="center"/>
                    <w:rPr>
                      <w:bCs/>
                      <w:szCs w:val="21"/>
                    </w:rPr>
                  </w:pPr>
                  <w:r>
                    <w:rPr>
                      <w:rFonts w:hint="eastAsia"/>
                      <w:bCs/>
                      <w:szCs w:val="21"/>
                    </w:rPr>
                    <w:t>颗粒物</w:t>
                  </w:r>
                </w:p>
              </w:tc>
              <w:tc>
                <w:tcPr>
                  <w:tcW w:w="570" w:type="pct"/>
                  <w:vAlign w:val="center"/>
                </w:tcPr>
                <w:p w14:paraId="6DC94F40">
                  <w:pPr>
                    <w:spacing w:line="276" w:lineRule="auto"/>
                    <w:jc w:val="center"/>
                    <w:rPr>
                      <w:bCs/>
                      <w:szCs w:val="21"/>
                    </w:rPr>
                  </w:pPr>
                  <w:r>
                    <w:rPr>
                      <w:rFonts w:hint="eastAsia"/>
                      <w:bCs/>
                      <w:szCs w:val="21"/>
                    </w:rPr>
                    <w:t>10.4</w:t>
                  </w:r>
                </w:p>
              </w:tc>
              <w:tc>
                <w:tcPr>
                  <w:tcW w:w="741" w:type="pct"/>
                  <w:vAlign w:val="center"/>
                </w:tcPr>
                <w:p w14:paraId="3782C24B">
                  <w:pPr>
                    <w:spacing w:line="276" w:lineRule="auto"/>
                    <w:jc w:val="center"/>
                    <w:rPr>
                      <w:bCs/>
                      <w:szCs w:val="21"/>
                    </w:rPr>
                  </w:pPr>
                  <w:r>
                    <w:rPr>
                      <w:rFonts w:hint="eastAsia"/>
                      <w:bCs/>
                      <w:szCs w:val="21"/>
                    </w:rPr>
                    <w:t>2080.01</w:t>
                  </w:r>
                </w:p>
              </w:tc>
              <w:tc>
                <w:tcPr>
                  <w:tcW w:w="574" w:type="pct"/>
                  <w:vAlign w:val="center"/>
                </w:tcPr>
                <w:p w14:paraId="77DBA9F2">
                  <w:pPr>
                    <w:spacing w:line="276" w:lineRule="auto"/>
                    <w:jc w:val="center"/>
                    <w:rPr>
                      <w:bCs/>
                      <w:szCs w:val="21"/>
                    </w:rPr>
                  </w:pPr>
                  <w:r>
                    <w:rPr>
                      <w:rFonts w:hint="eastAsia"/>
                      <w:bCs/>
                      <w:szCs w:val="21"/>
                    </w:rPr>
                    <w:t>1</w:t>
                  </w:r>
                </w:p>
              </w:tc>
              <w:tc>
                <w:tcPr>
                  <w:tcW w:w="440" w:type="pct"/>
                  <w:vAlign w:val="center"/>
                </w:tcPr>
                <w:p w14:paraId="6BF294C1">
                  <w:pPr>
                    <w:spacing w:line="276" w:lineRule="auto"/>
                    <w:jc w:val="center"/>
                    <w:rPr>
                      <w:bCs/>
                      <w:szCs w:val="21"/>
                    </w:rPr>
                  </w:pPr>
                  <w:r>
                    <w:rPr>
                      <w:rFonts w:hint="eastAsia"/>
                      <w:bCs/>
                      <w:szCs w:val="21"/>
                    </w:rPr>
                    <w:t>1</w:t>
                  </w:r>
                </w:p>
              </w:tc>
              <w:tc>
                <w:tcPr>
                  <w:tcW w:w="532" w:type="pct"/>
                  <w:vMerge w:val="continue"/>
                  <w:vAlign w:val="center"/>
                </w:tcPr>
                <w:p w14:paraId="6DE53503">
                  <w:pPr>
                    <w:spacing w:line="276" w:lineRule="auto"/>
                    <w:jc w:val="center"/>
                    <w:rPr>
                      <w:bCs/>
                      <w:szCs w:val="21"/>
                    </w:rPr>
                  </w:pPr>
                </w:p>
              </w:tc>
            </w:tr>
          </w:tbl>
          <w:p w14:paraId="55676E82">
            <w:pPr>
              <w:widowControl/>
              <w:spacing w:line="360" w:lineRule="auto"/>
              <w:jc w:val="left"/>
              <w:rPr>
                <w:rFonts w:eastAsia="Times New Roman"/>
                <w:kern w:val="0"/>
              </w:rPr>
            </w:pPr>
            <w:r>
              <w:rPr>
                <w:rFonts w:hint="eastAsia" w:eastAsia="Times New Roman"/>
                <w:b/>
                <w:bCs/>
                <w:kern w:val="0"/>
              </w:rPr>
              <w:t>4.2.2</w:t>
            </w:r>
            <w:r>
              <w:rPr>
                <w:rFonts w:hint="eastAsia"/>
                <w:b/>
                <w:bCs/>
              </w:rPr>
              <w:t>大气环境影响分析及防护措施</w:t>
            </w:r>
          </w:p>
          <w:p w14:paraId="1137E186">
            <w:pPr>
              <w:widowControl/>
              <w:spacing w:line="360" w:lineRule="auto"/>
              <w:ind w:firstLine="420" w:firstLineChars="200"/>
              <w:rPr>
                <w:rFonts w:eastAsia="Times New Roman"/>
                <w:b/>
                <w:bCs/>
                <w:kern w:val="0"/>
              </w:rPr>
            </w:pPr>
            <w:r>
              <w:rPr>
                <w:rFonts w:hint="eastAsia" w:eastAsia="Times New Roman"/>
                <w:b/>
                <w:bCs/>
                <w:kern w:val="0"/>
              </w:rPr>
              <w:t>4.2.2.1</w:t>
            </w:r>
            <w:r>
              <w:rPr>
                <w:rFonts w:eastAsia="Times New Roman"/>
                <w:b/>
                <w:bCs/>
                <w:kern w:val="0"/>
              </w:rPr>
              <w:t>废气治理措施可行性分析</w:t>
            </w:r>
          </w:p>
          <w:p w14:paraId="02D03B72">
            <w:pPr>
              <w:widowControl/>
              <w:spacing w:line="360" w:lineRule="auto"/>
              <w:ind w:firstLine="420" w:firstLineChars="200"/>
              <w:rPr>
                <w:color w:val="auto"/>
                <w:szCs w:val="21"/>
              </w:rPr>
            </w:pPr>
            <w:r>
              <w:rPr>
                <w:szCs w:val="21"/>
              </w:rPr>
              <w:t>项目可能对环境空气造成影响的因素是生产过程中骨料在烘干滚筒加热产生的粉尘、沥青烟</w:t>
            </w:r>
            <w:r>
              <w:rPr>
                <w:rFonts w:hint="eastAsia"/>
                <w:szCs w:val="21"/>
              </w:rPr>
              <w:t>、苯并芘和天然气烘干筒产生的燃气废</w:t>
            </w:r>
            <w:r>
              <w:rPr>
                <w:rFonts w:hint="eastAsia"/>
                <w:color w:val="auto"/>
                <w:szCs w:val="21"/>
              </w:rPr>
              <w:t>气（二氧化硫、氮氧化物</w:t>
            </w:r>
            <w:r>
              <w:rPr>
                <w:rFonts w:hint="eastAsia"/>
                <w:color w:val="auto"/>
                <w:szCs w:val="21"/>
                <w:lang w:eastAsia="zh-CN"/>
              </w:rPr>
              <w:t>、</w:t>
            </w:r>
            <w:r>
              <w:rPr>
                <w:rFonts w:hint="eastAsia"/>
                <w:color w:val="auto"/>
                <w:szCs w:val="21"/>
                <w:lang w:val="en-US" w:eastAsia="zh-CN"/>
              </w:rPr>
              <w:t>颗粒物</w:t>
            </w:r>
            <w:r>
              <w:rPr>
                <w:rFonts w:hint="eastAsia"/>
                <w:color w:val="auto"/>
                <w:szCs w:val="21"/>
              </w:rPr>
              <w:t>）</w:t>
            </w:r>
            <w:r>
              <w:rPr>
                <w:color w:val="auto"/>
                <w:szCs w:val="21"/>
              </w:rPr>
              <w:t>。</w:t>
            </w:r>
          </w:p>
          <w:p w14:paraId="1925F255">
            <w:pPr>
              <w:widowControl/>
              <w:spacing w:line="360" w:lineRule="auto"/>
              <w:ind w:firstLine="420" w:firstLineChars="200"/>
              <w:rPr>
                <w:color w:val="auto"/>
                <w:szCs w:val="21"/>
              </w:rPr>
            </w:pPr>
            <w:r>
              <w:rPr>
                <w:color w:val="auto"/>
                <w:szCs w:val="21"/>
              </w:rPr>
              <w:t>本项目对于烘干滚筒产生的混合气体通过引风机引入</w:t>
            </w:r>
            <w:r>
              <w:rPr>
                <w:rFonts w:hint="eastAsia"/>
                <w:color w:val="auto"/>
                <w:szCs w:val="21"/>
              </w:rPr>
              <w:t>布袋除尘器</w:t>
            </w:r>
            <w:r>
              <w:rPr>
                <w:color w:val="auto"/>
                <w:szCs w:val="21"/>
              </w:rPr>
              <w:t>中进行除尘后通过排气筒排放；沥青烟气经</w:t>
            </w:r>
            <w:r>
              <w:rPr>
                <w:rFonts w:hint="eastAsia"/>
                <w:color w:val="auto"/>
                <w:szCs w:val="21"/>
              </w:rPr>
              <w:t>焚烧法+</w:t>
            </w:r>
            <w:r>
              <w:rPr>
                <w:color w:val="auto"/>
                <w:szCs w:val="21"/>
                <w:lang w:bidi="ar"/>
              </w:rPr>
              <w:t>布袋除尘器</w:t>
            </w:r>
            <w:r>
              <w:rPr>
                <w:rFonts w:hint="eastAsia"/>
                <w:color w:val="auto"/>
                <w:szCs w:val="21"/>
                <w:lang w:bidi="ar"/>
              </w:rPr>
              <w:t>+</w:t>
            </w:r>
            <w:r>
              <w:rPr>
                <w:rFonts w:hint="eastAsia"/>
                <w:color w:val="auto"/>
                <w:szCs w:val="21"/>
                <w:lang w:val="en-US" w:eastAsia="zh-CN" w:bidi="ar"/>
              </w:rPr>
              <w:t>二级</w:t>
            </w:r>
            <w:r>
              <w:rPr>
                <w:rFonts w:hint="eastAsia"/>
                <w:color w:val="auto"/>
                <w:szCs w:val="21"/>
              </w:rPr>
              <w:t>活性炭吸附设备</w:t>
            </w:r>
            <w:r>
              <w:rPr>
                <w:color w:val="auto"/>
                <w:szCs w:val="21"/>
              </w:rPr>
              <w:t>处理后排放</w:t>
            </w:r>
            <w:r>
              <w:rPr>
                <w:rFonts w:hint="eastAsia"/>
                <w:color w:val="auto"/>
                <w:szCs w:val="21"/>
              </w:rPr>
              <w:t>。</w:t>
            </w:r>
          </w:p>
          <w:p w14:paraId="25F2ABEA">
            <w:pPr>
              <w:widowControl/>
              <w:spacing w:line="360" w:lineRule="auto"/>
              <w:ind w:firstLine="420" w:firstLineChars="200"/>
              <w:rPr>
                <w:color w:val="auto"/>
                <w:szCs w:val="21"/>
              </w:rPr>
            </w:pPr>
            <w:r>
              <w:rPr>
                <w:color w:val="auto"/>
                <w:szCs w:val="21"/>
              </w:rPr>
              <w:t>（1）</w:t>
            </w:r>
            <w:r>
              <w:rPr>
                <w:rFonts w:hint="eastAsia"/>
                <w:color w:val="auto"/>
                <w:szCs w:val="21"/>
                <w:lang w:val="en-US" w:eastAsia="zh-CN"/>
              </w:rPr>
              <w:t>二级</w:t>
            </w:r>
            <w:r>
              <w:rPr>
                <w:color w:val="auto"/>
                <w:szCs w:val="21"/>
              </w:rPr>
              <w:t>活性炭吸附</w:t>
            </w:r>
          </w:p>
          <w:p w14:paraId="415B0F49">
            <w:pPr>
              <w:widowControl/>
              <w:spacing w:line="360" w:lineRule="auto"/>
              <w:ind w:firstLine="420" w:firstLineChars="200"/>
              <w:rPr>
                <w:color w:val="auto"/>
                <w:szCs w:val="21"/>
              </w:rPr>
            </w:pPr>
            <w:r>
              <w:rPr>
                <w:color w:val="auto"/>
                <w:szCs w:val="21"/>
              </w:rPr>
              <w:t>活性炭是一种主要由含碳材料制成的，具有高度发达的孔隙构造，活性炭的多孔结构为其提供了大量的表面积，能与气体（杂质）充分接触，从而赋予了活性炭所特有的吸附性能，使其非常容易达到吸收收集杂质的目的。就象磁力一样，所有的分子之间都具有相互引力。正因为如此，活性炭孔壁上的大量的分子可以产生强大的引力，从而达到将有害的杂质吸引到孔径中的目的。</w:t>
            </w:r>
            <w:r>
              <w:rPr>
                <w:rFonts w:hint="eastAsia"/>
                <w:color w:val="auto"/>
                <w:szCs w:val="21"/>
                <w:lang w:eastAsia="zh-CN"/>
              </w:rPr>
              <w:t>按照</w:t>
            </w:r>
            <w:r>
              <w:rPr>
                <w:rFonts w:hint="eastAsia"/>
                <w:color w:val="auto"/>
                <w:szCs w:val="21"/>
                <w:lang w:val="en-US" w:eastAsia="zh-CN"/>
              </w:rPr>
              <w:t>生态环境部发布的《VOCs废气收集率和治理设施去除率通用系数》</w:t>
            </w:r>
            <w:r>
              <w:rPr>
                <w:rFonts w:hint="eastAsia"/>
                <w:color w:val="auto"/>
                <w:szCs w:val="21"/>
                <w:lang w:eastAsia="zh-CN"/>
              </w:rPr>
              <w:t>，</w:t>
            </w:r>
            <w:r>
              <w:rPr>
                <w:rFonts w:hint="eastAsia"/>
                <w:color w:val="auto"/>
                <w:szCs w:val="21"/>
                <w:lang w:val="en-US" w:eastAsia="zh-CN"/>
              </w:rPr>
              <w:t>二级</w:t>
            </w:r>
            <w:r>
              <w:rPr>
                <w:color w:val="auto"/>
                <w:szCs w:val="21"/>
              </w:rPr>
              <w:t>活性炭吸附装置处理效率按</w:t>
            </w:r>
            <w:r>
              <w:rPr>
                <w:rFonts w:hint="eastAsia"/>
                <w:color w:val="auto"/>
                <w:szCs w:val="21"/>
                <w:lang w:val="en-US" w:eastAsia="zh-CN"/>
              </w:rPr>
              <w:t>50</w:t>
            </w:r>
            <w:r>
              <w:rPr>
                <w:color w:val="auto"/>
                <w:szCs w:val="21"/>
              </w:rPr>
              <w:t>%计。</w:t>
            </w:r>
          </w:p>
          <w:p w14:paraId="09C5DA47">
            <w:pPr>
              <w:widowControl/>
              <w:spacing w:line="360" w:lineRule="auto"/>
              <w:ind w:firstLine="420" w:firstLineChars="200"/>
              <w:rPr>
                <w:szCs w:val="21"/>
              </w:rPr>
            </w:pPr>
            <w:r>
              <w:rPr>
                <w:szCs w:val="21"/>
              </w:rPr>
              <w:t>（</w:t>
            </w:r>
            <w:r>
              <w:rPr>
                <w:rFonts w:hint="eastAsia"/>
                <w:szCs w:val="21"/>
              </w:rPr>
              <w:t>2</w:t>
            </w:r>
            <w:r>
              <w:rPr>
                <w:szCs w:val="21"/>
              </w:rPr>
              <w:t>）布袋除尘器</w:t>
            </w:r>
          </w:p>
          <w:p w14:paraId="405D78FA">
            <w:pPr>
              <w:widowControl/>
              <w:spacing w:line="360" w:lineRule="auto"/>
              <w:ind w:firstLine="420" w:firstLineChars="200"/>
              <w:rPr>
                <w:szCs w:val="21"/>
              </w:rPr>
            </w:pPr>
            <w:r>
              <w:rPr>
                <w:szCs w:val="21"/>
              </w:rPr>
              <w:t>袋式除尘是一种高效的除尘方式，除尘效率能够达到99.9%（本次评价按照除尘效率99%核算污染物排放），运行性能稳定可靠，操作维护简单，最适宜处理有回收价值的、粒径比较细小的颗粒物。含尘气体浓度和烟气量在较大范围内变化对除尘效率和阻力影响不大。根据《袋式除尘工程通用技术规范》（</w:t>
            </w:r>
            <w:r>
              <w:rPr>
                <w:rFonts w:hint="eastAsia"/>
                <w:szCs w:val="21"/>
              </w:rPr>
              <w:t xml:space="preserve">HJ </w:t>
            </w:r>
            <w:r>
              <w:rPr>
                <w:szCs w:val="21"/>
              </w:rPr>
              <w:t>2020-2012），袋式除尘工艺的采用取决于污染物的特性。在捕集微细粒子、炉窑烟气的净化、粉尘具有回收价值，可综合利用、高比电阻粉尘等场合和要求下应优先采用袋式除尘工艺。</w:t>
            </w:r>
          </w:p>
          <w:p w14:paraId="476360BF">
            <w:pPr>
              <w:widowControl/>
              <w:spacing w:line="360" w:lineRule="auto"/>
              <w:ind w:firstLine="420" w:firstLineChars="200"/>
              <w:rPr>
                <w:color w:val="auto"/>
                <w:szCs w:val="21"/>
              </w:rPr>
            </w:pPr>
            <w:r>
              <w:rPr>
                <w:szCs w:val="21"/>
              </w:rPr>
              <w:t>袋式除尘的原理是利用含尘气体通过布袋滤料，使粉尘与废气分离。袋式除尘系统运行时，含尘烟气由风管引至袋式除尘器，烟气经玻纤针刺毡滤袋过滤后，再由引风机压入排</w:t>
            </w:r>
            <w:r>
              <w:rPr>
                <w:color w:val="auto"/>
                <w:szCs w:val="21"/>
              </w:rPr>
              <w:t>气筒排放，外排烟气浓度符合污染物排放标准要求。</w:t>
            </w:r>
          </w:p>
          <w:p w14:paraId="1562E7FE">
            <w:pPr>
              <w:widowControl/>
              <w:spacing w:line="360" w:lineRule="auto"/>
              <w:ind w:firstLine="420" w:firstLineChars="200"/>
              <w:rPr>
                <w:color w:val="auto"/>
                <w:szCs w:val="21"/>
              </w:rPr>
            </w:pPr>
            <w:r>
              <w:rPr>
                <w:color w:val="auto"/>
                <w:szCs w:val="21"/>
              </w:rPr>
              <w:t>由此可见，本项目采用袋式除尘对产生的废气进行处理是适宜的、可行的，既可以达到较高的除尘效率，保证烟气达标排放，又可以回收烟气中的有价粉尘。</w:t>
            </w:r>
          </w:p>
          <w:p w14:paraId="28ECBE5C">
            <w:pPr>
              <w:widowControl/>
              <w:spacing w:line="360" w:lineRule="auto"/>
              <w:ind w:firstLine="420" w:firstLineChars="200"/>
              <w:rPr>
                <w:color w:val="auto"/>
                <w:szCs w:val="21"/>
              </w:rPr>
            </w:pPr>
            <w:r>
              <w:rPr>
                <w:rFonts w:hint="eastAsia"/>
                <w:color w:val="auto"/>
                <w:szCs w:val="21"/>
              </w:rPr>
              <w:t>（3）焚烧法</w:t>
            </w:r>
          </w:p>
          <w:p w14:paraId="474B61BB">
            <w:pPr>
              <w:overflowPunct w:val="0"/>
              <w:snapToGrid w:val="0"/>
              <w:spacing w:line="360" w:lineRule="auto"/>
              <w:ind w:firstLine="420" w:firstLineChars="200"/>
              <w:jc w:val="left"/>
              <w:rPr>
                <w:color w:val="auto"/>
                <w:szCs w:val="21"/>
              </w:rPr>
            </w:pPr>
            <w:r>
              <w:rPr>
                <w:color w:val="auto"/>
                <w:szCs w:val="21"/>
              </w:rPr>
              <w:t>沥青烟气的组分中有大量可燃物质，基本成分为碳氧化合物，另外还含有油粒及其他可燃性物质。本项目中的焚烧法主要是利用沥青烟气中含有的大量可燃性有机物，700°C以上与可燃气体接触可完全燃烧对沥青烟气进行处理，把烟气中的烃类、可燃炭粉和焦油雾滴燃烧，分解成CO</w:t>
            </w:r>
            <w:r>
              <w:rPr>
                <w:color w:val="auto"/>
                <w:szCs w:val="21"/>
                <w:vertAlign w:val="subscript"/>
              </w:rPr>
              <w:t>2</w:t>
            </w:r>
            <w:r>
              <w:rPr>
                <w:color w:val="auto"/>
                <w:szCs w:val="21"/>
              </w:rPr>
              <w:t>，H</w:t>
            </w:r>
            <w:r>
              <w:rPr>
                <w:color w:val="auto"/>
                <w:szCs w:val="21"/>
                <w:vertAlign w:val="subscript"/>
              </w:rPr>
              <w:t>2</w:t>
            </w:r>
            <w:r>
              <w:rPr>
                <w:color w:val="auto"/>
                <w:szCs w:val="21"/>
              </w:rPr>
              <w:t>O。当温度超过790°C时，烃类物质可完全燃烧。根据《浅谈沥青烟的危害及几种治理方法》中提出：沥青烟气中的基本成分是碳氢化合物，在一定的温度条件下可以燃烧，当焙烧温度达到790°C以上时，烃类物质即可燃烧殆尽。</w:t>
            </w:r>
          </w:p>
          <w:p w14:paraId="3EC685D0">
            <w:pPr>
              <w:widowControl/>
              <w:spacing w:line="360" w:lineRule="auto"/>
              <w:ind w:firstLine="420" w:firstLineChars="200"/>
              <w:rPr>
                <w:color w:val="auto"/>
                <w:szCs w:val="21"/>
              </w:rPr>
            </w:pPr>
            <w:r>
              <w:rPr>
                <w:rFonts w:hint="eastAsia"/>
                <w:color w:val="auto"/>
                <w:szCs w:val="21"/>
              </w:rPr>
              <w:t>（4）</w:t>
            </w:r>
            <w:r>
              <w:rPr>
                <w:rFonts w:hint="eastAsia"/>
                <w:color w:val="auto"/>
                <w:szCs w:val="21"/>
                <w:lang w:val="en-US" w:eastAsia="zh-CN"/>
              </w:rPr>
              <w:t>罐</w:t>
            </w:r>
            <w:r>
              <w:rPr>
                <w:rFonts w:hint="eastAsia"/>
                <w:color w:val="auto"/>
                <w:szCs w:val="21"/>
              </w:rPr>
              <w:t>仓顶</w:t>
            </w:r>
            <w:r>
              <w:rPr>
                <w:rFonts w:hint="eastAsia"/>
                <w:color w:val="auto"/>
                <w:szCs w:val="21"/>
                <w:lang w:val="en-US" w:eastAsia="zh-CN"/>
              </w:rPr>
              <w:t>部</w:t>
            </w:r>
            <w:r>
              <w:rPr>
                <w:rFonts w:hint="eastAsia"/>
                <w:color w:val="auto"/>
                <w:szCs w:val="21"/>
              </w:rPr>
              <w:t>除尘设施</w:t>
            </w:r>
          </w:p>
          <w:p w14:paraId="3081246C">
            <w:pPr>
              <w:spacing w:line="360" w:lineRule="auto"/>
              <w:ind w:firstLine="420" w:firstLineChars="200"/>
              <w:rPr>
                <w:rFonts w:ascii="宋体" w:hAnsi="宋体" w:cs="宋体"/>
                <w:color w:val="auto"/>
                <w:kern w:val="0"/>
              </w:rPr>
            </w:pPr>
            <w:r>
              <w:rPr>
                <w:rFonts w:hint="eastAsia" w:ascii="宋体" w:hAnsi="宋体" w:cs="宋体"/>
                <w:color w:val="auto"/>
                <w:kern w:val="0"/>
              </w:rPr>
              <w:t>仓顶除尘器是一种用在</w:t>
            </w:r>
            <w:r>
              <w:rPr>
                <w:rFonts w:hint="eastAsia" w:ascii="宋体" w:hAnsi="宋体" w:cs="宋体"/>
                <w:color w:val="auto"/>
                <w:kern w:val="0"/>
                <w:lang w:val="en-US" w:eastAsia="zh-CN"/>
              </w:rPr>
              <w:t>罐</w:t>
            </w:r>
            <w:r>
              <w:rPr>
                <w:rFonts w:hint="eastAsia" w:ascii="宋体" w:hAnsi="宋体" w:cs="宋体"/>
                <w:color w:val="auto"/>
                <w:kern w:val="0"/>
              </w:rPr>
              <w:t>仓中的除尘设备。这种除尘器主要应用于采矿、冶金、建材、机械、化工、粮食加工等工矿企业。并广泛用于过滤气体中细小的，非纤维性的干燥粉尘或在工艺流程中回收干燥粉料的一种除尘设备。通过除尘滤芯将</w:t>
            </w:r>
            <w:r>
              <w:rPr>
                <w:rFonts w:hint="eastAsia" w:ascii="宋体" w:hAnsi="宋体" w:cs="宋体"/>
                <w:color w:val="auto"/>
                <w:kern w:val="0"/>
                <w:lang w:val="en-US" w:eastAsia="zh-CN"/>
              </w:rPr>
              <w:t>罐</w:t>
            </w:r>
            <w:r>
              <w:rPr>
                <w:rFonts w:hint="eastAsia" w:ascii="宋体" w:hAnsi="宋体" w:cs="宋体"/>
                <w:color w:val="auto"/>
                <w:kern w:val="0"/>
              </w:rPr>
              <w:t>仓内漂浮的粉尘颗粒隔离开，并将干净的空气排放到大气中，以此来保护环境。为了防止滤芯被粉尘颗粒堵塞，清灰装置将附着在除尘滤芯上的粉尘自动清理下来。仓顶除尘器的滤尘是通过滤袋进行的，滤袋材料涤纶针刺呢，当含尘空气通过时，即可有效的使用固相与气相分离开来。</w:t>
            </w:r>
          </w:p>
          <w:p w14:paraId="07CD9FD9">
            <w:pPr>
              <w:widowControl/>
              <w:spacing w:line="360" w:lineRule="auto"/>
              <w:ind w:firstLine="420" w:firstLineChars="200"/>
              <w:rPr>
                <w:color w:val="auto"/>
                <w:szCs w:val="21"/>
              </w:rPr>
            </w:pPr>
            <w:r>
              <w:rPr>
                <w:color w:val="auto"/>
                <w:kern w:val="0"/>
              </w:rPr>
              <w:t>（5）</w:t>
            </w:r>
            <w:r>
              <w:rPr>
                <w:rFonts w:hint="eastAsia"/>
                <w:color w:val="auto"/>
                <w:szCs w:val="21"/>
              </w:rPr>
              <w:t>无组织废气尘防治措施：</w:t>
            </w:r>
          </w:p>
          <w:p w14:paraId="29CA2456">
            <w:pPr>
              <w:spacing w:line="360" w:lineRule="auto"/>
              <w:ind w:firstLine="420" w:firstLineChars="200"/>
              <w:rPr>
                <w:rFonts w:ascii="宋体" w:hAnsi="宋体" w:cs="宋体"/>
                <w:color w:val="auto"/>
                <w:kern w:val="0"/>
              </w:rPr>
            </w:pPr>
            <w:r>
              <w:rPr>
                <w:rFonts w:hint="eastAsia" w:ascii="宋体" w:hAnsi="宋体" w:cs="宋体"/>
                <w:color w:val="auto"/>
                <w:kern w:val="0"/>
              </w:rPr>
              <w:t>①原料仓库划分物料堆放区域与道路的界限，及时清除散落的物料，保持物料堆放区域和道路整洁。</w:t>
            </w:r>
          </w:p>
          <w:p w14:paraId="5AEF3529">
            <w:pPr>
              <w:spacing w:line="360" w:lineRule="auto"/>
              <w:ind w:firstLine="420" w:firstLineChars="200"/>
              <w:rPr>
                <w:rFonts w:ascii="宋体" w:hAnsi="宋体" w:cs="宋体"/>
                <w:color w:val="auto"/>
                <w:kern w:val="0"/>
              </w:rPr>
            </w:pPr>
            <w:r>
              <w:rPr>
                <w:rFonts w:hint="eastAsia" w:ascii="宋体" w:hAnsi="宋体" w:cs="宋体"/>
                <w:color w:val="auto"/>
                <w:kern w:val="0"/>
              </w:rPr>
              <w:t>②厂内道路硬化处理，厂区道路应时常洒水降尘，防止在车辆来往过程造成大量扬尘。</w:t>
            </w:r>
          </w:p>
          <w:p w14:paraId="1EBDBF29">
            <w:pPr>
              <w:spacing w:line="360" w:lineRule="auto"/>
              <w:ind w:firstLine="420" w:firstLineChars="200"/>
              <w:rPr>
                <w:rFonts w:ascii="宋体" w:hAnsi="宋体" w:cs="宋体"/>
                <w:color w:val="auto"/>
                <w:kern w:val="0"/>
              </w:rPr>
            </w:pPr>
            <w:r>
              <w:rPr>
                <w:rFonts w:hint="eastAsia" w:ascii="宋体" w:hAnsi="宋体" w:cs="宋体"/>
                <w:color w:val="auto"/>
                <w:kern w:val="0"/>
              </w:rPr>
              <w:t>③采用围挡或者其他封闭仓储设施，组织员工定时洒水抑尘；</w:t>
            </w:r>
          </w:p>
          <w:p w14:paraId="4951465B">
            <w:pPr>
              <w:spacing w:line="360" w:lineRule="auto"/>
              <w:ind w:firstLine="420" w:firstLineChars="200"/>
              <w:rPr>
                <w:rFonts w:ascii="宋体" w:hAnsi="宋体" w:cs="宋体"/>
                <w:color w:val="auto"/>
                <w:kern w:val="0"/>
              </w:rPr>
            </w:pPr>
            <w:r>
              <w:rPr>
                <w:rFonts w:hint="eastAsia" w:ascii="宋体" w:hAnsi="宋体" w:cs="宋体"/>
                <w:color w:val="auto"/>
                <w:kern w:val="0"/>
              </w:rPr>
              <w:t>④物料转运时采取封闭式皮带输送机；输送带转运点和进、出料口处均要求采用密封罩、遮尘帘、机械抽风和收尘相结合的除尘措施。</w:t>
            </w:r>
          </w:p>
          <w:p w14:paraId="1928AFC6">
            <w:pPr>
              <w:spacing w:line="360" w:lineRule="auto"/>
              <w:ind w:firstLine="420" w:firstLineChars="200"/>
              <w:rPr>
                <w:rFonts w:ascii="宋体" w:hAnsi="宋体" w:cs="宋体"/>
                <w:color w:val="auto"/>
                <w:kern w:val="0"/>
              </w:rPr>
            </w:pPr>
            <w:r>
              <w:rPr>
                <w:rFonts w:hint="eastAsia" w:ascii="宋体" w:hAnsi="宋体" w:cs="宋体"/>
                <w:color w:val="auto"/>
                <w:kern w:val="0"/>
              </w:rPr>
              <w:t>⑤加强厂区管理，加强厂区绿化，设置绿化隔离带和防护距离。</w:t>
            </w:r>
          </w:p>
          <w:p w14:paraId="13582E58">
            <w:pPr>
              <w:ind w:firstLine="420"/>
              <w:rPr>
                <w:color w:val="auto"/>
              </w:rPr>
            </w:pPr>
            <w:r>
              <w:rPr>
                <w:rFonts w:hint="eastAsia" w:ascii="宋体" w:hAnsi="宋体" w:cs="宋体"/>
                <w:color w:val="auto"/>
                <w:kern w:val="0"/>
              </w:rPr>
              <w:t>项目区无组织废气在采取以上治理措施的基础上，可有效减少无组织排放。</w:t>
            </w:r>
          </w:p>
          <w:p w14:paraId="7DA59F0C">
            <w:pPr>
              <w:widowControl/>
              <w:spacing w:line="360" w:lineRule="auto"/>
              <w:ind w:firstLine="420" w:firstLineChars="200"/>
              <w:rPr>
                <w:color w:val="auto"/>
              </w:rPr>
            </w:pPr>
            <w:r>
              <w:rPr>
                <w:rFonts w:hint="eastAsia" w:eastAsia="Times New Roman"/>
                <w:b/>
                <w:bCs/>
                <w:color w:val="auto"/>
                <w:kern w:val="0"/>
              </w:rPr>
              <w:t>4.2.2.2废气达标排放分析</w:t>
            </w:r>
          </w:p>
          <w:p w14:paraId="01DEB3ED">
            <w:pPr>
              <w:spacing w:line="360" w:lineRule="auto"/>
              <w:ind w:firstLine="420" w:firstLineChars="200"/>
              <w:rPr>
                <w:color w:val="auto"/>
                <w:szCs w:val="21"/>
              </w:rPr>
            </w:pPr>
            <w:r>
              <w:rPr>
                <w:rFonts w:hint="eastAsia"/>
                <w:color w:val="auto"/>
                <w:szCs w:val="21"/>
              </w:rPr>
              <w:t>（</w:t>
            </w:r>
            <w:r>
              <w:rPr>
                <w:color w:val="auto"/>
                <w:szCs w:val="21"/>
              </w:rPr>
              <w:t>1</w:t>
            </w:r>
            <w:r>
              <w:rPr>
                <w:rFonts w:hint="eastAsia"/>
                <w:color w:val="auto"/>
                <w:szCs w:val="21"/>
              </w:rPr>
              <w:t>）沥青混凝土加料过程产生的粉尘主要为颗粒物，经布袋除尘器处理后满足</w:t>
            </w:r>
            <w:r>
              <w:rPr>
                <w:color w:val="auto"/>
                <w:szCs w:val="21"/>
              </w:rPr>
              <w:t>《大气污染物综合排放标准》（</w:t>
            </w:r>
            <w:r>
              <w:rPr>
                <w:rFonts w:hint="eastAsia"/>
                <w:color w:val="auto"/>
                <w:szCs w:val="21"/>
              </w:rPr>
              <w:t>GB</w:t>
            </w:r>
            <w:r>
              <w:rPr>
                <w:color w:val="auto"/>
                <w:szCs w:val="21"/>
              </w:rPr>
              <w:t>16297-1996）表2中二级标准</w:t>
            </w:r>
            <w:r>
              <w:rPr>
                <w:rFonts w:hint="eastAsia"/>
                <w:color w:val="auto"/>
                <w:szCs w:val="21"/>
              </w:rPr>
              <w:t>，由15m高排气筒（DA001）排放；颗粒物无组织满足</w:t>
            </w:r>
            <w:r>
              <w:rPr>
                <w:color w:val="auto"/>
                <w:szCs w:val="21"/>
              </w:rPr>
              <w:t>《大气污染物综合排放标准》（</w:t>
            </w:r>
            <w:r>
              <w:rPr>
                <w:rFonts w:hint="eastAsia"/>
                <w:color w:val="auto"/>
                <w:szCs w:val="21"/>
              </w:rPr>
              <w:t>GB</w:t>
            </w:r>
            <w:r>
              <w:rPr>
                <w:color w:val="auto"/>
                <w:szCs w:val="21"/>
              </w:rPr>
              <w:t>16297-1996）表2中二级标准</w:t>
            </w:r>
            <w:r>
              <w:rPr>
                <w:rFonts w:hint="eastAsia"/>
                <w:color w:val="auto"/>
                <w:szCs w:val="21"/>
              </w:rPr>
              <w:t>（周界外浓度最高点：1.0mg/m</w:t>
            </w:r>
            <w:r>
              <w:rPr>
                <w:rFonts w:hint="eastAsia"/>
                <w:color w:val="auto"/>
                <w:szCs w:val="21"/>
                <w:vertAlign w:val="superscript"/>
              </w:rPr>
              <w:t>3</w:t>
            </w:r>
            <w:r>
              <w:rPr>
                <w:rFonts w:hint="eastAsia"/>
                <w:color w:val="auto"/>
                <w:szCs w:val="21"/>
              </w:rPr>
              <w:t>）。</w:t>
            </w:r>
          </w:p>
          <w:p w14:paraId="302C47E1">
            <w:pPr>
              <w:pStyle w:val="29"/>
              <w:spacing w:line="360" w:lineRule="auto"/>
              <w:ind w:left="0"/>
              <w:rPr>
                <w:color w:val="auto"/>
                <w:szCs w:val="21"/>
              </w:rPr>
            </w:pPr>
            <w:r>
              <w:rPr>
                <w:rFonts w:hint="eastAsia"/>
                <w:color w:val="auto"/>
                <w:szCs w:val="21"/>
              </w:rPr>
              <w:t>（2）沥青混凝土生产过程中天然气烘干筒产生的燃气废气主要为二氧化硫、氮氧化物</w:t>
            </w:r>
            <w:r>
              <w:rPr>
                <w:rFonts w:hint="eastAsia"/>
                <w:color w:val="auto"/>
                <w:szCs w:val="21"/>
                <w:lang w:eastAsia="zh-CN"/>
              </w:rPr>
              <w:t>、</w:t>
            </w:r>
            <w:r>
              <w:rPr>
                <w:rFonts w:hint="eastAsia"/>
                <w:color w:val="auto"/>
                <w:szCs w:val="21"/>
                <w:lang w:val="en-US" w:eastAsia="zh-CN"/>
              </w:rPr>
              <w:t>颗粒物</w:t>
            </w:r>
            <w:r>
              <w:rPr>
                <w:rFonts w:hint="eastAsia"/>
                <w:color w:val="auto"/>
                <w:szCs w:val="21"/>
              </w:rPr>
              <w:t>，</w:t>
            </w:r>
            <w:r>
              <w:rPr>
                <w:rFonts w:hint="eastAsia"/>
                <w:color w:val="auto"/>
                <w:highlight w:val="none"/>
                <w:lang w:val="en-US" w:eastAsia="zh-CN"/>
              </w:rPr>
              <w:t>在采取封闭措施的沥青混凝土生产线中，与</w:t>
            </w:r>
            <w:r>
              <w:rPr>
                <w:color w:val="auto"/>
                <w:highlight w:val="none"/>
              </w:rPr>
              <w:t>烘干</w:t>
            </w:r>
            <w:r>
              <w:rPr>
                <w:rFonts w:hint="eastAsia"/>
                <w:color w:val="auto"/>
                <w:highlight w:val="none"/>
                <w:lang w:val="en-US" w:eastAsia="zh-CN"/>
              </w:rPr>
              <w:t>废气</w:t>
            </w:r>
            <w:r>
              <w:rPr>
                <w:rFonts w:hint="eastAsia"/>
                <w:color w:val="auto"/>
                <w:highlight w:val="none"/>
                <w:lang w:eastAsia="zh-CN"/>
              </w:rPr>
              <w:t>、</w:t>
            </w:r>
            <w:r>
              <w:rPr>
                <w:color w:val="auto"/>
                <w:highlight w:val="none"/>
              </w:rPr>
              <w:t>筛分废气</w:t>
            </w:r>
            <w:r>
              <w:rPr>
                <w:rFonts w:hint="eastAsia"/>
                <w:color w:val="auto"/>
                <w:highlight w:val="none"/>
                <w:lang w:val="en-US" w:eastAsia="zh-CN"/>
              </w:rPr>
              <w:t>等混合废气一同</w:t>
            </w:r>
            <w:r>
              <w:rPr>
                <w:color w:val="auto"/>
                <w:highlight w:val="none"/>
              </w:rPr>
              <w:t>经“布袋除尘器+</w:t>
            </w:r>
            <w:r>
              <w:rPr>
                <w:rFonts w:hint="eastAsia"/>
                <w:color w:val="auto"/>
                <w:highlight w:val="none"/>
                <w:lang w:val="en-US" w:eastAsia="zh-CN"/>
              </w:rPr>
              <w:t>二级</w:t>
            </w:r>
            <w:r>
              <w:rPr>
                <w:color w:val="auto"/>
                <w:highlight w:val="none"/>
              </w:rPr>
              <w:t>活性炭吸附装置”进行处理后，</w:t>
            </w:r>
            <w:r>
              <w:rPr>
                <w:rFonts w:hint="eastAsia"/>
                <w:color w:val="auto"/>
              </w:rPr>
              <w:t>满足</w:t>
            </w:r>
            <w:r>
              <w:rPr>
                <w:rFonts w:hint="eastAsia"/>
                <w:color w:val="auto"/>
                <w:szCs w:val="21"/>
              </w:rPr>
              <w:t>《兵团工业炉窑大气污染综合治理实施方案》中重点区域排放标准</w:t>
            </w:r>
            <w:r>
              <w:rPr>
                <w:rFonts w:hint="eastAsia"/>
                <w:color w:val="auto"/>
              </w:rPr>
              <w:t>后由15m高排气筒（DA002）排放</w:t>
            </w:r>
            <w:r>
              <w:rPr>
                <w:rFonts w:hint="eastAsia"/>
                <w:color w:val="auto"/>
                <w:szCs w:val="21"/>
              </w:rPr>
              <w:t>；</w:t>
            </w:r>
          </w:p>
          <w:p w14:paraId="122B9C6E">
            <w:pPr>
              <w:pStyle w:val="29"/>
              <w:spacing w:line="360" w:lineRule="auto"/>
              <w:ind w:left="0"/>
              <w:rPr>
                <w:color w:val="auto"/>
                <w:szCs w:val="20"/>
              </w:rPr>
            </w:pPr>
            <w:r>
              <w:rPr>
                <w:rFonts w:hint="eastAsia"/>
                <w:color w:val="auto"/>
                <w:szCs w:val="21"/>
              </w:rPr>
              <w:t>（3）</w:t>
            </w:r>
            <w:r>
              <w:rPr>
                <w:rFonts w:hint="eastAsia"/>
                <w:color w:val="auto"/>
                <w:szCs w:val="20"/>
              </w:rPr>
              <w:t>沥青加热和混合搅拌、成品卸料工序产生的沥青烟气主要为苯并芘、沥青烟和非甲烷总烃，</w:t>
            </w:r>
            <w:r>
              <w:rPr>
                <w:rFonts w:hint="eastAsia"/>
                <w:color w:val="auto"/>
                <w:szCs w:val="21"/>
              </w:rPr>
              <w:t>经过“焚烧法+</w:t>
            </w:r>
            <w:r>
              <w:rPr>
                <w:rFonts w:hint="eastAsia"/>
                <w:color w:val="auto"/>
                <w:szCs w:val="21"/>
                <w:lang w:val="en-US" w:eastAsia="zh-CN"/>
              </w:rPr>
              <w:t>二级</w:t>
            </w:r>
            <w:r>
              <w:rPr>
                <w:rFonts w:hint="eastAsia"/>
                <w:color w:val="auto"/>
                <w:szCs w:val="21"/>
              </w:rPr>
              <w:t>活性炭吸附设备”处理，苯并[a]芘、沥青烟、非甲烷总烃满足</w:t>
            </w:r>
            <w:r>
              <w:rPr>
                <w:color w:val="auto"/>
                <w:szCs w:val="21"/>
              </w:rPr>
              <w:t>《大气污染物综合排放标准》（</w:t>
            </w:r>
            <w:r>
              <w:rPr>
                <w:rFonts w:hint="eastAsia"/>
                <w:color w:val="auto"/>
                <w:szCs w:val="21"/>
              </w:rPr>
              <w:t xml:space="preserve">GB </w:t>
            </w:r>
            <w:r>
              <w:rPr>
                <w:color w:val="auto"/>
                <w:szCs w:val="21"/>
              </w:rPr>
              <w:t>16297-1996）表2中二级标准</w:t>
            </w:r>
            <w:r>
              <w:rPr>
                <w:rFonts w:hint="eastAsia"/>
                <w:color w:val="auto"/>
                <w:szCs w:val="21"/>
              </w:rPr>
              <w:t>后由15m高排气筒（DA002）排放</w:t>
            </w:r>
            <w:r>
              <w:rPr>
                <w:rFonts w:hint="eastAsia"/>
                <w:color w:val="auto"/>
                <w:szCs w:val="20"/>
              </w:rPr>
              <w:t>；</w:t>
            </w:r>
            <w:r>
              <w:rPr>
                <w:rFonts w:hint="eastAsia"/>
                <w:color w:val="auto"/>
                <w:szCs w:val="21"/>
              </w:rPr>
              <w:t>无组织并芘满足</w:t>
            </w:r>
            <w:r>
              <w:rPr>
                <w:color w:val="auto"/>
                <w:szCs w:val="21"/>
              </w:rPr>
              <w:t>《大气污染物综合排放标准》（</w:t>
            </w:r>
            <w:r>
              <w:rPr>
                <w:rFonts w:hint="eastAsia"/>
                <w:color w:val="auto"/>
                <w:szCs w:val="21"/>
              </w:rPr>
              <w:t>GB</w:t>
            </w:r>
            <w:r>
              <w:rPr>
                <w:color w:val="auto"/>
                <w:szCs w:val="21"/>
              </w:rPr>
              <w:t>16297-1996）表2中二级标准</w:t>
            </w:r>
            <w:r>
              <w:rPr>
                <w:rFonts w:hint="eastAsia"/>
                <w:color w:val="auto"/>
                <w:szCs w:val="21"/>
              </w:rPr>
              <w:t>（周界外浓度最高点：0.008</w:t>
            </w:r>
            <w:r>
              <w:rPr>
                <w:color w:val="auto"/>
                <w:szCs w:val="21"/>
              </w:rPr>
              <w:t>μ</w:t>
            </w:r>
            <w:r>
              <w:rPr>
                <w:rFonts w:hint="eastAsia"/>
                <w:color w:val="auto"/>
                <w:szCs w:val="21"/>
              </w:rPr>
              <w:t>g/m</w:t>
            </w:r>
            <w:r>
              <w:rPr>
                <w:rFonts w:hint="eastAsia"/>
                <w:color w:val="auto"/>
                <w:szCs w:val="21"/>
                <w:vertAlign w:val="superscript"/>
              </w:rPr>
              <w:t>3</w:t>
            </w:r>
            <w:r>
              <w:rPr>
                <w:rFonts w:hint="eastAsia"/>
                <w:color w:val="auto"/>
                <w:szCs w:val="21"/>
              </w:rPr>
              <w:t>）；</w:t>
            </w:r>
            <w:r>
              <w:rPr>
                <w:rFonts w:hint="eastAsia" w:eastAsia="宋体"/>
                <w:color w:val="auto"/>
                <w:lang w:eastAsia="zh-CN"/>
              </w:rPr>
              <w:t>厂界无组织废气颗粒物、苯并[a]芘、非甲烷总烃执行《大气污染物综合排放标准》(GB16297-1996)无组织排放标准限值</w:t>
            </w:r>
            <w:r>
              <w:rPr>
                <w:rFonts w:hint="eastAsia"/>
                <w:color w:val="auto"/>
                <w:szCs w:val="21"/>
              </w:rPr>
              <w:t>。</w:t>
            </w:r>
          </w:p>
          <w:p w14:paraId="61712819">
            <w:pPr>
              <w:pStyle w:val="29"/>
              <w:spacing w:line="360" w:lineRule="auto"/>
              <w:ind w:left="0"/>
              <w:rPr>
                <w:szCs w:val="21"/>
              </w:rPr>
            </w:pPr>
            <w:r>
              <w:rPr>
                <w:rFonts w:hint="eastAsia"/>
                <w:color w:val="auto"/>
                <w:szCs w:val="21"/>
              </w:rPr>
              <w:t>（4）水稳砼生产线上料、搅拌、卸料粉尘为颗粒物，布袋除尘收集后满足</w:t>
            </w:r>
            <w:r>
              <w:rPr>
                <w:rFonts w:hint="eastAsia"/>
                <w:color w:val="auto"/>
                <w:szCs w:val="21"/>
                <w:lang w:bidi="ar"/>
              </w:rPr>
              <w:t>《水泥工业大气污染物排放标准》（GB 4915-2013）中表2中相关标准，</w:t>
            </w:r>
            <w:r>
              <w:rPr>
                <w:rFonts w:hint="eastAsia"/>
                <w:color w:val="auto"/>
                <w:szCs w:val="21"/>
              </w:rPr>
              <w:t>由1</w:t>
            </w:r>
            <w:r>
              <w:rPr>
                <w:rFonts w:hint="eastAsia"/>
                <w:szCs w:val="21"/>
              </w:rPr>
              <w:t>5m高排气筒（DA003）排放；</w:t>
            </w:r>
          </w:p>
          <w:p w14:paraId="3530D7F5">
            <w:pPr>
              <w:pStyle w:val="29"/>
              <w:spacing w:line="360" w:lineRule="auto"/>
              <w:ind w:left="0"/>
            </w:pPr>
            <w:r>
              <w:rPr>
                <w:rFonts w:hint="eastAsia"/>
                <w:szCs w:val="21"/>
              </w:rPr>
              <w:t>（5）</w:t>
            </w:r>
            <w:r>
              <w:rPr>
                <w:szCs w:val="21"/>
              </w:rPr>
              <w:t>食堂废气</w:t>
            </w:r>
            <w:r>
              <w:rPr>
                <w:rFonts w:hint="eastAsia"/>
                <w:szCs w:val="21"/>
              </w:rPr>
              <w:t>产生的污染因子为食堂油烟，经油烟净化器处理，满足</w:t>
            </w:r>
            <w:r>
              <w:rPr>
                <w:rFonts w:hint="eastAsia"/>
              </w:rPr>
              <w:t>《饮食业油烟排放标准（试行）》（GB 18483-2001）标准后</w:t>
            </w:r>
            <w:r>
              <w:rPr>
                <w:rFonts w:hint="eastAsia"/>
                <w:szCs w:val="21"/>
              </w:rPr>
              <w:t>排放。</w:t>
            </w:r>
          </w:p>
          <w:p w14:paraId="05416261">
            <w:pPr>
              <w:spacing w:line="360" w:lineRule="auto"/>
              <w:ind w:firstLine="420" w:firstLineChars="200"/>
              <w:rPr>
                <w:szCs w:val="21"/>
              </w:rPr>
            </w:pPr>
            <w:r>
              <w:rPr>
                <w:rFonts w:hint="eastAsia"/>
                <w:szCs w:val="21"/>
              </w:rPr>
              <w:t>根据上述分析可知，污染物均可达标排放，达标情况见表4-</w:t>
            </w:r>
            <w:r>
              <w:rPr>
                <w:rFonts w:hint="eastAsia"/>
                <w:szCs w:val="21"/>
                <w:lang w:val="en-US" w:eastAsia="zh-CN"/>
              </w:rPr>
              <w:t>5</w:t>
            </w:r>
            <w:r>
              <w:rPr>
                <w:rFonts w:hint="eastAsia"/>
                <w:szCs w:val="21"/>
              </w:rPr>
              <w:t>。</w:t>
            </w:r>
          </w:p>
          <w:p w14:paraId="41A12257">
            <w:pPr>
              <w:pStyle w:val="110"/>
              <w:jc w:val="center"/>
              <w:rPr>
                <w:rFonts w:ascii="Times New Roman" w:hAnsi="Times New Roman" w:cs="Times New Roman"/>
                <w:b/>
                <w:bCs/>
                <w:sz w:val="21"/>
                <w:szCs w:val="21"/>
                <w:lang w:val="en-US" w:bidi="ar-SA"/>
              </w:rPr>
            </w:pPr>
            <w:r>
              <w:rPr>
                <w:rFonts w:hint="eastAsia" w:ascii="Times New Roman" w:hAnsi="Times New Roman" w:cs="Times New Roman"/>
                <w:b/>
                <w:bCs/>
                <w:sz w:val="21"/>
                <w:szCs w:val="21"/>
                <w:lang w:val="en-US" w:bidi="ar-SA"/>
              </w:rPr>
              <w:t>表</w:t>
            </w:r>
            <w:r>
              <w:rPr>
                <w:rFonts w:ascii="Times New Roman" w:hAnsi="Times New Roman" w:cs="Times New Roman"/>
                <w:b/>
                <w:bCs/>
                <w:sz w:val="21"/>
                <w:szCs w:val="21"/>
                <w:lang w:val="en-US" w:bidi="ar-SA"/>
              </w:rPr>
              <w:t>4-</w:t>
            </w:r>
            <w:r>
              <w:rPr>
                <w:rFonts w:hint="eastAsia" w:ascii="Times New Roman" w:hAnsi="Times New Roman" w:cs="Times New Roman"/>
                <w:b/>
                <w:bCs/>
                <w:sz w:val="21"/>
                <w:szCs w:val="21"/>
                <w:lang w:val="en-US" w:eastAsia="zh-CN" w:bidi="ar-SA"/>
              </w:rPr>
              <w:t>5</w:t>
            </w:r>
            <w:r>
              <w:rPr>
                <w:rFonts w:hint="eastAsia" w:ascii="Times New Roman" w:hAnsi="Times New Roman" w:cs="Times New Roman"/>
                <w:b/>
                <w:bCs/>
                <w:sz w:val="21"/>
                <w:szCs w:val="21"/>
                <w:lang w:val="en-US" w:bidi="ar-SA"/>
              </w:rPr>
              <w:t xml:space="preserve"> 有组织废气排放情况汇总表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121"/>
              <w:gridCol w:w="1416"/>
              <w:gridCol w:w="1132"/>
              <w:gridCol w:w="1339"/>
              <w:gridCol w:w="1131"/>
              <w:gridCol w:w="784"/>
            </w:tblGrid>
            <w:tr w14:paraId="1207F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7" w:type="pct"/>
                  <w:vAlign w:val="center"/>
                </w:tcPr>
                <w:p w14:paraId="124BE3E9">
                  <w:pPr>
                    <w:widowControl/>
                    <w:jc w:val="center"/>
                    <w:textAlignment w:val="center"/>
                    <w:rPr>
                      <w:b/>
                      <w:bCs/>
                      <w:kern w:val="0"/>
                      <w:szCs w:val="21"/>
                    </w:rPr>
                  </w:pPr>
                  <w:r>
                    <w:rPr>
                      <w:rFonts w:hint="eastAsia"/>
                      <w:b/>
                      <w:bCs/>
                      <w:kern w:val="0"/>
                      <w:szCs w:val="21"/>
                    </w:rPr>
                    <w:t>排放口</w:t>
                  </w:r>
                </w:p>
              </w:tc>
              <w:tc>
                <w:tcPr>
                  <w:tcW w:w="682" w:type="pct"/>
                  <w:vAlign w:val="center"/>
                </w:tcPr>
                <w:p w14:paraId="4D3F2EEE">
                  <w:pPr>
                    <w:widowControl/>
                    <w:jc w:val="center"/>
                    <w:textAlignment w:val="center"/>
                    <w:rPr>
                      <w:b/>
                      <w:bCs/>
                      <w:kern w:val="0"/>
                      <w:szCs w:val="21"/>
                    </w:rPr>
                  </w:pPr>
                  <w:r>
                    <w:rPr>
                      <w:rFonts w:hint="eastAsia"/>
                      <w:b/>
                      <w:bCs/>
                      <w:kern w:val="0"/>
                      <w:szCs w:val="21"/>
                    </w:rPr>
                    <w:t xml:space="preserve">污染工序 </w:t>
                  </w:r>
                </w:p>
              </w:tc>
              <w:tc>
                <w:tcPr>
                  <w:tcW w:w="861" w:type="pct"/>
                  <w:vAlign w:val="center"/>
                </w:tcPr>
                <w:p w14:paraId="2DA4ACCD">
                  <w:pPr>
                    <w:widowControl/>
                    <w:jc w:val="center"/>
                    <w:textAlignment w:val="center"/>
                    <w:rPr>
                      <w:b/>
                      <w:bCs/>
                      <w:kern w:val="0"/>
                      <w:szCs w:val="21"/>
                    </w:rPr>
                  </w:pPr>
                  <w:r>
                    <w:rPr>
                      <w:rFonts w:hint="eastAsia"/>
                      <w:b/>
                      <w:bCs/>
                      <w:kern w:val="0"/>
                      <w:szCs w:val="21"/>
                    </w:rPr>
                    <w:t xml:space="preserve">污染物 </w:t>
                  </w:r>
                </w:p>
              </w:tc>
              <w:tc>
                <w:tcPr>
                  <w:tcW w:w="688" w:type="pct"/>
                  <w:vAlign w:val="center"/>
                </w:tcPr>
                <w:p w14:paraId="0967DC87">
                  <w:pPr>
                    <w:widowControl/>
                    <w:jc w:val="center"/>
                    <w:textAlignment w:val="center"/>
                    <w:rPr>
                      <w:b/>
                      <w:bCs/>
                      <w:kern w:val="0"/>
                      <w:szCs w:val="21"/>
                    </w:rPr>
                  </w:pPr>
                  <w:r>
                    <w:rPr>
                      <w:rFonts w:hint="eastAsia"/>
                      <w:b/>
                      <w:bCs/>
                      <w:kern w:val="0"/>
                      <w:szCs w:val="21"/>
                    </w:rPr>
                    <w:t>排放浓度（</w:t>
                  </w:r>
                  <w:r>
                    <w:rPr>
                      <w:b/>
                      <w:bCs/>
                      <w:color w:val="000000"/>
                      <w:kern w:val="0"/>
                      <w:szCs w:val="21"/>
                      <w:lang w:bidi="ar"/>
                    </w:rPr>
                    <w:t>mg/m</w:t>
                  </w:r>
                  <w:r>
                    <w:rPr>
                      <w:b/>
                      <w:bCs/>
                      <w:color w:val="000000"/>
                      <w:kern w:val="0"/>
                      <w:szCs w:val="21"/>
                      <w:vertAlign w:val="superscript"/>
                      <w:lang w:bidi="ar"/>
                    </w:rPr>
                    <w:t>3</w:t>
                  </w:r>
                  <w:r>
                    <w:rPr>
                      <w:rFonts w:hint="eastAsia"/>
                      <w:b/>
                      <w:bCs/>
                      <w:kern w:val="0"/>
                      <w:szCs w:val="21"/>
                    </w:rPr>
                    <w:t>）</w:t>
                  </w:r>
                </w:p>
              </w:tc>
              <w:tc>
                <w:tcPr>
                  <w:tcW w:w="814" w:type="pct"/>
                  <w:vAlign w:val="center"/>
                </w:tcPr>
                <w:p w14:paraId="2BC04547">
                  <w:pPr>
                    <w:widowControl/>
                    <w:jc w:val="center"/>
                    <w:textAlignment w:val="center"/>
                    <w:rPr>
                      <w:b/>
                      <w:bCs/>
                      <w:kern w:val="0"/>
                      <w:szCs w:val="21"/>
                    </w:rPr>
                  </w:pPr>
                  <w:r>
                    <w:rPr>
                      <w:rFonts w:hint="eastAsia"/>
                      <w:b/>
                      <w:bCs/>
                      <w:kern w:val="0"/>
                      <w:szCs w:val="21"/>
                    </w:rPr>
                    <w:t>排放速率（</w:t>
                  </w:r>
                  <w:r>
                    <w:rPr>
                      <w:b/>
                      <w:szCs w:val="21"/>
                    </w:rPr>
                    <w:t>kg/h</w:t>
                  </w:r>
                  <w:r>
                    <w:rPr>
                      <w:rFonts w:hint="eastAsia"/>
                      <w:b/>
                      <w:bCs/>
                      <w:kern w:val="0"/>
                      <w:szCs w:val="21"/>
                    </w:rPr>
                    <w:t>）</w:t>
                  </w:r>
                </w:p>
              </w:tc>
              <w:tc>
                <w:tcPr>
                  <w:tcW w:w="688" w:type="pct"/>
                  <w:vAlign w:val="center"/>
                </w:tcPr>
                <w:p w14:paraId="5E0B72E9">
                  <w:pPr>
                    <w:widowControl/>
                    <w:jc w:val="center"/>
                    <w:textAlignment w:val="center"/>
                    <w:rPr>
                      <w:b/>
                      <w:bCs/>
                      <w:kern w:val="0"/>
                      <w:szCs w:val="21"/>
                    </w:rPr>
                  </w:pPr>
                  <w:r>
                    <w:rPr>
                      <w:rFonts w:hint="eastAsia"/>
                      <w:b/>
                      <w:bCs/>
                      <w:kern w:val="0"/>
                      <w:szCs w:val="21"/>
                    </w:rPr>
                    <w:t>排放标准（</w:t>
                  </w:r>
                  <w:r>
                    <w:rPr>
                      <w:b/>
                      <w:bCs/>
                      <w:color w:val="000000"/>
                      <w:kern w:val="0"/>
                      <w:szCs w:val="21"/>
                      <w:lang w:bidi="ar"/>
                    </w:rPr>
                    <w:t>mg/m</w:t>
                  </w:r>
                  <w:r>
                    <w:rPr>
                      <w:b/>
                      <w:bCs/>
                      <w:color w:val="000000"/>
                      <w:kern w:val="0"/>
                      <w:szCs w:val="21"/>
                      <w:vertAlign w:val="superscript"/>
                      <w:lang w:bidi="ar"/>
                    </w:rPr>
                    <w:t>3</w:t>
                  </w:r>
                  <w:r>
                    <w:rPr>
                      <w:rFonts w:hint="eastAsia"/>
                      <w:b/>
                      <w:bCs/>
                      <w:kern w:val="0"/>
                      <w:szCs w:val="21"/>
                    </w:rPr>
                    <w:t xml:space="preserve">） </w:t>
                  </w:r>
                </w:p>
              </w:tc>
              <w:tc>
                <w:tcPr>
                  <w:tcW w:w="477" w:type="pct"/>
                  <w:vAlign w:val="center"/>
                </w:tcPr>
                <w:p w14:paraId="3611B583">
                  <w:pPr>
                    <w:widowControl/>
                    <w:jc w:val="center"/>
                    <w:textAlignment w:val="center"/>
                    <w:rPr>
                      <w:b/>
                      <w:bCs/>
                      <w:kern w:val="0"/>
                      <w:szCs w:val="21"/>
                    </w:rPr>
                  </w:pPr>
                  <w:r>
                    <w:rPr>
                      <w:rFonts w:hint="eastAsia"/>
                      <w:b/>
                      <w:bCs/>
                      <w:kern w:val="0"/>
                      <w:szCs w:val="21"/>
                    </w:rPr>
                    <w:t>达标情况</w:t>
                  </w:r>
                </w:p>
              </w:tc>
            </w:tr>
            <w:tr w14:paraId="5A94F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787" w:type="pct"/>
                  <w:vAlign w:val="center"/>
                </w:tcPr>
                <w:p w14:paraId="033F660F">
                  <w:pPr>
                    <w:widowControl/>
                    <w:jc w:val="center"/>
                    <w:textAlignment w:val="center"/>
                    <w:rPr>
                      <w:kern w:val="0"/>
                      <w:szCs w:val="21"/>
                    </w:rPr>
                  </w:pPr>
                  <w:r>
                    <w:rPr>
                      <w:rFonts w:hint="eastAsia"/>
                      <w:kern w:val="0"/>
                      <w:szCs w:val="21"/>
                    </w:rPr>
                    <w:t>DA001</w:t>
                  </w:r>
                </w:p>
              </w:tc>
              <w:tc>
                <w:tcPr>
                  <w:tcW w:w="682" w:type="pct"/>
                  <w:vAlign w:val="center"/>
                </w:tcPr>
                <w:p w14:paraId="1422728D">
                  <w:pPr>
                    <w:widowControl/>
                    <w:jc w:val="center"/>
                    <w:textAlignment w:val="center"/>
                    <w:rPr>
                      <w:color w:val="auto"/>
                      <w:kern w:val="0"/>
                      <w:szCs w:val="21"/>
                    </w:rPr>
                  </w:pPr>
                  <w:r>
                    <w:rPr>
                      <w:rFonts w:hint="eastAsia"/>
                      <w:color w:val="auto"/>
                      <w:kern w:val="0"/>
                      <w:szCs w:val="21"/>
                    </w:rPr>
                    <w:t>沥青砼生产线加料</w:t>
                  </w:r>
                </w:p>
              </w:tc>
              <w:tc>
                <w:tcPr>
                  <w:tcW w:w="861" w:type="pct"/>
                  <w:vAlign w:val="center"/>
                </w:tcPr>
                <w:p w14:paraId="221EBCA8">
                  <w:pPr>
                    <w:widowControl/>
                    <w:jc w:val="center"/>
                    <w:textAlignment w:val="center"/>
                    <w:rPr>
                      <w:color w:val="auto"/>
                      <w:kern w:val="0"/>
                      <w:szCs w:val="21"/>
                    </w:rPr>
                  </w:pPr>
                  <w:r>
                    <w:rPr>
                      <w:rFonts w:hint="eastAsia"/>
                      <w:color w:val="auto"/>
                      <w:kern w:val="0"/>
                      <w:szCs w:val="21"/>
                    </w:rPr>
                    <w:t>颗粒物</w:t>
                  </w:r>
                </w:p>
              </w:tc>
              <w:tc>
                <w:tcPr>
                  <w:tcW w:w="688" w:type="pct"/>
                  <w:vAlign w:val="center"/>
                </w:tcPr>
                <w:p w14:paraId="010130CB">
                  <w:pPr>
                    <w:widowControl/>
                    <w:jc w:val="center"/>
                    <w:textAlignment w:val="center"/>
                    <w:rPr>
                      <w:color w:val="auto"/>
                      <w:kern w:val="0"/>
                      <w:szCs w:val="21"/>
                    </w:rPr>
                  </w:pPr>
                  <w:r>
                    <w:rPr>
                      <w:rFonts w:hint="eastAsia"/>
                      <w:bCs/>
                      <w:color w:val="auto"/>
                      <w:szCs w:val="21"/>
                    </w:rPr>
                    <w:t>16.36</w:t>
                  </w:r>
                </w:p>
              </w:tc>
              <w:tc>
                <w:tcPr>
                  <w:tcW w:w="814" w:type="pct"/>
                  <w:vAlign w:val="center"/>
                </w:tcPr>
                <w:p w14:paraId="2705C095">
                  <w:pPr>
                    <w:widowControl/>
                    <w:jc w:val="center"/>
                    <w:textAlignment w:val="center"/>
                    <w:rPr>
                      <w:color w:val="auto"/>
                      <w:kern w:val="0"/>
                      <w:szCs w:val="21"/>
                    </w:rPr>
                  </w:pPr>
                  <w:r>
                    <w:rPr>
                      <w:rFonts w:hint="eastAsia"/>
                      <w:bCs/>
                      <w:color w:val="auto"/>
                      <w:szCs w:val="21"/>
                    </w:rPr>
                    <w:t>0.01</w:t>
                  </w:r>
                </w:p>
              </w:tc>
              <w:tc>
                <w:tcPr>
                  <w:tcW w:w="688" w:type="pct"/>
                  <w:vAlign w:val="center"/>
                </w:tcPr>
                <w:p w14:paraId="361DF1F0">
                  <w:pPr>
                    <w:widowControl/>
                    <w:jc w:val="center"/>
                    <w:textAlignment w:val="center"/>
                    <w:rPr>
                      <w:kern w:val="0"/>
                      <w:szCs w:val="21"/>
                    </w:rPr>
                  </w:pPr>
                  <w:r>
                    <w:rPr>
                      <w:rFonts w:hint="eastAsia"/>
                      <w:szCs w:val="21"/>
                    </w:rPr>
                    <w:t>120</w:t>
                  </w:r>
                </w:p>
              </w:tc>
              <w:tc>
                <w:tcPr>
                  <w:tcW w:w="477" w:type="pct"/>
                  <w:vAlign w:val="center"/>
                </w:tcPr>
                <w:p w14:paraId="5D51F771">
                  <w:pPr>
                    <w:widowControl/>
                    <w:jc w:val="center"/>
                    <w:textAlignment w:val="center"/>
                    <w:rPr>
                      <w:kern w:val="0"/>
                      <w:szCs w:val="21"/>
                    </w:rPr>
                  </w:pPr>
                  <w:r>
                    <w:rPr>
                      <w:rFonts w:hint="eastAsia"/>
                      <w:kern w:val="0"/>
                      <w:szCs w:val="21"/>
                    </w:rPr>
                    <w:t>达标</w:t>
                  </w:r>
                </w:p>
              </w:tc>
            </w:tr>
            <w:tr w14:paraId="631D1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87" w:type="pct"/>
                  <w:vMerge w:val="restart"/>
                  <w:vAlign w:val="center"/>
                </w:tcPr>
                <w:p w14:paraId="50E652A4">
                  <w:pPr>
                    <w:spacing w:line="240" w:lineRule="atLeast"/>
                    <w:jc w:val="center"/>
                    <w:rPr>
                      <w:szCs w:val="21"/>
                    </w:rPr>
                  </w:pPr>
                  <w:r>
                    <w:rPr>
                      <w:rFonts w:hint="eastAsia"/>
                      <w:szCs w:val="21"/>
                    </w:rPr>
                    <w:t>DA002</w:t>
                  </w:r>
                </w:p>
              </w:tc>
              <w:tc>
                <w:tcPr>
                  <w:tcW w:w="682" w:type="pct"/>
                  <w:vMerge w:val="restart"/>
                  <w:vAlign w:val="center"/>
                </w:tcPr>
                <w:p w14:paraId="2A33D80A">
                  <w:pPr>
                    <w:spacing w:line="240" w:lineRule="atLeast"/>
                    <w:jc w:val="center"/>
                    <w:rPr>
                      <w:color w:val="auto"/>
                      <w:kern w:val="0"/>
                      <w:szCs w:val="21"/>
                    </w:rPr>
                  </w:pPr>
                  <w:r>
                    <w:rPr>
                      <w:color w:val="auto"/>
                      <w:kern w:val="0"/>
                      <w:szCs w:val="21"/>
                    </w:rPr>
                    <w:t>天然气烘干</w:t>
                  </w:r>
                  <w:r>
                    <w:rPr>
                      <w:rFonts w:hint="eastAsia"/>
                      <w:color w:val="auto"/>
                      <w:kern w:val="0"/>
                      <w:szCs w:val="21"/>
                    </w:rPr>
                    <w:t>筒</w:t>
                  </w:r>
                  <w:r>
                    <w:rPr>
                      <w:color w:val="auto"/>
                      <w:kern w:val="0"/>
                      <w:szCs w:val="21"/>
                    </w:rPr>
                    <w:t>产生的燃气废气</w:t>
                  </w:r>
                  <w:r>
                    <w:rPr>
                      <w:rFonts w:hint="eastAsia"/>
                      <w:color w:val="auto"/>
                      <w:kern w:val="0"/>
                      <w:szCs w:val="21"/>
                      <w:lang w:val="en-US" w:eastAsia="zh-CN"/>
                    </w:rPr>
                    <w:t>及</w:t>
                  </w:r>
                  <w:r>
                    <w:rPr>
                      <w:rFonts w:hint="eastAsia"/>
                      <w:color w:val="auto"/>
                      <w:szCs w:val="20"/>
                    </w:rPr>
                    <w:t>沥青砼生产线</w:t>
                  </w:r>
                  <w:r>
                    <w:rPr>
                      <w:color w:val="auto"/>
                    </w:rPr>
                    <w:t>骨料加热</w:t>
                  </w:r>
                  <w:r>
                    <w:rPr>
                      <w:rFonts w:hint="eastAsia"/>
                      <w:color w:val="auto"/>
                    </w:rPr>
                    <w:t>、</w:t>
                  </w:r>
                  <w:r>
                    <w:rPr>
                      <w:rFonts w:hint="eastAsia"/>
                      <w:color w:val="auto"/>
                      <w:szCs w:val="21"/>
                    </w:rPr>
                    <w:t>粉料提升、振动筛分粉尘</w:t>
                  </w:r>
                </w:p>
              </w:tc>
              <w:tc>
                <w:tcPr>
                  <w:tcW w:w="861" w:type="pct"/>
                  <w:vAlign w:val="center"/>
                </w:tcPr>
                <w:p w14:paraId="2FFDBCE6">
                  <w:pPr>
                    <w:spacing w:line="240" w:lineRule="atLeast"/>
                    <w:jc w:val="center"/>
                    <w:rPr>
                      <w:color w:val="auto"/>
                      <w:kern w:val="0"/>
                      <w:szCs w:val="21"/>
                    </w:rPr>
                  </w:pPr>
                  <w:r>
                    <w:rPr>
                      <w:rFonts w:hint="eastAsia"/>
                      <w:color w:val="auto"/>
                      <w:szCs w:val="21"/>
                    </w:rPr>
                    <w:t>二氧化硫</w:t>
                  </w:r>
                </w:p>
              </w:tc>
              <w:tc>
                <w:tcPr>
                  <w:tcW w:w="688" w:type="pct"/>
                  <w:vAlign w:val="center"/>
                </w:tcPr>
                <w:p w14:paraId="3139523C">
                  <w:pPr>
                    <w:adjustRightInd w:val="0"/>
                    <w:snapToGrid w:val="0"/>
                    <w:spacing w:line="240" w:lineRule="exact"/>
                    <w:jc w:val="center"/>
                    <w:rPr>
                      <w:color w:val="auto"/>
                      <w:kern w:val="0"/>
                      <w:szCs w:val="21"/>
                    </w:rPr>
                  </w:pPr>
                  <w:r>
                    <w:rPr>
                      <w:rFonts w:hint="eastAsia"/>
                      <w:color w:val="auto"/>
                      <w:szCs w:val="21"/>
                    </w:rPr>
                    <w:t>3.59</w:t>
                  </w:r>
                </w:p>
              </w:tc>
              <w:tc>
                <w:tcPr>
                  <w:tcW w:w="814" w:type="pct"/>
                  <w:vAlign w:val="center"/>
                </w:tcPr>
                <w:p w14:paraId="18A6C7E1">
                  <w:pPr>
                    <w:adjustRightInd w:val="0"/>
                    <w:snapToGrid w:val="0"/>
                    <w:spacing w:line="240" w:lineRule="exact"/>
                    <w:jc w:val="center"/>
                    <w:rPr>
                      <w:color w:val="auto"/>
                      <w:kern w:val="0"/>
                      <w:szCs w:val="21"/>
                    </w:rPr>
                  </w:pPr>
                  <w:r>
                    <w:rPr>
                      <w:rFonts w:hint="eastAsia"/>
                      <w:color w:val="auto"/>
                      <w:szCs w:val="21"/>
                    </w:rPr>
                    <w:t>0.015</w:t>
                  </w:r>
                </w:p>
              </w:tc>
              <w:tc>
                <w:tcPr>
                  <w:tcW w:w="688" w:type="pct"/>
                  <w:vAlign w:val="center"/>
                </w:tcPr>
                <w:p w14:paraId="0F4A4AD0">
                  <w:pPr>
                    <w:widowControl/>
                    <w:jc w:val="center"/>
                    <w:textAlignment w:val="center"/>
                    <w:rPr>
                      <w:kern w:val="0"/>
                      <w:szCs w:val="21"/>
                    </w:rPr>
                  </w:pPr>
                  <w:r>
                    <w:rPr>
                      <w:rFonts w:hint="eastAsia"/>
                      <w:szCs w:val="21"/>
                    </w:rPr>
                    <w:t>200</w:t>
                  </w:r>
                </w:p>
              </w:tc>
              <w:tc>
                <w:tcPr>
                  <w:tcW w:w="477" w:type="pct"/>
                  <w:vAlign w:val="center"/>
                </w:tcPr>
                <w:p w14:paraId="310A50A8">
                  <w:pPr>
                    <w:widowControl/>
                    <w:jc w:val="center"/>
                    <w:textAlignment w:val="center"/>
                    <w:rPr>
                      <w:kern w:val="0"/>
                      <w:szCs w:val="21"/>
                    </w:rPr>
                  </w:pPr>
                  <w:r>
                    <w:rPr>
                      <w:rFonts w:hint="eastAsia"/>
                      <w:kern w:val="0"/>
                      <w:szCs w:val="21"/>
                    </w:rPr>
                    <w:t>达标</w:t>
                  </w:r>
                </w:p>
              </w:tc>
            </w:tr>
            <w:tr w14:paraId="32A13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87" w:type="pct"/>
                  <w:vMerge w:val="continue"/>
                  <w:vAlign w:val="center"/>
                </w:tcPr>
                <w:p w14:paraId="387FC4F6">
                  <w:pPr>
                    <w:spacing w:line="240" w:lineRule="atLeast"/>
                    <w:jc w:val="center"/>
                    <w:rPr>
                      <w:szCs w:val="21"/>
                    </w:rPr>
                  </w:pPr>
                </w:p>
              </w:tc>
              <w:tc>
                <w:tcPr>
                  <w:tcW w:w="682" w:type="pct"/>
                  <w:vMerge w:val="continue"/>
                  <w:vAlign w:val="center"/>
                </w:tcPr>
                <w:p w14:paraId="051895A1">
                  <w:pPr>
                    <w:widowControl/>
                    <w:jc w:val="center"/>
                    <w:textAlignment w:val="center"/>
                    <w:rPr>
                      <w:color w:val="auto"/>
                    </w:rPr>
                  </w:pPr>
                </w:p>
              </w:tc>
              <w:tc>
                <w:tcPr>
                  <w:tcW w:w="861" w:type="pct"/>
                  <w:vAlign w:val="center"/>
                </w:tcPr>
                <w:p w14:paraId="6248264A">
                  <w:pPr>
                    <w:spacing w:line="240" w:lineRule="atLeast"/>
                    <w:jc w:val="center"/>
                    <w:rPr>
                      <w:color w:val="auto"/>
                      <w:kern w:val="0"/>
                      <w:szCs w:val="21"/>
                    </w:rPr>
                  </w:pPr>
                  <w:r>
                    <w:rPr>
                      <w:rFonts w:hint="eastAsia"/>
                      <w:color w:val="auto"/>
                      <w:szCs w:val="21"/>
                    </w:rPr>
                    <w:t>氮氧化物</w:t>
                  </w:r>
                </w:p>
              </w:tc>
              <w:tc>
                <w:tcPr>
                  <w:tcW w:w="688" w:type="pct"/>
                  <w:vAlign w:val="center"/>
                </w:tcPr>
                <w:p w14:paraId="517A03E9">
                  <w:pPr>
                    <w:adjustRightInd w:val="0"/>
                    <w:snapToGrid w:val="0"/>
                    <w:spacing w:line="240" w:lineRule="exact"/>
                    <w:jc w:val="center"/>
                    <w:rPr>
                      <w:color w:val="auto"/>
                      <w:kern w:val="0"/>
                      <w:szCs w:val="21"/>
                    </w:rPr>
                  </w:pPr>
                  <w:r>
                    <w:rPr>
                      <w:rFonts w:hint="eastAsia"/>
                      <w:color w:val="auto"/>
                      <w:szCs w:val="21"/>
                    </w:rPr>
                    <w:t>2.71</w:t>
                  </w:r>
                </w:p>
              </w:tc>
              <w:tc>
                <w:tcPr>
                  <w:tcW w:w="814" w:type="pct"/>
                  <w:vAlign w:val="center"/>
                </w:tcPr>
                <w:p w14:paraId="7181CEE4">
                  <w:pPr>
                    <w:adjustRightInd w:val="0"/>
                    <w:snapToGrid w:val="0"/>
                    <w:spacing w:line="240" w:lineRule="exact"/>
                    <w:jc w:val="center"/>
                    <w:rPr>
                      <w:color w:val="auto"/>
                      <w:kern w:val="0"/>
                      <w:szCs w:val="21"/>
                    </w:rPr>
                  </w:pPr>
                  <w:r>
                    <w:rPr>
                      <w:rFonts w:hint="eastAsia"/>
                      <w:color w:val="auto"/>
                      <w:szCs w:val="21"/>
                    </w:rPr>
                    <w:t>0.011</w:t>
                  </w:r>
                </w:p>
              </w:tc>
              <w:tc>
                <w:tcPr>
                  <w:tcW w:w="688" w:type="pct"/>
                  <w:vAlign w:val="center"/>
                </w:tcPr>
                <w:p w14:paraId="77B5CA92">
                  <w:pPr>
                    <w:widowControl/>
                    <w:jc w:val="center"/>
                    <w:textAlignment w:val="center"/>
                    <w:rPr>
                      <w:kern w:val="0"/>
                      <w:szCs w:val="21"/>
                    </w:rPr>
                  </w:pPr>
                  <w:r>
                    <w:rPr>
                      <w:rFonts w:hint="eastAsia"/>
                      <w:szCs w:val="21"/>
                    </w:rPr>
                    <w:t>300</w:t>
                  </w:r>
                </w:p>
              </w:tc>
              <w:tc>
                <w:tcPr>
                  <w:tcW w:w="477" w:type="pct"/>
                  <w:vAlign w:val="center"/>
                </w:tcPr>
                <w:p w14:paraId="2E0C7248">
                  <w:pPr>
                    <w:widowControl/>
                    <w:jc w:val="center"/>
                    <w:textAlignment w:val="center"/>
                    <w:rPr>
                      <w:kern w:val="0"/>
                      <w:szCs w:val="21"/>
                    </w:rPr>
                  </w:pPr>
                  <w:r>
                    <w:rPr>
                      <w:rFonts w:hint="eastAsia"/>
                      <w:kern w:val="0"/>
                      <w:szCs w:val="21"/>
                    </w:rPr>
                    <w:t>达标</w:t>
                  </w:r>
                </w:p>
              </w:tc>
            </w:tr>
            <w:tr w14:paraId="587B6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787" w:type="pct"/>
                  <w:vMerge w:val="continue"/>
                  <w:vAlign w:val="center"/>
                </w:tcPr>
                <w:p w14:paraId="4FA68523">
                  <w:pPr>
                    <w:spacing w:line="240" w:lineRule="atLeast"/>
                    <w:jc w:val="center"/>
                    <w:rPr>
                      <w:szCs w:val="21"/>
                    </w:rPr>
                  </w:pPr>
                </w:p>
              </w:tc>
              <w:tc>
                <w:tcPr>
                  <w:tcW w:w="682" w:type="pct"/>
                  <w:vMerge w:val="continue"/>
                  <w:vAlign w:val="center"/>
                </w:tcPr>
                <w:p w14:paraId="494C674C">
                  <w:pPr>
                    <w:widowControl/>
                    <w:jc w:val="center"/>
                    <w:textAlignment w:val="center"/>
                    <w:rPr>
                      <w:color w:val="auto"/>
                      <w:kern w:val="0"/>
                      <w:szCs w:val="21"/>
                    </w:rPr>
                  </w:pPr>
                </w:p>
              </w:tc>
              <w:tc>
                <w:tcPr>
                  <w:tcW w:w="861" w:type="pct"/>
                  <w:vAlign w:val="center"/>
                </w:tcPr>
                <w:p w14:paraId="0EE23409">
                  <w:pPr>
                    <w:spacing w:line="240" w:lineRule="atLeast"/>
                    <w:jc w:val="center"/>
                    <w:rPr>
                      <w:rFonts w:hint="eastAsia" w:ascii="Times New Roman" w:hAnsi="Times New Roman" w:eastAsia="宋体" w:cs="Times New Roman"/>
                      <w:color w:val="auto"/>
                      <w:kern w:val="0"/>
                      <w:sz w:val="21"/>
                      <w:szCs w:val="21"/>
                      <w:lang w:val="en-US" w:eastAsia="zh-CN" w:bidi="ar-SA"/>
                    </w:rPr>
                  </w:pPr>
                  <w:r>
                    <w:rPr>
                      <w:rFonts w:hint="eastAsia"/>
                      <w:color w:val="auto"/>
                      <w:szCs w:val="21"/>
                    </w:rPr>
                    <w:t>颗粒物</w:t>
                  </w:r>
                </w:p>
              </w:tc>
              <w:tc>
                <w:tcPr>
                  <w:tcW w:w="688" w:type="pct"/>
                  <w:vAlign w:val="center"/>
                </w:tcPr>
                <w:p w14:paraId="44BE9A8C">
                  <w:pPr>
                    <w:adjustRightInd w:val="0"/>
                    <w:snapToGrid w:val="0"/>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eastAsia="Times New Roman"/>
                      <w:color w:val="auto"/>
                      <w:kern w:val="0"/>
                    </w:rPr>
                    <w:t>15.8</w:t>
                  </w:r>
                </w:p>
              </w:tc>
              <w:tc>
                <w:tcPr>
                  <w:tcW w:w="814" w:type="pct"/>
                  <w:vAlign w:val="center"/>
                </w:tcPr>
                <w:p w14:paraId="5D45EC4D">
                  <w:pPr>
                    <w:adjustRightInd w:val="0"/>
                    <w:snapToGrid w:val="0"/>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eastAsia="Times New Roman"/>
                      <w:color w:val="auto"/>
                      <w:kern w:val="0"/>
                    </w:rPr>
                    <w:t>0.011</w:t>
                  </w:r>
                </w:p>
              </w:tc>
              <w:tc>
                <w:tcPr>
                  <w:tcW w:w="688" w:type="pct"/>
                  <w:vAlign w:val="center"/>
                </w:tcPr>
                <w:p w14:paraId="6B44E6CD">
                  <w:pPr>
                    <w:widowControl/>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olor w:val="auto"/>
                      <w:szCs w:val="21"/>
                    </w:rPr>
                    <w:t>30</w:t>
                  </w:r>
                </w:p>
              </w:tc>
              <w:tc>
                <w:tcPr>
                  <w:tcW w:w="477" w:type="pct"/>
                  <w:vAlign w:val="center"/>
                </w:tcPr>
                <w:p w14:paraId="172EC7A5">
                  <w:pPr>
                    <w:widowControl/>
                    <w:jc w:val="center"/>
                    <w:textAlignment w:val="center"/>
                    <w:rPr>
                      <w:rFonts w:hint="eastAsia"/>
                      <w:color w:val="auto"/>
                      <w:szCs w:val="21"/>
                    </w:rPr>
                  </w:pPr>
                  <w:r>
                    <w:rPr>
                      <w:rFonts w:hint="eastAsia"/>
                      <w:color w:val="auto"/>
                      <w:kern w:val="0"/>
                      <w:szCs w:val="21"/>
                    </w:rPr>
                    <w:t>达标</w:t>
                  </w:r>
                </w:p>
              </w:tc>
            </w:tr>
            <w:tr w14:paraId="22F65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87" w:type="pct"/>
                  <w:vMerge w:val="continue"/>
                  <w:vAlign w:val="center"/>
                </w:tcPr>
                <w:p w14:paraId="0BC9AB32">
                  <w:pPr>
                    <w:spacing w:line="240" w:lineRule="atLeast"/>
                    <w:jc w:val="center"/>
                    <w:rPr>
                      <w:szCs w:val="21"/>
                    </w:rPr>
                  </w:pPr>
                </w:p>
              </w:tc>
              <w:tc>
                <w:tcPr>
                  <w:tcW w:w="682" w:type="pct"/>
                  <w:vMerge w:val="restart"/>
                  <w:vAlign w:val="center"/>
                </w:tcPr>
                <w:p w14:paraId="6BD5924D">
                  <w:pPr>
                    <w:spacing w:line="240" w:lineRule="atLeast"/>
                    <w:jc w:val="center"/>
                    <w:rPr>
                      <w:color w:val="auto"/>
                      <w:kern w:val="0"/>
                      <w:szCs w:val="21"/>
                    </w:rPr>
                  </w:pPr>
                  <w:r>
                    <w:rPr>
                      <w:rFonts w:hint="eastAsia"/>
                      <w:color w:val="auto"/>
                      <w:szCs w:val="21"/>
                    </w:rPr>
                    <w:t>沥青烟气</w:t>
                  </w:r>
                </w:p>
              </w:tc>
              <w:tc>
                <w:tcPr>
                  <w:tcW w:w="861" w:type="pct"/>
                  <w:vAlign w:val="center"/>
                </w:tcPr>
                <w:p w14:paraId="00A2C1AA">
                  <w:pPr>
                    <w:spacing w:line="240" w:lineRule="atLeast"/>
                    <w:jc w:val="center"/>
                    <w:rPr>
                      <w:color w:val="auto"/>
                      <w:kern w:val="0"/>
                      <w:szCs w:val="21"/>
                    </w:rPr>
                  </w:pPr>
                  <w:r>
                    <w:rPr>
                      <w:rFonts w:hint="eastAsia"/>
                      <w:color w:val="auto"/>
                      <w:szCs w:val="21"/>
                    </w:rPr>
                    <w:t>沥青烟</w:t>
                  </w:r>
                </w:p>
              </w:tc>
              <w:tc>
                <w:tcPr>
                  <w:tcW w:w="688" w:type="pct"/>
                  <w:vAlign w:val="center"/>
                </w:tcPr>
                <w:p w14:paraId="5662C04C">
                  <w:pPr>
                    <w:adjustRightInd w:val="0"/>
                    <w:snapToGrid w:val="0"/>
                    <w:spacing w:line="240" w:lineRule="atLeast"/>
                    <w:jc w:val="center"/>
                    <w:rPr>
                      <w:color w:val="auto"/>
                      <w:kern w:val="0"/>
                      <w:szCs w:val="21"/>
                    </w:rPr>
                  </w:pPr>
                  <w:r>
                    <w:rPr>
                      <w:rFonts w:hint="eastAsia" w:eastAsia="仿宋"/>
                      <w:color w:val="auto"/>
                      <w:szCs w:val="21"/>
                      <w:lang w:val="en-US" w:eastAsia="zh-CN"/>
                    </w:rPr>
                    <w:t>1.145</w:t>
                  </w:r>
                </w:p>
              </w:tc>
              <w:tc>
                <w:tcPr>
                  <w:tcW w:w="814" w:type="pct"/>
                  <w:vAlign w:val="center"/>
                </w:tcPr>
                <w:p w14:paraId="700A887E">
                  <w:pPr>
                    <w:adjustRightInd w:val="0"/>
                    <w:snapToGrid w:val="0"/>
                    <w:spacing w:line="240" w:lineRule="atLeast"/>
                    <w:jc w:val="center"/>
                    <w:rPr>
                      <w:color w:val="auto"/>
                      <w:kern w:val="0"/>
                      <w:szCs w:val="21"/>
                    </w:rPr>
                  </w:pPr>
                  <w:r>
                    <w:rPr>
                      <w:rFonts w:hint="eastAsia" w:eastAsia="仿宋"/>
                      <w:color w:val="auto"/>
                      <w:szCs w:val="21"/>
                      <w:lang w:val="en-US" w:eastAsia="zh-CN"/>
                    </w:rPr>
                    <w:t>0.011</w:t>
                  </w:r>
                </w:p>
              </w:tc>
              <w:tc>
                <w:tcPr>
                  <w:tcW w:w="688" w:type="pct"/>
                  <w:vAlign w:val="center"/>
                </w:tcPr>
                <w:p w14:paraId="7F5AFE0E">
                  <w:pPr>
                    <w:widowControl/>
                    <w:jc w:val="center"/>
                    <w:textAlignment w:val="center"/>
                    <w:rPr>
                      <w:kern w:val="0"/>
                      <w:szCs w:val="21"/>
                    </w:rPr>
                  </w:pPr>
                  <w:r>
                    <w:rPr>
                      <w:rFonts w:hint="eastAsia"/>
                      <w:color w:val="000000"/>
                      <w:kern w:val="0"/>
                      <w:szCs w:val="21"/>
                      <w:lang w:bidi="ar"/>
                    </w:rPr>
                    <w:t>75</w:t>
                  </w:r>
                </w:p>
              </w:tc>
              <w:tc>
                <w:tcPr>
                  <w:tcW w:w="477" w:type="pct"/>
                  <w:vAlign w:val="center"/>
                </w:tcPr>
                <w:p w14:paraId="54DFDD9E">
                  <w:pPr>
                    <w:widowControl/>
                    <w:jc w:val="center"/>
                    <w:textAlignment w:val="center"/>
                    <w:rPr>
                      <w:kern w:val="0"/>
                      <w:szCs w:val="21"/>
                    </w:rPr>
                  </w:pPr>
                  <w:r>
                    <w:rPr>
                      <w:rFonts w:hint="eastAsia"/>
                      <w:kern w:val="0"/>
                      <w:szCs w:val="21"/>
                    </w:rPr>
                    <w:t>达标</w:t>
                  </w:r>
                </w:p>
              </w:tc>
            </w:tr>
            <w:tr w14:paraId="34F21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87" w:type="pct"/>
                  <w:vMerge w:val="continue"/>
                  <w:vAlign w:val="center"/>
                </w:tcPr>
                <w:p w14:paraId="19544773">
                  <w:pPr>
                    <w:spacing w:line="240" w:lineRule="atLeast"/>
                    <w:jc w:val="center"/>
                    <w:rPr>
                      <w:szCs w:val="21"/>
                    </w:rPr>
                  </w:pPr>
                </w:p>
              </w:tc>
              <w:tc>
                <w:tcPr>
                  <w:tcW w:w="682" w:type="pct"/>
                  <w:vMerge w:val="continue"/>
                  <w:vAlign w:val="center"/>
                </w:tcPr>
                <w:p w14:paraId="05CEB6F4">
                  <w:pPr>
                    <w:widowControl/>
                    <w:jc w:val="center"/>
                    <w:textAlignment w:val="center"/>
                    <w:rPr>
                      <w:color w:val="auto"/>
                    </w:rPr>
                  </w:pPr>
                </w:p>
              </w:tc>
              <w:tc>
                <w:tcPr>
                  <w:tcW w:w="861" w:type="pct"/>
                  <w:vAlign w:val="center"/>
                </w:tcPr>
                <w:p w14:paraId="29AF39F4">
                  <w:pPr>
                    <w:spacing w:line="240" w:lineRule="atLeast"/>
                    <w:jc w:val="center"/>
                    <w:rPr>
                      <w:color w:val="auto"/>
                      <w:kern w:val="0"/>
                      <w:szCs w:val="21"/>
                    </w:rPr>
                  </w:pPr>
                  <w:r>
                    <w:rPr>
                      <w:rFonts w:hint="eastAsia"/>
                      <w:color w:val="auto"/>
                      <w:szCs w:val="21"/>
                    </w:rPr>
                    <w:t>苯并芘</w:t>
                  </w:r>
                </w:p>
              </w:tc>
              <w:tc>
                <w:tcPr>
                  <w:tcW w:w="688" w:type="pct"/>
                  <w:vAlign w:val="center"/>
                </w:tcPr>
                <w:p w14:paraId="6FF2582E">
                  <w:pPr>
                    <w:adjustRightInd w:val="0"/>
                    <w:snapToGrid w:val="0"/>
                    <w:spacing w:line="240" w:lineRule="atLeast"/>
                    <w:jc w:val="center"/>
                    <w:rPr>
                      <w:color w:val="auto"/>
                      <w:kern w:val="0"/>
                      <w:szCs w:val="21"/>
                    </w:rPr>
                  </w:pPr>
                  <w:r>
                    <w:rPr>
                      <w:rFonts w:hint="eastAsia" w:eastAsia="仿宋"/>
                      <w:color w:val="auto"/>
                      <w:szCs w:val="21"/>
                      <w:lang w:val="en-US" w:eastAsia="zh-CN"/>
                    </w:rPr>
                    <w:t>0.0027</w:t>
                  </w:r>
                </w:p>
              </w:tc>
              <w:tc>
                <w:tcPr>
                  <w:tcW w:w="814" w:type="pct"/>
                  <w:vAlign w:val="center"/>
                </w:tcPr>
                <w:p w14:paraId="271CEB92">
                  <w:pPr>
                    <w:adjustRightInd w:val="0"/>
                    <w:snapToGrid w:val="0"/>
                    <w:spacing w:line="240" w:lineRule="atLeast"/>
                    <w:jc w:val="center"/>
                    <w:rPr>
                      <w:color w:val="auto"/>
                      <w:kern w:val="0"/>
                      <w:szCs w:val="21"/>
                    </w:rPr>
                  </w:pPr>
                  <w:r>
                    <w:rPr>
                      <w:rFonts w:hint="eastAsia"/>
                      <w:color w:val="auto"/>
                      <w:szCs w:val="21"/>
                      <w:lang w:val="en-US" w:eastAsia="zh-CN"/>
                    </w:rPr>
                    <w:t>2.77</w:t>
                  </w:r>
                  <w:r>
                    <w:rPr>
                      <w:rFonts w:hint="eastAsia"/>
                      <w:color w:val="auto"/>
                      <w:szCs w:val="21"/>
                    </w:rPr>
                    <w:t>×10</w:t>
                  </w:r>
                  <w:r>
                    <w:rPr>
                      <w:rFonts w:hint="eastAsia"/>
                      <w:color w:val="auto"/>
                      <w:szCs w:val="21"/>
                      <w:vertAlign w:val="superscript"/>
                    </w:rPr>
                    <w:t>-5</w:t>
                  </w:r>
                </w:p>
              </w:tc>
              <w:tc>
                <w:tcPr>
                  <w:tcW w:w="688" w:type="pct"/>
                  <w:vAlign w:val="center"/>
                </w:tcPr>
                <w:p w14:paraId="4DE9FFAD">
                  <w:pPr>
                    <w:widowControl/>
                    <w:jc w:val="center"/>
                    <w:textAlignment w:val="center"/>
                    <w:rPr>
                      <w:kern w:val="0"/>
                      <w:szCs w:val="21"/>
                    </w:rPr>
                  </w:pPr>
                  <w:r>
                    <w:rPr>
                      <w:rFonts w:hint="eastAsia"/>
                      <w:szCs w:val="21"/>
                    </w:rPr>
                    <w:t>3.0</w:t>
                  </w:r>
                  <w:r>
                    <w:rPr>
                      <w:rFonts w:hint="eastAsia"/>
                      <w:color w:val="000000"/>
                      <w:szCs w:val="21"/>
                    </w:rPr>
                    <w:t>×10</w:t>
                  </w:r>
                  <w:r>
                    <w:rPr>
                      <w:rFonts w:hint="eastAsia"/>
                      <w:color w:val="000000"/>
                      <w:szCs w:val="21"/>
                      <w:vertAlign w:val="superscript"/>
                    </w:rPr>
                    <w:t>-3</w:t>
                  </w:r>
                </w:p>
              </w:tc>
              <w:tc>
                <w:tcPr>
                  <w:tcW w:w="477" w:type="pct"/>
                  <w:vAlign w:val="center"/>
                </w:tcPr>
                <w:p w14:paraId="4480D75F">
                  <w:pPr>
                    <w:widowControl/>
                    <w:jc w:val="center"/>
                    <w:textAlignment w:val="center"/>
                    <w:rPr>
                      <w:kern w:val="0"/>
                      <w:szCs w:val="21"/>
                    </w:rPr>
                  </w:pPr>
                  <w:r>
                    <w:rPr>
                      <w:rFonts w:hint="eastAsia"/>
                      <w:kern w:val="0"/>
                      <w:szCs w:val="21"/>
                    </w:rPr>
                    <w:t>达标</w:t>
                  </w:r>
                </w:p>
              </w:tc>
            </w:tr>
            <w:tr w14:paraId="0C6BE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87" w:type="pct"/>
                  <w:vMerge w:val="continue"/>
                  <w:vAlign w:val="center"/>
                </w:tcPr>
                <w:p w14:paraId="06665502">
                  <w:pPr>
                    <w:spacing w:line="240" w:lineRule="atLeast"/>
                    <w:jc w:val="center"/>
                    <w:rPr>
                      <w:szCs w:val="21"/>
                      <w:lang w:bidi="ar"/>
                    </w:rPr>
                  </w:pPr>
                </w:p>
              </w:tc>
              <w:tc>
                <w:tcPr>
                  <w:tcW w:w="682" w:type="pct"/>
                  <w:vMerge w:val="continue"/>
                  <w:vAlign w:val="center"/>
                </w:tcPr>
                <w:p w14:paraId="58B193DB">
                  <w:pPr>
                    <w:widowControl/>
                    <w:jc w:val="center"/>
                    <w:textAlignment w:val="center"/>
                    <w:rPr>
                      <w:color w:val="auto"/>
                      <w:kern w:val="0"/>
                      <w:szCs w:val="21"/>
                    </w:rPr>
                  </w:pPr>
                </w:p>
              </w:tc>
              <w:tc>
                <w:tcPr>
                  <w:tcW w:w="861" w:type="pct"/>
                  <w:vAlign w:val="center"/>
                </w:tcPr>
                <w:p w14:paraId="3D1B2A5F">
                  <w:pPr>
                    <w:spacing w:line="240" w:lineRule="atLeast"/>
                    <w:jc w:val="center"/>
                    <w:rPr>
                      <w:color w:val="auto"/>
                      <w:kern w:val="0"/>
                      <w:szCs w:val="21"/>
                    </w:rPr>
                  </w:pPr>
                  <w:r>
                    <w:rPr>
                      <w:rFonts w:hint="eastAsia"/>
                      <w:color w:val="auto"/>
                      <w:szCs w:val="21"/>
                      <w:lang w:bidi="ar"/>
                    </w:rPr>
                    <w:t>VOC</w:t>
                  </w:r>
                  <w:r>
                    <w:rPr>
                      <w:rFonts w:hint="eastAsia"/>
                      <w:color w:val="auto"/>
                      <w:szCs w:val="21"/>
                      <w:vertAlign w:val="subscript"/>
                      <w:lang w:bidi="ar"/>
                    </w:rPr>
                    <w:t>S</w:t>
                  </w:r>
                </w:p>
              </w:tc>
              <w:tc>
                <w:tcPr>
                  <w:tcW w:w="688" w:type="pct"/>
                  <w:vAlign w:val="center"/>
                </w:tcPr>
                <w:p w14:paraId="1EBFCF98">
                  <w:pPr>
                    <w:adjustRightInd w:val="0"/>
                    <w:snapToGrid w:val="0"/>
                    <w:spacing w:line="240" w:lineRule="atLeast"/>
                    <w:jc w:val="center"/>
                    <w:rPr>
                      <w:color w:val="auto"/>
                      <w:kern w:val="0"/>
                      <w:szCs w:val="21"/>
                    </w:rPr>
                  </w:pPr>
                  <w:r>
                    <w:rPr>
                      <w:rFonts w:hint="eastAsia"/>
                      <w:color w:val="auto"/>
                      <w:szCs w:val="21"/>
                      <w:lang w:val="en-US" w:eastAsia="zh-CN"/>
                    </w:rPr>
                    <w:t>0.05</w:t>
                  </w:r>
                </w:p>
              </w:tc>
              <w:tc>
                <w:tcPr>
                  <w:tcW w:w="814" w:type="pct"/>
                  <w:vAlign w:val="center"/>
                </w:tcPr>
                <w:p w14:paraId="1C693E8C">
                  <w:pPr>
                    <w:adjustRightInd w:val="0"/>
                    <w:snapToGrid w:val="0"/>
                    <w:spacing w:line="240" w:lineRule="atLeast"/>
                    <w:jc w:val="center"/>
                    <w:rPr>
                      <w:color w:val="auto"/>
                      <w:kern w:val="0"/>
                      <w:szCs w:val="21"/>
                    </w:rPr>
                  </w:pPr>
                  <w:r>
                    <w:rPr>
                      <w:rFonts w:hint="eastAsia"/>
                      <w:color w:val="auto"/>
                      <w:szCs w:val="21"/>
                      <w:lang w:val="en-US" w:eastAsia="zh-CN"/>
                    </w:rPr>
                    <w:t>0.0005</w:t>
                  </w:r>
                </w:p>
              </w:tc>
              <w:tc>
                <w:tcPr>
                  <w:tcW w:w="688" w:type="pct"/>
                  <w:vAlign w:val="center"/>
                </w:tcPr>
                <w:p w14:paraId="0A81B680">
                  <w:pPr>
                    <w:widowControl/>
                    <w:jc w:val="center"/>
                    <w:textAlignment w:val="center"/>
                    <w:rPr>
                      <w:kern w:val="0"/>
                      <w:szCs w:val="21"/>
                    </w:rPr>
                  </w:pPr>
                  <w:r>
                    <w:rPr>
                      <w:rFonts w:hint="eastAsia"/>
                      <w:color w:val="000000"/>
                      <w:kern w:val="0"/>
                      <w:szCs w:val="21"/>
                      <w:lang w:bidi="ar"/>
                    </w:rPr>
                    <w:t>120</w:t>
                  </w:r>
                </w:p>
              </w:tc>
              <w:tc>
                <w:tcPr>
                  <w:tcW w:w="477" w:type="pct"/>
                  <w:vAlign w:val="center"/>
                </w:tcPr>
                <w:p w14:paraId="54DEF9BF">
                  <w:pPr>
                    <w:widowControl/>
                    <w:jc w:val="center"/>
                    <w:textAlignment w:val="center"/>
                    <w:rPr>
                      <w:kern w:val="0"/>
                      <w:szCs w:val="21"/>
                    </w:rPr>
                  </w:pPr>
                  <w:r>
                    <w:rPr>
                      <w:rFonts w:hint="eastAsia"/>
                      <w:kern w:val="0"/>
                      <w:szCs w:val="21"/>
                    </w:rPr>
                    <w:t>达标</w:t>
                  </w:r>
                </w:p>
              </w:tc>
            </w:tr>
            <w:tr w14:paraId="05391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87" w:type="pct"/>
                  <w:vAlign w:val="center"/>
                </w:tcPr>
                <w:p w14:paraId="750CBE92">
                  <w:pPr>
                    <w:widowControl/>
                    <w:jc w:val="center"/>
                    <w:textAlignment w:val="center"/>
                    <w:rPr>
                      <w:szCs w:val="21"/>
                    </w:rPr>
                  </w:pPr>
                  <w:r>
                    <w:rPr>
                      <w:rFonts w:hint="eastAsia"/>
                      <w:szCs w:val="21"/>
                    </w:rPr>
                    <w:t>DA003</w:t>
                  </w:r>
                </w:p>
              </w:tc>
              <w:tc>
                <w:tcPr>
                  <w:tcW w:w="682" w:type="pct"/>
                  <w:vAlign w:val="center"/>
                </w:tcPr>
                <w:p w14:paraId="791B5D01">
                  <w:pPr>
                    <w:spacing w:line="240" w:lineRule="atLeast"/>
                    <w:jc w:val="center"/>
                    <w:rPr>
                      <w:color w:val="auto"/>
                      <w:kern w:val="0"/>
                      <w:szCs w:val="21"/>
                    </w:rPr>
                  </w:pPr>
                  <w:r>
                    <w:rPr>
                      <w:rFonts w:hint="eastAsia"/>
                      <w:color w:val="auto"/>
                      <w:szCs w:val="21"/>
                    </w:rPr>
                    <w:t>水稳砼生产线粉尘</w:t>
                  </w:r>
                </w:p>
              </w:tc>
              <w:tc>
                <w:tcPr>
                  <w:tcW w:w="861" w:type="pct"/>
                  <w:vAlign w:val="center"/>
                </w:tcPr>
                <w:p w14:paraId="5DE7DD75">
                  <w:pPr>
                    <w:widowControl/>
                    <w:jc w:val="center"/>
                    <w:textAlignment w:val="center"/>
                    <w:rPr>
                      <w:color w:val="auto"/>
                      <w:kern w:val="0"/>
                      <w:szCs w:val="21"/>
                    </w:rPr>
                  </w:pPr>
                  <w:r>
                    <w:rPr>
                      <w:rFonts w:hint="eastAsia"/>
                      <w:color w:val="auto"/>
                      <w:szCs w:val="21"/>
                    </w:rPr>
                    <w:t>颗粒物</w:t>
                  </w:r>
                </w:p>
              </w:tc>
              <w:tc>
                <w:tcPr>
                  <w:tcW w:w="688" w:type="pct"/>
                  <w:vAlign w:val="center"/>
                </w:tcPr>
                <w:p w14:paraId="1F0A7E4C">
                  <w:pPr>
                    <w:widowControl/>
                    <w:jc w:val="center"/>
                    <w:textAlignment w:val="center"/>
                    <w:rPr>
                      <w:color w:val="auto"/>
                      <w:kern w:val="0"/>
                      <w:szCs w:val="21"/>
                    </w:rPr>
                  </w:pPr>
                  <w:r>
                    <w:rPr>
                      <w:rFonts w:hint="eastAsia"/>
                      <w:color w:val="auto"/>
                      <w:szCs w:val="21"/>
                    </w:rPr>
                    <w:t>5.2</w:t>
                  </w:r>
                </w:p>
              </w:tc>
              <w:tc>
                <w:tcPr>
                  <w:tcW w:w="814" w:type="pct"/>
                  <w:vAlign w:val="center"/>
                </w:tcPr>
                <w:p w14:paraId="7F896E8C">
                  <w:pPr>
                    <w:widowControl/>
                    <w:jc w:val="center"/>
                    <w:textAlignment w:val="center"/>
                    <w:rPr>
                      <w:color w:val="auto"/>
                      <w:kern w:val="0"/>
                      <w:szCs w:val="21"/>
                    </w:rPr>
                  </w:pPr>
                  <w:r>
                    <w:rPr>
                      <w:rFonts w:hint="eastAsia"/>
                      <w:color w:val="auto"/>
                      <w:szCs w:val="21"/>
                    </w:rPr>
                    <w:t>0.006</w:t>
                  </w:r>
                </w:p>
              </w:tc>
              <w:tc>
                <w:tcPr>
                  <w:tcW w:w="688" w:type="pct"/>
                  <w:vAlign w:val="center"/>
                </w:tcPr>
                <w:p w14:paraId="21B55C88">
                  <w:pPr>
                    <w:widowControl/>
                    <w:jc w:val="center"/>
                    <w:textAlignment w:val="center"/>
                    <w:rPr>
                      <w:kern w:val="0"/>
                      <w:szCs w:val="21"/>
                    </w:rPr>
                  </w:pPr>
                  <w:r>
                    <w:rPr>
                      <w:rFonts w:hint="eastAsia"/>
                      <w:szCs w:val="21"/>
                    </w:rPr>
                    <w:t>10</w:t>
                  </w:r>
                </w:p>
              </w:tc>
              <w:tc>
                <w:tcPr>
                  <w:tcW w:w="477" w:type="pct"/>
                  <w:vAlign w:val="center"/>
                </w:tcPr>
                <w:p w14:paraId="6BA8B2F9">
                  <w:pPr>
                    <w:widowControl/>
                    <w:jc w:val="center"/>
                    <w:textAlignment w:val="center"/>
                    <w:rPr>
                      <w:kern w:val="0"/>
                      <w:szCs w:val="21"/>
                    </w:rPr>
                  </w:pPr>
                  <w:r>
                    <w:rPr>
                      <w:rFonts w:hint="eastAsia"/>
                      <w:kern w:val="0"/>
                      <w:szCs w:val="21"/>
                    </w:rPr>
                    <w:t>达标</w:t>
                  </w:r>
                </w:p>
              </w:tc>
            </w:tr>
            <w:tr w14:paraId="07EA3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7" w:type="pct"/>
                  <w:vAlign w:val="center"/>
                </w:tcPr>
                <w:p w14:paraId="1251C375">
                  <w:pPr>
                    <w:widowControl/>
                    <w:jc w:val="center"/>
                    <w:textAlignment w:val="center"/>
                    <w:rPr>
                      <w:szCs w:val="21"/>
                    </w:rPr>
                  </w:pPr>
                  <w:r>
                    <w:rPr>
                      <w:rFonts w:hint="eastAsia"/>
                      <w:szCs w:val="21"/>
                    </w:rPr>
                    <w:t>屋顶排放</w:t>
                  </w:r>
                </w:p>
              </w:tc>
              <w:tc>
                <w:tcPr>
                  <w:tcW w:w="682" w:type="pct"/>
                  <w:vAlign w:val="center"/>
                </w:tcPr>
                <w:p w14:paraId="7EC44ED1">
                  <w:pPr>
                    <w:spacing w:line="240" w:lineRule="atLeast"/>
                    <w:jc w:val="center"/>
                    <w:rPr>
                      <w:kern w:val="0"/>
                      <w:szCs w:val="21"/>
                    </w:rPr>
                  </w:pPr>
                  <w:r>
                    <w:rPr>
                      <w:rFonts w:hint="eastAsia"/>
                      <w:szCs w:val="21"/>
                    </w:rPr>
                    <w:t>食堂废气</w:t>
                  </w:r>
                </w:p>
              </w:tc>
              <w:tc>
                <w:tcPr>
                  <w:tcW w:w="861" w:type="pct"/>
                  <w:vAlign w:val="center"/>
                </w:tcPr>
                <w:p w14:paraId="44917C35">
                  <w:pPr>
                    <w:widowControl/>
                    <w:jc w:val="center"/>
                    <w:textAlignment w:val="center"/>
                    <w:rPr>
                      <w:kern w:val="0"/>
                      <w:szCs w:val="21"/>
                    </w:rPr>
                  </w:pPr>
                  <w:r>
                    <w:rPr>
                      <w:szCs w:val="21"/>
                    </w:rPr>
                    <w:t>饮食油烟</w:t>
                  </w:r>
                </w:p>
              </w:tc>
              <w:tc>
                <w:tcPr>
                  <w:tcW w:w="688" w:type="pct"/>
                  <w:vAlign w:val="center"/>
                </w:tcPr>
                <w:p w14:paraId="11CA6518">
                  <w:pPr>
                    <w:widowControl/>
                    <w:jc w:val="center"/>
                    <w:textAlignment w:val="center"/>
                    <w:rPr>
                      <w:kern w:val="0"/>
                      <w:szCs w:val="21"/>
                    </w:rPr>
                  </w:pPr>
                  <w:r>
                    <w:rPr>
                      <w:rFonts w:hint="eastAsia"/>
                      <w:bCs/>
                      <w:szCs w:val="21"/>
                    </w:rPr>
                    <w:t>0.027</w:t>
                  </w:r>
                </w:p>
              </w:tc>
              <w:tc>
                <w:tcPr>
                  <w:tcW w:w="814" w:type="pct"/>
                  <w:vAlign w:val="center"/>
                </w:tcPr>
                <w:p w14:paraId="7796D3D4">
                  <w:pPr>
                    <w:widowControl/>
                    <w:jc w:val="center"/>
                    <w:textAlignment w:val="center"/>
                    <w:rPr>
                      <w:kern w:val="0"/>
                      <w:szCs w:val="21"/>
                    </w:rPr>
                  </w:pPr>
                  <w:r>
                    <w:rPr>
                      <w:rFonts w:hint="eastAsia"/>
                      <w:bCs/>
                      <w:szCs w:val="21"/>
                    </w:rPr>
                    <w:t>0.0001</w:t>
                  </w:r>
                </w:p>
              </w:tc>
              <w:tc>
                <w:tcPr>
                  <w:tcW w:w="688" w:type="pct"/>
                  <w:vAlign w:val="center"/>
                </w:tcPr>
                <w:p w14:paraId="7D09964B">
                  <w:pPr>
                    <w:widowControl/>
                    <w:jc w:val="center"/>
                    <w:textAlignment w:val="center"/>
                    <w:rPr>
                      <w:kern w:val="0"/>
                      <w:szCs w:val="21"/>
                    </w:rPr>
                  </w:pPr>
                  <w:r>
                    <w:rPr>
                      <w:rFonts w:hint="eastAsia"/>
                      <w:color w:val="000000"/>
                      <w:kern w:val="0"/>
                      <w:szCs w:val="21"/>
                      <w:lang w:bidi="ar"/>
                    </w:rPr>
                    <w:t>2</w:t>
                  </w:r>
                </w:p>
              </w:tc>
              <w:tc>
                <w:tcPr>
                  <w:tcW w:w="477" w:type="pct"/>
                  <w:vAlign w:val="center"/>
                </w:tcPr>
                <w:p w14:paraId="7F8D57CA">
                  <w:pPr>
                    <w:widowControl/>
                    <w:jc w:val="center"/>
                    <w:textAlignment w:val="center"/>
                    <w:rPr>
                      <w:kern w:val="0"/>
                      <w:szCs w:val="21"/>
                    </w:rPr>
                  </w:pPr>
                  <w:r>
                    <w:rPr>
                      <w:rFonts w:hint="eastAsia"/>
                      <w:kern w:val="0"/>
                      <w:szCs w:val="21"/>
                    </w:rPr>
                    <w:t>达标</w:t>
                  </w:r>
                </w:p>
              </w:tc>
            </w:tr>
          </w:tbl>
          <w:p w14:paraId="2BDFD0B3">
            <w:pPr>
              <w:spacing w:line="360" w:lineRule="auto"/>
              <w:rPr>
                <w:b/>
                <w:bCs/>
              </w:rPr>
            </w:pPr>
            <w:r>
              <w:rPr>
                <w:rFonts w:hint="eastAsia"/>
                <w:b/>
                <w:bCs/>
              </w:rPr>
              <w:t>4.2.3废气监测计划</w:t>
            </w:r>
          </w:p>
          <w:p w14:paraId="0ABE7954">
            <w:pPr>
              <w:pStyle w:val="71"/>
              <w:spacing w:line="360" w:lineRule="auto"/>
              <w:ind w:firstLine="420" w:firstLineChars="200"/>
              <w:rPr>
                <w:rFonts w:ascii="Times New Roman" w:hAnsi="Times New Roman" w:eastAsia="Times New Roman" w:cs="Times New Roman"/>
                <w:kern w:val="0"/>
              </w:rPr>
            </w:pPr>
            <w:r>
              <w:rPr>
                <w:rFonts w:ascii="Times New Roman" w:hAnsi="Times New Roman" w:eastAsia="Times New Roman" w:cs="Times New Roman"/>
                <w:kern w:val="0"/>
              </w:rPr>
              <w:t>根据《排污单位自行监测技术指南</w:t>
            </w:r>
            <w:r>
              <w:rPr>
                <w:rFonts w:hint="eastAsia" w:ascii="Times New Roman" w:hAnsi="Times New Roman" w:eastAsia="Times New Roman" w:cs="Times New Roman"/>
                <w:kern w:val="0"/>
              </w:rPr>
              <w:t xml:space="preserve"> </w:t>
            </w:r>
            <w:r>
              <w:rPr>
                <w:rFonts w:ascii="Times New Roman" w:hAnsi="Times New Roman" w:eastAsia="Times New Roman" w:cs="Times New Roman"/>
                <w:kern w:val="0"/>
              </w:rPr>
              <w:t>总则》（</w:t>
            </w:r>
            <w:r>
              <w:rPr>
                <w:rFonts w:hint="eastAsia" w:ascii="Times New Roman" w:hAnsi="Times New Roman" w:eastAsia="Times New Roman" w:cs="Times New Roman"/>
                <w:kern w:val="0"/>
              </w:rPr>
              <w:t xml:space="preserve">HJ  </w:t>
            </w:r>
            <w:r>
              <w:rPr>
                <w:rFonts w:ascii="Times New Roman" w:hAnsi="Times New Roman" w:eastAsia="Times New Roman" w:cs="Times New Roman"/>
                <w:kern w:val="0"/>
              </w:rPr>
              <w:t>819-2017）</w:t>
            </w:r>
            <w:r>
              <w:rPr>
                <w:rFonts w:hint="eastAsia" w:ascii="Times New Roman" w:hAnsi="Times New Roman" w:eastAsia="Times New Roman" w:cs="Times New Roman"/>
                <w:kern w:val="0"/>
              </w:rPr>
              <w:t>的</w:t>
            </w:r>
            <w:r>
              <w:rPr>
                <w:rFonts w:ascii="Times New Roman" w:hAnsi="Times New Roman" w:eastAsia="Times New Roman" w:cs="Times New Roman"/>
                <w:kern w:val="0"/>
              </w:rPr>
              <w:t>相关规定，建设项目运营期废气环境监测计划见表</w:t>
            </w:r>
            <w:r>
              <w:rPr>
                <w:rFonts w:hint="eastAsia" w:ascii="Times New Roman" w:hAnsi="Times New Roman" w:eastAsia="Times New Roman" w:cs="Times New Roman"/>
                <w:kern w:val="0"/>
              </w:rPr>
              <w:t>4-</w:t>
            </w:r>
            <w:r>
              <w:rPr>
                <w:rFonts w:hint="eastAsia" w:ascii="Times New Roman" w:hAnsi="Times New Roman" w:eastAsia="宋体" w:cs="Times New Roman"/>
                <w:kern w:val="0"/>
                <w:lang w:val="en-US" w:eastAsia="zh-CN"/>
              </w:rPr>
              <w:t>6</w:t>
            </w:r>
            <w:r>
              <w:rPr>
                <w:rFonts w:ascii="Times New Roman" w:hAnsi="Times New Roman" w:eastAsia="Times New Roman" w:cs="Times New Roman"/>
                <w:kern w:val="0"/>
              </w:rPr>
              <w:t>。</w:t>
            </w:r>
          </w:p>
          <w:p w14:paraId="557DF563">
            <w:pPr>
              <w:ind w:firstLine="413" w:firstLineChars="196"/>
              <w:jc w:val="center"/>
              <w:rPr>
                <w:b/>
                <w:bCs/>
                <w:szCs w:val="21"/>
              </w:rPr>
            </w:pPr>
            <w:r>
              <w:rPr>
                <w:b/>
                <w:bCs/>
                <w:szCs w:val="21"/>
              </w:rPr>
              <w:t>表</w:t>
            </w:r>
            <w:r>
              <w:rPr>
                <w:rFonts w:hint="eastAsia"/>
                <w:b/>
                <w:bCs/>
                <w:szCs w:val="21"/>
              </w:rPr>
              <w:t>4-</w:t>
            </w:r>
            <w:r>
              <w:rPr>
                <w:rFonts w:hint="eastAsia"/>
                <w:b/>
                <w:bCs/>
                <w:szCs w:val="21"/>
                <w:lang w:val="en-US" w:eastAsia="zh-CN"/>
              </w:rPr>
              <w:t>6</w:t>
            </w:r>
            <w:r>
              <w:rPr>
                <w:rFonts w:hint="eastAsia"/>
                <w:b/>
                <w:bCs/>
                <w:szCs w:val="21"/>
              </w:rPr>
              <w:t xml:space="preserve">  </w:t>
            </w:r>
            <w:r>
              <w:rPr>
                <w:b/>
                <w:bCs/>
                <w:szCs w:val="21"/>
              </w:rPr>
              <w:t>废气环境监测计划表</w:t>
            </w:r>
          </w:p>
          <w:tbl>
            <w:tblPr>
              <w:tblStyle w:val="31"/>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2"/>
              <w:gridCol w:w="1792"/>
              <w:gridCol w:w="1173"/>
              <w:gridCol w:w="2943"/>
            </w:tblGrid>
            <w:tr w14:paraId="09612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14:paraId="319603B2">
                  <w:pPr>
                    <w:adjustRightInd w:val="0"/>
                    <w:jc w:val="center"/>
                    <w:textAlignment w:val="baseline"/>
                    <w:rPr>
                      <w:b/>
                      <w:bCs/>
                    </w:rPr>
                  </w:pPr>
                  <w:r>
                    <w:rPr>
                      <w:b/>
                      <w:bCs/>
                      <w:szCs w:val="21"/>
                    </w:rPr>
                    <w:t>监测点位</w:t>
                  </w:r>
                </w:p>
              </w:tc>
              <w:tc>
                <w:tcPr>
                  <w:tcW w:w="1792" w:type="dxa"/>
                  <w:vAlign w:val="center"/>
                </w:tcPr>
                <w:p w14:paraId="5978E14E">
                  <w:pPr>
                    <w:adjustRightInd w:val="0"/>
                    <w:jc w:val="center"/>
                    <w:textAlignment w:val="baseline"/>
                    <w:rPr>
                      <w:b/>
                      <w:bCs/>
                    </w:rPr>
                  </w:pPr>
                  <w:r>
                    <w:rPr>
                      <w:b/>
                      <w:bCs/>
                      <w:szCs w:val="21"/>
                    </w:rPr>
                    <w:t>监测指标</w:t>
                  </w:r>
                </w:p>
              </w:tc>
              <w:tc>
                <w:tcPr>
                  <w:tcW w:w="1173" w:type="dxa"/>
                  <w:vAlign w:val="center"/>
                </w:tcPr>
                <w:p w14:paraId="6E210237">
                  <w:pPr>
                    <w:adjustRightInd w:val="0"/>
                    <w:jc w:val="center"/>
                    <w:textAlignment w:val="baseline"/>
                    <w:rPr>
                      <w:b/>
                      <w:bCs/>
                    </w:rPr>
                  </w:pPr>
                  <w:r>
                    <w:rPr>
                      <w:b/>
                      <w:bCs/>
                      <w:szCs w:val="21"/>
                    </w:rPr>
                    <w:t>监测频次</w:t>
                  </w:r>
                </w:p>
              </w:tc>
              <w:tc>
                <w:tcPr>
                  <w:tcW w:w="2943" w:type="dxa"/>
                  <w:vAlign w:val="center"/>
                </w:tcPr>
                <w:p w14:paraId="69150404">
                  <w:pPr>
                    <w:adjustRightInd w:val="0"/>
                    <w:jc w:val="center"/>
                    <w:textAlignment w:val="baseline"/>
                    <w:rPr>
                      <w:b/>
                      <w:bCs/>
                    </w:rPr>
                  </w:pPr>
                  <w:r>
                    <w:rPr>
                      <w:b/>
                      <w:bCs/>
                      <w:szCs w:val="21"/>
                    </w:rPr>
                    <w:t>执行排放标准</w:t>
                  </w:r>
                </w:p>
              </w:tc>
            </w:tr>
            <w:tr w14:paraId="6FE2C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14:paraId="615F5F33">
                  <w:pPr>
                    <w:widowControl/>
                    <w:jc w:val="center"/>
                  </w:pPr>
                  <w:r>
                    <w:rPr>
                      <w:rFonts w:hint="eastAsia"/>
                    </w:rPr>
                    <w:t>DA001</w:t>
                  </w:r>
                </w:p>
              </w:tc>
              <w:tc>
                <w:tcPr>
                  <w:tcW w:w="1792" w:type="dxa"/>
                  <w:vAlign w:val="center"/>
                </w:tcPr>
                <w:p w14:paraId="6C490E14">
                  <w:pPr>
                    <w:widowControl/>
                    <w:jc w:val="center"/>
                    <w:rPr>
                      <w:color w:val="auto"/>
                    </w:rPr>
                  </w:pPr>
                  <w:r>
                    <w:rPr>
                      <w:rFonts w:hint="eastAsia"/>
                      <w:color w:val="auto"/>
                    </w:rPr>
                    <w:t>颗粒物</w:t>
                  </w:r>
                </w:p>
              </w:tc>
              <w:tc>
                <w:tcPr>
                  <w:tcW w:w="1173" w:type="dxa"/>
                  <w:vAlign w:val="center"/>
                </w:tcPr>
                <w:p w14:paraId="206E4B7F">
                  <w:pPr>
                    <w:widowControl/>
                    <w:jc w:val="center"/>
                    <w:rPr>
                      <w:color w:val="auto"/>
                    </w:rPr>
                  </w:pPr>
                  <w:r>
                    <w:rPr>
                      <w:color w:val="auto"/>
                      <w:szCs w:val="21"/>
                    </w:rPr>
                    <w:t>1次/年</w:t>
                  </w:r>
                </w:p>
              </w:tc>
              <w:tc>
                <w:tcPr>
                  <w:tcW w:w="2943" w:type="dxa"/>
                  <w:vAlign w:val="center"/>
                </w:tcPr>
                <w:p w14:paraId="5211628F">
                  <w:pPr>
                    <w:widowControl/>
                    <w:jc w:val="center"/>
                  </w:pPr>
                  <w:r>
                    <w:rPr>
                      <w:szCs w:val="21"/>
                    </w:rPr>
                    <w:t>《大气污染物综合排放标准》（</w:t>
                  </w:r>
                  <w:r>
                    <w:rPr>
                      <w:rFonts w:hint="eastAsia"/>
                      <w:szCs w:val="21"/>
                    </w:rPr>
                    <w:t xml:space="preserve">GB </w:t>
                  </w:r>
                  <w:r>
                    <w:rPr>
                      <w:szCs w:val="21"/>
                    </w:rPr>
                    <w:t>16297-1996）表2中二级标准</w:t>
                  </w:r>
                </w:p>
              </w:tc>
            </w:tr>
            <w:tr w14:paraId="46053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322" w:type="dxa"/>
                  <w:vMerge w:val="restart"/>
                  <w:vAlign w:val="center"/>
                </w:tcPr>
                <w:p w14:paraId="26A8975F">
                  <w:pPr>
                    <w:widowControl/>
                    <w:jc w:val="center"/>
                  </w:pPr>
                  <w:r>
                    <w:rPr>
                      <w:rFonts w:hint="eastAsia"/>
                    </w:rPr>
                    <w:t>DA002</w:t>
                  </w:r>
                </w:p>
              </w:tc>
              <w:tc>
                <w:tcPr>
                  <w:tcW w:w="1792" w:type="dxa"/>
                  <w:vAlign w:val="center"/>
                </w:tcPr>
                <w:p w14:paraId="7591D815">
                  <w:pPr>
                    <w:widowControl/>
                    <w:jc w:val="center"/>
                    <w:rPr>
                      <w:color w:val="auto"/>
                    </w:rPr>
                  </w:pPr>
                  <w:r>
                    <w:rPr>
                      <w:rFonts w:hint="eastAsia"/>
                      <w:color w:val="auto"/>
                    </w:rPr>
                    <w:t>颗粒物</w:t>
                  </w:r>
                </w:p>
              </w:tc>
              <w:tc>
                <w:tcPr>
                  <w:tcW w:w="1173" w:type="dxa"/>
                  <w:vMerge w:val="restart"/>
                  <w:vAlign w:val="center"/>
                </w:tcPr>
                <w:p w14:paraId="5C0232A7">
                  <w:pPr>
                    <w:widowControl/>
                    <w:jc w:val="center"/>
                    <w:rPr>
                      <w:color w:val="auto"/>
                    </w:rPr>
                  </w:pPr>
                  <w:r>
                    <w:rPr>
                      <w:rFonts w:hint="eastAsia"/>
                      <w:color w:val="auto"/>
                      <w:szCs w:val="21"/>
                    </w:rPr>
                    <w:t>1次</w:t>
                  </w:r>
                  <w:r>
                    <w:rPr>
                      <w:color w:val="auto"/>
                      <w:szCs w:val="21"/>
                    </w:rPr>
                    <w:t>/</w:t>
                  </w:r>
                  <w:r>
                    <w:rPr>
                      <w:rFonts w:hint="eastAsia"/>
                      <w:color w:val="auto"/>
                      <w:szCs w:val="21"/>
                    </w:rPr>
                    <w:t>半</w:t>
                  </w:r>
                  <w:r>
                    <w:rPr>
                      <w:color w:val="auto"/>
                      <w:szCs w:val="21"/>
                    </w:rPr>
                    <w:t>年</w:t>
                  </w:r>
                </w:p>
              </w:tc>
              <w:tc>
                <w:tcPr>
                  <w:tcW w:w="2943" w:type="dxa"/>
                  <w:vMerge w:val="restart"/>
                  <w:vAlign w:val="center"/>
                </w:tcPr>
                <w:p w14:paraId="361DF0D0">
                  <w:pPr>
                    <w:widowControl/>
                    <w:jc w:val="center"/>
                  </w:pPr>
                  <w:r>
                    <w:rPr>
                      <w:rFonts w:hint="eastAsia"/>
                      <w:szCs w:val="21"/>
                    </w:rPr>
                    <w:t>《兵团工业炉窑大气污染综合治理实施方案》中重点区域排放标准</w:t>
                  </w:r>
                </w:p>
              </w:tc>
            </w:tr>
            <w:tr w14:paraId="42B09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322" w:type="dxa"/>
                  <w:vMerge w:val="continue"/>
                  <w:vAlign w:val="center"/>
                </w:tcPr>
                <w:p w14:paraId="3E7E4EFF">
                  <w:pPr>
                    <w:widowControl/>
                    <w:jc w:val="center"/>
                  </w:pPr>
                </w:p>
              </w:tc>
              <w:tc>
                <w:tcPr>
                  <w:tcW w:w="1792" w:type="dxa"/>
                  <w:vAlign w:val="center"/>
                </w:tcPr>
                <w:p w14:paraId="1D080D7D">
                  <w:pPr>
                    <w:widowControl/>
                    <w:jc w:val="center"/>
                    <w:rPr>
                      <w:color w:val="auto"/>
                    </w:rPr>
                  </w:pPr>
                  <w:r>
                    <w:rPr>
                      <w:rFonts w:hint="eastAsia"/>
                      <w:color w:val="auto"/>
                    </w:rPr>
                    <w:t>二氧化硫</w:t>
                  </w:r>
                </w:p>
              </w:tc>
              <w:tc>
                <w:tcPr>
                  <w:tcW w:w="1173" w:type="dxa"/>
                  <w:vMerge w:val="continue"/>
                  <w:vAlign w:val="center"/>
                </w:tcPr>
                <w:p w14:paraId="19BAF50D">
                  <w:pPr>
                    <w:widowControl/>
                    <w:jc w:val="center"/>
                    <w:rPr>
                      <w:color w:val="auto"/>
                    </w:rPr>
                  </w:pPr>
                </w:p>
              </w:tc>
              <w:tc>
                <w:tcPr>
                  <w:tcW w:w="2943" w:type="dxa"/>
                  <w:vMerge w:val="continue"/>
                  <w:vAlign w:val="center"/>
                </w:tcPr>
                <w:p w14:paraId="2ACAC841">
                  <w:pPr>
                    <w:widowControl/>
                    <w:jc w:val="center"/>
                  </w:pPr>
                </w:p>
              </w:tc>
            </w:tr>
            <w:tr w14:paraId="68D08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322" w:type="dxa"/>
                  <w:vMerge w:val="continue"/>
                  <w:vAlign w:val="center"/>
                </w:tcPr>
                <w:p w14:paraId="043605A4">
                  <w:pPr>
                    <w:widowControl/>
                    <w:jc w:val="center"/>
                  </w:pPr>
                </w:p>
              </w:tc>
              <w:tc>
                <w:tcPr>
                  <w:tcW w:w="1792" w:type="dxa"/>
                  <w:vAlign w:val="center"/>
                </w:tcPr>
                <w:p w14:paraId="61C3DAF6">
                  <w:pPr>
                    <w:widowControl/>
                    <w:jc w:val="center"/>
                    <w:rPr>
                      <w:color w:val="auto"/>
                    </w:rPr>
                  </w:pPr>
                  <w:r>
                    <w:rPr>
                      <w:rFonts w:hint="eastAsia"/>
                      <w:color w:val="auto"/>
                    </w:rPr>
                    <w:t>氮氧化物</w:t>
                  </w:r>
                </w:p>
              </w:tc>
              <w:tc>
                <w:tcPr>
                  <w:tcW w:w="1173" w:type="dxa"/>
                  <w:vMerge w:val="continue"/>
                  <w:vAlign w:val="center"/>
                </w:tcPr>
                <w:p w14:paraId="0BA4641A">
                  <w:pPr>
                    <w:widowControl/>
                    <w:jc w:val="center"/>
                    <w:rPr>
                      <w:color w:val="auto"/>
                    </w:rPr>
                  </w:pPr>
                </w:p>
              </w:tc>
              <w:tc>
                <w:tcPr>
                  <w:tcW w:w="2943" w:type="dxa"/>
                  <w:vMerge w:val="continue"/>
                  <w:vAlign w:val="center"/>
                </w:tcPr>
                <w:p w14:paraId="6A0D32C9">
                  <w:pPr>
                    <w:widowControl/>
                    <w:jc w:val="center"/>
                  </w:pPr>
                </w:p>
              </w:tc>
            </w:tr>
            <w:tr w14:paraId="76BB6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322" w:type="dxa"/>
                  <w:vMerge w:val="continue"/>
                  <w:vAlign w:val="center"/>
                </w:tcPr>
                <w:p w14:paraId="42711199">
                  <w:pPr>
                    <w:widowControl/>
                    <w:jc w:val="center"/>
                  </w:pPr>
                </w:p>
              </w:tc>
              <w:tc>
                <w:tcPr>
                  <w:tcW w:w="1792" w:type="dxa"/>
                  <w:vAlign w:val="center"/>
                </w:tcPr>
                <w:p w14:paraId="3557917B">
                  <w:pPr>
                    <w:widowControl/>
                    <w:jc w:val="center"/>
                    <w:rPr>
                      <w:color w:val="auto"/>
                    </w:rPr>
                  </w:pPr>
                  <w:r>
                    <w:rPr>
                      <w:color w:val="auto"/>
                    </w:rPr>
                    <w:t>苯并[a]芘</w:t>
                  </w:r>
                </w:p>
              </w:tc>
              <w:tc>
                <w:tcPr>
                  <w:tcW w:w="1173" w:type="dxa"/>
                  <w:vMerge w:val="restart"/>
                  <w:vAlign w:val="center"/>
                </w:tcPr>
                <w:p w14:paraId="33DAEBA1">
                  <w:pPr>
                    <w:widowControl/>
                    <w:jc w:val="center"/>
                    <w:rPr>
                      <w:color w:val="auto"/>
                    </w:rPr>
                  </w:pPr>
                  <w:r>
                    <w:rPr>
                      <w:rFonts w:hint="eastAsia"/>
                      <w:color w:val="auto"/>
                      <w:szCs w:val="21"/>
                    </w:rPr>
                    <w:t>1次</w:t>
                  </w:r>
                  <w:r>
                    <w:rPr>
                      <w:color w:val="auto"/>
                      <w:szCs w:val="21"/>
                    </w:rPr>
                    <w:t>/</w:t>
                  </w:r>
                  <w:r>
                    <w:rPr>
                      <w:rFonts w:hint="eastAsia"/>
                      <w:color w:val="auto"/>
                      <w:szCs w:val="21"/>
                    </w:rPr>
                    <w:t>半</w:t>
                  </w:r>
                  <w:r>
                    <w:rPr>
                      <w:color w:val="auto"/>
                      <w:szCs w:val="21"/>
                    </w:rPr>
                    <w:t>年</w:t>
                  </w:r>
                </w:p>
              </w:tc>
              <w:tc>
                <w:tcPr>
                  <w:tcW w:w="2943" w:type="dxa"/>
                  <w:vMerge w:val="restart"/>
                  <w:vAlign w:val="center"/>
                </w:tcPr>
                <w:p w14:paraId="126B10FA">
                  <w:pPr>
                    <w:widowControl/>
                    <w:jc w:val="center"/>
                  </w:pPr>
                  <w:r>
                    <w:rPr>
                      <w:szCs w:val="21"/>
                    </w:rPr>
                    <w:t>《大气污染物综合排放标准》（</w:t>
                  </w:r>
                  <w:r>
                    <w:rPr>
                      <w:rFonts w:hint="eastAsia"/>
                      <w:szCs w:val="21"/>
                    </w:rPr>
                    <w:t xml:space="preserve">GB </w:t>
                  </w:r>
                  <w:r>
                    <w:rPr>
                      <w:szCs w:val="21"/>
                    </w:rPr>
                    <w:t>16297-1996）表2中二级标准</w:t>
                  </w:r>
                </w:p>
              </w:tc>
            </w:tr>
            <w:tr w14:paraId="2A82F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322" w:type="dxa"/>
                  <w:vMerge w:val="continue"/>
                  <w:vAlign w:val="center"/>
                </w:tcPr>
                <w:p w14:paraId="21D176F8">
                  <w:pPr>
                    <w:widowControl/>
                    <w:jc w:val="center"/>
                  </w:pPr>
                </w:p>
              </w:tc>
              <w:tc>
                <w:tcPr>
                  <w:tcW w:w="1792" w:type="dxa"/>
                  <w:vAlign w:val="center"/>
                </w:tcPr>
                <w:p w14:paraId="6BD13709">
                  <w:pPr>
                    <w:widowControl/>
                    <w:jc w:val="center"/>
                    <w:rPr>
                      <w:color w:val="auto"/>
                    </w:rPr>
                  </w:pPr>
                  <w:r>
                    <w:rPr>
                      <w:color w:val="auto"/>
                    </w:rPr>
                    <w:t>沥青烟</w:t>
                  </w:r>
                </w:p>
              </w:tc>
              <w:tc>
                <w:tcPr>
                  <w:tcW w:w="1173" w:type="dxa"/>
                  <w:vMerge w:val="continue"/>
                  <w:vAlign w:val="center"/>
                </w:tcPr>
                <w:p w14:paraId="21C31D9C">
                  <w:pPr>
                    <w:widowControl/>
                    <w:jc w:val="center"/>
                    <w:rPr>
                      <w:color w:val="auto"/>
                    </w:rPr>
                  </w:pPr>
                </w:p>
              </w:tc>
              <w:tc>
                <w:tcPr>
                  <w:tcW w:w="2943" w:type="dxa"/>
                  <w:vMerge w:val="continue"/>
                  <w:vAlign w:val="center"/>
                </w:tcPr>
                <w:p w14:paraId="13AB2B0D">
                  <w:pPr>
                    <w:widowControl/>
                    <w:jc w:val="center"/>
                  </w:pPr>
                </w:p>
              </w:tc>
            </w:tr>
            <w:tr w14:paraId="02897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322" w:type="dxa"/>
                  <w:vMerge w:val="continue"/>
                  <w:vAlign w:val="center"/>
                </w:tcPr>
                <w:p w14:paraId="4F1DE18A">
                  <w:pPr>
                    <w:widowControl/>
                    <w:jc w:val="center"/>
                  </w:pPr>
                </w:p>
              </w:tc>
              <w:tc>
                <w:tcPr>
                  <w:tcW w:w="1792" w:type="dxa"/>
                  <w:vAlign w:val="center"/>
                </w:tcPr>
                <w:p w14:paraId="42E7A1D8">
                  <w:pPr>
                    <w:widowControl/>
                    <w:jc w:val="center"/>
                    <w:rPr>
                      <w:color w:val="auto"/>
                    </w:rPr>
                  </w:pPr>
                  <w:r>
                    <w:rPr>
                      <w:rFonts w:hint="eastAsia"/>
                      <w:color w:val="auto"/>
                    </w:rPr>
                    <w:t>VOC</w:t>
                  </w:r>
                  <w:r>
                    <w:rPr>
                      <w:rFonts w:hint="eastAsia"/>
                      <w:color w:val="auto"/>
                      <w:vertAlign w:val="subscript"/>
                    </w:rPr>
                    <w:t>S</w:t>
                  </w:r>
                </w:p>
              </w:tc>
              <w:tc>
                <w:tcPr>
                  <w:tcW w:w="1173" w:type="dxa"/>
                  <w:vMerge w:val="continue"/>
                  <w:vAlign w:val="center"/>
                </w:tcPr>
                <w:p w14:paraId="70C614E1">
                  <w:pPr>
                    <w:widowControl/>
                    <w:jc w:val="center"/>
                    <w:rPr>
                      <w:color w:val="auto"/>
                    </w:rPr>
                  </w:pPr>
                </w:p>
              </w:tc>
              <w:tc>
                <w:tcPr>
                  <w:tcW w:w="2943" w:type="dxa"/>
                  <w:vMerge w:val="continue"/>
                  <w:vAlign w:val="center"/>
                </w:tcPr>
                <w:p w14:paraId="44CFCC8B">
                  <w:pPr>
                    <w:widowControl/>
                    <w:jc w:val="center"/>
                  </w:pPr>
                </w:p>
              </w:tc>
            </w:tr>
            <w:tr w14:paraId="169A3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14:paraId="18161317">
                  <w:pPr>
                    <w:widowControl/>
                    <w:jc w:val="center"/>
                  </w:pPr>
                  <w:r>
                    <w:rPr>
                      <w:rFonts w:hint="eastAsia"/>
                    </w:rPr>
                    <w:t>DA003</w:t>
                  </w:r>
                </w:p>
              </w:tc>
              <w:tc>
                <w:tcPr>
                  <w:tcW w:w="1792" w:type="dxa"/>
                  <w:vAlign w:val="center"/>
                </w:tcPr>
                <w:p w14:paraId="11CF593F">
                  <w:pPr>
                    <w:widowControl/>
                    <w:jc w:val="center"/>
                    <w:rPr>
                      <w:color w:val="auto"/>
                    </w:rPr>
                  </w:pPr>
                  <w:r>
                    <w:rPr>
                      <w:rFonts w:hint="eastAsia"/>
                      <w:color w:val="auto"/>
                    </w:rPr>
                    <w:t>颗粒物</w:t>
                  </w:r>
                </w:p>
              </w:tc>
              <w:tc>
                <w:tcPr>
                  <w:tcW w:w="1173" w:type="dxa"/>
                  <w:vAlign w:val="center"/>
                </w:tcPr>
                <w:p w14:paraId="634A3CEB">
                  <w:pPr>
                    <w:widowControl/>
                    <w:jc w:val="center"/>
                    <w:rPr>
                      <w:color w:val="auto"/>
                    </w:rPr>
                  </w:pPr>
                  <w:r>
                    <w:rPr>
                      <w:rFonts w:hint="eastAsia"/>
                      <w:color w:val="auto"/>
                      <w:szCs w:val="21"/>
                    </w:rPr>
                    <w:t>1</w:t>
                  </w:r>
                  <w:r>
                    <w:rPr>
                      <w:color w:val="auto"/>
                      <w:szCs w:val="21"/>
                    </w:rPr>
                    <w:t>次/年</w:t>
                  </w:r>
                </w:p>
              </w:tc>
              <w:tc>
                <w:tcPr>
                  <w:tcW w:w="2943" w:type="dxa"/>
                  <w:vAlign w:val="center"/>
                </w:tcPr>
                <w:p w14:paraId="2D46BF39">
                  <w:pPr>
                    <w:widowControl/>
                    <w:jc w:val="center"/>
                  </w:pPr>
                  <w:r>
                    <w:rPr>
                      <w:rFonts w:hint="eastAsia"/>
                      <w:color w:val="000000"/>
                      <w:szCs w:val="21"/>
                      <w:lang w:bidi="ar"/>
                    </w:rPr>
                    <w:t>《水泥工业大气污染物排放标准》（GB 4915-2013）中表2中相关标准</w:t>
                  </w:r>
                </w:p>
              </w:tc>
            </w:tr>
            <w:tr w14:paraId="5A847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14:paraId="7FE293DE">
                  <w:pPr>
                    <w:widowControl/>
                    <w:jc w:val="center"/>
                  </w:pPr>
                  <w:r>
                    <w:rPr>
                      <w:rFonts w:hint="eastAsia"/>
                    </w:rPr>
                    <w:t>食堂油烟净化器</w:t>
                  </w:r>
                </w:p>
              </w:tc>
              <w:tc>
                <w:tcPr>
                  <w:tcW w:w="1792" w:type="dxa"/>
                  <w:vAlign w:val="center"/>
                </w:tcPr>
                <w:p w14:paraId="1A80816F">
                  <w:pPr>
                    <w:widowControl/>
                    <w:jc w:val="center"/>
                    <w:rPr>
                      <w:color w:val="auto"/>
                    </w:rPr>
                  </w:pPr>
                  <w:r>
                    <w:rPr>
                      <w:rFonts w:hint="eastAsia"/>
                      <w:color w:val="auto"/>
                    </w:rPr>
                    <w:t>食堂油烟</w:t>
                  </w:r>
                </w:p>
              </w:tc>
              <w:tc>
                <w:tcPr>
                  <w:tcW w:w="1173" w:type="dxa"/>
                  <w:vAlign w:val="center"/>
                </w:tcPr>
                <w:p w14:paraId="274F7B52">
                  <w:pPr>
                    <w:widowControl/>
                    <w:jc w:val="center"/>
                    <w:rPr>
                      <w:color w:val="auto"/>
                    </w:rPr>
                  </w:pPr>
                  <w:r>
                    <w:rPr>
                      <w:rFonts w:hint="eastAsia"/>
                      <w:color w:val="auto"/>
                      <w:szCs w:val="21"/>
                    </w:rPr>
                    <w:t>1</w:t>
                  </w:r>
                  <w:r>
                    <w:rPr>
                      <w:color w:val="auto"/>
                      <w:szCs w:val="21"/>
                    </w:rPr>
                    <w:t>次/年</w:t>
                  </w:r>
                </w:p>
              </w:tc>
              <w:tc>
                <w:tcPr>
                  <w:tcW w:w="2943" w:type="dxa"/>
                  <w:vAlign w:val="center"/>
                </w:tcPr>
                <w:p w14:paraId="2946AFC5">
                  <w:pPr>
                    <w:widowControl/>
                    <w:jc w:val="center"/>
                  </w:pPr>
                  <w:r>
                    <w:rPr>
                      <w:rFonts w:hint="eastAsia"/>
                    </w:rPr>
                    <w:t>《饮食业油烟排放标准（试行）》（GB 18483-2001）标准</w:t>
                  </w:r>
                </w:p>
              </w:tc>
            </w:tr>
            <w:tr w14:paraId="47331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322" w:type="dxa"/>
                  <w:vMerge w:val="restart"/>
                  <w:vAlign w:val="center"/>
                </w:tcPr>
                <w:p w14:paraId="5ECC1AE8">
                  <w:pPr>
                    <w:adjustRightInd w:val="0"/>
                    <w:jc w:val="center"/>
                    <w:textAlignment w:val="baseline"/>
                  </w:pPr>
                  <w:r>
                    <w:rPr>
                      <w:szCs w:val="21"/>
                    </w:rPr>
                    <w:t>厂界</w:t>
                  </w:r>
                </w:p>
              </w:tc>
              <w:tc>
                <w:tcPr>
                  <w:tcW w:w="1792" w:type="dxa"/>
                  <w:vAlign w:val="center"/>
                </w:tcPr>
                <w:p w14:paraId="6EBC9D99">
                  <w:pPr>
                    <w:adjustRightInd w:val="0"/>
                    <w:jc w:val="center"/>
                    <w:textAlignment w:val="baseline"/>
                  </w:pPr>
                  <w:r>
                    <w:rPr>
                      <w:szCs w:val="21"/>
                    </w:rPr>
                    <w:t>苯并[a]芘</w:t>
                  </w:r>
                </w:p>
              </w:tc>
              <w:tc>
                <w:tcPr>
                  <w:tcW w:w="1173" w:type="dxa"/>
                  <w:vMerge w:val="restart"/>
                  <w:vAlign w:val="center"/>
                </w:tcPr>
                <w:p w14:paraId="549EB47A">
                  <w:pPr>
                    <w:widowControl/>
                    <w:jc w:val="center"/>
                  </w:pPr>
                  <w:r>
                    <w:rPr>
                      <w:rFonts w:hint="eastAsia"/>
                      <w:szCs w:val="21"/>
                    </w:rPr>
                    <w:t>1</w:t>
                  </w:r>
                  <w:r>
                    <w:rPr>
                      <w:szCs w:val="21"/>
                    </w:rPr>
                    <w:t>次/年</w:t>
                  </w:r>
                </w:p>
              </w:tc>
              <w:tc>
                <w:tcPr>
                  <w:tcW w:w="2943" w:type="dxa"/>
                  <w:vMerge w:val="restart"/>
                  <w:vAlign w:val="center"/>
                </w:tcPr>
                <w:p w14:paraId="447C2619">
                  <w:pPr>
                    <w:widowControl/>
                    <w:jc w:val="center"/>
                    <w:rPr>
                      <w:color w:val="auto"/>
                    </w:rPr>
                  </w:pPr>
                  <w:r>
                    <w:rPr>
                      <w:rFonts w:hint="eastAsia" w:eastAsia="宋体"/>
                      <w:color w:val="auto"/>
                      <w:lang w:eastAsia="zh-CN"/>
                    </w:rPr>
                    <w:t>《大气污染物综合排放标准》(GB16297-1996)无组织排放标准限值</w:t>
                  </w:r>
                </w:p>
              </w:tc>
            </w:tr>
            <w:tr w14:paraId="603A4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322" w:type="dxa"/>
                  <w:vMerge w:val="continue"/>
                  <w:vAlign w:val="center"/>
                </w:tcPr>
                <w:p w14:paraId="0BE53DB6">
                  <w:pPr>
                    <w:adjustRightInd w:val="0"/>
                    <w:jc w:val="center"/>
                    <w:textAlignment w:val="baseline"/>
                  </w:pPr>
                </w:p>
              </w:tc>
              <w:tc>
                <w:tcPr>
                  <w:tcW w:w="1792" w:type="dxa"/>
                  <w:vAlign w:val="center"/>
                </w:tcPr>
                <w:p w14:paraId="42AD2BFD">
                  <w:pPr>
                    <w:adjustRightInd w:val="0"/>
                    <w:jc w:val="center"/>
                    <w:textAlignment w:val="baseline"/>
                    <w:rPr>
                      <w:szCs w:val="21"/>
                    </w:rPr>
                  </w:pPr>
                  <w:r>
                    <w:rPr>
                      <w:szCs w:val="21"/>
                    </w:rPr>
                    <w:t>沥青烟</w:t>
                  </w:r>
                </w:p>
              </w:tc>
              <w:tc>
                <w:tcPr>
                  <w:tcW w:w="1173" w:type="dxa"/>
                  <w:vMerge w:val="continue"/>
                  <w:vAlign w:val="center"/>
                </w:tcPr>
                <w:p w14:paraId="0E4D2A7E">
                  <w:pPr>
                    <w:adjustRightInd w:val="0"/>
                    <w:jc w:val="center"/>
                    <w:textAlignment w:val="baseline"/>
                    <w:rPr>
                      <w:szCs w:val="21"/>
                    </w:rPr>
                  </w:pPr>
                </w:p>
              </w:tc>
              <w:tc>
                <w:tcPr>
                  <w:tcW w:w="2943" w:type="dxa"/>
                  <w:vMerge w:val="continue"/>
                  <w:vAlign w:val="center"/>
                </w:tcPr>
                <w:p w14:paraId="24F68871">
                  <w:pPr>
                    <w:adjustRightInd w:val="0"/>
                    <w:jc w:val="center"/>
                    <w:textAlignment w:val="baseline"/>
                    <w:rPr>
                      <w:color w:val="auto"/>
                      <w:szCs w:val="21"/>
                    </w:rPr>
                  </w:pPr>
                </w:p>
              </w:tc>
            </w:tr>
            <w:tr w14:paraId="4BD65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322" w:type="dxa"/>
                  <w:vMerge w:val="continue"/>
                  <w:vAlign w:val="center"/>
                </w:tcPr>
                <w:p w14:paraId="73B3ADDA">
                  <w:pPr>
                    <w:adjustRightInd w:val="0"/>
                    <w:jc w:val="center"/>
                    <w:textAlignment w:val="baseline"/>
                    <w:rPr>
                      <w:szCs w:val="21"/>
                    </w:rPr>
                  </w:pPr>
                </w:p>
              </w:tc>
              <w:tc>
                <w:tcPr>
                  <w:tcW w:w="1792" w:type="dxa"/>
                  <w:vAlign w:val="center"/>
                </w:tcPr>
                <w:p w14:paraId="78E6CB15">
                  <w:pPr>
                    <w:adjustRightInd w:val="0"/>
                    <w:jc w:val="center"/>
                    <w:textAlignment w:val="baseline"/>
                    <w:rPr>
                      <w:szCs w:val="21"/>
                    </w:rPr>
                  </w:pPr>
                  <w:r>
                    <w:rPr>
                      <w:rFonts w:hint="eastAsia"/>
                      <w:szCs w:val="21"/>
                    </w:rPr>
                    <w:t>VOC</w:t>
                  </w:r>
                  <w:r>
                    <w:rPr>
                      <w:rFonts w:hint="eastAsia"/>
                      <w:szCs w:val="21"/>
                      <w:vertAlign w:val="subscript"/>
                    </w:rPr>
                    <w:t>S</w:t>
                  </w:r>
                </w:p>
              </w:tc>
              <w:tc>
                <w:tcPr>
                  <w:tcW w:w="1173" w:type="dxa"/>
                  <w:vMerge w:val="continue"/>
                  <w:vAlign w:val="center"/>
                </w:tcPr>
                <w:p w14:paraId="03FF03B1">
                  <w:pPr>
                    <w:adjustRightInd w:val="0"/>
                    <w:jc w:val="center"/>
                    <w:textAlignment w:val="baseline"/>
                    <w:rPr>
                      <w:szCs w:val="21"/>
                    </w:rPr>
                  </w:pPr>
                </w:p>
              </w:tc>
              <w:tc>
                <w:tcPr>
                  <w:tcW w:w="2943" w:type="dxa"/>
                  <w:vMerge w:val="continue"/>
                  <w:vAlign w:val="center"/>
                </w:tcPr>
                <w:p w14:paraId="3BC44401">
                  <w:pPr>
                    <w:adjustRightInd w:val="0"/>
                    <w:jc w:val="center"/>
                    <w:textAlignment w:val="baseline"/>
                    <w:rPr>
                      <w:color w:val="auto"/>
                      <w:szCs w:val="21"/>
                    </w:rPr>
                  </w:pPr>
                </w:p>
              </w:tc>
            </w:tr>
            <w:tr w14:paraId="13064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322" w:type="dxa"/>
                  <w:vMerge w:val="continue"/>
                  <w:vAlign w:val="center"/>
                </w:tcPr>
                <w:p w14:paraId="677B9F48">
                  <w:pPr>
                    <w:adjustRightInd w:val="0"/>
                    <w:jc w:val="center"/>
                    <w:textAlignment w:val="baseline"/>
                    <w:rPr>
                      <w:szCs w:val="21"/>
                    </w:rPr>
                  </w:pPr>
                </w:p>
              </w:tc>
              <w:tc>
                <w:tcPr>
                  <w:tcW w:w="1792" w:type="dxa"/>
                  <w:vAlign w:val="center"/>
                </w:tcPr>
                <w:p w14:paraId="14EE0644">
                  <w:pPr>
                    <w:adjustRightInd w:val="0"/>
                    <w:jc w:val="center"/>
                    <w:textAlignment w:val="baseline"/>
                    <w:rPr>
                      <w:szCs w:val="21"/>
                    </w:rPr>
                  </w:pPr>
                  <w:r>
                    <w:rPr>
                      <w:rFonts w:hint="eastAsia"/>
                      <w:szCs w:val="21"/>
                    </w:rPr>
                    <w:t>颗粒物</w:t>
                  </w:r>
                </w:p>
              </w:tc>
              <w:tc>
                <w:tcPr>
                  <w:tcW w:w="1173" w:type="dxa"/>
                  <w:vMerge w:val="continue"/>
                  <w:vAlign w:val="center"/>
                </w:tcPr>
                <w:p w14:paraId="18CCA44D">
                  <w:pPr>
                    <w:adjustRightInd w:val="0"/>
                    <w:jc w:val="center"/>
                    <w:textAlignment w:val="baseline"/>
                    <w:rPr>
                      <w:szCs w:val="21"/>
                    </w:rPr>
                  </w:pPr>
                </w:p>
              </w:tc>
              <w:tc>
                <w:tcPr>
                  <w:tcW w:w="2943" w:type="dxa"/>
                  <w:vAlign w:val="center"/>
                </w:tcPr>
                <w:p w14:paraId="79891ED2">
                  <w:pPr>
                    <w:adjustRightInd w:val="0"/>
                    <w:jc w:val="center"/>
                    <w:textAlignment w:val="baseline"/>
                    <w:rPr>
                      <w:color w:val="auto"/>
                      <w:szCs w:val="21"/>
                    </w:rPr>
                  </w:pPr>
                  <w:r>
                    <w:rPr>
                      <w:color w:val="auto"/>
                      <w:szCs w:val="21"/>
                    </w:rPr>
                    <w:t>《水泥工业大气污染物排放标准》（GB 4915-2013）表3中无组织排放标准限值0.5mg/m</w:t>
                  </w:r>
                  <w:r>
                    <w:rPr>
                      <w:color w:val="auto"/>
                      <w:szCs w:val="21"/>
                      <w:vertAlign w:val="superscript"/>
                    </w:rPr>
                    <w:t>3</w:t>
                  </w:r>
                </w:p>
              </w:tc>
            </w:tr>
            <w:tr w14:paraId="409B8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14:paraId="7BB72A43">
                  <w:pPr>
                    <w:adjustRightInd w:val="0"/>
                    <w:jc w:val="center"/>
                    <w:textAlignment w:val="baseline"/>
                    <w:rPr>
                      <w:szCs w:val="21"/>
                    </w:rPr>
                  </w:pPr>
                  <w:r>
                    <w:rPr>
                      <w:rFonts w:hint="eastAsia"/>
                      <w:szCs w:val="21"/>
                    </w:rPr>
                    <w:t>厂区内，操作工位下风向1m，距离地面1.5以上位置</w:t>
                  </w:r>
                </w:p>
              </w:tc>
              <w:tc>
                <w:tcPr>
                  <w:tcW w:w="1792" w:type="dxa"/>
                  <w:vAlign w:val="center"/>
                </w:tcPr>
                <w:p w14:paraId="5A04E7D3">
                  <w:pPr>
                    <w:adjustRightInd w:val="0"/>
                    <w:jc w:val="center"/>
                    <w:textAlignment w:val="baseline"/>
                    <w:rPr>
                      <w:szCs w:val="21"/>
                    </w:rPr>
                  </w:pPr>
                  <w:r>
                    <w:rPr>
                      <w:rFonts w:hint="eastAsia"/>
                      <w:szCs w:val="21"/>
                    </w:rPr>
                    <w:t>VOC</w:t>
                  </w:r>
                  <w:r>
                    <w:rPr>
                      <w:rFonts w:hint="eastAsia"/>
                      <w:szCs w:val="21"/>
                      <w:vertAlign w:val="subscript"/>
                    </w:rPr>
                    <w:t>S</w:t>
                  </w:r>
                </w:p>
              </w:tc>
              <w:tc>
                <w:tcPr>
                  <w:tcW w:w="1173" w:type="dxa"/>
                  <w:vAlign w:val="center"/>
                </w:tcPr>
                <w:p w14:paraId="1D3B22D8">
                  <w:pPr>
                    <w:widowControl/>
                    <w:jc w:val="center"/>
                  </w:pPr>
                  <w:r>
                    <w:rPr>
                      <w:rFonts w:hint="eastAsia"/>
                      <w:szCs w:val="21"/>
                    </w:rPr>
                    <w:t>1</w:t>
                  </w:r>
                  <w:r>
                    <w:rPr>
                      <w:szCs w:val="21"/>
                    </w:rPr>
                    <w:t>次/年</w:t>
                  </w:r>
                </w:p>
              </w:tc>
              <w:tc>
                <w:tcPr>
                  <w:tcW w:w="2943" w:type="dxa"/>
                  <w:vAlign w:val="center"/>
                </w:tcPr>
                <w:p w14:paraId="71B7BE9A">
                  <w:pPr>
                    <w:widowControl/>
                    <w:jc w:val="center"/>
                  </w:pPr>
                  <w:r>
                    <w:rPr>
                      <w:szCs w:val="21"/>
                    </w:rPr>
                    <w:t>《挥发性有机物无组织排放控制标准》（</w:t>
                  </w:r>
                  <w:r>
                    <w:rPr>
                      <w:rFonts w:hint="eastAsia"/>
                      <w:szCs w:val="21"/>
                    </w:rPr>
                    <w:t>GB 37822</w:t>
                  </w:r>
                  <w:r>
                    <w:rPr>
                      <w:szCs w:val="21"/>
                    </w:rPr>
                    <w:t>-</w:t>
                  </w:r>
                  <w:r>
                    <w:rPr>
                      <w:rFonts w:hint="eastAsia"/>
                      <w:szCs w:val="21"/>
                    </w:rPr>
                    <w:t>2019</w:t>
                  </w:r>
                  <w:r>
                    <w:rPr>
                      <w:szCs w:val="21"/>
                    </w:rPr>
                    <w:t>）</w:t>
                  </w:r>
                  <w:r>
                    <w:rPr>
                      <w:rFonts w:hint="eastAsia"/>
                      <w:szCs w:val="21"/>
                    </w:rPr>
                    <w:t>A.1排放标准</w:t>
                  </w:r>
                </w:p>
              </w:tc>
            </w:tr>
          </w:tbl>
          <w:p w14:paraId="701148B9">
            <w:pPr>
              <w:widowControl/>
              <w:spacing w:line="360" w:lineRule="auto"/>
              <w:rPr>
                <w:b/>
                <w:bCs/>
              </w:rPr>
            </w:pPr>
            <w:r>
              <w:rPr>
                <w:rFonts w:hint="eastAsia"/>
                <w:b/>
                <w:bCs/>
              </w:rPr>
              <w:t>4.3水环境影响及保护措施</w:t>
            </w:r>
          </w:p>
          <w:p w14:paraId="5DBCA673">
            <w:pPr>
              <w:widowControl/>
              <w:spacing w:line="360" w:lineRule="auto"/>
              <w:rPr>
                <w:b/>
                <w:bCs/>
              </w:rPr>
            </w:pPr>
            <w:r>
              <w:rPr>
                <w:rFonts w:hint="eastAsia"/>
                <w:b/>
                <w:bCs/>
              </w:rPr>
              <w:t>4.3.1</w:t>
            </w:r>
            <w:r>
              <w:rPr>
                <w:b/>
                <w:bCs/>
              </w:rPr>
              <w:t>污染工序分析</w:t>
            </w:r>
          </w:p>
          <w:p w14:paraId="15EF4AB4">
            <w:pPr>
              <w:adjustRightInd w:val="0"/>
              <w:snapToGrid w:val="0"/>
              <w:spacing w:line="360" w:lineRule="auto"/>
              <w:ind w:firstLine="420" w:firstLineChars="200"/>
              <w:rPr>
                <w:color w:val="000000"/>
                <w:szCs w:val="21"/>
              </w:rPr>
            </w:pPr>
            <w:r>
              <w:rPr>
                <w:color w:val="000000"/>
                <w:szCs w:val="21"/>
              </w:rPr>
              <w:t>项目运营期废水主要为</w:t>
            </w:r>
            <w:r>
              <w:rPr>
                <w:rFonts w:hint="eastAsia"/>
                <w:color w:val="000000"/>
                <w:szCs w:val="21"/>
              </w:rPr>
              <w:t>生活用水，项目生产过程无废水产生外排，废水主要为生活用水。</w:t>
            </w:r>
          </w:p>
          <w:p w14:paraId="7B755296">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①</w:t>
            </w:r>
            <w:r>
              <w:rPr>
                <w:rFonts w:ascii="Times New Roman" w:hAnsi="Times New Roman" w:eastAsia="Times New Roman" w:cs="Times New Roman"/>
                <w:kern w:val="0"/>
              </w:rPr>
              <w:t>水泥稳定土生产用水</w:t>
            </w:r>
          </w:p>
          <w:p w14:paraId="101B9FD3">
            <w:pPr>
              <w:pStyle w:val="71"/>
              <w:spacing w:line="360" w:lineRule="auto"/>
              <w:ind w:firstLine="420" w:firstLineChars="200"/>
              <w:rPr>
                <w:rFonts w:ascii="Times New Roman" w:hAnsi="Times New Roman" w:eastAsia="Times New Roman" w:cs="Times New Roman"/>
                <w:color w:val="auto"/>
                <w:kern w:val="0"/>
              </w:rPr>
            </w:pPr>
            <w:r>
              <w:rPr>
                <w:rFonts w:hint="eastAsia" w:ascii="Times New Roman" w:hAnsi="Times New Roman" w:eastAsia="Times New Roman" w:cs="Times New Roman"/>
                <w:color w:val="auto"/>
                <w:kern w:val="0"/>
              </w:rPr>
              <w:t>根据建设单位提供数据，</w:t>
            </w:r>
            <w:r>
              <w:rPr>
                <w:rFonts w:ascii="Times New Roman" w:hAnsi="Times New Roman" w:eastAsia="Times New Roman" w:cs="Times New Roman"/>
                <w:color w:val="auto"/>
                <w:kern w:val="0"/>
              </w:rPr>
              <w:t>水泥稳定土生产用水</w:t>
            </w:r>
            <w:r>
              <w:rPr>
                <w:rFonts w:hint="eastAsia" w:ascii="Times New Roman" w:hAnsi="Times New Roman" w:eastAsia="Times New Roman" w:cs="Times New Roman"/>
                <w:color w:val="auto"/>
                <w:kern w:val="0"/>
              </w:rPr>
              <w:t>33.33</w:t>
            </w:r>
            <w:r>
              <w:rPr>
                <w:rFonts w:ascii="Times New Roman" w:hAnsi="Times New Roman" w:eastAsia="Times New Roman" w:cs="Times New Roman"/>
                <w:color w:val="auto"/>
                <w:kern w:val="0"/>
              </w:rPr>
              <w:t>m</w:t>
            </w:r>
            <w:r>
              <w:rPr>
                <w:rFonts w:ascii="Times New Roman" w:hAnsi="Times New Roman" w:eastAsia="Times New Roman" w:cs="Times New Roman"/>
                <w:color w:val="auto"/>
                <w:kern w:val="0"/>
                <w:vertAlign w:val="superscript"/>
              </w:rPr>
              <w:t>3</w:t>
            </w:r>
            <w:r>
              <w:rPr>
                <w:rFonts w:ascii="Times New Roman" w:hAnsi="Times New Roman" w:eastAsia="Times New Roman" w:cs="Times New Roman"/>
                <w:color w:val="auto"/>
                <w:kern w:val="0"/>
              </w:rPr>
              <w:t>/d，水泥</w:t>
            </w:r>
            <w:r>
              <w:rPr>
                <w:rFonts w:hint="eastAsia" w:ascii="Times New Roman" w:hAnsi="Times New Roman" w:eastAsia="Times New Roman" w:cs="Times New Roman"/>
                <w:color w:val="auto"/>
                <w:kern w:val="0"/>
              </w:rPr>
              <w:t>稳定土生产用水全部进入产品不外排。</w:t>
            </w:r>
          </w:p>
          <w:p w14:paraId="27F0160C">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②</w:t>
            </w:r>
            <w:r>
              <w:rPr>
                <w:rFonts w:ascii="Times New Roman" w:hAnsi="Times New Roman" w:eastAsia="Times New Roman" w:cs="Times New Roman"/>
                <w:kern w:val="0"/>
              </w:rPr>
              <w:t>抑尘洒水</w:t>
            </w:r>
          </w:p>
          <w:p w14:paraId="1FC639B4">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抑尘洒水采用在运输车进场道路前设置一个水槽（4.5m×2m），车辆通过水槽进入项目区，同时在车辆进出时对车辆进行洒水，以减轻车辆运输扬尘</w:t>
            </w:r>
            <w:r>
              <w:rPr>
                <w:rFonts w:hint="eastAsia" w:cs="Times New Roman"/>
                <w:color w:val="558ED5" w:themeColor="text2" w:themeTint="99"/>
                <w:szCs w:val="21"/>
                <w14:textFill>
                  <w14:solidFill>
                    <w14:schemeClr w14:val="tx2">
                      <w14:lumMod w14:val="60000"/>
                      <w14:lumOff w14:val="40000"/>
                    </w14:schemeClr>
                  </w14:solidFill>
                </w14:textFill>
              </w:rPr>
              <w:t>。</w:t>
            </w:r>
            <w:r>
              <w:rPr>
                <w:rFonts w:hint="eastAsia" w:cs="Times New Roman"/>
                <w:szCs w:val="21"/>
              </w:rPr>
              <w:t>由于车辆通过水槽时，车轮会带走一部分水并蒸发，所以需要往水槽中补水，日</w:t>
            </w:r>
            <w:r>
              <w:rPr>
                <w:rFonts w:ascii="Times New Roman" w:hAnsi="Times New Roman" w:eastAsia="Times New Roman" w:cs="Times New Roman"/>
                <w:szCs w:val="21"/>
              </w:rPr>
              <w:t>用水</w:t>
            </w:r>
            <w:r>
              <w:rPr>
                <w:rFonts w:hint="eastAsia" w:cs="Times New Roman"/>
                <w:szCs w:val="21"/>
              </w:rPr>
              <w:t>约1.5</w:t>
            </w:r>
            <w:r>
              <w:rPr>
                <w:rFonts w:ascii="Times New Roman" w:hAnsi="Times New Roman" w:eastAsia="Times New Roman" w:cs="Times New Roman"/>
                <w:szCs w:val="21"/>
              </w:rPr>
              <w:t>m</w:t>
            </w:r>
            <w:r>
              <w:rPr>
                <w:rFonts w:ascii="Times New Roman" w:hAnsi="Times New Roman" w:eastAsia="Times New Roman" w:cs="Times New Roman"/>
                <w:szCs w:val="21"/>
                <w:vertAlign w:val="superscript"/>
              </w:rPr>
              <w:t>3</w:t>
            </w:r>
            <w:r>
              <w:rPr>
                <w:rFonts w:ascii="Times New Roman" w:hAnsi="Times New Roman" w:eastAsia="Times New Roman" w:cs="Times New Roman"/>
                <w:szCs w:val="21"/>
              </w:rPr>
              <w:t>/d</w:t>
            </w:r>
            <w:r>
              <w:rPr>
                <w:rFonts w:hint="eastAsia" w:ascii="Times New Roman" w:hAnsi="Times New Roman" w:eastAsia="Times New Roman" w:cs="Times New Roman"/>
                <w:kern w:val="0"/>
              </w:rPr>
              <w:t>，抑尘洒水自然蒸发不排放。</w:t>
            </w:r>
          </w:p>
          <w:p w14:paraId="762A5CA8">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③生活污水</w:t>
            </w:r>
          </w:p>
          <w:p w14:paraId="1AB3ECE9">
            <w:pPr>
              <w:widowControl/>
              <w:spacing w:line="360" w:lineRule="auto"/>
              <w:ind w:firstLine="420" w:firstLineChars="200"/>
              <w:rPr>
                <w:rFonts w:hint="eastAsia"/>
                <w:color w:val="auto"/>
              </w:rPr>
            </w:pPr>
            <w:r>
              <w:rPr>
                <w:rFonts w:hint="eastAsia" w:eastAsia="Times New Roman"/>
                <w:kern w:val="0"/>
              </w:rPr>
              <w:t>本项目劳动定员16人，在厂区食宿，年运营180天。生活用水按每人80L/d计，</w:t>
            </w:r>
            <w:r>
              <w:rPr>
                <w:rFonts w:hint="eastAsia" w:eastAsia="Times New Roman"/>
                <w:color w:val="auto"/>
                <w:kern w:val="0"/>
              </w:rPr>
              <w:t>则生活用水量为1.28</w:t>
            </w:r>
            <w:r>
              <w:rPr>
                <w:rFonts w:eastAsia="Times New Roman"/>
                <w:color w:val="auto"/>
                <w:kern w:val="0"/>
              </w:rPr>
              <w:t>m</w:t>
            </w:r>
            <w:r>
              <w:rPr>
                <w:rFonts w:eastAsia="Times New Roman"/>
                <w:color w:val="auto"/>
                <w:kern w:val="0"/>
                <w:vertAlign w:val="superscript"/>
              </w:rPr>
              <w:t>3</w:t>
            </w:r>
            <w:r>
              <w:rPr>
                <w:rFonts w:eastAsia="Times New Roman"/>
                <w:color w:val="auto"/>
                <w:kern w:val="0"/>
              </w:rPr>
              <w:t>/d</w:t>
            </w:r>
            <w:r>
              <w:rPr>
                <w:rFonts w:hint="eastAsia" w:eastAsia="Times New Roman"/>
                <w:color w:val="auto"/>
                <w:kern w:val="0"/>
              </w:rPr>
              <w:t>（</w:t>
            </w:r>
            <w:r>
              <w:rPr>
                <w:rFonts w:hint="eastAsia"/>
                <w:color w:val="auto"/>
                <w:szCs w:val="21"/>
              </w:rPr>
              <w:t>230.4</w:t>
            </w:r>
            <w:r>
              <w:rPr>
                <w:rFonts w:hint="eastAsia" w:eastAsia="Times New Roman"/>
                <w:color w:val="auto"/>
                <w:kern w:val="0"/>
              </w:rPr>
              <w:t>m</w:t>
            </w:r>
            <w:r>
              <w:rPr>
                <w:rFonts w:hint="eastAsia" w:eastAsia="Times New Roman"/>
                <w:color w:val="auto"/>
                <w:kern w:val="0"/>
                <w:vertAlign w:val="superscript"/>
              </w:rPr>
              <w:t>3</w:t>
            </w:r>
            <w:r>
              <w:rPr>
                <w:rFonts w:hint="eastAsia" w:eastAsia="Times New Roman"/>
                <w:color w:val="auto"/>
                <w:kern w:val="0"/>
              </w:rPr>
              <w:t>/a）。排水量以用水量的80%计，则生活污水</w:t>
            </w:r>
            <w:r>
              <w:rPr>
                <w:rFonts w:hint="eastAsia" w:eastAsia="宋体"/>
                <w:color w:val="auto"/>
                <w:kern w:val="0"/>
                <w:lang w:val="en-US" w:eastAsia="zh-CN"/>
              </w:rPr>
              <w:t>排放量</w:t>
            </w:r>
            <w:r>
              <w:rPr>
                <w:rFonts w:hint="eastAsia" w:eastAsia="Times New Roman"/>
                <w:color w:val="auto"/>
                <w:kern w:val="0"/>
              </w:rPr>
              <w:t>为</w:t>
            </w:r>
            <w:r>
              <w:rPr>
                <w:rFonts w:hint="eastAsia"/>
                <w:color w:val="auto"/>
                <w:szCs w:val="21"/>
              </w:rPr>
              <w:t>1.02</w:t>
            </w:r>
            <w:r>
              <w:rPr>
                <w:rFonts w:eastAsia="Times New Roman"/>
                <w:color w:val="auto"/>
                <w:szCs w:val="21"/>
              </w:rPr>
              <w:t>m</w:t>
            </w:r>
            <w:r>
              <w:rPr>
                <w:rFonts w:eastAsia="Times New Roman"/>
                <w:color w:val="auto"/>
                <w:szCs w:val="21"/>
                <w:vertAlign w:val="superscript"/>
              </w:rPr>
              <w:t>3</w:t>
            </w:r>
            <w:r>
              <w:rPr>
                <w:rFonts w:eastAsia="Times New Roman"/>
                <w:color w:val="auto"/>
                <w:szCs w:val="21"/>
              </w:rPr>
              <w:t>/d（</w:t>
            </w:r>
            <w:r>
              <w:rPr>
                <w:rFonts w:hint="eastAsia"/>
                <w:color w:val="auto"/>
                <w:szCs w:val="21"/>
              </w:rPr>
              <w:t>184.32</w:t>
            </w:r>
            <w:r>
              <w:rPr>
                <w:rFonts w:eastAsia="Times New Roman"/>
                <w:color w:val="auto"/>
                <w:szCs w:val="21"/>
              </w:rPr>
              <w:t>m</w:t>
            </w:r>
            <w:r>
              <w:rPr>
                <w:rFonts w:eastAsia="Times New Roman"/>
                <w:color w:val="auto"/>
                <w:szCs w:val="21"/>
                <w:vertAlign w:val="superscript"/>
              </w:rPr>
              <w:t>3</w:t>
            </w:r>
            <w:r>
              <w:rPr>
                <w:rFonts w:eastAsia="Times New Roman"/>
                <w:color w:val="auto"/>
                <w:szCs w:val="21"/>
              </w:rPr>
              <w:t>/a）</w:t>
            </w:r>
            <w:r>
              <w:rPr>
                <w:rFonts w:hint="eastAsia" w:eastAsia="Times New Roman"/>
                <w:color w:val="auto"/>
                <w:kern w:val="0"/>
              </w:rPr>
              <w:t>。本项目产生的生活污水经隔油池预处理后排入</w:t>
            </w:r>
            <w:r>
              <w:rPr>
                <w:rFonts w:hint="eastAsia"/>
                <w:color w:val="auto"/>
              </w:rPr>
              <w:t>厂区</w:t>
            </w:r>
            <w:r>
              <w:rPr>
                <w:color w:val="auto"/>
              </w:rPr>
              <w:t>内</w:t>
            </w:r>
            <w:r>
              <w:rPr>
                <w:rFonts w:hint="eastAsia"/>
                <w:color w:val="auto"/>
              </w:rPr>
              <w:t>50</w:t>
            </w:r>
            <w:r>
              <w:rPr>
                <w:rFonts w:hint="eastAsia" w:eastAsia="Times New Roman"/>
                <w:color w:val="auto"/>
                <w:kern w:val="0"/>
              </w:rPr>
              <w:t>m</w:t>
            </w:r>
            <w:r>
              <w:rPr>
                <w:rFonts w:hint="eastAsia" w:eastAsia="Times New Roman"/>
                <w:color w:val="auto"/>
                <w:kern w:val="0"/>
                <w:vertAlign w:val="superscript"/>
              </w:rPr>
              <w:t>3</w:t>
            </w:r>
            <w:r>
              <w:rPr>
                <w:rFonts w:hint="eastAsia" w:eastAsia="Times New Roman"/>
                <w:color w:val="auto"/>
                <w:kern w:val="0"/>
              </w:rPr>
              <w:t>的化粪池</w:t>
            </w:r>
            <w:r>
              <w:rPr>
                <w:rFonts w:hint="eastAsia"/>
                <w:color w:val="auto"/>
              </w:rPr>
              <w:t>（防渗等级P8）</w:t>
            </w:r>
            <w:r>
              <w:rPr>
                <w:rFonts w:hint="eastAsia" w:eastAsia="Times New Roman"/>
                <w:color w:val="auto"/>
                <w:kern w:val="0"/>
              </w:rPr>
              <w:t>，</w:t>
            </w:r>
            <w:r>
              <w:rPr>
                <w:rFonts w:hint="eastAsia"/>
                <w:color w:val="auto"/>
                <w:szCs w:val="21"/>
              </w:rPr>
              <w:t>定期由吸污车清运至</w:t>
            </w:r>
            <w:r>
              <w:rPr>
                <w:rFonts w:hint="eastAsia"/>
                <w:color w:val="auto"/>
                <w:szCs w:val="21"/>
                <w:lang w:eastAsia="zh-CN"/>
              </w:rPr>
              <w:t>七师胡杨河市污水处理厂（一期）</w:t>
            </w:r>
            <w:r>
              <w:rPr>
                <w:rFonts w:hint="eastAsia"/>
                <w:color w:val="auto"/>
              </w:rPr>
              <w:t>。</w:t>
            </w:r>
          </w:p>
          <w:p w14:paraId="15589A15">
            <w:pPr>
              <w:pStyle w:val="71"/>
              <w:spacing w:line="360" w:lineRule="auto"/>
              <w:ind w:firstLine="420" w:firstLineChars="200"/>
              <w:rPr>
                <w:rFonts w:hint="default" w:ascii="Times New Roman" w:hAnsi="Times New Roman" w:eastAsia="Times New Roman" w:cs="Times New Roman"/>
                <w:color w:val="auto"/>
                <w:kern w:val="0"/>
                <w:lang w:val="en-US" w:eastAsia="zh-CN"/>
              </w:rPr>
            </w:pPr>
            <w:r>
              <w:rPr>
                <w:rFonts w:hint="default" w:ascii="Times New Roman" w:hAnsi="Times New Roman" w:eastAsia="Times New Roman" w:cs="Times New Roman"/>
                <w:color w:val="auto"/>
                <w:kern w:val="0"/>
                <w:lang w:val="en-US" w:eastAsia="zh-CN"/>
              </w:rPr>
              <w:t>④设备清洗用水</w:t>
            </w:r>
          </w:p>
          <w:p w14:paraId="725B1372">
            <w:pPr>
              <w:pStyle w:val="71"/>
              <w:spacing w:line="360" w:lineRule="auto"/>
              <w:ind w:firstLine="420" w:firstLineChars="200"/>
              <w:rPr>
                <w:rFonts w:hint="eastAsia" w:ascii="Times New Roman" w:hAnsi="Times New Roman" w:eastAsia="宋体" w:cs="Times New Roman"/>
                <w:color w:val="auto"/>
                <w:kern w:val="0"/>
                <w:lang w:val="en-US" w:eastAsia="zh-CN"/>
              </w:rPr>
            </w:pPr>
            <w:r>
              <w:rPr>
                <w:rFonts w:hint="default" w:ascii="Times New Roman" w:hAnsi="Times New Roman" w:eastAsia="宋体" w:cs="Times New Roman"/>
                <w:color w:val="auto"/>
                <w:sz w:val="21"/>
                <w:szCs w:val="21"/>
                <w:lang w:eastAsia="zh-CN"/>
              </w:rPr>
              <w:t>本项目每月清洗一次设备，根据建设单位提供资料，清洗一次设备用水</w:t>
            </w:r>
            <w:r>
              <w:rPr>
                <w:rFonts w:hint="default" w:ascii="Times New Roman" w:hAnsi="Times New Roman" w:eastAsia="宋体" w:cs="Times New Roman"/>
                <w:color w:val="auto"/>
                <w:sz w:val="21"/>
                <w:szCs w:val="21"/>
                <w:lang w:val="en-US" w:eastAsia="zh-CN"/>
              </w:rPr>
              <w:t>3</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r>
              <w:rPr>
                <w:rFonts w:hint="default" w:ascii="Times New Roman" w:hAnsi="Times New Roman" w:eastAsia="宋体" w:cs="Times New Roman"/>
                <w:color w:val="auto"/>
                <w:sz w:val="21"/>
                <w:szCs w:val="21"/>
                <w:lang w:eastAsia="zh-CN"/>
              </w:rPr>
              <w:t>次</w:t>
            </w:r>
            <w:r>
              <w:rPr>
                <w:rFonts w:hint="default" w:ascii="Times New Roman" w:hAnsi="Times New Roman" w:eastAsia="宋体" w:cs="Times New Roman"/>
                <w:color w:val="auto"/>
                <w:sz w:val="21"/>
                <w:szCs w:val="21"/>
                <w:lang w:val="en-US" w:eastAsia="zh-CN"/>
              </w:rPr>
              <w:t>·月</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0.1</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w:t>
            </w: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eastAsia="zh-CN"/>
              </w:rPr>
              <w:t>本项目运输车辆槽罐清洗用水</w:t>
            </w:r>
            <w:r>
              <w:rPr>
                <w:rFonts w:hint="default" w:ascii="Times New Roman" w:hAnsi="Times New Roman" w:eastAsia="宋体" w:cs="Times New Roman"/>
                <w:color w:val="auto"/>
                <w:sz w:val="21"/>
                <w:szCs w:val="21"/>
                <w:lang w:val="en-US" w:eastAsia="zh-CN"/>
              </w:rPr>
              <w:t>0.07</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w:t>
            </w:r>
            <w:r>
              <w:rPr>
                <w:rFonts w:hint="default" w:ascii="Times New Roman" w:hAnsi="Times New Roman" w:eastAsia="宋体" w:cs="Times New Roman"/>
                <w:color w:val="auto"/>
                <w:sz w:val="21"/>
                <w:szCs w:val="21"/>
                <w:lang w:val="en-US" w:eastAsia="zh-CN"/>
              </w:rPr>
              <w:t>12.6</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rPr>
              <w:t>本项目</w:t>
            </w:r>
            <w:r>
              <w:rPr>
                <w:rFonts w:hint="default" w:ascii="Times New Roman" w:hAnsi="Times New Roman" w:eastAsia="宋体" w:cs="Times New Roman"/>
                <w:color w:val="auto"/>
                <w:sz w:val="21"/>
                <w:szCs w:val="21"/>
                <w:lang w:eastAsia="zh-CN"/>
              </w:rPr>
              <w:t>设备清洗用水、</w:t>
            </w:r>
            <w:r>
              <w:rPr>
                <w:rFonts w:hint="default" w:ascii="Times New Roman" w:hAnsi="Times New Roman" w:eastAsia="宋体" w:cs="Times New Roman"/>
                <w:color w:val="auto"/>
                <w:sz w:val="21"/>
                <w:szCs w:val="21"/>
              </w:rPr>
              <w:t>自</w:t>
            </w:r>
            <w:r>
              <w:rPr>
                <w:rFonts w:hint="default" w:ascii="Times New Roman" w:hAnsi="Times New Roman" w:eastAsia="宋体" w:cs="Times New Roman"/>
                <w:color w:val="auto"/>
                <w:sz w:val="21"/>
                <w:szCs w:val="21"/>
                <w:lang w:eastAsia="zh-CN"/>
              </w:rPr>
              <w:t>然</w:t>
            </w:r>
            <w:r>
              <w:rPr>
                <w:rFonts w:hint="default" w:ascii="Times New Roman" w:hAnsi="Times New Roman" w:eastAsia="宋体" w:cs="Times New Roman"/>
                <w:color w:val="auto"/>
                <w:sz w:val="21"/>
                <w:szCs w:val="21"/>
              </w:rPr>
              <w:t>蒸发</w:t>
            </w:r>
            <w:r>
              <w:rPr>
                <w:rFonts w:hint="default" w:ascii="Times New Roman" w:hAnsi="Times New Roman" w:cs="Times New Roman"/>
                <w:color w:val="auto"/>
                <w:sz w:val="21"/>
                <w:szCs w:val="21"/>
                <w:lang w:eastAsia="zh-CN"/>
              </w:rPr>
              <w:t>。</w:t>
            </w:r>
          </w:p>
          <w:p w14:paraId="52002799">
            <w:pPr>
              <w:widowControl/>
              <w:spacing w:line="360" w:lineRule="auto"/>
              <w:rPr>
                <w:b/>
                <w:bCs/>
                <w:color w:val="auto"/>
              </w:rPr>
            </w:pPr>
            <w:r>
              <w:rPr>
                <w:rFonts w:hint="eastAsia" w:eastAsia="Times New Roman"/>
                <w:b/>
                <w:bCs/>
                <w:color w:val="auto"/>
                <w:kern w:val="0"/>
              </w:rPr>
              <w:t>4.3.2</w:t>
            </w:r>
            <w:r>
              <w:rPr>
                <w:rFonts w:hint="eastAsia"/>
                <w:b/>
                <w:bCs/>
                <w:color w:val="auto"/>
              </w:rPr>
              <w:t>水环境影响分析及防护措施</w:t>
            </w:r>
          </w:p>
          <w:p w14:paraId="1CE5036E">
            <w:pPr>
              <w:widowControl/>
              <w:spacing w:line="360" w:lineRule="auto"/>
              <w:ind w:firstLine="420" w:firstLineChars="200"/>
              <w:rPr>
                <w:color w:val="auto"/>
              </w:rPr>
            </w:pPr>
            <w:r>
              <w:rPr>
                <w:rFonts w:hint="eastAsia" w:eastAsia="Times New Roman"/>
                <w:color w:val="auto"/>
                <w:kern w:val="0"/>
              </w:rPr>
              <w:t>本项目</w:t>
            </w:r>
            <w:r>
              <w:rPr>
                <w:rFonts w:hint="eastAsia"/>
                <w:color w:val="auto"/>
                <w:szCs w:val="21"/>
              </w:rPr>
              <w:t>生产过程无废水产生外排，废水主要为</w:t>
            </w:r>
            <w:r>
              <w:rPr>
                <w:rFonts w:hint="eastAsia" w:eastAsia="Times New Roman"/>
                <w:color w:val="auto"/>
                <w:kern w:val="0"/>
              </w:rPr>
              <w:t>生活污水</w:t>
            </w:r>
            <w:r>
              <w:rPr>
                <w:rFonts w:hint="eastAsia"/>
                <w:color w:val="auto"/>
                <w:szCs w:val="21"/>
              </w:rPr>
              <w:t>，</w:t>
            </w:r>
            <w:r>
              <w:rPr>
                <w:rFonts w:hint="eastAsia" w:eastAsia="Times New Roman"/>
                <w:color w:val="auto"/>
                <w:kern w:val="0"/>
              </w:rPr>
              <w:t>经隔油池预处理后排入</w:t>
            </w:r>
            <w:r>
              <w:rPr>
                <w:rFonts w:hint="eastAsia"/>
                <w:color w:val="auto"/>
              </w:rPr>
              <w:t>厂区</w:t>
            </w:r>
            <w:r>
              <w:rPr>
                <w:color w:val="auto"/>
              </w:rPr>
              <w:t>内</w:t>
            </w:r>
            <w:r>
              <w:rPr>
                <w:rFonts w:hint="eastAsia"/>
                <w:color w:val="auto"/>
              </w:rPr>
              <w:t>50</w:t>
            </w:r>
            <w:r>
              <w:rPr>
                <w:rFonts w:hint="eastAsia" w:eastAsia="Times New Roman"/>
                <w:color w:val="auto"/>
                <w:kern w:val="0"/>
              </w:rPr>
              <w:t>m</w:t>
            </w:r>
            <w:r>
              <w:rPr>
                <w:rFonts w:hint="eastAsia" w:eastAsia="Times New Roman"/>
                <w:color w:val="auto"/>
                <w:kern w:val="0"/>
                <w:vertAlign w:val="superscript"/>
              </w:rPr>
              <w:t>3</w:t>
            </w:r>
            <w:r>
              <w:rPr>
                <w:rFonts w:hint="eastAsia" w:eastAsia="Times New Roman"/>
                <w:color w:val="auto"/>
                <w:kern w:val="0"/>
              </w:rPr>
              <w:t>的化粪池</w:t>
            </w:r>
            <w:r>
              <w:rPr>
                <w:rFonts w:hint="eastAsia"/>
                <w:color w:val="auto"/>
              </w:rPr>
              <w:t>（防渗等级P8）</w:t>
            </w:r>
            <w:r>
              <w:rPr>
                <w:rFonts w:hint="eastAsia" w:eastAsia="Times New Roman"/>
                <w:color w:val="auto"/>
                <w:kern w:val="0"/>
              </w:rPr>
              <w:t>，</w:t>
            </w:r>
            <w:r>
              <w:rPr>
                <w:rFonts w:hint="eastAsia"/>
                <w:color w:val="auto"/>
              </w:rPr>
              <w:t>与有资质的单位签订拉运协议，</w:t>
            </w:r>
            <w:r>
              <w:rPr>
                <w:rFonts w:hint="eastAsia"/>
                <w:color w:val="auto"/>
                <w:lang w:val="en-US" w:eastAsia="zh-CN"/>
              </w:rPr>
              <w:t>满足《污水综合排放标准》（GB 8978-1996）中的三级标准的进厂标准后</w:t>
            </w:r>
            <w:r>
              <w:rPr>
                <w:rFonts w:hint="eastAsia"/>
                <w:color w:val="auto"/>
              </w:rPr>
              <w:t>定期拉运</w:t>
            </w:r>
            <w:r>
              <w:rPr>
                <w:rFonts w:hint="eastAsia"/>
                <w:color w:val="auto"/>
                <w:lang w:val="en-US" w:eastAsia="zh-CN"/>
              </w:rPr>
              <w:t>至七师胡杨河市污水处理厂（一期）</w:t>
            </w:r>
            <w:r>
              <w:rPr>
                <w:rFonts w:hint="eastAsia"/>
                <w:color w:val="auto"/>
              </w:rPr>
              <w:t>处理，对环境几乎无影响。</w:t>
            </w:r>
          </w:p>
          <w:p w14:paraId="5B2BA3BB">
            <w:pPr>
              <w:widowControl/>
              <w:spacing w:line="360" w:lineRule="auto"/>
              <w:rPr>
                <w:b/>
                <w:bCs/>
                <w:color w:val="auto"/>
              </w:rPr>
            </w:pPr>
            <w:r>
              <w:rPr>
                <w:rFonts w:hint="eastAsia" w:eastAsia="Times New Roman"/>
                <w:b/>
                <w:bCs/>
                <w:color w:val="auto"/>
                <w:kern w:val="0"/>
              </w:rPr>
              <w:t>4.3.3依托可行性分析</w:t>
            </w:r>
          </w:p>
          <w:p w14:paraId="136BC778">
            <w:pPr>
              <w:pStyle w:val="71"/>
              <w:spacing w:line="360" w:lineRule="auto"/>
              <w:ind w:firstLine="420" w:firstLineChars="200"/>
              <w:rPr>
                <w:rFonts w:ascii="Times New Roman" w:hAnsi="Times New Roman" w:eastAsia="Times New Roman" w:cs="Times New Roman"/>
                <w:color w:val="auto"/>
                <w:kern w:val="0"/>
              </w:rPr>
            </w:pPr>
            <w:r>
              <w:rPr>
                <w:rFonts w:hint="eastAsia" w:cs="Times New Roman"/>
                <w:color w:val="auto"/>
                <w:lang w:eastAsia="zh-CN"/>
              </w:rPr>
              <w:t>七师胡杨河市污水处理厂（一期）</w:t>
            </w:r>
            <w:r>
              <w:rPr>
                <w:rFonts w:ascii="Times New Roman" w:hAnsi="Times New Roman" w:cs="Times New Roman"/>
                <w:color w:val="auto"/>
              </w:rPr>
              <w:t>于20</w:t>
            </w:r>
            <w:r>
              <w:rPr>
                <w:rFonts w:hint="eastAsia" w:ascii="Times New Roman" w:hAnsi="Times New Roman" w:cs="Times New Roman"/>
                <w:color w:val="auto"/>
              </w:rPr>
              <w:t>2</w:t>
            </w:r>
            <w:r>
              <w:rPr>
                <w:rFonts w:hint="eastAsia" w:ascii="Times New Roman" w:hAnsi="Times New Roman" w:cs="Times New Roman"/>
                <w:color w:val="auto"/>
                <w:lang w:val="en-US" w:eastAsia="zh-CN"/>
              </w:rPr>
              <w:t>1</w:t>
            </w:r>
            <w:r>
              <w:rPr>
                <w:rFonts w:ascii="Times New Roman" w:hAnsi="Times New Roman" w:cs="Times New Roman"/>
                <w:color w:val="auto"/>
              </w:rPr>
              <w:t>年</w:t>
            </w:r>
            <w:r>
              <w:rPr>
                <w:rFonts w:hint="eastAsia" w:ascii="Times New Roman" w:hAnsi="Times New Roman" w:cs="Times New Roman"/>
                <w:color w:val="auto"/>
              </w:rPr>
              <w:t>建设</w:t>
            </w:r>
            <w:r>
              <w:rPr>
                <w:rFonts w:ascii="Times New Roman" w:hAnsi="Times New Roman" w:cs="Times New Roman"/>
                <w:color w:val="auto"/>
              </w:rPr>
              <w:t>，</w:t>
            </w:r>
            <w:r>
              <w:rPr>
                <w:rFonts w:hint="eastAsia" w:ascii="Times New Roman" w:hAnsi="Times New Roman" w:cs="Times New Roman"/>
                <w:color w:val="auto"/>
                <w:highlight w:val="none"/>
              </w:rPr>
              <w:t>位于第七师</w:t>
            </w:r>
            <w:r>
              <w:rPr>
                <w:rFonts w:hint="eastAsia" w:ascii="Times New Roman" w:hAnsi="Times New Roman" w:cs="Times New Roman"/>
                <w:color w:val="auto"/>
                <w:highlight w:val="none"/>
                <w:lang w:val="en-US" w:eastAsia="zh-CN"/>
              </w:rPr>
              <w:t>胡杨河市中心城区西北方向6.5km</w:t>
            </w:r>
            <w:r>
              <w:rPr>
                <w:rFonts w:hint="eastAsia" w:ascii="Times New Roman" w:hAnsi="Times New Roman" w:cs="Times New Roman"/>
                <w:color w:val="auto"/>
              </w:rPr>
              <w:t>，处理</w:t>
            </w:r>
            <w:r>
              <w:rPr>
                <w:rFonts w:ascii="Times New Roman" w:hAnsi="Times New Roman" w:cs="Times New Roman"/>
                <w:color w:val="auto"/>
              </w:rPr>
              <w:t>规模为</w:t>
            </w:r>
            <w:r>
              <w:rPr>
                <w:rFonts w:hint="eastAsia" w:ascii="Times New Roman" w:hAnsi="Times New Roman" w:cs="Times New Roman"/>
                <w:color w:val="auto"/>
                <w:lang w:val="en-US" w:eastAsia="zh-CN"/>
              </w:rPr>
              <w:t>0.8</w:t>
            </w:r>
            <w:r>
              <w:rPr>
                <w:rFonts w:ascii="Times New Roman" w:hAnsi="Times New Roman" w:cs="Times New Roman"/>
                <w:color w:val="auto"/>
              </w:rPr>
              <w:t>万m</w:t>
            </w:r>
            <w:r>
              <w:rPr>
                <w:rFonts w:ascii="Times New Roman" w:hAnsi="Times New Roman" w:cs="Times New Roman"/>
                <w:color w:val="auto"/>
                <w:vertAlign w:val="superscript"/>
              </w:rPr>
              <w:t>3</w:t>
            </w:r>
            <w:r>
              <w:rPr>
                <w:rFonts w:ascii="Times New Roman" w:hAnsi="Times New Roman" w:cs="Times New Roman"/>
                <w:color w:val="auto"/>
              </w:rPr>
              <w:t>/d，出水水质达到《城镇污水处理厂污水排放标准》（</w:t>
            </w:r>
            <w:r>
              <w:rPr>
                <w:rFonts w:hint="eastAsia" w:ascii="Times New Roman" w:hAnsi="Times New Roman" w:cs="Times New Roman"/>
                <w:color w:val="auto"/>
              </w:rPr>
              <w:t xml:space="preserve">GB </w:t>
            </w:r>
            <w:r>
              <w:rPr>
                <w:rFonts w:ascii="Times New Roman" w:hAnsi="Times New Roman" w:cs="Times New Roman"/>
                <w:color w:val="auto"/>
              </w:rPr>
              <w:t>18918-2002）一级A标准。本项目预计废水日排放量约为</w:t>
            </w:r>
            <w:r>
              <w:rPr>
                <w:rFonts w:hint="eastAsia" w:ascii="Times New Roman" w:hAnsi="Times New Roman" w:cs="Times New Roman"/>
                <w:color w:val="auto"/>
                <w:lang w:val="en-US" w:eastAsia="zh-CN"/>
              </w:rPr>
              <w:t>1.02</w:t>
            </w:r>
            <w:r>
              <w:rPr>
                <w:rFonts w:ascii="Times New Roman" w:hAnsi="Times New Roman" w:cs="Times New Roman"/>
                <w:color w:val="auto"/>
              </w:rPr>
              <w:t>m</w:t>
            </w:r>
            <w:r>
              <w:rPr>
                <w:rFonts w:ascii="Times New Roman" w:hAnsi="Times New Roman" w:cs="Times New Roman"/>
                <w:color w:val="auto"/>
                <w:vertAlign w:val="superscript"/>
              </w:rPr>
              <w:t>3</w:t>
            </w:r>
            <w:r>
              <w:rPr>
                <w:rFonts w:ascii="Times New Roman" w:hAnsi="Times New Roman" w:cs="Times New Roman"/>
                <w:color w:val="auto"/>
              </w:rPr>
              <w:t>/d，</w:t>
            </w:r>
            <w:r>
              <w:rPr>
                <w:rFonts w:ascii="Times New Roman" w:hAnsi="Times New Roman" w:eastAsia="Times New Roman" w:cs="Times New Roman"/>
                <w:color w:val="auto"/>
                <w:kern w:val="0"/>
              </w:rPr>
              <w:t>不会对污水处理厂造成冲击影响，因此废水</w:t>
            </w:r>
            <w:r>
              <w:rPr>
                <w:rFonts w:hint="eastAsia" w:ascii="Times New Roman" w:hAnsi="Times New Roman" w:eastAsia="Times New Roman" w:cs="Times New Roman"/>
                <w:color w:val="auto"/>
                <w:kern w:val="0"/>
              </w:rPr>
              <w:t>依托</w:t>
            </w:r>
            <w:r>
              <w:rPr>
                <w:rFonts w:hint="eastAsia"/>
                <w:color w:val="auto"/>
                <w:lang w:val="en-US" w:eastAsia="zh-CN"/>
              </w:rPr>
              <w:t>七师胡杨河市污水处理厂（一期）</w:t>
            </w:r>
            <w:r>
              <w:rPr>
                <w:rFonts w:ascii="Times New Roman" w:hAnsi="Times New Roman" w:eastAsia="Times New Roman" w:cs="Times New Roman"/>
                <w:color w:val="auto"/>
                <w:kern w:val="0"/>
              </w:rPr>
              <w:t>是可行的。</w:t>
            </w:r>
          </w:p>
          <w:p w14:paraId="4B2BA808">
            <w:pPr>
              <w:widowControl/>
              <w:spacing w:line="360" w:lineRule="auto"/>
              <w:rPr>
                <w:b/>
                <w:bCs/>
                <w:color w:val="auto"/>
              </w:rPr>
            </w:pPr>
            <w:r>
              <w:rPr>
                <w:rFonts w:hint="eastAsia"/>
                <w:b/>
                <w:bCs/>
                <w:color w:val="auto"/>
              </w:rPr>
              <w:t>4.4声环境影响及保护措施</w:t>
            </w:r>
          </w:p>
          <w:p w14:paraId="12A81059">
            <w:pPr>
              <w:pStyle w:val="71"/>
              <w:spacing w:line="360" w:lineRule="auto"/>
              <w:rPr>
                <w:rFonts w:ascii="Times New Roman" w:hAnsi="Times New Roman" w:eastAsia="Times New Roman" w:cs="Times New Roman"/>
                <w:b/>
                <w:bCs/>
                <w:color w:val="auto"/>
                <w:kern w:val="0"/>
              </w:rPr>
            </w:pPr>
            <w:r>
              <w:rPr>
                <w:rFonts w:hint="eastAsia" w:ascii="Times New Roman" w:hAnsi="Times New Roman" w:eastAsia="Times New Roman" w:cs="Times New Roman"/>
                <w:b/>
                <w:bCs/>
                <w:color w:val="auto"/>
                <w:kern w:val="0"/>
              </w:rPr>
              <w:t>4.4.1噪声污染源</w:t>
            </w:r>
          </w:p>
          <w:p w14:paraId="66051872">
            <w:pPr>
              <w:pStyle w:val="71"/>
              <w:spacing w:line="360" w:lineRule="auto"/>
              <w:ind w:firstLine="420" w:firstLineChars="200"/>
              <w:rPr>
                <w:rFonts w:ascii="Times New Roman" w:hAnsi="Times New Roman" w:eastAsia="Times New Roman" w:cs="Times New Roman"/>
                <w:color w:val="auto"/>
              </w:rPr>
            </w:pPr>
            <w:r>
              <w:rPr>
                <w:rFonts w:hint="eastAsia" w:ascii="Times New Roman" w:hAnsi="Times New Roman" w:eastAsia="Times New Roman" w:cs="Times New Roman"/>
                <w:color w:val="auto"/>
              </w:rPr>
              <w:t>本项目主要噪声源为搅拌机、风机、筛分机、空压机、泵。其声源等效声级为80~90dB（A）。本项目主要噪声设备见表4-</w:t>
            </w:r>
            <w:r>
              <w:rPr>
                <w:rFonts w:hint="eastAsia" w:ascii="Times New Roman" w:hAnsi="Times New Roman" w:eastAsia="宋体" w:cs="Times New Roman"/>
                <w:color w:val="auto"/>
                <w:lang w:val="en-US" w:eastAsia="zh-CN"/>
              </w:rPr>
              <w:t>7</w:t>
            </w:r>
            <w:r>
              <w:rPr>
                <w:rFonts w:hint="eastAsia" w:ascii="Times New Roman" w:hAnsi="Times New Roman" w:eastAsia="Times New Roman" w:cs="Times New Roman"/>
                <w:color w:val="auto"/>
              </w:rPr>
              <w:t>。</w:t>
            </w:r>
          </w:p>
          <w:p w14:paraId="084CEA1F">
            <w:pPr>
              <w:ind w:firstLine="517" w:firstLineChars="245"/>
              <w:jc w:val="center"/>
              <w:rPr>
                <w:b/>
                <w:bCs/>
                <w:color w:val="auto"/>
                <w:szCs w:val="21"/>
              </w:rPr>
            </w:pPr>
            <w:r>
              <w:rPr>
                <w:b/>
                <w:bCs/>
                <w:color w:val="auto"/>
                <w:szCs w:val="21"/>
              </w:rPr>
              <w:t>表</w:t>
            </w:r>
            <w:r>
              <w:rPr>
                <w:rFonts w:hint="eastAsia"/>
                <w:b/>
                <w:bCs/>
                <w:color w:val="auto"/>
                <w:szCs w:val="21"/>
              </w:rPr>
              <w:t>4-</w:t>
            </w:r>
            <w:r>
              <w:rPr>
                <w:rFonts w:hint="eastAsia"/>
                <w:b/>
                <w:bCs/>
                <w:color w:val="auto"/>
                <w:szCs w:val="21"/>
                <w:lang w:val="en-US" w:eastAsia="zh-CN"/>
              </w:rPr>
              <w:t>7</w:t>
            </w:r>
            <w:r>
              <w:rPr>
                <w:rFonts w:hint="eastAsia"/>
                <w:b/>
                <w:bCs/>
                <w:color w:val="auto"/>
                <w:szCs w:val="21"/>
              </w:rPr>
              <w:t xml:space="preserve">  项目</w:t>
            </w:r>
            <w:r>
              <w:rPr>
                <w:b/>
                <w:bCs/>
                <w:color w:val="auto"/>
                <w:szCs w:val="21"/>
              </w:rPr>
              <w:t>主要噪声产生情况</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2306"/>
              <w:gridCol w:w="1362"/>
              <w:gridCol w:w="2360"/>
              <w:gridCol w:w="1431"/>
            </w:tblGrid>
            <w:tr w14:paraId="3A5F8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61" w:type="pct"/>
                  <w:vAlign w:val="center"/>
                </w:tcPr>
                <w:p w14:paraId="44F79D45">
                  <w:pPr>
                    <w:pStyle w:val="26"/>
                    <w:rPr>
                      <w:color w:val="auto"/>
                    </w:rPr>
                  </w:pPr>
                  <w:r>
                    <w:rPr>
                      <w:color w:val="auto"/>
                    </w:rPr>
                    <w:t>序号</w:t>
                  </w:r>
                </w:p>
              </w:tc>
              <w:tc>
                <w:tcPr>
                  <w:tcW w:w="1402" w:type="pct"/>
                  <w:vAlign w:val="center"/>
                </w:tcPr>
                <w:p w14:paraId="3A981756">
                  <w:pPr>
                    <w:pStyle w:val="26"/>
                    <w:rPr>
                      <w:color w:val="auto"/>
                    </w:rPr>
                  </w:pPr>
                  <w:r>
                    <w:rPr>
                      <w:color w:val="auto"/>
                    </w:rPr>
                    <w:t>设备名称</w:t>
                  </w:r>
                </w:p>
              </w:tc>
              <w:tc>
                <w:tcPr>
                  <w:tcW w:w="829" w:type="pct"/>
                  <w:vAlign w:val="center"/>
                </w:tcPr>
                <w:p w14:paraId="11F1D313">
                  <w:pPr>
                    <w:pStyle w:val="26"/>
                    <w:rPr>
                      <w:color w:val="auto"/>
                    </w:rPr>
                  </w:pPr>
                  <w:r>
                    <w:rPr>
                      <w:color w:val="auto"/>
                    </w:rPr>
                    <w:t>数量（</w:t>
                  </w:r>
                  <w:r>
                    <w:rPr>
                      <w:rFonts w:hint="eastAsia"/>
                      <w:color w:val="auto"/>
                    </w:rPr>
                    <w:t>套</w:t>
                  </w:r>
                  <w:r>
                    <w:rPr>
                      <w:color w:val="auto"/>
                    </w:rPr>
                    <w:t>）</w:t>
                  </w:r>
                </w:p>
              </w:tc>
              <w:tc>
                <w:tcPr>
                  <w:tcW w:w="1435" w:type="pct"/>
                  <w:vAlign w:val="center"/>
                </w:tcPr>
                <w:p w14:paraId="6F3CFB26">
                  <w:pPr>
                    <w:pStyle w:val="26"/>
                    <w:rPr>
                      <w:color w:val="auto"/>
                    </w:rPr>
                  </w:pPr>
                  <w:r>
                    <w:rPr>
                      <w:color w:val="auto"/>
                    </w:rPr>
                    <w:t>单台等效声级（dB（A））</w:t>
                  </w:r>
                </w:p>
              </w:tc>
              <w:tc>
                <w:tcPr>
                  <w:tcW w:w="870" w:type="pct"/>
                  <w:vAlign w:val="center"/>
                </w:tcPr>
                <w:p w14:paraId="2886BE24">
                  <w:pPr>
                    <w:pStyle w:val="26"/>
                    <w:rPr>
                      <w:color w:val="auto"/>
                    </w:rPr>
                  </w:pPr>
                  <w:r>
                    <w:rPr>
                      <w:color w:val="auto"/>
                    </w:rPr>
                    <w:t>治理措施</w:t>
                  </w:r>
                </w:p>
              </w:tc>
            </w:tr>
            <w:tr w14:paraId="02351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61" w:type="pct"/>
                  <w:vAlign w:val="center"/>
                </w:tcPr>
                <w:p w14:paraId="05436BDC">
                  <w:pPr>
                    <w:snapToGrid w:val="0"/>
                    <w:contextualSpacing/>
                    <w:jc w:val="center"/>
                    <w:rPr>
                      <w:color w:val="auto"/>
                    </w:rPr>
                  </w:pPr>
                  <w:r>
                    <w:rPr>
                      <w:rFonts w:hint="eastAsia"/>
                      <w:color w:val="auto"/>
                    </w:rPr>
                    <w:t>1</w:t>
                  </w:r>
                </w:p>
              </w:tc>
              <w:tc>
                <w:tcPr>
                  <w:tcW w:w="1402" w:type="pct"/>
                  <w:tcMar>
                    <w:left w:w="0" w:type="dxa"/>
                    <w:right w:w="0" w:type="dxa"/>
                  </w:tcMar>
                  <w:vAlign w:val="center"/>
                </w:tcPr>
                <w:p w14:paraId="32740DF5">
                  <w:pPr>
                    <w:snapToGrid w:val="0"/>
                    <w:contextualSpacing/>
                    <w:jc w:val="center"/>
                    <w:rPr>
                      <w:color w:val="auto"/>
                    </w:rPr>
                  </w:pPr>
                  <w:r>
                    <w:rPr>
                      <w:rFonts w:hint="eastAsia" w:eastAsia="Times New Roman"/>
                      <w:color w:val="auto"/>
                    </w:rPr>
                    <w:t>搅拌机</w:t>
                  </w:r>
                </w:p>
              </w:tc>
              <w:tc>
                <w:tcPr>
                  <w:tcW w:w="829" w:type="pct"/>
                  <w:vAlign w:val="center"/>
                </w:tcPr>
                <w:p w14:paraId="688776B6">
                  <w:pPr>
                    <w:snapToGrid w:val="0"/>
                    <w:contextualSpacing/>
                    <w:jc w:val="center"/>
                    <w:rPr>
                      <w:color w:val="auto"/>
                    </w:rPr>
                  </w:pPr>
                  <w:r>
                    <w:rPr>
                      <w:rFonts w:hint="eastAsia"/>
                      <w:color w:val="auto"/>
                    </w:rPr>
                    <w:t>2</w:t>
                  </w:r>
                </w:p>
              </w:tc>
              <w:tc>
                <w:tcPr>
                  <w:tcW w:w="1435" w:type="pct"/>
                  <w:vAlign w:val="center"/>
                </w:tcPr>
                <w:p w14:paraId="6D976E44">
                  <w:pPr>
                    <w:snapToGrid w:val="0"/>
                    <w:contextualSpacing/>
                    <w:jc w:val="center"/>
                    <w:rPr>
                      <w:color w:val="auto"/>
                    </w:rPr>
                  </w:pPr>
                  <w:r>
                    <w:rPr>
                      <w:rFonts w:hint="eastAsia"/>
                      <w:color w:val="auto"/>
                    </w:rPr>
                    <w:t>85</w:t>
                  </w:r>
                </w:p>
              </w:tc>
              <w:tc>
                <w:tcPr>
                  <w:tcW w:w="870" w:type="pct"/>
                  <w:vMerge w:val="restart"/>
                  <w:vAlign w:val="center"/>
                </w:tcPr>
                <w:p w14:paraId="5D70229E">
                  <w:pPr>
                    <w:snapToGrid w:val="0"/>
                    <w:contextualSpacing/>
                    <w:jc w:val="center"/>
                    <w:rPr>
                      <w:color w:val="auto"/>
                    </w:rPr>
                  </w:pPr>
                  <w:r>
                    <w:rPr>
                      <w:rFonts w:hint="eastAsia"/>
                      <w:color w:val="auto"/>
                      <w:szCs w:val="21"/>
                    </w:rPr>
                    <w:t>选用</w:t>
                  </w:r>
                  <w:r>
                    <w:rPr>
                      <w:color w:val="auto"/>
                      <w:szCs w:val="21"/>
                    </w:rPr>
                    <w:t>低噪声设备，基础减震、厂房隔声</w:t>
                  </w:r>
                </w:p>
              </w:tc>
            </w:tr>
            <w:tr w14:paraId="5DD5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61" w:type="pct"/>
                  <w:vAlign w:val="center"/>
                </w:tcPr>
                <w:p w14:paraId="0D58A59C">
                  <w:pPr>
                    <w:snapToGrid w:val="0"/>
                    <w:contextualSpacing/>
                    <w:jc w:val="center"/>
                    <w:rPr>
                      <w:color w:val="auto"/>
                    </w:rPr>
                  </w:pPr>
                  <w:r>
                    <w:rPr>
                      <w:rFonts w:hint="eastAsia"/>
                      <w:color w:val="auto"/>
                    </w:rPr>
                    <w:t>2</w:t>
                  </w:r>
                </w:p>
              </w:tc>
              <w:tc>
                <w:tcPr>
                  <w:tcW w:w="1402" w:type="pct"/>
                  <w:tcMar>
                    <w:left w:w="0" w:type="dxa"/>
                    <w:right w:w="0" w:type="dxa"/>
                  </w:tcMar>
                  <w:vAlign w:val="center"/>
                </w:tcPr>
                <w:p w14:paraId="38C55AB0">
                  <w:pPr>
                    <w:snapToGrid w:val="0"/>
                    <w:contextualSpacing/>
                    <w:jc w:val="center"/>
                    <w:rPr>
                      <w:color w:val="auto"/>
                    </w:rPr>
                  </w:pPr>
                  <w:r>
                    <w:rPr>
                      <w:rFonts w:hint="eastAsia" w:eastAsia="Times New Roman"/>
                      <w:color w:val="auto"/>
                    </w:rPr>
                    <w:t>风机</w:t>
                  </w:r>
                </w:p>
              </w:tc>
              <w:tc>
                <w:tcPr>
                  <w:tcW w:w="829" w:type="pct"/>
                  <w:vAlign w:val="center"/>
                </w:tcPr>
                <w:p w14:paraId="52AD1230">
                  <w:pPr>
                    <w:snapToGrid w:val="0"/>
                    <w:contextualSpacing/>
                    <w:jc w:val="center"/>
                    <w:rPr>
                      <w:color w:val="auto"/>
                    </w:rPr>
                  </w:pPr>
                  <w:r>
                    <w:rPr>
                      <w:rFonts w:hint="eastAsia"/>
                      <w:color w:val="auto"/>
                    </w:rPr>
                    <w:t>2</w:t>
                  </w:r>
                </w:p>
              </w:tc>
              <w:tc>
                <w:tcPr>
                  <w:tcW w:w="1435" w:type="pct"/>
                  <w:vAlign w:val="center"/>
                </w:tcPr>
                <w:p w14:paraId="57E9ECCB">
                  <w:pPr>
                    <w:snapToGrid w:val="0"/>
                    <w:contextualSpacing/>
                    <w:jc w:val="center"/>
                    <w:rPr>
                      <w:color w:val="auto"/>
                    </w:rPr>
                  </w:pPr>
                  <w:r>
                    <w:rPr>
                      <w:rFonts w:hint="eastAsia"/>
                      <w:color w:val="auto"/>
                    </w:rPr>
                    <w:t>90</w:t>
                  </w:r>
                </w:p>
              </w:tc>
              <w:tc>
                <w:tcPr>
                  <w:tcW w:w="870" w:type="pct"/>
                  <w:vMerge w:val="continue"/>
                  <w:vAlign w:val="center"/>
                </w:tcPr>
                <w:p w14:paraId="125953AA">
                  <w:pPr>
                    <w:snapToGrid w:val="0"/>
                    <w:contextualSpacing/>
                    <w:jc w:val="center"/>
                    <w:rPr>
                      <w:color w:val="auto"/>
                    </w:rPr>
                  </w:pPr>
                </w:p>
              </w:tc>
            </w:tr>
            <w:tr w14:paraId="179A5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61" w:type="pct"/>
                  <w:vAlign w:val="center"/>
                </w:tcPr>
                <w:p w14:paraId="4B9E31C4">
                  <w:pPr>
                    <w:snapToGrid w:val="0"/>
                    <w:contextualSpacing/>
                    <w:jc w:val="center"/>
                    <w:rPr>
                      <w:color w:val="auto"/>
                    </w:rPr>
                  </w:pPr>
                  <w:r>
                    <w:rPr>
                      <w:rFonts w:hint="eastAsia"/>
                      <w:color w:val="auto"/>
                    </w:rPr>
                    <w:t>3</w:t>
                  </w:r>
                </w:p>
              </w:tc>
              <w:tc>
                <w:tcPr>
                  <w:tcW w:w="1402" w:type="pct"/>
                  <w:tcMar>
                    <w:left w:w="0" w:type="dxa"/>
                    <w:right w:w="0" w:type="dxa"/>
                  </w:tcMar>
                  <w:vAlign w:val="center"/>
                </w:tcPr>
                <w:p w14:paraId="48FB16EA">
                  <w:pPr>
                    <w:snapToGrid w:val="0"/>
                    <w:contextualSpacing/>
                    <w:jc w:val="center"/>
                    <w:rPr>
                      <w:color w:val="auto"/>
                    </w:rPr>
                  </w:pPr>
                  <w:r>
                    <w:rPr>
                      <w:rFonts w:hint="eastAsia" w:eastAsia="Times New Roman"/>
                      <w:color w:val="auto"/>
                    </w:rPr>
                    <w:t>筛分机</w:t>
                  </w:r>
                </w:p>
              </w:tc>
              <w:tc>
                <w:tcPr>
                  <w:tcW w:w="829" w:type="pct"/>
                  <w:vAlign w:val="center"/>
                </w:tcPr>
                <w:p w14:paraId="5BB17592">
                  <w:pPr>
                    <w:snapToGrid w:val="0"/>
                    <w:contextualSpacing/>
                    <w:jc w:val="center"/>
                    <w:rPr>
                      <w:color w:val="auto"/>
                    </w:rPr>
                  </w:pPr>
                  <w:r>
                    <w:rPr>
                      <w:rFonts w:hint="eastAsia"/>
                      <w:color w:val="auto"/>
                    </w:rPr>
                    <w:t>2</w:t>
                  </w:r>
                </w:p>
              </w:tc>
              <w:tc>
                <w:tcPr>
                  <w:tcW w:w="1435" w:type="pct"/>
                  <w:vAlign w:val="center"/>
                </w:tcPr>
                <w:p w14:paraId="6366D55A">
                  <w:pPr>
                    <w:snapToGrid w:val="0"/>
                    <w:contextualSpacing/>
                    <w:jc w:val="center"/>
                    <w:rPr>
                      <w:color w:val="auto"/>
                    </w:rPr>
                  </w:pPr>
                  <w:r>
                    <w:rPr>
                      <w:rFonts w:hint="eastAsia"/>
                      <w:color w:val="auto"/>
                    </w:rPr>
                    <w:t>80</w:t>
                  </w:r>
                </w:p>
              </w:tc>
              <w:tc>
                <w:tcPr>
                  <w:tcW w:w="870" w:type="pct"/>
                  <w:vMerge w:val="continue"/>
                  <w:vAlign w:val="center"/>
                </w:tcPr>
                <w:p w14:paraId="305E7CA1">
                  <w:pPr>
                    <w:snapToGrid w:val="0"/>
                    <w:contextualSpacing/>
                    <w:jc w:val="center"/>
                    <w:rPr>
                      <w:color w:val="auto"/>
                    </w:rPr>
                  </w:pPr>
                </w:p>
              </w:tc>
            </w:tr>
            <w:tr w14:paraId="2FF0F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61" w:type="pct"/>
                  <w:vAlign w:val="center"/>
                </w:tcPr>
                <w:p w14:paraId="467C8EEB">
                  <w:pPr>
                    <w:snapToGrid w:val="0"/>
                    <w:contextualSpacing/>
                    <w:jc w:val="center"/>
                    <w:rPr>
                      <w:color w:val="auto"/>
                    </w:rPr>
                  </w:pPr>
                  <w:r>
                    <w:rPr>
                      <w:rFonts w:hint="eastAsia"/>
                      <w:color w:val="auto"/>
                    </w:rPr>
                    <w:t>4</w:t>
                  </w:r>
                </w:p>
              </w:tc>
              <w:tc>
                <w:tcPr>
                  <w:tcW w:w="1402" w:type="pct"/>
                  <w:tcMar>
                    <w:left w:w="0" w:type="dxa"/>
                    <w:right w:w="0" w:type="dxa"/>
                  </w:tcMar>
                  <w:vAlign w:val="center"/>
                </w:tcPr>
                <w:p w14:paraId="0D348C06">
                  <w:pPr>
                    <w:autoSpaceDE w:val="0"/>
                    <w:autoSpaceDN w:val="0"/>
                    <w:jc w:val="center"/>
                    <w:rPr>
                      <w:color w:val="auto"/>
                    </w:rPr>
                  </w:pPr>
                  <w:r>
                    <w:rPr>
                      <w:rFonts w:hint="eastAsia" w:eastAsia="Times New Roman"/>
                      <w:color w:val="auto"/>
                    </w:rPr>
                    <w:t>空压机</w:t>
                  </w:r>
                </w:p>
              </w:tc>
              <w:tc>
                <w:tcPr>
                  <w:tcW w:w="829" w:type="pct"/>
                  <w:vAlign w:val="center"/>
                </w:tcPr>
                <w:p w14:paraId="66F0C93F">
                  <w:pPr>
                    <w:snapToGrid w:val="0"/>
                    <w:contextualSpacing/>
                    <w:jc w:val="center"/>
                    <w:rPr>
                      <w:color w:val="auto"/>
                    </w:rPr>
                  </w:pPr>
                  <w:r>
                    <w:rPr>
                      <w:rFonts w:hint="eastAsia"/>
                      <w:color w:val="auto"/>
                    </w:rPr>
                    <w:t>1</w:t>
                  </w:r>
                </w:p>
              </w:tc>
              <w:tc>
                <w:tcPr>
                  <w:tcW w:w="1435" w:type="pct"/>
                  <w:vAlign w:val="center"/>
                </w:tcPr>
                <w:p w14:paraId="42383B87">
                  <w:pPr>
                    <w:snapToGrid w:val="0"/>
                    <w:contextualSpacing/>
                    <w:jc w:val="center"/>
                    <w:rPr>
                      <w:color w:val="auto"/>
                    </w:rPr>
                  </w:pPr>
                  <w:r>
                    <w:rPr>
                      <w:rFonts w:hint="eastAsia"/>
                      <w:color w:val="auto"/>
                    </w:rPr>
                    <w:t>85</w:t>
                  </w:r>
                </w:p>
              </w:tc>
              <w:tc>
                <w:tcPr>
                  <w:tcW w:w="870" w:type="pct"/>
                  <w:vMerge w:val="continue"/>
                  <w:vAlign w:val="center"/>
                </w:tcPr>
                <w:p w14:paraId="68549716">
                  <w:pPr>
                    <w:snapToGrid w:val="0"/>
                    <w:contextualSpacing/>
                    <w:jc w:val="center"/>
                    <w:rPr>
                      <w:color w:val="auto"/>
                    </w:rPr>
                  </w:pPr>
                </w:p>
              </w:tc>
            </w:tr>
          </w:tbl>
          <w:p w14:paraId="034C8424">
            <w:pPr>
              <w:pStyle w:val="71"/>
              <w:spacing w:line="360" w:lineRule="auto"/>
              <w:rPr>
                <w:rFonts w:ascii="Times New Roman" w:hAnsi="Times New Roman" w:eastAsia="Times New Roman" w:cs="Times New Roman"/>
                <w:b/>
                <w:bCs/>
                <w:color w:val="auto"/>
                <w:kern w:val="0"/>
              </w:rPr>
            </w:pPr>
            <w:r>
              <w:rPr>
                <w:rFonts w:hint="eastAsia" w:ascii="Times New Roman" w:hAnsi="Times New Roman" w:eastAsia="Times New Roman" w:cs="Times New Roman"/>
                <w:b/>
                <w:bCs/>
                <w:color w:val="auto"/>
                <w:kern w:val="0"/>
              </w:rPr>
              <w:t>4.4.2噪声环境影响分析</w:t>
            </w:r>
          </w:p>
          <w:p w14:paraId="51D2DF2D">
            <w:pPr>
              <w:pStyle w:val="71"/>
              <w:spacing w:line="360" w:lineRule="auto"/>
              <w:ind w:firstLine="420" w:firstLineChars="200"/>
              <w:rPr>
                <w:rFonts w:ascii="Times New Roman" w:hAnsi="Times New Roman" w:eastAsia="Times New Roman" w:cs="Times New Roman"/>
                <w:color w:val="auto"/>
              </w:rPr>
            </w:pPr>
            <w:r>
              <w:rPr>
                <w:rFonts w:hint="eastAsia" w:ascii="Times New Roman" w:hAnsi="Times New Roman" w:eastAsia="Times New Roman" w:cs="Times New Roman"/>
                <w:color w:val="auto"/>
              </w:rPr>
              <w:t>本项目运营期的噪声主要为各生产设备运行噪声，项目采用</w:t>
            </w:r>
            <w:r>
              <w:rPr>
                <w:rFonts w:hint="eastAsia" w:ascii="Times New Roman" w:hAnsi="Times New Roman" w:cs="Times New Roman"/>
                <w:color w:val="auto"/>
                <w:szCs w:val="21"/>
              </w:rPr>
              <w:t>选用</w:t>
            </w:r>
            <w:r>
              <w:rPr>
                <w:rFonts w:ascii="Times New Roman" w:hAnsi="Times New Roman" w:cs="Times New Roman"/>
                <w:color w:val="auto"/>
                <w:szCs w:val="21"/>
              </w:rPr>
              <w:t>低噪声设备，基础减震、厂房隔声</w:t>
            </w:r>
            <w:r>
              <w:rPr>
                <w:rFonts w:hint="eastAsia"/>
                <w:color w:val="auto"/>
                <w:szCs w:val="21"/>
              </w:rPr>
              <w:t>，距离衰减等</w:t>
            </w:r>
            <w:r>
              <w:rPr>
                <w:rFonts w:hint="eastAsia" w:ascii="Times New Roman" w:hAnsi="Times New Roman" w:eastAsia="Times New Roman" w:cs="Times New Roman"/>
                <w:color w:val="auto"/>
              </w:rPr>
              <w:t>措施后，噪声源强可以降低</w:t>
            </w:r>
            <w:r>
              <w:rPr>
                <w:rFonts w:ascii="Times New Roman" w:hAnsi="Times New Roman" w:eastAsia="Times New Roman" w:cs="Times New Roman"/>
                <w:color w:val="auto"/>
              </w:rPr>
              <w:t>10~25dB</w:t>
            </w:r>
            <w:r>
              <w:rPr>
                <w:rFonts w:hint="eastAsia" w:ascii="Times New Roman" w:hAnsi="Times New Roman" w:eastAsia="Times New Roman" w:cs="Times New Roman"/>
                <w:color w:val="auto"/>
              </w:rPr>
              <w:t>（</w:t>
            </w:r>
            <w:r>
              <w:rPr>
                <w:rFonts w:ascii="Times New Roman" w:hAnsi="Times New Roman" w:eastAsia="Times New Roman" w:cs="Times New Roman"/>
                <w:color w:val="auto"/>
              </w:rPr>
              <w:t>A</w:t>
            </w:r>
            <w:r>
              <w:rPr>
                <w:rFonts w:hint="eastAsia" w:ascii="Times New Roman" w:hAnsi="Times New Roman" w:eastAsia="Times New Roman" w:cs="Times New Roman"/>
                <w:color w:val="auto"/>
              </w:rPr>
              <w:t>），本次预测取15</w:t>
            </w:r>
            <w:r>
              <w:rPr>
                <w:rFonts w:ascii="Times New Roman" w:hAnsi="Times New Roman" w:eastAsia="Times New Roman" w:cs="Times New Roman"/>
                <w:color w:val="auto"/>
              </w:rPr>
              <w:t>dB</w:t>
            </w:r>
            <w:r>
              <w:rPr>
                <w:rFonts w:hint="eastAsia" w:ascii="Times New Roman" w:hAnsi="Times New Roman" w:eastAsia="Times New Roman" w:cs="Times New Roman"/>
                <w:color w:val="auto"/>
              </w:rPr>
              <w:t>（</w:t>
            </w:r>
            <w:r>
              <w:rPr>
                <w:rFonts w:ascii="Times New Roman" w:hAnsi="Times New Roman" w:eastAsia="Times New Roman" w:cs="Times New Roman"/>
                <w:color w:val="auto"/>
              </w:rPr>
              <w:t>A</w:t>
            </w:r>
            <w:r>
              <w:rPr>
                <w:rFonts w:hint="eastAsia" w:ascii="Times New Roman" w:hAnsi="Times New Roman" w:eastAsia="Times New Roman" w:cs="Times New Roman"/>
                <w:color w:val="auto"/>
              </w:rPr>
              <w:t>）。具体设备噪声源强见表4-</w:t>
            </w:r>
            <w:r>
              <w:rPr>
                <w:rFonts w:hint="eastAsia" w:ascii="Times New Roman" w:hAnsi="Times New Roman" w:eastAsia="宋体" w:cs="Times New Roman"/>
                <w:color w:val="auto"/>
                <w:lang w:val="en-US" w:eastAsia="zh-CN"/>
              </w:rPr>
              <w:t>8</w:t>
            </w:r>
            <w:r>
              <w:rPr>
                <w:rFonts w:hint="eastAsia" w:ascii="Times New Roman" w:hAnsi="Times New Roman" w:eastAsia="Times New Roman" w:cs="Times New Roman"/>
                <w:color w:val="auto"/>
              </w:rPr>
              <w:t>。</w:t>
            </w:r>
          </w:p>
          <w:p w14:paraId="2C4BA479">
            <w:pPr>
              <w:ind w:firstLine="517" w:firstLineChars="245"/>
              <w:jc w:val="center"/>
              <w:rPr>
                <w:b/>
                <w:bCs/>
                <w:color w:val="auto"/>
                <w:szCs w:val="21"/>
              </w:rPr>
            </w:pPr>
            <w:r>
              <w:rPr>
                <w:b/>
                <w:bCs/>
                <w:color w:val="auto"/>
                <w:szCs w:val="21"/>
              </w:rPr>
              <w:t>表</w:t>
            </w:r>
            <w:r>
              <w:rPr>
                <w:rFonts w:hint="eastAsia"/>
                <w:b/>
                <w:bCs/>
                <w:color w:val="auto"/>
                <w:szCs w:val="21"/>
              </w:rPr>
              <w:t>4</w:t>
            </w:r>
            <w:r>
              <w:rPr>
                <w:b/>
                <w:bCs/>
                <w:color w:val="auto"/>
                <w:szCs w:val="21"/>
              </w:rPr>
              <w:t>-</w:t>
            </w:r>
            <w:r>
              <w:rPr>
                <w:rFonts w:hint="eastAsia"/>
                <w:b/>
                <w:bCs/>
                <w:color w:val="auto"/>
                <w:szCs w:val="21"/>
                <w:lang w:val="en-US" w:eastAsia="zh-CN"/>
              </w:rPr>
              <w:t>8</w:t>
            </w:r>
            <w:r>
              <w:rPr>
                <w:rFonts w:hint="eastAsia"/>
                <w:b/>
                <w:bCs/>
                <w:color w:val="auto"/>
                <w:szCs w:val="21"/>
              </w:rPr>
              <w:t xml:space="preserve">  </w:t>
            </w:r>
            <w:r>
              <w:rPr>
                <w:b/>
                <w:bCs/>
                <w:color w:val="auto"/>
                <w:szCs w:val="21"/>
              </w:rPr>
              <w:t>项目噪声源一览表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85"/>
              <w:gridCol w:w="2312"/>
              <w:gridCol w:w="1449"/>
              <w:gridCol w:w="2543"/>
              <w:gridCol w:w="1228"/>
            </w:tblGrid>
            <w:tr w14:paraId="2ABC7CC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703" w:type="dxa"/>
                  <w:vAlign w:val="center"/>
                </w:tcPr>
                <w:p w14:paraId="14B771DE">
                  <w:pPr>
                    <w:widowControl/>
                    <w:adjustRightInd w:val="0"/>
                    <w:snapToGrid w:val="0"/>
                    <w:jc w:val="center"/>
                    <w:rPr>
                      <w:b/>
                      <w:bCs/>
                      <w:color w:val="auto"/>
                      <w:szCs w:val="21"/>
                    </w:rPr>
                  </w:pPr>
                  <w:r>
                    <w:rPr>
                      <w:rFonts w:hint="eastAsia"/>
                      <w:b/>
                      <w:bCs/>
                      <w:color w:val="auto"/>
                      <w:szCs w:val="21"/>
                    </w:rPr>
                    <w:t>序号</w:t>
                  </w:r>
                </w:p>
              </w:tc>
              <w:tc>
                <w:tcPr>
                  <w:tcW w:w="2391" w:type="dxa"/>
                  <w:vAlign w:val="center"/>
                </w:tcPr>
                <w:p w14:paraId="2A48FA6F">
                  <w:pPr>
                    <w:widowControl/>
                    <w:adjustRightInd w:val="0"/>
                    <w:snapToGrid w:val="0"/>
                    <w:jc w:val="center"/>
                    <w:rPr>
                      <w:b/>
                      <w:bCs/>
                      <w:color w:val="auto"/>
                      <w:szCs w:val="21"/>
                    </w:rPr>
                  </w:pPr>
                  <w:r>
                    <w:rPr>
                      <w:rFonts w:hint="eastAsia"/>
                      <w:b/>
                      <w:bCs/>
                      <w:color w:val="auto"/>
                      <w:szCs w:val="21"/>
                    </w:rPr>
                    <w:t>噪声源名称</w:t>
                  </w:r>
                </w:p>
              </w:tc>
              <w:tc>
                <w:tcPr>
                  <w:tcW w:w="1495" w:type="dxa"/>
                  <w:vAlign w:val="center"/>
                </w:tcPr>
                <w:p w14:paraId="5E731369">
                  <w:pPr>
                    <w:widowControl/>
                    <w:adjustRightInd w:val="0"/>
                    <w:snapToGrid w:val="0"/>
                    <w:jc w:val="center"/>
                    <w:rPr>
                      <w:b/>
                      <w:bCs/>
                      <w:color w:val="auto"/>
                      <w:szCs w:val="21"/>
                    </w:rPr>
                  </w:pPr>
                  <w:r>
                    <w:rPr>
                      <w:rFonts w:hint="eastAsia"/>
                      <w:b/>
                      <w:bCs/>
                      <w:color w:val="auto"/>
                      <w:szCs w:val="21"/>
                    </w:rPr>
                    <w:t>噪声级dB（A）</w:t>
                  </w:r>
                </w:p>
              </w:tc>
              <w:tc>
                <w:tcPr>
                  <w:tcW w:w="2631" w:type="dxa"/>
                  <w:vAlign w:val="center"/>
                </w:tcPr>
                <w:p w14:paraId="5F7A8F38">
                  <w:pPr>
                    <w:widowControl/>
                    <w:adjustRightInd w:val="0"/>
                    <w:snapToGrid w:val="0"/>
                    <w:jc w:val="center"/>
                    <w:rPr>
                      <w:b/>
                      <w:bCs/>
                      <w:color w:val="auto"/>
                      <w:szCs w:val="21"/>
                    </w:rPr>
                  </w:pPr>
                  <w:r>
                    <w:rPr>
                      <w:rFonts w:hint="eastAsia"/>
                      <w:b/>
                      <w:bCs/>
                      <w:color w:val="auto"/>
                      <w:szCs w:val="21"/>
                    </w:rPr>
                    <w:t>降噪措施</w:t>
                  </w:r>
                </w:p>
              </w:tc>
              <w:tc>
                <w:tcPr>
                  <w:tcW w:w="1266" w:type="dxa"/>
                  <w:vAlign w:val="center"/>
                </w:tcPr>
                <w:p w14:paraId="40AF67D6">
                  <w:pPr>
                    <w:widowControl/>
                    <w:adjustRightInd w:val="0"/>
                    <w:snapToGrid w:val="0"/>
                    <w:jc w:val="center"/>
                    <w:rPr>
                      <w:b/>
                      <w:bCs/>
                      <w:color w:val="auto"/>
                      <w:szCs w:val="21"/>
                    </w:rPr>
                  </w:pPr>
                  <w:r>
                    <w:rPr>
                      <w:rFonts w:hint="eastAsia"/>
                      <w:b/>
                      <w:bCs/>
                      <w:color w:val="auto"/>
                      <w:szCs w:val="21"/>
                    </w:rPr>
                    <w:t>削减后源强</w:t>
                  </w:r>
                </w:p>
              </w:tc>
            </w:tr>
            <w:tr w14:paraId="5E3A3A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703" w:type="dxa"/>
                  <w:vAlign w:val="center"/>
                </w:tcPr>
                <w:p w14:paraId="14F8FBA0">
                  <w:pPr>
                    <w:widowControl/>
                    <w:adjustRightInd w:val="0"/>
                    <w:snapToGrid w:val="0"/>
                    <w:jc w:val="center"/>
                    <w:rPr>
                      <w:szCs w:val="21"/>
                    </w:rPr>
                  </w:pPr>
                  <w:r>
                    <w:rPr>
                      <w:rFonts w:hint="eastAsia"/>
                      <w:szCs w:val="21"/>
                    </w:rPr>
                    <w:t>1</w:t>
                  </w:r>
                </w:p>
              </w:tc>
              <w:tc>
                <w:tcPr>
                  <w:tcW w:w="2391" w:type="dxa"/>
                  <w:vAlign w:val="center"/>
                </w:tcPr>
                <w:p w14:paraId="53E40189">
                  <w:pPr>
                    <w:snapToGrid w:val="0"/>
                    <w:contextualSpacing/>
                    <w:jc w:val="center"/>
                    <w:rPr>
                      <w:szCs w:val="21"/>
                    </w:rPr>
                  </w:pPr>
                  <w:r>
                    <w:rPr>
                      <w:rFonts w:hint="eastAsia" w:eastAsia="Times New Roman"/>
                    </w:rPr>
                    <w:t>搅拌机</w:t>
                  </w:r>
                </w:p>
              </w:tc>
              <w:tc>
                <w:tcPr>
                  <w:tcW w:w="1495" w:type="dxa"/>
                  <w:vAlign w:val="center"/>
                </w:tcPr>
                <w:p w14:paraId="34A6B186">
                  <w:pPr>
                    <w:snapToGrid w:val="0"/>
                    <w:contextualSpacing/>
                    <w:jc w:val="center"/>
                    <w:rPr>
                      <w:szCs w:val="21"/>
                    </w:rPr>
                  </w:pPr>
                  <w:r>
                    <w:rPr>
                      <w:rFonts w:hint="eastAsia"/>
                    </w:rPr>
                    <w:t>85</w:t>
                  </w:r>
                </w:p>
              </w:tc>
              <w:tc>
                <w:tcPr>
                  <w:tcW w:w="2631" w:type="dxa"/>
                  <w:vMerge w:val="restart"/>
                  <w:vAlign w:val="center"/>
                </w:tcPr>
                <w:p w14:paraId="4060C5E8">
                  <w:pPr>
                    <w:widowControl/>
                    <w:adjustRightInd w:val="0"/>
                    <w:snapToGrid w:val="0"/>
                    <w:jc w:val="center"/>
                    <w:rPr>
                      <w:szCs w:val="21"/>
                    </w:rPr>
                  </w:pPr>
                  <w:r>
                    <w:rPr>
                      <w:rFonts w:hint="eastAsia"/>
                      <w:szCs w:val="21"/>
                    </w:rPr>
                    <w:t>选用</w:t>
                  </w:r>
                  <w:r>
                    <w:rPr>
                      <w:szCs w:val="21"/>
                    </w:rPr>
                    <w:t>低噪声设备，基础减震、厂房隔声</w:t>
                  </w:r>
                </w:p>
              </w:tc>
              <w:tc>
                <w:tcPr>
                  <w:tcW w:w="1266" w:type="dxa"/>
                  <w:vAlign w:val="center"/>
                </w:tcPr>
                <w:p w14:paraId="3908C74E">
                  <w:pPr>
                    <w:widowControl/>
                    <w:adjustRightInd w:val="0"/>
                    <w:snapToGrid w:val="0"/>
                    <w:jc w:val="center"/>
                    <w:rPr>
                      <w:szCs w:val="21"/>
                    </w:rPr>
                  </w:pPr>
                  <w:r>
                    <w:rPr>
                      <w:rFonts w:hint="eastAsia"/>
                      <w:szCs w:val="21"/>
                    </w:rPr>
                    <w:t>70</w:t>
                  </w:r>
                </w:p>
              </w:tc>
            </w:tr>
            <w:tr w14:paraId="046F5F1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703" w:type="dxa"/>
                  <w:vAlign w:val="center"/>
                </w:tcPr>
                <w:p w14:paraId="7206A22E">
                  <w:pPr>
                    <w:widowControl/>
                    <w:adjustRightInd w:val="0"/>
                    <w:snapToGrid w:val="0"/>
                    <w:jc w:val="center"/>
                    <w:rPr>
                      <w:szCs w:val="21"/>
                    </w:rPr>
                  </w:pPr>
                  <w:r>
                    <w:rPr>
                      <w:rFonts w:hint="eastAsia"/>
                      <w:szCs w:val="21"/>
                    </w:rPr>
                    <w:t>2</w:t>
                  </w:r>
                </w:p>
              </w:tc>
              <w:tc>
                <w:tcPr>
                  <w:tcW w:w="2391" w:type="dxa"/>
                  <w:vAlign w:val="center"/>
                </w:tcPr>
                <w:p w14:paraId="269EB76B">
                  <w:pPr>
                    <w:snapToGrid w:val="0"/>
                    <w:contextualSpacing/>
                    <w:jc w:val="center"/>
                    <w:rPr>
                      <w:szCs w:val="21"/>
                    </w:rPr>
                  </w:pPr>
                  <w:r>
                    <w:rPr>
                      <w:rFonts w:hint="eastAsia" w:eastAsia="Times New Roman"/>
                    </w:rPr>
                    <w:t>风机</w:t>
                  </w:r>
                </w:p>
              </w:tc>
              <w:tc>
                <w:tcPr>
                  <w:tcW w:w="1495" w:type="dxa"/>
                  <w:vAlign w:val="center"/>
                </w:tcPr>
                <w:p w14:paraId="7E333B0C">
                  <w:pPr>
                    <w:snapToGrid w:val="0"/>
                    <w:contextualSpacing/>
                    <w:jc w:val="center"/>
                    <w:rPr>
                      <w:szCs w:val="21"/>
                    </w:rPr>
                  </w:pPr>
                  <w:r>
                    <w:rPr>
                      <w:rFonts w:hint="eastAsia"/>
                    </w:rPr>
                    <w:t>90</w:t>
                  </w:r>
                </w:p>
              </w:tc>
              <w:tc>
                <w:tcPr>
                  <w:tcW w:w="2631" w:type="dxa"/>
                  <w:vMerge w:val="continue"/>
                  <w:vAlign w:val="center"/>
                </w:tcPr>
                <w:p w14:paraId="0C1C7AFB">
                  <w:pPr>
                    <w:widowControl/>
                    <w:adjustRightInd w:val="0"/>
                    <w:snapToGrid w:val="0"/>
                    <w:jc w:val="center"/>
                    <w:rPr>
                      <w:szCs w:val="21"/>
                    </w:rPr>
                  </w:pPr>
                </w:p>
              </w:tc>
              <w:tc>
                <w:tcPr>
                  <w:tcW w:w="1266" w:type="dxa"/>
                  <w:vAlign w:val="center"/>
                </w:tcPr>
                <w:p w14:paraId="2ADD926D">
                  <w:pPr>
                    <w:widowControl/>
                    <w:adjustRightInd w:val="0"/>
                    <w:snapToGrid w:val="0"/>
                    <w:jc w:val="center"/>
                    <w:rPr>
                      <w:szCs w:val="21"/>
                    </w:rPr>
                  </w:pPr>
                  <w:r>
                    <w:rPr>
                      <w:rFonts w:hint="eastAsia"/>
                      <w:szCs w:val="21"/>
                    </w:rPr>
                    <w:t>75</w:t>
                  </w:r>
                </w:p>
              </w:tc>
            </w:tr>
            <w:tr w14:paraId="20500FB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703" w:type="dxa"/>
                  <w:vAlign w:val="center"/>
                </w:tcPr>
                <w:p w14:paraId="6B3A7283">
                  <w:pPr>
                    <w:widowControl/>
                    <w:adjustRightInd w:val="0"/>
                    <w:snapToGrid w:val="0"/>
                    <w:jc w:val="center"/>
                    <w:rPr>
                      <w:szCs w:val="21"/>
                    </w:rPr>
                  </w:pPr>
                  <w:r>
                    <w:rPr>
                      <w:rFonts w:hint="eastAsia"/>
                      <w:szCs w:val="21"/>
                    </w:rPr>
                    <w:t>3</w:t>
                  </w:r>
                </w:p>
              </w:tc>
              <w:tc>
                <w:tcPr>
                  <w:tcW w:w="2391" w:type="dxa"/>
                  <w:vAlign w:val="center"/>
                </w:tcPr>
                <w:p w14:paraId="7F62AD15">
                  <w:pPr>
                    <w:snapToGrid w:val="0"/>
                    <w:contextualSpacing/>
                    <w:jc w:val="center"/>
                    <w:rPr>
                      <w:szCs w:val="21"/>
                    </w:rPr>
                  </w:pPr>
                  <w:r>
                    <w:rPr>
                      <w:rFonts w:hint="eastAsia" w:eastAsia="Times New Roman"/>
                    </w:rPr>
                    <w:t>筛分机</w:t>
                  </w:r>
                </w:p>
              </w:tc>
              <w:tc>
                <w:tcPr>
                  <w:tcW w:w="1495" w:type="dxa"/>
                  <w:vAlign w:val="center"/>
                </w:tcPr>
                <w:p w14:paraId="54A60E18">
                  <w:pPr>
                    <w:snapToGrid w:val="0"/>
                    <w:contextualSpacing/>
                    <w:jc w:val="center"/>
                    <w:rPr>
                      <w:szCs w:val="21"/>
                    </w:rPr>
                  </w:pPr>
                  <w:r>
                    <w:rPr>
                      <w:rFonts w:hint="eastAsia"/>
                    </w:rPr>
                    <w:t>80</w:t>
                  </w:r>
                </w:p>
              </w:tc>
              <w:tc>
                <w:tcPr>
                  <w:tcW w:w="2631" w:type="dxa"/>
                  <w:vMerge w:val="continue"/>
                  <w:vAlign w:val="center"/>
                </w:tcPr>
                <w:p w14:paraId="179EFA0E">
                  <w:pPr>
                    <w:widowControl/>
                    <w:adjustRightInd w:val="0"/>
                    <w:snapToGrid w:val="0"/>
                    <w:jc w:val="center"/>
                    <w:rPr>
                      <w:szCs w:val="21"/>
                    </w:rPr>
                  </w:pPr>
                </w:p>
              </w:tc>
              <w:tc>
                <w:tcPr>
                  <w:tcW w:w="1266" w:type="dxa"/>
                  <w:vAlign w:val="center"/>
                </w:tcPr>
                <w:p w14:paraId="138634D9">
                  <w:pPr>
                    <w:widowControl/>
                    <w:adjustRightInd w:val="0"/>
                    <w:snapToGrid w:val="0"/>
                    <w:jc w:val="center"/>
                    <w:rPr>
                      <w:szCs w:val="21"/>
                    </w:rPr>
                  </w:pPr>
                  <w:r>
                    <w:rPr>
                      <w:rFonts w:hint="eastAsia"/>
                      <w:szCs w:val="21"/>
                    </w:rPr>
                    <w:t>65</w:t>
                  </w:r>
                </w:p>
              </w:tc>
            </w:tr>
            <w:tr w14:paraId="340585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703" w:type="dxa"/>
                  <w:vAlign w:val="center"/>
                </w:tcPr>
                <w:p w14:paraId="201DBADB">
                  <w:pPr>
                    <w:widowControl/>
                    <w:adjustRightInd w:val="0"/>
                    <w:snapToGrid w:val="0"/>
                    <w:jc w:val="center"/>
                    <w:rPr>
                      <w:szCs w:val="21"/>
                    </w:rPr>
                  </w:pPr>
                  <w:r>
                    <w:rPr>
                      <w:rFonts w:hint="eastAsia"/>
                      <w:szCs w:val="21"/>
                    </w:rPr>
                    <w:t>4</w:t>
                  </w:r>
                </w:p>
              </w:tc>
              <w:tc>
                <w:tcPr>
                  <w:tcW w:w="2391" w:type="dxa"/>
                  <w:vAlign w:val="center"/>
                </w:tcPr>
                <w:p w14:paraId="6EC43AEE">
                  <w:pPr>
                    <w:autoSpaceDE w:val="0"/>
                    <w:autoSpaceDN w:val="0"/>
                    <w:jc w:val="center"/>
                  </w:pPr>
                  <w:r>
                    <w:rPr>
                      <w:rFonts w:hint="eastAsia" w:eastAsia="Times New Roman"/>
                    </w:rPr>
                    <w:t>空压机</w:t>
                  </w:r>
                </w:p>
              </w:tc>
              <w:tc>
                <w:tcPr>
                  <w:tcW w:w="1495" w:type="dxa"/>
                  <w:vAlign w:val="center"/>
                </w:tcPr>
                <w:p w14:paraId="22DF57C6">
                  <w:pPr>
                    <w:snapToGrid w:val="0"/>
                    <w:contextualSpacing/>
                    <w:jc w:val="center"/>
                  </w:pPr>
                  <w:r>
                    <w:rPr>
                      <w:rFonts w:hint="eastAsia"/>
                    </w:rPr>
                    <w:t>85</w:t>
                  </w:r>
                </w:p>
              </w:tc>
              <w:tc>
                <w:tcPr>
                  <w:tcW w:w="2631" w:type="dxa"/>
                  <w:vMerge w:val="continue"/>
                  <w:vAlign w:val="center"/>
                </w:tcPr>
                <w:p w14:paraId="5387B400">
                  <w:pPr>
                    <w:widowControl/>
                    <w:adjustRightInd w:val="0"/>
                    <w:snapToGrid w:val="0"/>
                    <w:jc w:val="center"/>
                    <w:rPr>
                      <w:szCs w:val="21"/>
                    </w:rPr>
                  </w:pPr>
                </w:p>
              </w:tc>
              <w:tc>
                <w:tcPr>
                  <w:tcW w:w="1266" w:type="dxa"/>
                  <w:vAlign w:val="center"/>
                </w:tcPr>
                <w:p w14:paraId="2B5FA36E">
                  <w:pPr>
                    <w:widowControl/>
                    <w:adjustRightInd w:val="0"/>
                    <w:snapToGrid w:val="0"/>
                    <w:jc w:val="center"/>
                    <w:rPr>
                      <w:szCs w:val="21"/>
                    </w:rPr>
                  </w:pPr>
                  <w:r>
                    <w:rPr>
                      <w:rFonts w:hint="eastAsia"/>
                      <w:szCs w:val="21"/>
                    </w:rPr>
                    <w:t>70</w:t>
                  </w:r>
                </w:p>
              </w:tc>
            </w:tr>
          </w:tbl>
          <w:p w14:paraId="3B6E08AE">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（1）噪声排放标准</w:t>
            </w:r>
          </w:p>
          <w:p w14:paraId="50D974A6">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厂界噪声标准采用《工业企业厂界环境噪声排放标准》（GB 12348-2008）中的2类标准，其标准值见表4-</w:t>
            </w:r>
            <w:r>
              <w:rPr>
                <w:rFonts w:hint="eastAsia" w:ascii="Times New Roman" w:hAnsi="Times New Roman" w:eastAsia="宋体" w:cs="Times New Roman"/>
                <w:kern w:val="0"/>
                <w:lang w:val="en-US" w:eastAsia="zh-CN"/>
              </w:rPr>
              <w:t>9</w:t>
            </w:r>
            <w:r>
              <w:rPr>
                <w:rFonts w:hint="eastAsia" w:ascii="Times New Roman" w:hAnsi="Times New Roman" w:eastAsia="Times New Roman" w:cs="Times New Roman"/>
                <w:kern w:val="0"/>
              </w:rPr>
              <w:t>。</w:t>
            </w:r>
          </w:p>
          <w:p w14:paraId="17DC6809">
            <w:pPr>
              <w:ind w:firstLine="517" w:firstLineChars="245"/>
              <w:jc w:val="center"/>
              <w:rPr>
                <w:b/>
                <w:bCs/>
                <w:szCs w:val="21"/>
              </w:rPr>
            </w:pPr>
            <w:r>
              <w:rPr>
                <w:rFonts w:hint="eastAsia"/>
                <w:b/>
                <w:bCs/>
                <w:szCs w:val="21"/>
              </w:rPr>
              <w:t>表4-</w:t>
            </w:r>
            <w:r>
              <w:rPr>
                <w:rFonts w:hint="eastAsia"/>
                <w:b/>
                <w:bCs/>
                <w:szCs w:val="21"/>
                <w:lang w:val="en-US" w:eastAsia="zh-CN"/>
              </w:rPr>
              <w:t>9</w:t>
            </w:r>
            <w:r>
              <w:rPr>
                <w:rFonts w:hint="eastAsia"/>
                <w:b/>
                <w:bCs/>
                <w:szCs w:val="21"/>
              </w:rPr>
              <w:t xml:space="preserve">  噪声评价标准单位：dB（A）</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226"/>
              <w:gridCol w:w="1299"/>
              <w:gridCol w:w="1851"/>
              <w:gridCol w:w="1851"/>
            </w:tblGrid>
            <w:tr w14:paraId="0BD675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60" w:type="pct"/>
                  <w:tcBorders>
                    <w:top w:val="single" w:color="auto" w:sz="4" w:space="0"/>
                    <w:left w:val="single" w:color="auto" w:sz="0" w:space="0"/>
                  </w:tcBorders>
                  <w:vAlign w:val="center"/>
                </w:tcPr>
                <w:p w14:paraId="6496B5FF">
                  <w:pPr>
                    <w:widowControl/>
                    <w:adjustRightInd w:val="0"/>
                    <w:snapToGrid w:val="0"/>
                    <w:jc w:val="center"/>
                    <w:rPr>
                      <w:b/>
                      <w:bCs/>
                      <w:szCs w:val="21"/>
                    </w:rPr>
                  </w:pPr>
                  <w:r>
                    <w:rPr>
                      <w:rFonts w:hint="eastAsia"/>
                      <w:b/>
                      <w:bCs/>
                      <w:szCs w:val="21"/>
                    </w:rPr>
                    <w:t>采用标准</w:t>
                  </w:r>
                </w:p>
              </w:tc>
              <w:tc>
                <w:tcPr>
                  <w:tcW w:w="789" w:type="pct"/>
                  <w:tcBorders>
                    <w:top w:val="single" w:color="auto" w:sz="4" w:space="0"/>
                  </w:tcBorders>
                  <w:vAlign w:val="center"/>
                </w:tcPr>
                <w:p w14:paraId="4879E5CC">
                  <w:pPr>
                    <w:widowControl/>
                    <w:adjustRightInd w:val="0"/>
                    <w:snapToGrid w:val="0"/>
                    <w:jc w:val="center"/>
                    <w:rPr>
                      <w:b/>
                      <w:bCs/>
                      <w:szCs w:val="21"/>
                    </w:rPr>
                  </w:pPr>
                  <w:r>
                    <w:rPr>
                      <w:rFonts w:hint="eastAsia"/>
                      <w:b/>
                      <w:bCs/>
                      <w:szCs w:val="21"/>
                    </w:rPr>
                    <w:t>类别</w:t>
                  </w:r>
                </w:p>
              </w:tc>
              <w:tc>
                <w:tcPr>
                  <w:tcW w:w="1125" w:type="pct"/>
                  <w:tcBorders>
                    <w:top w:val="single" w:color="auto" w:sz="4" w:space="0"/>
                  </w:tcBorders>
                  <w:vAlign w:val="center"/>
                </w:tcPr>
                <w:p w14:paraId="1BF67C60">
                  <w:pPr>
                    <w:widowControl/>
                    <w:adjustRightInd w:val="0"/>
                    <w:snapToGrid w:val="0"/>
                    <w:jc w:val="center"/>
                    <w:rPr>
                      <w:b/>
                      <w:bCs/>
                      <w:szCs w:val="21"/>
                    </w:rPr>
                  </w:pPr>
                  <w:r>
                    <w:rPr>
                      <w:rFonts w:hint="eastAsia"/>
                      <w:b/>
                      <w:bCs/>
                      <w:szCs w:val="21"/>
                    </w:rPr>
                    <w:t>昼间</w:t>
                  </w:r>
                </w:p>
              </w:tc>
              <w:tc>
                <w:tcPr>
                  <w:tcW w:w="1125" w:type="pct"/>
                  <w:tcBorders>
                    <w:top w:val="single" w:color="auto" w:sz="4" w:space="0"/>
                    <w:right w:val="single" w:color="auto" w:sz="4" w:space="0"/>
                  </w:tcBorders>
                  <w:vAlign w:val="center"/>
                </w:tcPr>
                <w:p w14:paraId="5C933650">
                  <w:pPr>
                    <w:widowControl/>
                    <w:adjustRightInd w:val="0"/>
                    <w:snapToGrid w:val="0"/>
                    <w:jc w:val="center"/>
                    <w:rPr>
                      <w:b/>
                      <w:bCs/>
                      <w:szCs w:val="21"/>
                    </w:rPr>
                  </w:pPr>
                  <w:r>
                    <w:rPr>
                      <w:rFonts w:hint="eastAsia"/>
                      <w:b/>
                      <w:bCs/>
                      <w:szCs w:val="21"/>
                    </w:rPr>
                    <w:t>夜间</w:t>
                  </w:r>
                </w:p>
              </w:tc>
            </w:tr>
            <w:tr w14:paraId="3A306B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1960" w:type="pct"/>
                  <w:tcBorders>
                    <w:left w:val="single" w:color="auto" w:sz="4" w:space="0"/>
                    <w:bottom w:val="single" w:color="auto" w:sz="4" w:space="0"/>
                  </w:tcBorders>
                  <w:vAlign w:val="center"/>
                </w:tcPr>
                <w:p w14:paraId="4579E901">
                  <w:pPr>
                    <w:widowControl/>
                    <w:adjustRightInd w:val="0"/>
                    <w:snapToGrid w:val="0"/>
                    <w:jc w:val="center"/>
                    <w:rPr>
                      <w:szCs w:val="21"/>
                    </w:rPr>
                  </w:pPr>
                  <w:r>
                    <w:rPr>
                      <w:rFonts w:hint="eastAsia"/>
                      <w:szCs w:val="21"/>
                    </w:rPr>
                    <w:t>工业企业厂界环境噪声排放标准</w:t>
                  </w:r>
                </w:p>
              </w:tc>
              <w:tc>
                <w:tcPr>
                  <w:tcW w:w="789" w:type="pct"/>
                  <w:tcBorders>
                    <w:bottom w:val="single" w:color="auto" w:sz="4" w:space="0"/>
                  </w:tcBorders>
                  <w:vAlign w:val="center"/>
                </w:tcPr>
                <w:p w14:paraId="6FAF4E9A">
                  <w:pPr>
                    <w:widowControl/>
                    <w:adjustRightInd w:val="0"/>
                    <w:snapToGrid w:val="0"/>
                    <w:jc w:val="center"/>
                    <w:rPr>
                      <w:szCs w:val="21"/>
                    </w:rPr>
                  </w:pPr>
                  <w:r>
                    <w:rPr>
                      <w:rFonts w:hint="eastAsia"/>
                      <w:szCs w:val="21"/>
                    </w:rPr>
                    <w:t>2</w:t>
                  </w:r>
                </w:p>
              </w:tc>
              <w:tc>
                <w:tcPr>
                  <w:tcW w:w="1125" w:type="pct"/>
                  <w:tcBorders>
                    <w:bottom w:val="single" w:color="auto" w:sz="4" w:space="0"/>
                  </w:tcBorders>
                  <w:vAlign w:val="center"/>
                </w:tcPr>
                <w:p w14:paraId="7EFB8038">
                  <w:pPr>
                    <w:widowControl/>
                    <w:adjustRightInd w:val="0"/>
                    <w:snapToGrid w:val="0"/>
                    <w:jc w:val="center"/>
                    <w:rPr>
                      <w:szCs w:val="21"/>
                    </w:rPr>
                  </w:pPr>
                  <w:r>
                    <w:rPr>
                      <w:rFonts w:hint="eastAsia"/>
                      <w:szCs w:val="21"/>
                    </w:rPr>
                    <w:t>60</w:t>
                  </w:r>
                </w:p>
              </w:tc>
              <w:tc>
                <w:tcPr>
                  <w:tcW w:w="1125" w:type="pct"/>
                  <w:tcBorders>
                    <w:bottom w:val="single" w:color="auto" w:sz="4" w:space="0"/>
                    <w:right w:val="single" w:color="auto" w:sz="4" w:space="0"/>
                  </w:tcBorders>
                  <w:vAlign w:val="center"/>
                </w:tcPr>
                <w:p w14:paraId="02EC6756">
                  <w:pPr>
                    <w:widowControl/>
                    <w:adjustRightInd w:val="0"/>
                    <w:snapToGrid w:val="0"/>
                    <w:jc w:val="center"/>
                    <w:rPr>
                      <w:szCs w:val="21"/>
                    </w:rPr>
                  </w:pPr>
                  <w:r>
                    <w:rPr>
                      <w:rFonts w:hint="eastAsia"/>
                      <w:szCs w:val="21"/>
                    </w:rPr>
                    <w:t>50</w:t>
                  </w:r>
                </w:p>
              </w:tc>
            </w:tr>
          </w:tbl>
          <w:p w14:paraId="4646B5B4">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（2）噪声影响预测模式</w:t>
            </w:r>
          </w:p>
          <w:p w14:paraId="05A1F188">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机器设备的噪声受传播距离、阻挡物的反射与屏障，空气吸收等因素的影响，会使其衰减。由声源预测模式计算：</w:t>
            </w:r>
          </w:p>
          <w:p w14:paraId="5FA5E4DD">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点源预测模式：LA=L</w:t>
            </w:r>
            <w:r>
              <w:rPr>
                <w:rFonts w:hint="eastAsia" w:ascii="Times New Roman" w:hAnsi="Times New Roman" w:eastAsia="Times New Roman" w:cs="Times New Roman"/>
                <w:kern w:val="0"/>
                <w:vertAlign w:val="subscript"/>
              </w:rPr>
              <w:t>0</w:t>
            </w:r>
            <w:r>
              <w:rPr>
                <w:rFonts w:hint="eastAsia" w:ascii="Times New Roman" w:hAnsi="Times New Roman" w:eastAsia="Times New Roman" w:cs="Times New Roman"/>
                <w:kern w:val="0"/>
              </w:rPr>
              <w:t>-20lg（r/r</w:t>
            </w:r>
            <w:r>
              <w:rPr>
                <w:rFonts w:hint="eastAsia" w:ascii="Times New Roman" w:hAnsi="Times New Roman" w:eastAsia="Times New Roman" w:cs="Times New Roman"/>
                <w:kern w:val="0"/>
                <w:vertAlign w:val="subscript"/>
              </w:rPr>
              <w:t>0</w:t>
            </w:r>
            <w:r>
              <w:rPr>
                <w:rFonts w:hint="eastAsia" w:ascii="Times New Roman" w:hAnsi="Times New Roman" w:eastAsia="Times New Roman" w:cs="Times New Roman"/>
                <w:kern w:val="0"/>
              </w:rPr>
              <w:t>）</w:t>
            </w:r>
          </w:p>
          <w:p w14:paraId="53426A5E">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式中：LA——距声源r米处的等效A声级值，dB（A）；</w:t>
            </w:r>
          </w:p>
          <w:p w14:paraId="393844E3">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L</w:t>
            </w:r>
            <w:r>
              <w:rPr>
                <w:rFonts w:hint="eastAsia" w:ascii="Times New Roman" w:hAnsi="Times New Roman" w:eastAsia="Times New Roman" w:cs="Times New Roman"/>
                <w:kern w:val="0"/>
                <w:vertAlign w:val="subscript"/>
              </w:rPr>
              <w:t>0</w:t>
            </w:r>
            <w:r>
              <w:rPr>
                <w:rFonts w:hint="eastAsia" w:ascii="Times New Roman" w:hAnsi="Times New Roman" w:eastAsia="Times New Roman" w:cs="Times New Roman"/>
                <w:kern w:val="0"/>
              </w:rPr>
              <w:t>——距声源r</w:t>
            </w:r>
            <w:r>
              <w:rPr>
                <w:rFonts w:hint="eastAsia" w:ascii="Times New Roman" w:hAnsi="Times New Roman" w:eastAsia="Times New Roman" w:cs="Times New Roman"/>
                <w:kern w:val="0"/>
                <w:vertAlign w:val="subscript"/>
              </w:rPr>
              <w:t>0</w:t>
            </w:r>
            <w:r>
              <w:rPr>
                <w:rFonts w:hint="eastAsia" w:ascii="Times New Roman" w:hAnsi="Times New Roman" w:eastAsia="Times New Roman" w:cs="Times New Roman"/>
                <w:kern w:val="0"/>
              </w:rPr>
              <w:t>米处的参考声级，dB（A）；</w:t>
            </w:r>
          </w:p>
          <w:p w14:paraId="51874FB2">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r——预测点距噪声源距离，m；</w:t>
            </w:r>
          </w:p>
          <w:p w14:paraId="364649C8">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r</w:t>
            </w:r>
            <w:r>
              <w:rPr>
                <w:rFonts w:hint="eastAsia" w:ascii="Times New Roman" w:hAnsi="Times New Roman" w:eastAsia="Times New Roman" w:cs="Times New Roman"/>
                <w:kern w:val="0"/>
                <w:vertAlign w:val="subscript"/>
              </w:rPr>
              <w:t>0</w:t>
            </w:r>
            <w:r>
              <w:rPr>
                <w:rFonts w:hint="eastAsia" w:ascii="Times New Roman" w:hAnsi="Times New Roman" w:eastAsia="Times New Roman" w:cs="Times New Roman"/>
                <w:kern w:val="0"/>
              </w:rPr>
              <w:t>——声级为L</w:t>
            </w:r>
            <w:r>
              <w:rPr>
                <w:rFonts w:hint="eastAsia" w:ascii="Times New Roman" w:hAnsi="Times New Roman" w:eastAsia="Times New Roman" w:cs="Times New Roman"/>
                <w:kern w:val="0"/>
                <w:vertAlign w:val="subscript"/>
              </w:rPr>
              <w:t>0</w:t>
            </w:r>
            <w:r>
              <w:rPr>
                <w:rFonts w:hint="eastAsia" w:ascii="Times New Roman" w:hAnsi="Times New Roman" w:eastAsia="Times New Roman" w:cs="Times New Roman"/>
                <w:kern w:val="0"/>
              </w:rPr>
              <w:t>的预测点距噪声源距离，r</w:t>
            </w:r>
            <w:r>
              <w:rPr>
                <w:rFonts w:hint="eastAsia" w:ascii="Times New Roman" w:hAnsi="Times New Roman" w:eastAsia="Times New Roman" w:cs="Times New Roman"/>
                <w:kern w:val="0"/>
                <w:vertAlign w:val="subscript"/>
              </w:rPr>
              <w:t>0</w:t>
            </w:r>
            <w:r>
              <w:rPr>
                <w:rFonts w:hint="eastAsia" w:ascii="Times New Roman" w:hAnsi="Times New Roman" w:eastAsia="Times New Roman" w:cs="Times New Roman"/>
                <w:kern w:val="0"/>
              </w:rPr>
              <w:t>=1m。</w:t>
            </w:r>
          </w:p>
          <w:p w14:paraId="129BE140">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本项目仅昼间运行，夜间不运行。根据以上模式对主要声源噪声衰减进行预测。详见噪声衰减预测结果表4-1</w:t>
            </w:r>
            <w:r>
              <w:rPr>
                <w:rFonts w:hint="eastAsia" w:ascii="Times New Roman" w:hAnsi="Times New Roman" w:eastAsia="宋体" w:cs="Times New Roman"/>
                <w:kern w:val="0"/>
                <w:lang w:val="en-US" w:eastAsia="zh-CN"/>
              </w:rPr>
              <w:t>0</w:t>
            </w:r>
            <w:r>
              <w:rPr>
                <w:rFonts w:hint="eastAsia" w:ascii="Times New Roman" w:hAnsi="Times New Roman" w:eastAsia="Times New Roman" w:cs="Times New Roman"/>
                <w:kern w:val="0"/>
              </w:rPr>
              <w:t>。</w:t>
            </w:r>
          </w:p>
          <w:p w14:paraId="239C1F0F">
            <w:pPr>
              <w:ind w:firstLine="517" w:firstLineChars="245"/>
              <w:jc w:val="center"/>
              <w:rPr>
                <w:b/>
                <w:bCs/>
                <w:szCs w:val="21"/>
              </w:rPr>
            </w:pPr>
            <w:r>
              <w:rPr>
                <w:rFonts w:hint="eastAsia"/>
                <w:b/>
                <w:bCs/>
                <w:szCs w:val="21"/>
              </w:rPr>
              <w:t>表4-</w:t>
            </w:r>
            <w:r>
              <w:rPr>
                <w:rFonts w:hint="eastAsia"/>
                <w:b/>
                <w:bCs/>
                <w:szCs w:val="21"/>
                <w:lang w:val="en-US" w:eastAsia="zh-CN"/>
              </w:rPr>
              <w:t>10</w:t>
            </w:r>
            <w:r>
              <w:rPr>
                <w:rFonts w:hint="eastAsia"/>
                <w:b/>
                <w:bCs/>
                <w:szCs w:val="21"/>
              </w:rPr>
              <w:t xml:space="preserve">  噪声预测值单位：dB（A）</w:t>
            </w:r>
          </w:p>
          <w:tbl>
            <w:tblPr>
              <w:tblStyle w:val="30"/>
              <w:tblW w:w="822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108" w:type="dxa"/>
                <w:bottom w:w="0" w:type="dxa"/>
                <w:right w:w="108" w:type="dxa"/>
              </w:tblCellMar>
            </w:tblPr>
            <w:tblGrid>
              <w:gridCol w:w="1398"/>
              <w:gridCol w:w="1664"/>
              <w:gridCol w:w="1885"/>
              <w:gridCol w:w="1640"/>
              <w:gridCol w:w="1640"/>
            </w:tblGrid>
            <w:tr w14:paraId="5C3C0AA2">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403" w:hRule="atLeast"/>
                <w:jc w:val="center"/>
              </w:trPr>
              <w:tc>
                <w:tcPr>
                  <w:tcW w:w="849" w:type="pct"/>
                  <w:vMerge w:val="restart"/>
                  <w:tcBorders>
                    <w:top w:val="single" w:color="auto" w:sz="4" w:space="0"/>
                    <w:left w:val="single" w:color="auto" w:sz="0" w:space="0"/>
                  </w:tcBorders>
                  <w:vAlign w:val="center"/>
                </w:tcPr>
                <w:p w14:paraId="45650911">
                  <w:pPr>
                    <w:widowControl/>
                    <w:adjustRightInd w:val="0"/>
                    <w:snapToGrid w:val="0"/>
                    <w:jc w:val="center"/>
                    <w:rPr>
                      <w:b/>
                      <w:bCs/>
                      <w:szCs w:val="21"/>
                    </w:rPr>
                  </w:pPr>
                  <w:r>
                    <w:rPr>
                      <w:rFonts w:hint="eastAsia"/>
                      <w:b/>
                      <w:bCs/>
                      <w:szCs w:val="21"/>
                    </w:rPr>
                    <w:t>厂界</w:t>
                  </w:r>
                </w:p>
              </w:tc>
              <w:tc>
                <w:tcPr>
                  <w:tcW w:w="1011" w:type="pct"/>
                  <w:vMerge w:val="restart"/>
                  <w:tcBorders>
                    <w:top w:val="single" w:color="auto" w:sz="4" w:space="0"/>
                  </w:tcBorders>
                  <w:vAlign w:val="center"/>
                </w:tcPr>
                <w:p w14:paraId="3ADF6B8A">
                  <w:pPr>
                    <w:widowControl/>
                    <w:adjustRightInd w:val="0"/>
                    <w:snapToGrid w:val="0"/>
                    <w:jc w:val="center"/>
                    <w:rPr>
                      <w:b/>
                      <w:bCs/>
                      <w:szCs w:val="21"/>
                    </w:rPr>
                  </w:pPr>
                  <w:r>
                    <w:rPr>
                      <w:rFonts w:hint="eastAsia"/>
                      <w:b/>
                      <w:bCs/>
                      <w:szCs w:val="21"/>
                    </w:rPr>
                    <w:t>距厂界距离m</w:t>
                  </w:r>
                </w:p>
              </w:tc>
              <w:tc>
                <w:tcPr>
                  <w:tcW w:w="1145" w:type="pct"/>
                  <w:vMerge w:val="restart"/>
                  <w:tcBorders>
                    <w:top w:val="single" w:color="auto" w:sz="4" w:space="0"/>
                  </w:tcBorders>
                  <w:vAlign w:val="center"/>
                </w:tcPr>
                <w:p w14:paraId="34D65031">
                  <w:pPr>
                    <w:widowControl/>
                    <w:adjustRightInd w:val="0"/>
                    <w:snapToGrid w:val="0"/>
                    <w:jc w:val="center"/>
                    <w:rPr>
                      <w:b/>
                      <w:bCs/>
                      <w:szCs w:val="21"/>
                    </w:rPr>
                  </w:pPr>
                  <w:r>
                    <w:rPr>
                      <w:rFonts w:hint="eastAsia"/>
                      <w:b/>
                      <w:bCs/>
                      <w:szCs w:val="21"/>
                    </w:rPr>
                    <w:t>贡献值</w:t>
                  </w:r>
                </w:p>
              </w:tc>
              <w:tc>
                <w:tcPr>
                  <w:tcW w:w="996" w:type="pct"/>
                  <w:tcBorders>
                    <w:top w:val="single" w:color="auto" w:sz="4" w:space="0"/>
                  </w:tcBorders>
                  <w:vAlign w:val="center"/>
                </w:tcPr>
                <w:p w14:paraId="0527F89D">
                  <w:pPr>
                    <w:widowControl/>
                    <w:adjustRightInd w:val="0"/>
                    <w:snapToGrid w:val="0"/>
                    <w:jc w:val="center"/>
                    <w:rPr>
                      <w:b/>
                      <w:bCs/>
                      <w:szCs w:val="21"/>
                    </w:rPr>
                  </w:pPr>
                  <w:r>
                    <w:rPr>
                      <w:rFonts w:hint="eastAsia"/>
                      <w:b/>
                      <w:bCs/>
                      <w:szCs w:val="21"/>
                    </w:rPr>
                    <w:t>标准值</w:t>
                  </w:r>
                </w:p>
              </w:tc>
              <w:tc>
                <w:tcPr>
                  <w:tcW w:w="996" w:type="pct"/>
                  <w:vMerge w:val="restart"/>
                  <w:tcBorders>
                    <w:top w:val="single" w:color="auto" w:sz="4" w:space="0"/>
                    <w:right w:val="single" w:color="auto" w:sz="4" w:space="0"/>
                  </w:tcBorders>
                  <w:vAlign w:val="center"/>
                </w:tcPr>
                <w:p w14:paraId="0986C22F">
                  <w:pPr>
                    <w:widowControl/>
                    <w:adjustRightInd w:val="0"/>
                    <w:snapToGrid w:val="0"/>
                    <w:jc w:val="center"/>
                    <w:rPr>
                      <w:b/>
                      <w:bCs/>
                      <w:szCs w:val="21"/>
                    </w:rPr>
                  </w:pPr>
                  <w:r>
                    <w:rPr>
                      <w:rFonts w:hint="eastAsia"/>
                      <w:b/>
                      <w:bCs/>
                      <w:szCs w:val="21"/>
                    </w:rPr>
                    <w:t>达标情况</w:t>
                  </w:r>
                </w:p>
              </w:tc>
            </w:tr>
            <w:tr w14:paraId="35DC8534">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403" w:hRule="atLeast"/>
                <w:jc w:val="center"/>
              </w:trPr>
              <w:tc>
                <w:tcPr>
                  <w:tcW w:w="849" w:type="pct"/>
                  <w:vMerge w:val="continue"/>
                  <w:tcBorders>
                    <w:left w:val="single" w:color="auto" w:sz="4" w:space="0"/>
                  </w:tcBorders>
                  <w:vAlign w:val="center"/>
                </w:tcPr>
                <w:p w14:paraId="22E12990">
                  <w:pPr>
                    <w:widowControl/>
                    <w:adjustRightInd w:val="0"/>
                    <w:snapToGrid w:val="0"/>
                    <w:jc w:val="center"/>
                    <w:rPr>
                      <w:szCs w:val="21"/>
                    </w:rPr>
                  </w:pPr>
                </w:p>
              </w:tc>
              <w:tc>
                <w:tcPr>
                  <w:tcW w:w="1011" w:type="pct"/>
                  <w:vMerge w:val="continue"/>
                  <w:vAlign w:val="center"/>
                </w:tcPr>
                <w:p w14:paraId="12AC0402">
                  <w:pPr>
                    <w:widowControl/>
                    <w:adjustRightInd w:val="0"/>
                    <w:snapToGrid w:val="0"/>
                    <w:jc w:val="center"/>
                    <w:rPr>
                      <w:szCs w:val="21"/>
                    </w:rPr>
                  </w:pPr>
                </w:p>
              </w:tc>
              <w:tc>
                <w:tcPr>
                  <w:tcW w:w="1145" w:type="pct"/>
                  <w:vMerge w:val="continue"/>
                  <w:vAlign w:val="center"/>
                </w:tcPr>
                <w:p w14:paraId="7FEDD0D8">
                  <w:pPr>
                    <w:widowControl/>
                    <w:adjustRightInd w:val="0"/>
                    <w:snapToGrid w:val="0"/>
                    <w:jc w:val="center"/>
                    <w:rPr>
                      <w:szCs w:val="21"/>
                    </w:rPr>
                  </w:pPr>
                </w:p>
              </w:tc>
              <w:tc>
                <w:tcPr>
                  <w:tcW w:w="996" w:type="pct"/>
                  <w:vAlign w:val="center"/>
                </w:tcPr>
                <w:p w14:paraId="5241D67B">
                  <w:pPr>
                    <w:widowControl/>
                    <w:adjustRightInd w:val="0"/>
                    <w:snapToGrid w:val="0"/>
                    <w:jc w:val="center"/>
                    <w:rPr>
                      <w:szCs w:val="21"/>
                    </w:rPr>
                  </w:pPr>
                  <w:r>
                    <w:rPr>
                      <w:rFonts w:hint="eastAsia"/>
                      <w:b/>
                      <w:bCs/>
                      <w:szCs w:val="21"/>
                    </w:rPr>
                    <w:t>昼间</w:t>
                  </w:r>
                </w:p>
              </w:tc>
              <w:tc>
                <w:tcPr>
                  <w:tcW w:w="996" w:type="pct"/>
                  <w:vMerge w:val="continue"/>
                  <w:tcBorders>
                    <w:right w:val="single" w:color="auto" w:sz="4" w:space="0"/>
                  </w:tcBorders>
                  <w:vAlign w:val="center"/>
                </w:tcPr>
                <w:p w14:paraId="10FEE0F7">
                  <w:pPr>
                    <w:widowControl/>
                    <w:adjustRightInd w:val="0"/>
                    <w:snapToGrid w:val="0"/>
                    <w:jc w:val="center"/>
                    <w:rPr>
                      <w:szCs w:val="21"/>
                    </w:rPr>
                  </w:pPr>
                </w:p>
              </w:tc>
            </w:tr>
            <w:tr w14:paraId="329E5560">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472" w:hRule="atLeast"/>
                <w:jc w:val="center"/>
              </w:trPr>
              <w:tc>
                <w:tcPr>
                  <w:tcW w:w="849" w:type="pct"/>
                  <w:tcBorders>
                    <w:left w:val="single" w:color="auto" w:sz="4" w:space="0"/>
                  </w:tcBorders>
                  <w:vAlign w:val="center"/>
                </w:tcPr>
                <w:p w14:paraId="71647A4A">
                  <w:pPr>
                    <w:widowControl/>
                    <w:adjustRightInd w:val="0"/>
                    <w:snapToGrid w:val="0"/>
                    <w:jc w:val="center"/>
                    <w:rPr>
                      <w:szCs w:val="21"/>
                    </w:rPr>
                  </w:pPr>
                  <w:r>
                    <w:rPr>
                      <w:rFonts w:hint="eastAsia"/>
                      <w:szCs w:val="21"/>
                    </w:rPr>
                    <w:t>东侧</w:t>
                  </w:r>
                </w:p>
              </w:tc>
              <w:tc>
                <w:tcPr>
                  <w:tcW w:w="1011" w:type="pct"/>
                  <w:vAlign w:val="center"/>
                </w:tcPr>
                <w:p w14:paraId="65067D1C">
                  <w:pPr>
                    <w:widowControl/>
                    <w:adjustRightInd w:val="0"/>
                    <w:snapToGrid w:val="0"/>
                    <w:jc w:val="center"/>
                    <w:rPr>
                      <w:szCs w:val="21"/>
                    </w:rPr>
                  </w:pPr>
                  <w:r>
                    <w:rPr>
                      <w:rFonts w:hint="eastAsia"/>
                      <w:szCs w:val="21"/>
                    </w:rPr>
                    <w:t>120</w:t>
                  </w:r>
                </w:p>
              </w:tc>
              <w:tc>
                <w:tcPr>
                  <w:tcW w:w="1145" w:type="pct"/>
                  <w:vAlign w:val="center"/>
                </w:tcPr>
                <w:p w14:paraId="34BC4B9C">
                  <w:pPr>
                    <w:widowControl/>
                    <w:adjustRightInd w:val="0"/>
                    <w:snapToGrid w:val="0"/>
                    <w:jc w:val="center"/>
                    <w:rPr>
                      <w:szCs w:val="21"/>
                    </w:rPr>
                  </w:pPr>
                  <w:r>
                    <w:rPr>
                      <w:rFonts w:hint="eastAsia"/>
                      <w:szCs w:val="21"/>
                    </w:rPr>
                    <w:t>48.41</w:t>
                  </w:r>
                </w:p>
              </w:tc>
              <w:tc>
                <w:tcPr>
                  <w:tcW w:w="996" w:type="pct"/>
                  <w:vAlign w:val="center"/>
                </w:tcPr>
                <w:p w14:paraId="2255AC16">
                  <w:pPr>
                    <w:widowControl/>
                    <w:adjustRightInd w:val="0"/>
                    <w:snapToGrid w:val="0"/>
                    <w:jc w:val="center"/>
                    <w:rPr>
                      <w:szCs w:val="21"/>
                    </w:rPr>
                  </w:pPr>
                  <w:r>
                    <w:rPr>
                      <w:rFonts w:hint="eastAsia"/>
                      <w:szCs w:val="21"/>
                    </w:rPr>
                    <w:t>60</w:t>
                  </w:r>
                </w:p>
              </w:tc>
              <w:tc>
                <w:tcPr>
                  <w:tcW w:w="996" w:type="pct"/>
                  <w:tcBorders>
                    <w:right w:val="single" w:color="auto" w:sz="4" w:space="0"/>
                  </w:tcBorders>
                  <w:vAlign w:val="center"/>
                </w:tcPr>
                <w:p w14:paraId="4FEDE6F2">
                  <w:pPr>
                    <w:widowControl/>
                    <w:adjustRightInd w:val="0"/>
                    <w:snapToGrid w:val="0"/>
                    <w:jc w:val="center"/>
                    <w:rPr>
                      <w:szCs w:val="21"/>
                    </w:rPr>
                  </w:pPr>
                  <w:r>
                    <w:rPr>
                      <w:rFonts w:hint="eastAsia"/>
                      <w:szCs w:val="21"/>
                    </w:rPr>
                    <w:t>达标</w:t>
                  </w:r>
                </w:p>
              </w:tc>
            </w:tr>
            <w:tr w14:paraId="48C30689">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472" w:hRule="atLeast"/>
                <w:jc w:val="center"/>
              </w:trPr>
              <w:tc>
                <w:tcPr>
                  <w:tcW w:w="849" w:type="pct"/>
                  <w:tcBorders>
                    <w:left w:val="single" w:color="auto" w:sz="4" w:space="0"/>
                  </w:tcBorders>
                  <w:vAlign w:val="center"/>
                </w:tcPr>
                <w:p w14:paraId="09A9448A">
                  <w:pPr>
                    <w:widowControl/>
                    <w:adjustRightInd w:val="0"/>
                    <w:snapToGrid w:val="0"/>
                    <w:jc w:val="center"/>
                    <w:rPr>
                      <w:szCs w:val="21"/>
                    </w:rPr>
                  </w:pPr>
                  <w:r>
                    <w:rPr>
                      <w:rFonts w:hint="eastAsia"/>
                      <w:szCs w:val="21"/>
                    </w:rPr>
                    <w:t>南侧</w:t>
                  </w:r>
                </w:p>
              </w:tc>
              <w:tc>
                <w:tcPr>
                  <w:tcW w:w="1011" w:type="pct"/>
                  <w:vAlign w:val="center"/>
                </w:tcPr>
                <w:p w14:paraId="55AB4A0D">
                  <w:pPr>
                    <w:widowControl/>
                    <w:adjustRightInd w:val="0"/>
                    <w:snapToGrid w:val="0"/>
                    <w:jc w:val="center"/>
                    <w:rPr>
                      <w:szCs w:val="21"/>
                    </w:rPr>
                  </w:pPr>
                  <w:r>
                    <w:rPr>
                      <w:rFonts w:hint="eastAsia"/>
                      <w:szCs w:val="21"/>
                    </w:rPr>
                    <w:t>200</w:t>
                  </w:r>
                </w:p>
              </w:tc>
              <w:tc>
                <w:tcPr>
                  <w:tcW w:w="1145" w:type="pct"/>
                  <w:vAlign w:val="center"/>
                </w:tcPr>
                <w:p w14:paraId="60C32E7B">
                  <w:pPr>
                    <w:widowControl/>
                    <w:adjustRightInd w:val="0"/>
                    <w:snapToGrid w:val="0"/>
                    <w:jc w:val="center"/>
                    <w:rPr>
                      <w:szCs w:val="21"/>
                    </w:rPr>
                  </w:pPr>
                  <w:r>
                    <w:rPr>
                      <w:rFonts w:hint="eastAsia"/>
                      <w:szCs w:val="21"/>
                    </w:rPr>
                    <w:t>43.97</w:t>
                  </w:r>
                </w:p>
              </w:tc>
              <w:tc>
                <w:tcPr>
                  <w:tcW w:w="996" w:type="pct"/>
                  <w:vAlign w:val="center"/>
                </w:tcPr>
                <w:p w14:paraId="530E0C3B">
                  <w:pPr>
                    <w:widowControl/>
                    <w:adjustRightInd w:val="0"/>
                    <w:snapToGrid w:val="0"/>
                    <w:jc w:val="center"/>
                    <w:rPr>
                      <w:szCs w:val="21"/>
                    </w:rPr>
                  </w:pPr>
                  <w:r>
                    <w:rPr>
                      <w:rFonts w:hint="eastAsia"/>
                      <w:szCs w:val="21"/>
                    </w:rPr>
                    <w:t>60</w:t>
                  </w:r>
                </w:p>
              </w:tc>
              <w:tc>
                <w:tcPr>
                  <w:tcW w:w="996" w:type="pct"/>
                  <w:tcBorders>
                    <w:right w:val="single" w:color="auto" w:sz="4" w:space="0"/>
                  </w:tcBorders>
                  <w:vAlign w:val="center"/>
                </w:tcPr>
                <w:p w14:paraId="02803C8E">
                  <w:pPr>
                    <w:widowControl/>
                    <w:adjustRightInd w:val="0"/>
                    <w:snapToGrid w:val="0"/>
                    <w:jc w:val="center"/>
                    <w:rPr>
                      <w:szCs w:val="21"/>
                    </w:rPr>
                  </w:pPr>
                  <w:r>
                    <w:rPr>
                      <w:rFonts w:hint="eastAsia"/>
                      <w:szCs w:val="21"/>
                    </w:rPr>
                    <w:t>达标</w:t>
                  </w:r>
                </w:p>
              </w:tc>
            </w:tr>
            <w:tr w14:paraId="225AA29A">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472" w:hRule="atLeast"/>
                <w:jc w:val="center"/>
              </w:trPr>
              <w:tc>
                <w:tcPr>
                  <w:tcW w:w="849" w:type="pct"/>
                  <w:tcBorders>
                    <w:left w:val="single" w:color="auto" w:sz="4" w:space="0"/>
                  </w:tcBorders>
                  <w:vAlign w:val="center"/>
                </w:tcPr>
                <w:p w14:paraId="7F31B5F3">
                  <w:pPr>
                    <w:widowControl/>
                    <w:adjustRightInd w:val="0"/>
                    <w:snapToGrid w:val="0"/>
                    <w:jc w:val="center"/>
                    <w:rPr>
                      <w:szCs w:val="21"/>
                    </w:rPr>
                  </w:pPr>
                  <w:r>
                    <w:rPr>
                      <w:rFonts w:hint="eastAsia"/>
                      <w:szCs w:val="21"/>
                    </w:rPr>
                    <w:t>西侧</w:t>
                  </w:r>
                </w:p>
              </w:tc>
              <w:tc>
                <w:tcPr>
                  <w:tcW w:w="1011" w:type="pct"/>
                  <w:vAlign w:val="center"/>
                </w:tcPr>
                <w:p w14:paraId="712B2E13">
                  <w:pPr>
                    <w:widowControl/>
                    <w:adjustRightInd w:val="0"/>
                    <w:snapToGrid w:val="0"/>
                    <w:jc w:val="center"/>
                    <w:rPr>
                      <w:szCs w:val="21"/>
                    </w:rPr>
                  </w:pPr>
                  <w:r>
                    <w:rPr>
                      <w:rFonts w:hint="eastAsia"/>
                      <w:szCs w:val="21"/>
                    </w:rPr>
                    <w:t>120</w:t>
                  </w:r>
                </w:p>
              </w:tc>
              <w:tc>
                <w:tcPr>
                  <w:tcW w:w="1145" w:type="pct"/>
                  <w:vAlign w:val="center"/>
                </w:tcPr>
                <w:p w14:paraId="75E8BF9A">
                  <w:pPr>
                    <w:widowControl/>
                    <w:adjustRightInd w:val="0"/>
                    <w:snapToGrid w:val="0"/>
                    <w:jc w:val="center"/>
                    <w:rPr>
                      <w:szCs w:val="21"/>
                    </w:rPr>
                  </w:pPr>
                  <w:r>
                    <w:rPr>
                      <w:rFonts w:hint="eastAsia"/>
                      <w:szCs w:val="21"/>
                    </w:rPr>
                    <w:t>48.41</w:t>
                  </w:r>
                </w:p>
              </w:tc>
              <w:tc>
                <w:tcPr>
                  <w:tcW w:w="996" w:type="pct"/>
                  <w:vAlign w:val="center"/>
                </w:tcPr>
                <w:p w14:paraId="3B946E25">
                  <w:pPr>
                    <w:widowControl/>
                    <w:adjustRightInd w:val="0"/>
                    <w:snapToGrid w:val="0"/>
                    <w:jc w:val="center"/>
                    <w:rPr>
                      <w:szCs w:val="21"/>
                    </w:rPr>
                  </w:pPr>
                  <w:r>
                    <w:rPr>
                      <w:rFonts w:hint="eastAsia"/>
                      <w:szCs w:val="21"/>
                    </w:rPr>
                    <w:t>60</w:t>
                  </w:r>
                </w:p>
              </w:tc>
              <w:tc>
                <w:tcPr>
                  <w:tcW w:w="996" w:type="pct"/>
                  <w:tcBorders>
                    <w:right w:val="single" w:color="auto" w:sz="4" w:space="0"/>
                  </w:tcBorders>
                  <w:vAlign w:val="center"/>
                </w:tcPr>
                <w:p w14:paraId="5BE52EF2">
                  <w:pPr>
                    <w:widowControl/>
                    <w:adjustRightInd w:val="0"/>
                    <w:snapToGrid w:val="0"/>
                    <w:jc w:val="center"/>
                    <w:rPr>
                      <w:szCs w:val="21"/>
                    </w:rPr>
                  </w:pPr>
                  <w:r>
                    <w:rPr>
                      <w:rFonts w:hint="eastAsia"/>
                      <w:szCs w:val="21"/>
                    </w:rPr>
                    <w:t>达标</w:t>
                  </w:r>
                </w:p>
              </w:tc>
            </w:tr>
            <w:tr w14:paraId="7917DC23">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472" w:hRule="atLeast"/>
                <w:jc w:val="center"/>
              </w:trPr>
              <w:tc>
                <w:tcPr>
                  <w:tcW w:w="849" w:type="pct"/>
                  <w:tcBorders>
                    <w:left w:val="single" w:color="auto" w:sz="4" w:space="0"/>
                    <w:bottom w:val="single" w:color="auto" w:sz="4" w:space="0"/>
                  </w:tcBorders>
                  <w:vAlign w:val="center"/>
                </w:tcPr>
                <w:p w14:paraId="3BF51B3F">
                  <w:pPr>
                    <w:widowControl/>
                    <w:adjustRightInd w:val="0"/>
                    <w:snapToGrid w:val="0"/>
                    <w:jc w:val="center"/>
                    <w:rPr>
                      <w:szCs w:val="21"/>
                    </w:rPr>
                  </w:pPr>
                  <w:r>
                    <w:rPr>
                      <w:rFonts w:hint="eastAsia"/>
                      <w:szCs w:val="21"/>
                    </w:rPr>
                    <w:t>北侧</w:t>
                  </w:r>
                </w:p>
              </w:tc>
              <w:tc>
                <w:tcPr>
                  <w:tcW w:w="1011" w:type="pct"/>
                  <w:tcBorders>
                    <w:bottom w:val="single" w:color="auto" w:sz="4" w:space="0"/>
                  </w:tcBorders>
                  <w:vAlign w:val="center"/>
                </w:tcPr>
                <w:p w14:paraId="751D270B">
                  <w:pPr>
                    <w:widowControl/>
                    <w:adjustRightInd w:val="0"/>
                    <w:snapToGrid w:val="0"/>
                    <w:jc w:val="center"/>
                    <w:rPr>
                      <w:szCs w:val="21"/>
                    </w:rPr>
                  </w:pPr>
                  <w:r>
                    <w:rPr>
                      <w:rFonts w:hint="eastAsia"/>
                      <w:szCs w:val="21"/>
                    </w:rPr>
                    <w:t>150</w:t>
                  </w:r>
                </w:p>
              </w:tc>
              <w:tc>
                <w:tcPr>
                  <w:tcW w:w="1145" w:type="pct"/>
                  <w:tcBorders>
                    <w:bottom w:val="single" w:color="auto" w:sz="4" w:space="0"/>
                  </w:tcBorders>
                  <w:vAlign w:val="center"/>
                </w:tcPr>
                <w:p w14:paraId="2784DA55">
                  <w:pPr>
                    <w:widowControl/>
                    <w:adjustRightInd w:val="0"/>
                    <w:snapToGrid w:val="0"/>
                    <w:jc w:val="center"/>
                    <w:rPr>
                      <w:szCs w:val="21"/>
                    </w:rPr>
                  </w:pPr>
                  <w:r>
                    <w:rPr>
                      <w:rFonts w:hint="eastAsia"/>
                      <w:szCs w:val="21"/>
                    </w:rPr>
                    <w:t>46.47</w:t>
                  </w:r>
                </w:p>
              </w:tc>
              <w:tc>
                <w:tcPr>
                  <w:tcW w:w="996" w:type="pct"/>
                  <w:tcBorders>
                    <w:bottom w:val="single" w:color="auto" w:sz="4" w:space="0"/>
                  </w:tcBorders>
                  <w:vAlign w:val="center"/>
                </w:tcPr>
                <w:p w14:paraId="76F7936B">
                  <w:pPr>
                    <w:widowControl/>
                    <w:adjustRightInd w:val="0"/>
                    <w:snapToGrid w:val="0"/>
                    <w:jc w:val="center"/>
                    <w:rPr>
                      <w:szCs w:val="21"/>
                    </w:rPr>
                  </w:pPr>
                  <w:r>
                    <w:rPr>
                      <w:rFonts w:hint="eastAsia"/>
                      <w:szCs w:val="21"/>
                    </w:rPr>
                    <w:t>60</w:t>
                  </w:r>
                </w:p>
              </w:tc>
              <w:tc>
                <w:tcPr>
                  <w:tcW w:w="996" w:type="pct"/>
                  <w:tcBorders>
                    <w:bottom w:val="single" w:color="auto" w:sz="4" w:space="0"/>
                    <w:right w:val="single" w:color="auto" w:sz="4" w:space="0"/>
                  </w:tcBorders>
                  <w:vAlign w:val="center"/>
                </w:tcPr>
                <w:p w14:paraId="1F170E89">
                  <w:pPr>
                    <w:widowControl/>
                    <w:adjustRightInd w:val="0"/>
                    <w:snapToGrid w:val="0"/>
                    <w:jc w:val="center"/>
                    <w:rPr>
                      <w:szCs w:val="21"/>
                    </w:rPr>
                  </w:pPr>
                  <w:r>
                    <w:rPr>
                      <w:rFonts w:hint="eastAsia"/>
                      <w:szCs w:val="21"/>
                    </w:rPr>
                    <w:t>达标</w:t>
                  </w:r>
                </w:p>
              </w:tc>
            </w:tr>
          </w:tbl>
          <w:p w14:paraId="695C1D66">
            <w:pPr>
              <w:pStyle w:val="71"/>
              <w:spacing w:line="360" w:lineRule="auto"/>
              <w:ind w:left="420" w:leftChars="200"/>
              <w:rPr>
                <w:rFonts w:ascii="Times New Roman" w:hAnsi="Times New Roman" w:eastAsia="Times New Roman" w:cs="Times New Roman"/>
                <w:kern w:val="0"/>
              </w:rPr>
            </w:pPr>
            <w:r>
              <w:rPr>
                <w:rFonts w:hint="eastAsia" w:ascii="Times New Roman" w:hAnsi="Times New Roman" w:eastAsia="Times New Roman" w:cs="Times New Roman"/>
                <w:kern w:val="0"/>
              </w:rPr>
              <w:t>（3）噪声影响预测结论</w:t>
            </w:r>
          </w:p>
          <w:p w14:paraId="26935792">
            <w:pPr>
              <w:pStyle w:val="71"/>
              <w:spacing w:line="360" w:lineRule="auto"/>
              <w:ind w:firstLine="420" w:firstLineChars="200"/>
              <w:rPr>
                <w:rFonts w:ascii="Times New Roman" w:hAnsi="Times New Roman" w:eastAsia="Times New Roman" w:cs="Times New Roman"/>
              </w:rPr>
            </w:pPr>
            <w:r>
              <w:rPr>
                <w:rFonts w:hint="eastAsia" w:ascii="Times New Roman" w:hAnsi="Times New Roman" w:eastAsia="Times New Roman" w:cs="Times New Roman"/>
              </w:rPr>
              <w:t>从上表预测结果可知，本项目生产设备通过</w:t>
            </w:r>
            <w:r>
              <w:rPr>
                <w:rFonts w:hint="eastAsia" w:ascii="Times New Roman" w:hAnsi="Times New Roman" w:cs="Times New Roman"/>
                <w:szCs w:val="21"/>
              </w:rPr>
              <w:t>选用</w:t>
            </w:r>
            <w:r>
              <w:rPr>
                <w:rFonts w:ascii="Times New Roman" w:hAnsi="Times New Roman" w:cs="Times New Roman"/>
                <w:szCs w:val="21"/>
              </w:rPr>
              <w:t>低噪声设备，基础减震、厂房隔声</w:t>
            </w:r>
            <w:r>
              <w:rPr>
                <w:rFonts w:hint="eastAsia" w:ascii="Times New Roman" w:hAnsi="Times New Roman" w:eastAsia="Times New Roman" w:cs="Times New Roman"/>
              </w:rPr>
              <w:t>等措施以及距离衰减后厂界噪声排放能够达到《工业企业厂界环境噪声排放标准》（GB 12348-2008）中的2类标准的要求。本项目厂界外周边50米无声环境保护目标。因此，运营期产生的噪声对周围声环境影响不大。</w:t>
            </w:r>
          </w:p>
          <w:p w14:paraId="3295CC48">
            <w:pPr>
              <w:pStyle w:val="71"/>
              <w:spacing w:line="360" w:lineRule="auto"/>
              <w:rPr>
                <w:rFonts w:ascii="Times New Roman" w:hAnsi="Times New Roman" w:eastAsia="Times New Roman" w:cs="Times New Roman"/>
                <w:b/>
                <w:bCs/>
              </w:rPr>
            </w:pPr>
            <w:r>
              <w:rPr>
                <w:rFonts w:hint="eastAsia" w:ascii="Times New Roman" w:hAnsi="Times New Roman" w:eastAsia="Times New Roman" w:cs="Times New Roman"/>
                <w:b/>
                <w:bCs/>
              </w:rPr>
              <w:t>4.4.3噪声防治措施</w:t>
            </w:r>
          </w:p>
          <w:p w14:paraId="732DE8D7">
            <w:pPr>
              <w:pStyle w:val="71"/>
              <w:spacing w:line="360" w:lineRule="auto"/>
              <w:ind w:firstLine="420" w:firstLineChars="200"/>
              <w:rPr>
                <w:rFonts w:ascii="Times New Roman" w:hAnsi="Times New Roman" w:eastAsia="Times New Roman" w:cs="Times New Roman"/>
              </w:rPr>
            </w:pPr>
            <w:r>
              <w:rPr>
                <w:rFonts w:hint="eastAsia" w:ascii="Times New Roman" w:hAnsi="Times New Roman" w:eastAsia="Times New Roman" w:cs="Times New Roman"/>
              </w:rPr>
              <w:t>为保证项目区内噪声环境，本环评建议建设方采取如下措施控制噪声：</w:t>
            </w:r>
          </w:p>
          <w:p w14:paraId="066BDE25">
            <w:pPr>
              <w:pStyle w:val="71"/>
              <w:spacing w:line="360" w:lineRule="auto"/>
              <w:ind w:firstLine="420" w:firstLineChars="200"/>
              <w:rPr>
                <w:rFonts w:ascii="Times New Roman" w:hAnsi="Times New Roman" w:eastAsia="Times New Roman" w:cs="Times New Roman"/>
              </w:rPr>
            </w:pPr>
            <w:r>
              <w:rPr>
                <w:rFonts w:hint="eastAsia" w:ascii="Times New Roman" w:hAnsi="Times New Roman" w:eastAsia="Times New Roman" w:cs="Times New Roman"/>
              </w:rPr>
              <w:t>①在满足工艺生产的前提下，选用设备加工精度高，装配质量好，低噪的设备，对设备基础进行减振，以减少噪声产生强度；</w:t>
            </w:r>
          </w:p>
          <w:p w14:paraId="7D4A2E04">
            <w:pPr>
              <w:pStyle w:val="71"/>
              <w:spacing w:line="360" w:lineRule="auto"/>
              <w:ind w:firstLine="420" w:firstLineChars="200"/>
              <w:rPr>
                <w:rFonts w:ascii="Times New Roman" w:hAnsi="Times New Roman" w:eastAsia="Times New Roman" w:cs="Times New Roman"/>
              </w:rPr>
            </w:pPr>
            <w:r>
              <w:rPr>
                <w:rFonts w:hint="eastAsia" w:ascii="Times New Roman" w:hAnsi="Times New Roman" w:eastAsia="Times New Roman" w:cs="Times New Roman"/>
              </w:rPr>
              <w:t>②加强管理，提高职工的环保意识教育，提倡文明生产，降低人为噪声；</w:t>
            </w:r>
          </w:p>
          <w:p w14:paraId="4C16921F">
            <w:pPr>
              <w:pStyle w:val="71"/>
              <w:spacing w:line="360" w:lineRule="auto"/>
              <w:ind w:firstLine="420" w:firstLineChars="200"/>
              <w:rPr>
                <w:rFonts w:ascii="Times New Roman" w:hAnsi="Times New Roman" w:eastAsia="Times New Roman" w:cs="Times New Roman"/>
              </w:rPr>
            </w:pPr>
            <w:r>
              <w:rPr>
                <w:rFonts w:hint="eastAsia" w:ascii="Times New Roman" w:hAnsi="Times New Roman" w:eastAsia="Times New Roman" w:cs="Times New Roman"/>
              </w:rPr>
              <w:t>③建立设备定期维护、保养的管理制度，以防止设备故障形成的非正常生产噪声。</w:t>
            </w:r>
          </w:p>
          <w:p w14:paraId="03DB9A43">
            <w:pPr>
              <w:pStyle w:val="71"/>
              <w:spacing w:line="360" w:lineRule="auto"/>
              <w:ind w:firstLine="420" w:firstLineChars="200"/>
              <w:rPr>
                <w:rFonts w:ascii="Times New Roman" w:hAnsi="Times New Roman" w:eastAsia="Times New Roman" w:cs="Times New Roman"/>
              </w:rPr>
            </w:pPr>
            <w:r>
              <w:rPr>
                <w:rFonts w:hint="eastAsia" w:ascii="Times New Roman" w:hAnsi="Times New Roman" w:eastAsia="Times New Roman" w:cs="Times New Roman"/>
              </w:rPr>
              <w:t xml:space="preserve">经过以上降噪措施，加之距离衰减作用，噪声传至项目区边界的声强满足《工业企业厂界环境噪声排放标准》（GB </w:t>
            </w:r>
            <w:r>
              <w:rPr>
                <w:rFonts w:ascii="Times New Roman" w:hAnsi="Times New Roman" w:eastAsia="Times New Roman" w:cs="Times New Roman"/>
              </w:rPr>
              <w:t>12348-2008</w:t>
            </w:r>
            <w:r>
              <w:rPr>
                <w:rFonts w:hint="eastAsia" w:ascii="Times New Roman" w:hAnsi="Times New Roman" w:eastAsia="Times New Roman" w:cs="Times New Roman"/>
              </w:rPr>
              <w:t>）中2类标准要求，不会对周围环境产生明显影响。</w:t>
            </w:r>
          </w:p>
          <w:p w14:paraId="4AE05A4C">
            <w:pPr>
              <w:pStyle w:val="71"/>
              <w:spacing w:line="360" w:lineRule="auto"/>
              <w:rPr>
                <w:rFonts w:ascii="Times New Roman" w:hAnsi="Times New Roman" w:eastAsia="Times New Roman" w:cs="Times New Roman"/>
                <w:b/>
                <w:bCs/>
                <w:kern w:val="0"/>
              </w:rPr>
            </w:pPr>
            <w:r>
              <w:rPr>
                <w:rFonts w:hint="eastAsia" w:ascii="Times New Roman" w:hAnsi="Times New Roman" w:eastAsia="Times New Roman" w:cs="Times New Roman"/>
                <w:b/>
                <w:bCs/>
                <w:kern w:val="0"/>
              </w:rPr>
              <w:t>4.4.4监测计划</w:t>
            </w:r>
          </w:p>
          <w:p w14:paraId="121BA244">
            <w:pPr>
              <w:spacing w:line="360" w:lineRule="auto"/>
              <w:ind w:firstLine="420" w:firstLineChars="200"/>
            </w:pPr>
            <w:r>
              <w:t>本工程营运期</w:t>
            </w:r>
            <w:r>
              <w:rPr>
                <w:rFonts w:hint="eastAsia"/>
              </w:rPr>
              <w:t>噪声</w:t>
            </w:r>
            <w:r>
              <w:t>监测方案计划见表</w:t>
            </w:r>
            <w:r>
              <w:rPr>
                <w:rFonts w:hint="eastAsia"/>
              </w:rPr>
              <w:t>4-1</w:t>
            </w:r>
            <w:r>
              <w:rPr>
                <w:rFonts w:hint="eastAsia"/>
                <w:lang w:val="en-US" w:eastAsia="zh-CN"/>
              </w:rPr>
              <w:t>1</w:t>
            </w:r>
            <w:r>
              <w:t>。</w:t>
            </w:r>
          </w:p>
          <w:p w14:paraId="1B20073D">
            <w:pPr>
              <w:spacing w:line="360" w:lineRule="auto"/>
              <w:ind w:firstLine="422" w:firstLineChars="200"/>
              <w:jc w:val="center"/>
              <w:rPr>
                <w:b/>
                <w:bCs/>
              </w:rPr>
            </w:pPr>
            <w:r>
              <w:rPr>
                <w:b/>
                <w:bCs/>
              </w:rPr>
              <w:t>表</w:t>
            </w:r>
            <w:r>
              <w:rPr>
                <w:rFonts w:hint="eastAsia"/>
                <w:b/>
                <w:bCs/>
              </w:rPr>
              <w:t>4-1</w:t>
            </w:r>
            <w:r>
              <w:rPr>
                <w:rFonts w:hint="eastAsia"/>
                <w:b/>
                <w:bCs/>
                <w:lang w:val="en-US" w:eastAsia="zh-CN"/>
              </w:rPr>
              <w:t>1</w:t>
            </w:r>
            <w:r>
              <w:rPr>
                <w:rFonts w:hint="eastAsia"/>
                <w:b/>
                <w:bCs/>
              </w:rPr>
              <w:t xml:space="preserve">  </w:t>
            </w:r>
            <w:r>
              <w:rPr>
                <w:b/>
                <w:bCs/>
              </w:rPr>
              <w:t>运营期</w:t>
            </w:r>
            <w:r>
              <w:rPr>
                <w:rFonts w:hint="eastAsia"/>
                <w:b/>
                <w:bCs/>
              </w:rPr>
              <w:t>噪声</w:t>
            </w:r>
            <w:r>
              <w:rPr>
                <w:b/>
                <w:bCs/>
              </w:rPr>
              <w:t>监测</w:t>
            </w:r>
            <w:r>
              <w:rPr>
                <w:rFonts w:hint="eastAsia"/>
                <w:b/>
                <w:bCs/>
              </w:rPr>
              <w:t>计划表</w:t>
            </w:r>
          </w:p>
          <w:tbl>
            <w:tblPr>
              <w:tblStyle w:val="3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1873"/>
              <w:gridCol w:w="1617"/>
              <w:gridCol w:w="3478"/>
            </w:tblGrid>
            <w:tr w14:paraId="7475B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760" w:type="pct"/>
                  <w:vAlign w:val="center"/>
                </w:tcPr>
                <w:p w14:paraId="589CE404">
                  <w:pPr>
                    <w:snapToGrid w:val="0"/>
                    <w:contextualSpacing/>
                    <w:jc w:val="center"/>
                    <w:rPr>
                      <w:b/>
                      <w:bCs/>
                    </w:rPr>
                  </w:pPr>
                  <w:r>
                    <w:rPr>
                      <w:b/>
                      <w:bCs/>
                    </w:rPr>
                    <w:t>监测点位</w:t>
                  </w:r>
                </w:p>
              </w:tc>
              <w:tc>
                <w:tcPr>
                  <w:tcW w:w="1139" w:type="pct"/>
                  <w:vAlign w:val="center"/>
                </w:tcPr>
                <w:p w14:paraId="5DDED412">
                  <w:pPr>
                    <w:snapToGrid w:val="0"/>
                    <w:contextualSpacing/>
                    <w:jc w:val="center"/>
                    <w:rPr>
                      <w:b/>
                      <w:bCs/>
                    </w:rPr>
                  </w:pPr>
                  <w:r>
                    <w:rPr>
                      <w:b/>
                      <w:bCs/>
                    </w:rPr>
                    <w:t>监测</w:t>
                  </w:r>
                  <w:r>
                    <w:rPr>
                      <w:rFonts w:hint="eastAsia"/>
                      <w:b/>
                      <w:bCs/>
                    </w:rPr>
                    <w:t>指标</w:t>
                  </w:r>
                </w:p>
              </w:tc>
              <w:tc>
                <w:tcPr>
                  <w:tcW w:w="984" w:type="pct"/>
                  <w:vAlign w:val="center"/>
                </w:tcPr>
                <w:p w14:paraId="0E723FAF">
                  <w:pPr>
                    <w:snapToGrid w:val="0"/>
                    <w:contextualSpacing/>
                    <w:jc w:val="center"/>
                    <w:rPr>
                      <w:b/>
                      <w:bCs/>
                    </w:rPr>
                  </w:pPr>
                  <w:r>
                    <w:rPr>
                      <w:b/>
                      <w:bCs/>
                    </w:rPr>
                    <w:t>监测频次</w:t>
                  </w:r>
                </w:p>
              </w:tc>
              <w:tc>
                <w:tcPr>
                  <w:tcW w:w="2116" w:type="pct"/>
                  <w:vAlign w:val="center"/>
                </w:tcPr>
                <w:p w14:paraId="2FE82909">
                  <w:pPr>
                    <w:snapToGrid w:val="0"/>
                    <w:contextualSpacing/>
                    <w:jc w:val="center"/>
                    <w:rPr>
                      <w:b/>
                      <w:bCs/>
                    </w:rPr>
                  </w:pPr>
                  <w:r>
                    <w:rPr>
                      <w:b/>
                      <w:bCs/>
                    </w:rPr>
                    <w:t>执行排放标准</w:t>
                  </w:r>
                </w:p>
              </w:tc>
            </w:tr>
            <w:tr w14:paraId="762F6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0" w:type="pct"/>
                  <w:vAlign w:val="center"/>
                </w:tcPr>
                <w:p w14:paraId="03341E83">
                  <w:pPr>
                    <w:snapToGrid w:val="0"/>
                    <w:contextualSpacing/>
                    <w:jc w:val="center"/>
                  </w:pPr>
                  <w:r>
                    <w:rPr>
                      <w:rFonts w:hint="eastAsia"/>
                    </w:rPr>
                    <w:t>企业</w:t>
                  </w:r>
                  <w:r>
                    <w:t>厂界</w:t>
                  </w:r>
                  <w:r>
                    <w:rPr>
                      <w:rFonts w:hint="eastAsia"/>
                    </w:rPr>
                    <w:t>四周</w:t>
                  </w:r>
                </w:p>
              </w:tc>
              <w:tc>
                <w:tcPr>
                  <w:tcW w:w="1139" w:type="pct"/>
                  <w:vAlign w:val="center"/>
                </w:tcPr>
                <w:p w14:paraId="0A0D2CE3">
                  <w:pPr>
                    <w:snapToGrid w:val="0"/>
                    <w:contextualSpacing/>
                    <w:jc w:val="center"/>
                  </w:pPr>
                  <w:r>
                    <w:t>等效</w:t>
                  </w:r>
                  <w:r>
                    <w:rPr>
                      <w:rFonts w:hint="eastAsia"/>
                    </w:rPr>
                    <w:t>A</w:t>
                  </w:r>
                  <w:r>
                    <w:t>声级</w:t>
                  </w:r>
                </w:p>
              </w:tc>
              <w:tc>
                <w:tcPr>
                  <w:tcW w:w="984" w:type="pct"/>
                  <w:vAlign w:val="center"/>
                </w:tcPr>
                <w:p w14:paraId="0AAE248D">
                  <w:pPr>
                    <w:snapToGrid w:val="0"/>
                    <w:contextualSpacing/>
                    <w:jc w:val="center"/>
                  </w:pPr>
                  <w:r>
                    <w:t>每季度一次</w:t>
                  </w:r>
                </w:p>
              </w:tc>
              <w:tc>
                <w:tcPr>
                  <w:tcW w:w="2116" w:type="pct"/>
                  <w:vAlign w:val="center"/>
                </w:tcPr>
                <w:p w14:paraId="355B8953">
                  <w:pPr>
                    <w:snapToGrid w:val="0"/>
                    <w:contextualSpacing/>
                    <w:jc w:val="center"/>
                  </w:pPr>
                  <w:r>
                    <w:t>《工业企业厂界环境噪声排放标准》（</w:t>
                  </w:r>
                  <w:r>
                    <w:rPr>
                      <w:rFonts w:hint="eastAsia"/>
                    </w:rPr>
                    <w:t xml:space="preserve">GB </w:t>
                  </w:r>
                  <w:r>
                    <w:t>12348-2008）</w:t>
                  </w:r>
                  <w:r>
                    <w:rPr>
                      <w:rFonts w:hint="eastAsia"/>
                    </w:rPr>
                    <w:t>2</w:t>
                  </w:r>
                  <w:r>
                    <w:t>类标准限</w:t>
                  </w:r>
                </w:p>
              </w:tc>
            </w:tr>
          </w:tbl>
          <w:p w14:paraId="1DC2B431">
            <w:pPr>
              <w:pStyle w:val="71"/>
              <w:spacing w:line="360" w:lineRule="auto"/>
              <w:rPr>
                <w:rFonts w:ascii="Times New Roman" w:hAnsi="Times New Roman" w:cs="Times New Roman"/>
                <w:b/>
                <w:bCs/>
              </w:rPr>
            </w:pPr>
            <w:r>
              <w:rPr>
                <w:rFonts w:hint="eastAsia" w:ascii="Times New Roman" w:hAnsi="Times New Roman" w:cs="Times New Roman"/>
                <w:b/>
                <w:bCs/>
              </w:rPr>
              <w:t>4.5</w:t>
            </w:r>
            <w:r>
              <w:rPr>
                <w:rFonts w:hint="eastAsia" w:ascii="Times New Roman" w:hAnsi="Times New Roman" w:eastAsia="Times New Roman" w:cs="Times New Roman"/>
                <w:b/>
                <w:bCs/>
                <w:kern w:val="0"/>
              </w:rPr>
              <w:t>固体废物</w:t>
            </w:r>
            <w:r>
              <w:rPr>
                <w:rFonts w:hint="eastAsia" w:ascii="Times New Roman" w:hAnsi="Times New Roman" w:cs="Times New Roman"/>
                <w:b/>
                <w:bCs/>
              </w:rPr>
              <w:t>环境影响及保护措施</w:t>
            </w:r>
          </w:p>
          <w:p w14:paraId="56A41046">
            <w:pPr>
              <w:pStyle w:val="71"/>
              <w:spacing w:line="360" w:lineRule="auto"/>
              <w:rPr>
                <w:rFonts w:ascii="Times New Roman" w:hAnsi="Times New Roman" w:eastAsia="Times New Roman" w:cs="Times New Roman"/>
                <w:b/>
                <w:bCs/>
                <w:kern w:val="0"/>
              </w:rPr>
            </w:pPr>
            <w:r>
              <w:rPr>
                <w:rFonts w:hint="eastAsia" w:ascii="Times New Roman" w:hAnsi="Times New Roman" w:eastAsia="Times New Roman" w:cs="Times New Roman"/>
                <w:b/>
                <w:bCs/>
                <w:kern w:val="0"/>
              </w:rPr>
              <w:t>4.5.1污染源分析</w:t>
            </w:r>
          </w:p>
          <w:p w14:paraId="518D1642">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本项目</w:t>
            </w:r>
            <w:r>
              <w:rPr>
                <w:rFonts w:hint="eastAsia" w:ascii="Times New Roman" w:hAnsi="Times New Roman" w:eastAsia="Times New Roman" w:cs="Times New Roman"/>
              </w:rPr>
              <w:t>固体废物主要为除尘器收集的粉尘、</w:t>
            </w:r>
            <w:r>
              <w:rPr>
                <w:rFonts w:hint="eastAsia" w:cs="Times New Roman"/>
              </w:rPr>
              <w:t>洗车槽沉淀的少量原料、</w:t>
            </w:r>
            <w:r>
              <w:rPr>
                <w:rFonts w:hint="eastAsia" w:ascii="Times New Roman" w:hAnsi="Times New Roman" w:eastAsia="Times New Roman" w:cs="Times New Roman"/>
              </w:rPr>
              <w:t>滴漏沥青、生活垃圾</w:t>
            </w:r>
            <w:r>
              <w:rPr>
                <w:rFonts w:hint="eastAsia" w:ascii="Times New Roman" w:hAnsi="Times New Roman" w:eastAsia="Times New Roman" w:cs="Times New Roman"/>
                <w:kern w:val="0"/>
              </w:rPr>
              <w:t>。危险废物为废导热油</w:t>
            </w:r>
            <w:r>
              <w:rPr>
                <w:rFonts w:ascii="Times New Roman" w:hAnsi="Times New Roman" w:cs="Times New Roman"/>
                <w:bCs/>
                <w:kern w:val="0"/>
                <w:szCs w:val="21"/>
              </w:rPr>
              <w:t>HW08</w:t>
            </w:r>
            <w:r>
              <w:rPr>
                <w:rFonts w:ascii="Times New Roman" w:hAnsi="Times New Roman" w:eastAsia="Times New Roman" w:cs="Times New Roman"/>
                <w:kern w:val="0"/>
              </w:rPr>
              <w:t>（900-249-08）、废活性炭</w:t>
            </w:r>
            <w:r>
              <w:rPr>
                <w:rFonts w:ascii="Times New Roman" w:hAnsi="Times New Roman" w:cs="Times New Roman"/>
                <w:bCs/>
                <w:kern w:val="0"/>
                <w:szCs w:val="21"/>
              </w:rPr>
              <w:t>HW49</w:t>
            </w:r>
            <w:r>
              <w:rPr>
                <w:rFonts w:ascii="Times New Roman" w:hAnsi="Times New Roman" w:cs="Times New Roman"/>
                <w:szCs w:val="21"/>
              </w:rPr>
              <w:t>（900-039-49）</w:t>
            </w:r>
            <w:r>
              <w:rPr>
                <w:rFonts w:ascii="Times New Roman" w:hAnsi="Times New Roman" w:eastAsia="Times New Roman" w:cs="Times New Roman"/>
                <w:kern w:val="0"/>
              </w:rPr>
              <w:t>和废机油</w:t>
            </w:r>
            <w:r>
              <w:rPr>
                <w:rFonts w:ascii="Times New Roman" w:hAnsi="Times New Roman" w:cs="Times New Roman"/>
                <w:bCs/>
                <w:szCs w:val="21"/>
              </w:rPr>
              <w:t>HW08（</w:t>
            </w:r>
            <w:r>
              <w:rPr>
                <w:rFonts w:ascii="Times New Roman" w:hAnsi="Times New Roman" w:cs="Times New Roman"/>
                <w:szCs w:val="21"/>
              </w:rPr>
              <w:t>900-249-08</w:t>
            </w:r>
            <w:r>
              <w:rPr>
                <w:rFonts w:ascii="Times New Roman" w:hAnsi="Times New Roman" w:cs="Times New Roman"/>
                <w:bCs/>
                <w:szCs w:val="21"/>
              </w:rPr>
              <w:t>）</w:t>
            </w:r>
            <w:r>
              <w:rPr>
                <w:rFonts w:ascii="Times New Roman" w:hAnsi="Times New Roman" w:eastAsia="Times New Roman" w:cs="Times New Roman"/>
                <w:kern w:val="0"/>
              </w:rPr>
              <w:t>。</w:t>
            </w:r>
          </w:p>
          <w:p w14:paraId="732DD3A9">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b/>
                <w:bCs/>
                <w:kern w:val="0"/>
              </w:rPr>
              <w:t>4.5.1.1一般固废</w:t>
            </w:r>
          </w:p>
          <w:p w14:paraId="773327EA">
            <w:pPr>
              <w:spacing w:line="360" w:lineRule="auto"/>
              <w:ind w:firstLine="420" w:firstLineChars="200"/>
              <w:jc w:val="left"/>
              <w:textAlignment w:val="baseline"/>
              <w:rPr>
                <w:rFonts w:eastAsia="Times New Roman"/>
                <w:kern w:val="0"/>
              </w:rPr>
            </w:pPr>
            <w:r>
              <w:rPr>
                <w:rFonts w:hint="eastAsia" w:eastAsia="Times New Roman"/>
                <w:kern w:val="0"/>
              </w:rPr>
              <w:t>（1）</w:t>
            </w:r>
            <w:r>
              <w:rPr>
                <w:rFonts w:hint="eastAsia" w:eastAsia="Times New Roman"/>
              </w:rPr>
              <w:t>除尘器收集的粉尘</w:t>
            </w:r>
            <w:r>
              <w:rPr>
                <w:rFonts w:hint="eastAsia"/>
                <w:szCs w:val="21"/>
              </w:rPr>
              <w:t>（302-001-66）</w:t>
            </w:r>
          </w:p>
          <w:p w14:paraId="57BC7E62">
            <w:pPr>
              <w:spacing w:line="360" w:lineRule="auto"/>
              <w:ind w:firstLine="420" w:firstLineChars="200"/>
              <w:rPr>
                <w:szCs w:val="20"/>
              </w:rPr>
            </w:pPr>
            <w:r>
              <w:rPr>
                <w:szCs w:val="20"/>
              </w:rPr>
              <w:t>本项目沥青混凝土生产线产生废气采用</w:t>
            </w:r>
            <w:r>
              <w:rPr>
                <w:rFonts w:hint="eastAsia"/>
                <w:szCs w:val="20"/>
              </w:rPr>
              <w:t>布袋除尘器</w:t>
            </w:r>
            <w:r>
              <w:rPr>
                <w:szCs w:val="20"/>
              </w:rPr>
              <w:t>进行除尘，收集的粉尘量约</w:t>
            </w:r>
            <w:r>
              <w:rPr>
                <w:rFonts w:hint="eastAsia"/>
                <w:szCs w:val="20"/>
              </w:rPr>
              <w:t>29.9</w:t>
            </w:r>
            <w:r>
              <w:rPr>
                <w:szCs w:val="20"/>
              </w:rPr>
              <w:t>t/a</w:t>
            </w:r>
            <w:r>
              <w:rPr>
                <w:rFonts w:hint="eastAsia"/>
                <w:szCs w:val="20"/>
              </w:rPr>
              <w:t>，回用于生产；</w:t>
            </w:r>
            <w:r>
              <w:rPr>
                <w:szCs w:val="20"/>
              </w:rPr>
              <w:t>水稳拌合料生产线除尘器进行除尘，收集的</w:t>
            </w:r>
            <w:r>
              <w:rPr>
                <w:szCs w:val="21"/>
              </w:rPr>
              <w:t>粉尘量约</w:t>
            </w:r>
            <w:r>
              <w:rPr>
                <w:rFonts w:hint="eastAsia"/>
                <w:szCs w:val="21"/>
                <w:lang w:bidi="ar"/>
              </w:rPr>
              <w:t>49.8t/a</w:t>
            </w:r>
            <w:r>
              <w:rPr>
                <w:rFonts w:hint="eastAsia"/>
                <w:szCs w:val="21"/>
              </w:rPr>
              <w:t>。</w:t>
            </w:r>
            <w:r>
              <w:rPr>
                <w:szCs w:val="21"/>
              </w:rPr>
              <w:t>水</w:t>
            </w:r>
            <w:r>
              <w:rPr>
                <w:rFonts w:hint="eastAsia"/>
                <w:szCs w:val="21"/>
              </w:rPr>
              <w:t>稳砼生产线回</w:t>
            </w:r>
            <w:r>
              <w:rPr>
                <w:rFonts w:hint="eastAsia"/>
                <w:szCs w:val="20"/>
              </w:rPr>
              <w:t>收的粉尘</w:t>
            </w:r>
            <w:r>
              <w:rPr>
                <w:szCs w:val="20"/>
              </w:rPr>
              <w:t>暂存于回收粉仓内，回用于搅拌工序。</w:t>
            </w:r>
          </w:p>
          <w:p w14:paraId="1EB84EE9">
            <w:pPr>
              <w:pStyle w:val="71"/>
              <w:spacing w:line="360" w:lineRule="auto"/>
              <w:ind w:firstLine="420" w:firstLineChars="200"/>
              <w:rPr>
                <w:rFonts w:ascii="Times New Roman" w:hAnsi="Times New Roman" w:eastAsia="Times New Roman" w:cs="Times New Roman"/>
              </w:rPr>
            </w:pPr>
            <w:r>
              <w:rPr>
                <w:rFonts w:hint="eastAsia" w:ascii="Times New Roman" w:hAnsi="Times New Roman" w:eastAsia="Times New Roman" w:cs="Times New Roman"/>
              </w:rPr>
              <w:t>（2）</w:t>
            </w:r>
            <w:r>
              <w:rPr>
                <w:rFonts w:hint="eastAsia" w:cs="Times New Roman"/>
              </w:rPr>
              <w:t>洗车槽沉淀少量原</w:t>
            </w:r>
            <w:r>
              <w:rPr>
                <w:rFonts w:ascii="Times New Roman" w:hAnsi="Times New Roman" w:cs="Times New Roman"/>
              </w:rPr>
              <w:t>料</w:t>
            </w:r>
            <w:r>
              <w:rPr>
                <w:rFonts w:ascii="Times New Roman" w:hAnsi="Times New Roman" w:cs="Times New Roman"/>
                <w:szCs w:val="21"/>
              </w:rPr>
              <w:t>（302-001-44）</w:t>
            </w:r>
          </w:p>
          <w:p w14:paraId="39877522">
            <w:pPr>
              <w:pStyle w:val="71"/>
              <w:spacing w:line="360" w:lineRule="auto"/>
              <w:ind w:firstLine="420" w:firstLineChars="200"/>
              <w:rPr>
                <w:rFonts w:ascii="Times New Roman" w:hAnsi="Times New Roman" w:cs="Times New Roman"/>
                <w:highlight w:val="yellow"/>
              </w:rPr>
            </w:pPr>
            <w:r>
              <w:rPr>
                <w:rFonts w:hint="eastAsia" w:ascii="Times New Roman" w:hAnsi="Times New Roman" w:cs="Times New Roman"/>
                <w:szCs w:val="20"/>
              </w:rPr>
              <w:t>车辆经</w:t>
            </w:r>
            <w:r>
              <w:rPr>
                <w:rFonts w:ascii="Times New Roman" w:hAnsi="Times New Roman" w:cs="Times New Roman"/>
                <w:szCs w:val="20"/>
              </w:rPr>
              <w:t>过洗车槽时会有少量原料沉淀在水槽中。</w:t>
            </w:r>
            <w:r>
              <w:rPr>
                <w:rFonts w:ascii="Times New Roman" w:hAnsi="Times New Roman" w:cs="Times New Roman"/>
              </w:rPr>
              <w:t>尘水槽时沉淀的少量原料收集后回用于生产；</w:t>
            </w:r>
            <w:r>
              <w:rPr>
                <w:rFonts w:ascii="Times New Roman" w:hAnsi="Times New Roman" w:cs="Times New Roman"/>
                <w:szCs w:val="20"/>
              </w:rPr>
              <w:t>参照同类企业，沉淀原料的年产生量约为0.3t/a，经收集后回用。</w:t>
            </w:r>
          </w:p>
          <w:p w14:paraId="1BE38A6A">
            <w:pPr>
              <w:pStyle w:val="71"/>
              <w:spacing w:line="360" w:lineRule="auto"/>
              <w:ind w:firstLine="420" w:firstLineChars="200"/>
              <w:rPr>
                <w:rFonts w:ascii="Times New Roman" w:hAnsi="Times New Roman" w:eastAsia="Times New Roman" w:cs="Times New Roman"/>
              </w:rPr>
            </w:pPr>
            <w:r>
              <w:rPr>
                <w:rFonts w:ascii="Times New Roman" w:hAnsi="Times New Roman" w:eastAsia="Times New Roman" w:cs="Times New Roman"/>
              </w:rPr>
              <w:t>（3）</w:t>
            </w:r>
            <w:r>
              <w:rPr>
                <w:rFonts w:ascii="Times New Roman" w:hAnsi="Times New Roman" w:cs="Times New Roman"/>
              </w:rPr>
              <w:t>滴漏沥青</w:t>
            </w:r>
            <w:r>
              <w:rPr>
                <w:rFonts w:ascii="Times New Roman" w:hAnsi="Times New Roman" w:cs="Times New Roman"/>
                <w:szCs w:val="21"/>
              </w:rPr>
              <w:t>（302-999-99）</w:t>
            </w:r>
          </w:p>
          <w:p w14:paraId="342622BE">
            <w:pPr>
              <w:pStyle w:val="71"/>
              <w:spacing w:line="360" w:lineRule="auto"/>
              <w:ind w:firstLine="420" w:firstLineChars="200"/>
              <w:rPr>
                <w:rFonts w:ascii="Times New Roman" w:hAnsi="Times New Roman" w:cs="Times New Roman"/>
                <w:color w:val="auto"/>
                <w:szCs w:val="20"/>
              </w:rPr>
            </w:pPr>
            <w:r>
              <w:rPr>
                <w:rFonts w:ascii="Times New Roman" w:hAnsi="Times New Roman" w:cs="Times New Roman"/>
                <w:szCs w:val="20"/>
              </w:rPr>
              <w:t>散装沥青运输车辆将沥青输入厂区内沥青储罐时，由于接口的密闭性问题及操作规范程度，会滴漏少量沥青，沥青的滴漏量和项目使用设备及生产管理水平有关。沥青暴露于常温下时呈凝固状态，不会四处流溢。参照同类企业，滴漏沥青年产生量约为0.07t/a，经收集</w:t>
            </w:r>
            <w:r>
              <w:rPr>
                <w:rFonts w:ascii="Times New Roman" w:hAnsi="Times New Roman" w:cs="Times New Roman"/>
                <w:color w:val="auto"/>
                <w:szCs w:val="20"/>
              </w:rPr>
              <w:t>后回用于搅拌工序。</w:t>
            </w:r>
          </w:p>
          <w:p w14:paraId="1E1922F5">
            <w:pPr>
              <w:pStyle w:val="71"/>
              <w:spacing w:line="360" w:lineRule="auto"/>
              <w:ind w:left="420" w:leftChars="200"/>
              <w:rPr>
                <w:rFonts w:ascii="Times New Roman" w:hAnsi="Times New Roman" w:cs="Times New Roman"/>
                <w:color w:val="auto"/>
                <w:szCs w:val="21"/>
              </w:rPr>
            </w:pPr>
            <w:r>
              <w:rPr>
                <w:rFonts w:ascii="Times New Roman" w:hAnsi="Times New Roman" w:eastAsia="Times New Roman" w:cs="Times New Roman"/>
                <w:color w:val="auto"/>
                <w:kern w:val="0"/>
              </w:rPr>
              <w:t>（4）生活垃圾</w:t>
            </w:r>
            <w:r>
              <w:rPr>
                <w:rFonts w:ascii="Times New Roman" w:hAnsi="Times New Roman" w:cs="Times New Roman"/>
                <w:color w:val="auto"/>
                <w:szCs w:val="21"/>
              </w:rPr>
              <w:t>（900-999-99）</w:t>
            </w:r>
          </w:p>
          <w:p w14:paraId="01CC070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eastAsia="Times New Roman" w:cs="Times New Roman"/>
                <w:color w:val="auto"/>
                <w:kern w:val="0"/>
              </w:rPr>
            </w:pPr>
            <w:r>
              <w:rPr>
                <w:rFonts w:ascii="Times New Roman" w:hAnsi="Times New Roman" w:eastAsia="Times New Roman" w:cs="Times New Roman"/>
                <w:color w:val="auto"/>
                <w:kern w:val="0"/>
              </w:rPr>
              <w:t>本项目劳动定员共16人，每天生活垃圾产生量按人均1kg来计算，则生活垃圾产生量约为2.88t/a，委托环卫部门</w:t>
            </w:r>
            <w:r>
              <w:rPr>
                <w:color w:val="auto"/>
                <w:highlight w:val="none"/>
              </w:rPr>
              <w:t>定期清运</w:t>
            </w:r>
            <w:r>
              <w:rPr>
                <w:rFonts w:hint="eastAsia"/>
                <w:color w:val="auto"/>
                <w:highlight w:val="none"/>
              </w:rPr>
              <w:t>至</w:t>
            </w:r>
            <w:r>
              <w:rPr>
                <w:rFonts w:hint="eastAsia"/>
                <w:color w:val="auto"/>
                <w:highlight w:val="none"/>
                <w:lang w:val="en-US" w:eastAsia="zh-CN"/>
              </w:rPr>
              <w:t>运距约为5km的胡杨河市第七师130团11连</w:t>
            </w:r>
            <w:r>
              <w:rPr>
                <w:rFonts w:hint="eastAsia"/>
                <w:color w:val="auto"/>
                <w:highlight w:val="none"/>
              </w:rPr>
              <w:t>垃圾填埋场</w:t>
            </w:r>
            <w:r>
              <w:rPr>
                <w:rFonts w:ascii="Times New Roman" w:hAnsi="Times New Roman" w:eastAsia="Times New Roman" w:cs="Times New Roman"/>
                <w:color w:val="auto"/>
                <w:kern w:val="0"/>
              </w:rPr>
              <w:t>。</w:t>
            </w:r>
          </w:p>
          <w:p w14:paraId="008F0A7A">
            <w:pPr>
              <w:pStyle w:val="71"/>
              <w:spacing w:line="360" w:lineRule="auto"/>
              <w:ind w:firstLine="420" w:firstLineChars="200"/>
              <w:rPr>
                <w:rFonts w:ascii="Times New Roman" w:hAnsi="Times New Roman" w:eastAsia="Times New Roman" w:cs="Times New Roman"/>
                <w:b/>
                <w:bCs/>
                <w:color w:val="auto"/>
                <w:kern w:val="0"/>
              </w:rPr>
            </w:pPr>
            <w:r>
              <w:rPr>
                <w:rFonts w:ascii="Times New Roman" w:hAnsi="Times New Roman" w:eastAsia="Times New Roman" w:cs="Times New Roman"/>
                <w:b/>
                <w:bCs/>
                <w:color w:val="auto"/>
                <w:kern w:val="0"/>
              </w:rPr>
              <w:t>4.5.1.2危险废物</w:t>
            </w:r>
          </w:p>
          <w:p w14:paraId="68AC9E3B">
            <w:pPr>
              <w:pStyle w:val="37"/>
              <w:ind w:firstLine="420"/>
              <w:rPr>
                <w:rFonts w:eastAsia="Times New Roman" w:cs="Times New Roman"/>
                <w:color w:val="auto"/>
                <w:kern w:val="0"/>
                <w:sz w:val="21"/>
                <w:szCs w:val="24"/>
              </w:rPr>
            </w:pPr>
            <w:r>
              <w:rPr>
                <w:rFonts w:eastAsia="Times New Roman" w:cs="Times New Roman"/>
                <w:color w:val="auto"/>
                <w:kern w:val="0"/>
                <w:sz w:val="21"/>
                <w:szCs w:val="24"/>
              </w:rPr>
              <w:t>（1）废导热油（900-249-08）：本项目导热油更换周期为5年，废导热油（900-249-08）产生量为3t/5年。对照最新的《国家危险废物名录》（2021年版），其危险废物</w:t>
            </w:r>
            <w:r>
              <w:rPr>
                <w:rFonts w:hint="eastAsia" w:eastAsia="Times New Roman" w:cs="Times New Roman"/>
                <w:color w:val="auto"/>
                <w:kern w:val="0"/>
                <w:sz w:val="21"/>
                <w:szCs w:val="24"/>
              </w:rPr>
              <w:t>类别为</w:t>
            </w:r>
            <w:r>
              <w:rPr>
                <w:rFonts w:cs="Times New Roman"/>
                <w:bCs/>
                <w:color w:val="auto"/>
                <w:kern w:val="0"/>
                <w:sz w:val="21"/>
                <w:szCs w:val="21"/>
              </w:rPr>
              <w:t>HW</w:t>
            </w:r>
            <w:r>
              <w:rPr>
                <w:rFonts w:hint="eastAsia" w:cs="Times New Roman"/>
                <w:bCs/>
                <w:color w:val="auto"/>
                <w:kern w:val="0"/>
                <w:sz w:val="21"/>
                <w:szCs w:val="21"/>
              </w:rPr>
              <w:t>08</w:t>
            </w:r>
            <w:r>
              <w:rPr>
                <w:rFonts w:hint="eastAsia" w:eastAsia="Times New Roman" w:cs="Times New Roman"/>
                <w:color w:val="auto"/>
                <w:kern w:val="0"/>
                <w:sz w:val="21"/>
                <w:szCs w:val="24"/>
              </w:rPr>
              <w:t>类，危废代码为900-249-08。</w:t>
            </w:r>
          </w:p>
          <w:p w14:paraId="4EF01187">
            <w:pPr>
              <w:pStyle w:val="71"/>
              <w:spacing w:line="360" w:lineRule="auto"/>
              <w:ind w:firstLine="420" w:firstLineChars="200"/>
              <w:rPr>
                <w:rFonts w:ascii="Times New Roman" w:hAnsi="Times New Roman" w:eastAsia="Times New Roman" w:cs="Times New Roman"/>
                <w:color w:val="auto"/>
                <w:kern w:val="0"/>
              </w:rPr>
            </w:pPr>
            <w:r>
              <w:rPr>
                <w:rFonts w:hint="eastAsia" w:ascii="Times New Roman" w:hAnsi="Times New Roman" w:eastAsia="Times New Roman" w:cs="Times New Roman"/>
                <w:color w:val="auto"/>
                <w:kern w:val="0"/>
              </w:rPr>
              <w:t>（2）废活性炭（900-039-49）：本项目</w:t>
            </w:r>
            <w:r>
              <w:rPr>
                <w:rFonts w:hint="eastAsia" w:ascii="Times New Roman" w:hAnsi="Times New Roman" w:eastAsia="宋体" w:cs="Times New Roman"/>
                <w:color w:val="auto"/>
                <w:kern w:val="0"/>
                <w:lang w:val="en-US" w:eastAsia="zh-CN"/>
              </w:rPr>
              <w:t>二级</w:t>
            </w:r>
            <w:r>
              <w:rPr>
                <w:rFonts w:hint="eastAsia"/>
                <w:color w:val="auto"/>
                <w:szCs w:val="21"/>
              </w:rPr>
              <w:t>活性炭吸附</w:t>
            </w:r>
            <w:r>
              <w:rPr>
                <w:rFonts w:hint="eastAsia" w:ascii="Times New Roman" w:hAnsi="Times New Roman" w:eastAsia="Times New Roman" w:cs="Times New Roman"/>
                <w:color w:val="auto"/>
                <w:kern w:val="0"/>
              </w:rPr>
              <w:t>装置的风量为</w:t>
            </w:r>
            <w:r>
              <w:rPr>
                <w:rFonts w:hint="eastAsia" w:ascii="Times New Roman" w:hAnsi="Times New Roman" w:eastAsia="宋体" w:cs="Times New Roman"/>
                <w:color w:val="auto"/>
                <w:kern w:val="0"/>
                <w:lang w:val="en-US" w:eastAsia="zh-CN"/>
              </w:rPr>
              <w:t>10</w:t>
            </w:r>
            <w:r>
              <w:rPr>
                <w:rFonts w:hint="eastAsia" w:ascii="Times New Roman" w:hAnsi="Times New Roman" w:eastAsia="Times New Roman" w:cs="Times New Roman"/>
                <w:color w:val="auto"/>
                <w:kern w:val="0"/>
              </w:rPr>
              <w:t>000m³/h，每套设计装填活性炭量一次填充量为0.5m</w:t>
            </w:r>
            <w:r>
              <w:rPr>
                <w:rFonts w:hint="eastAsia" w:ascii="Times New Roman" w:hAnsi="Times New Roman" w:eastAsia="Times New Roman" w:cs="Times New Roman"/>
                <w:color w:val="auto"/>
                <w:kern w:val="0"/>
                <w:vertAlign w:val="superscript"/>
              </w:rPr>
              <w:t>3</w:t>
            </w:r>
            <w:r>
              <w:rPr>
                <w:rFonts w:hint="eastAsia" w:ascii="Times New Roman" w:hAnsi="Times New Roman" w:eastAsia="Times New Roman" w:cs="Times New Roman"/>
                <w:color w:val="auto"/>
                <w:kern w:val="0"/>
              </w:rPr>
              <w:t>，约100kg，预计一季度更换一次，一年更换二次，废活性炭的产生量约为0.2t/a。对照最新的《国家危险废物名录》（2021年版），其危险废物类别为HW49类，危废代码为900-0</w:t>
            </w:r>
            <w:r>
              <w:rPr>
                <w:rFonts w:hint="eastAsia" w:ascii="Times New Roman" w:hAnsi="Times New Roman" w:eastAsia="宋体" w:cs="Times New Roman"/>
                <w:color w:val="auto"/>
                <w:kern w:val="0"/>
                <w:lang w:val="en-US" w:eastAsia="zh-CN"/>
              </w:rPr>
              <w:t>39</w:t>
            </w:r>
            <w:r>
              <w:rPr>
                <w:rFonts w:hint="eastAsia" w:ascii="Times New Roman" w:hAnsi="Times New Roman" w:eastAsia="Times New Roman" w:cs="Times New Roman"/>
                <w:color w:val="auto"/>
                <w:kern w:val="0"/>
              </w:rPr>
              <w:t>-49。</w:t>
            </w:r>
          </w:p>
          <w:p w14:paraId="7E4DD68A">
            <w:pPr>
              <w:pStyle w:val="71"/>
              <w:spacing w:line="360" w:lineRule="auto"/>
              <w:ind w:firstLine="420" w:firstLineChars="200"/>
              <w:rPr>
                <w:rFonts w:ascii="Times New Roman" w:hAnsi="Times New Roman" w:eastAsia="Times New Roman" w:cs="Times New Roman"/>
                <w:color w:val="auto"/>
                <w:kern w:val="0"/>
              </w:rPr>
            </w:pPr>
            <w:r>
              <w:rPr>
                <w:rFonts w:hint="eastAsia" w:ascii="Times New Roman" w:hAnsi="Times New Roman" w:eastAsia="Times New Roman" w:cs="Times New Roman"/>
                <w:color w:val="auto"/>
                <w:kern w:val="0"/>
              </w:rPr>
              <w:t>（3）废机油</w:t>
            </w:r>
            <w:r>
              <w:rPr>
                <w:rFonts w:ascii="Times New Roman" w:hAnsi="Times New Roman" w:cs="Times New Roman"/>
                <w:bCs/>
                <w:color w:val="auto"/>
                <w:szCs w:val="21"/>
              </w:rPr>
              <w:t>HW08</w:t>
            </w:r>
            <w:r>
              <w:rPr>
                <w:rFonts w:hint="eastAsia" w:ascii="Times New Roman" w:hAnsi="Times New Roman" w:cs="Times New Roman"/>
                <w:bCs/>
                <w:color w:val="auto"/>
                <w:szCs w:val="21"/>
              </w:rPr>
              <w:t>（</w:t>
            </w:r>
            <w:r>
              <w:rPr>
                <w:rFonts w:ascii="Times New Roman" w:hAnsi="Times New Roman" w:cs="Times New Roman"/>
                <w:color w:val="auto"/>
                <w:szCs w:val="21"/>
              </w:rPr>
              <w:t>900-249-08</w:t>
            </w:r>
            <w:r>
              <w:rPr>
                <w:rFonts w:hint="eastAsia" w:ascii="Times New Roman" w:hAnsi="Times New Roman" w:cs="Times New Roman"/>
                <w:bCs/>
                <w:color w:val="auto"/>
                <w:szCs w:val="21"/>
              </w:rPr>
              <w:t>）：</w:t>
            </w:r>
            <w:r>
              <w:rPr>
                <w:rFonts w:ascii="Times New Roman" w:hAnsi="Times New Roman" w:eastAsia="Times New Roman" w:cs="Times New Roman"/>
                <w:color w:val="auto"/>
                <w:kern w:val="0"/>
              </w:rPr>
              <w:t>废机油按照每2000小时更换一次计，则本项目预计一年更换</w:t>
            </w:r>
            <w:r>
              <w:rPr>
                <w:rFonts w:hint="eastAsia" w:ascii="Times New Roman" w:hAnsi="Times New Roman" w:eastAsia="Times New Roman" w:cs="Times New Roman"/>
                <w:color w:val="auto"/>
                <w:kern w:val="0"/>
              </w:rPr>
              <w:t>一</w:t>
            </w:r>
            <w:r>
              <w:rPr>
                <w:rFonts w:ascii="Times New Roman" w:hAnsi="Times New Roman" w:eastAsia="Times New Roman" w:cs="Times New Roman"/>
                <w:color w:val="auto"/>
                <w:kern w:val="0"/>
              </w:rPr>
              <w:t>次，废机油的产生量约为</w:t>
            </w:r>
            <w:r>
              <w:rPr>
                <w:rFonts w:hint="eastAsia" w:ascii="Times New Roman" w:hAnsi="Times New Roman" w:eastAsia="Times New Roman" w:cs="Times New Roman"/>
                <w:color w:val="auto"/>
                <w:kern w:val="0"/>
              </w:rPr>
              <w:t>0.2</w:t>
            </w:r>
            <w:r>
              <w:rPr>
                <w:rFonts w:ascii="Times New Roman" w:hAnsi="Times New Roman" w:eastAsia="Times New Roman" w:cs="Times New Roman"/>
                <w:color w:val="auto"/>
                <w:kern w:val="0"/>
              </w:rPr>
              <w:t>t/a。</w:t>
            </w:r>
            <w:r>
              <w:rPr>
                <w:rFonts w:hint="eastAsia" w:ascii="Times New Roman" w:hAnsi="Times New Roman" w:eastAsia="Times New Roman" w:cs="Times New Roman"/>
                <w:color w:val="auto"/>
                <w:kern w:val="0"/>
              </w:rPr>
              <w:t>对照最新的《国家危险废物名录》（2021年版），其危险废物类别为</w:t>
            </w:r>
            <w:r>
              <w:rPr>
                <w:rFonts w:ascii="Times New Roman" w:hAnsi="Times New Roman" w:cs="Times New Roman"/>
                <w:bCs/>
                <w:color w:val="auto"/>
                <w:szCs w:val="21"/>
              </w:rPr>
              <w:t>HW08</w:t>
            </w:r>
            <w:r>
              <w:rPr>
                <w:rFonts w:hint="eastAsia" w:ascii="Times New Roman" w:hAnsi="Times New Roman" w:eastAsia="Times New Roman" w:cs="Times New Roman"/>
                <w:color w:val="auto"/>
                <w:kern w:val="0"/>
              </w:rPr>
              <w:t>类，危废代码为</w:t>
            </w:r>
            <w:r>
              <w:rPr>
                <w:rFonts w:ascii="Times New Roman" w:hAnsi="Times New Roman" w:cs="Times New Roman"/>
                <w:color w:val="auto"/>
                <w:szCs w:val="21"/>
              </w:rPr>
              <w:t>900-249-08</w:t>
            </w:r>
            <w:r>
              <w:rPr>
                <w:rFonts w:hint="eastAsia" w:ascii="Times New Roman" w:hAnsi="Times New Roman" w:eastAsia="Times New Roman" w:cs="Times New Roman"/>
                <w:color w:val="auto"/>
                <w:kern w:val="0"/>
              </w:rPr>
              <w:t>。</w:t>
            </w:r>
          </w:p>
          <w:p w14:paraId="17322325">
            <w:pPr>
              <w:pStyle w:val="71"/>
              <w:spacing w:line="360" w:lineRule="auto"/>
              <w:rPr>
                <w:rFonts w:ascii="Times New Roman" w:hAnsi="Times New Roman" w:eastAsia="Times New Roman" w:cs="Times New Roman"/>
                <w:b/>
                <w:bCs/>
                <w:color w:val="auto"/>
                <w:kern w:val="0"/>
              </w:rPr>
            </w:pPr>
            <w:r>
              <w:rPr>
                <w:rFonts w:hint="eastAsia" w:ascii="Times New Roman" w:hAnsi="Times New Roman" w:eastAsia="Times New Roman" w:cs="Times New Roman"/>
                <w:b/>
                <w:bCs/>
                <w:color w:val="auto"/>
                <w:kern w:val="0"/>
              </w:rPr>
              <w:t>4.5.2固体废物影响分析</w:t>
            </w:r>
          </w:p>
          <w:p w14:paraId="533F45A8">
            <w:pPr>
              <w:widowControl/>
              <w:spacing w:line="360" w:lineRule="auto"/>
              <w:ind w:firstLine="420" w:firstLineChars="200"/>
              <w:rPr>
                <w:color w:val="auto"/>
                <w:kern w:val="0"/>
              </w:rPr>
            </w:pPr>
            <w:r>
              <w:rPr>
                <w:rFonts w:hint="eastAsia" w:eastAsia="Times New Roman"/>
                <w:color w:val="auto"/>
              </w:rPr>
              <w:t>本项目运营期产生的一般固体废物主要为布袋除尘器收集的粉尘、</w:t>
            </w:r>
            <w:r>
              <w:rPr>
                <w:rFonts w:hint="eastAsia"/>
                <w:color w:val="auto"/>
              </w:rPr>
              <w:t>车辆经过洗车槽时沉淀的少量原料；</w:t>
            </w:r>
            <w:r>
              <w:rPr>
                <w:rFonts w:hint="eastAsia" w:eastAsia="Times New Roman"/>
                <w:color w:val="auto"/>
              </w:rPr>
              <w:t>滴漏沥青及工作人员产生的生活垃圾等；本项目运营期产生的危险废物为废导热油</w:t>
            </w:r>
            <w:r>
              <w:rPr>
                <w:bCs/>
                <w:color w:val="auto"/>
                <w:szCs w:val="21"/>
              </w:rPr>
              <w:t>HW08</w:t>
            </w:r>
            <w:r>
              <w:rPr>
                <w:rFonts w:hint="eastAsia" w:eastAsia="Times New Roman"/>
                <w:color w:val="auto"/>
              </w:rPr>
              <w:t>（900-249-08）</w:t>
            </w:r>
            <w:r>
              <w:rPr>
                <w:rFonts w:hint="eastAsia" w:eastAsia="Times New Roman"/>
                <w:color w:val="auto"/>
                <w:kern w:val="0"/>
              </w:rPr>
              <w:t>、废活性炭</w:t>
            </w:r>
            <w:r>
              <w:rPr>
                <w:bCs/>
                <w:color w:val="auto"/>
                <w:kern w:val="0"/>
                <w:szCs w:val="21"/>
              </w:rPr>
              <w:t>HW</w:t>
            </w:r>
            <w:r>
              <w:rPr>
                <w:rFonts w:hint="eastAsia"/>
                <w:bCs/>
                <w:color w:val="auto"/>
                <w:kern w:val="0"/>
                <w:szCs w:val="21"/>
              </w:rPr>
              <w:t>49</w:t>
            </w:r>
            <w:r>
              <w:rPr>
                <w:rFonts w:hint="eastAsia"/>
                <w:color w:val="auto"/>
                <w:szCs w:val="21"/>
              </w:rPr>
              <w:t>（900-039-49）</w:t>
            </w:r>
            <w:r>
              <w:rPr>
                <w:rFonts w:hint="eastAsia" w:eastAsia="Times New Roman"/>
                <w:color w:val="auto"/>
                <w:kern w:val="0"/>
              </w:rPr>
              <w:t>和废机油</w:t>
            </w:r>
            <w:r>
              <w:rPr>
                <w:bCs/>
                <w:color w:val="auto"/>
                <w:szCs w:val="21"/>
              </w:rPr>
              <w:t>HW08</w:t>
            </w:r>
            <w:r>
              <w:rPr>
                <w:rFonts w:hint="eastAsia"/>
                <w:bCs/>
                <w:color w:val="auto"/>
                <w:szCs w:val="21"/>
              </w:rPr>
              <w:t>（</w:t>
            </w:r>
            <w:r>
              <w:rPr>
                <w:color w:val="auto"/>
                <w:szCs w:val="21"/>
              </w:rPr>
              <w:t>900-249-08</w:t>
            </w:r>
            <w:r>
              <w:rPr>
                <w:rFonts w:hint="eastAsia"/>
                <w:bCs/>
                <w:color w:val="auto"/>
                <w:szCs w:val="21"/>
              </w:rPr>
              <w:t>）</w:t>
            </w:r>
            <w:r>
              <w:rPr>
                <w:rFonts w:hint="eastAsia" w:eastAsia="Times New Roman"/>
                <w:color w:val="auto"/>
                <w:kern w:val="0"/>
              </w:rPr>
              <w:t>。</w:t>
            </w:r>
            <w:r>
              <w:rPr>
                <w:rFonts w:hint="eastAsia" w:eastAsia="Times New Roman"/>
                <w:color w:val="auto"/>
              </w:rPr>
              <w:t>袋除尘器收集的粉尘</w:t>
            </w:r>
            <w:r>
              <w:rPr>
                <w:rFonts w:hint="eastAsia"/>
                <w:color w:val="auto"/>
                <w:szCs w:val="21"/>
              </w:rPr>
              <w:t>收集后回用于生产</w:t>
            </w:r>
            <w:r>
              <w:rPr>
                <w:rFonts w:hint="eastAsia" w:eastAsia="Times New Roman"/>
                <w:color w:val="auto"/>
              </w:rPr>
              <w:t>，滴漏沥青经收集后回用于搅拌工序，</w:t>
            </w:r>
            <w:r>
              <w:rPr>
                <w:rFonts w:hint="eastAsia" w:eastAsia="Times New Roman"/>
                <w:color w:val="auto"/>
                <w:kern w:val="0"/>
              </w:rPr>
              <w:t>生活垃圾由环卫部门定期</w:t>
            </w:r>
            <w:r>
              <w:rPr>
                <w:color w:val="auto"/>
                <w:highlight w:val="none"/>
              </w:rPr>
              <w:t>清运</w:t>
            </w:r>
            <w:r>
              <w:rPr>
                <w:rFonts w:hint="eastAsia"/>
                <w:color w:val="auto"/>
                <w:szCs w:val="21"/>
                <w:highlight w:val="none"/>
              </w:rPr>
              <w:t>至</w:t>
            </w:r>
            <w:r>
              <w:rPr>
                <w:rFonts w:hint="eastAsia"/>
                <w:color w:val="auto"/>
                <w:lang w:val="en-US" w:eastAsia="zh-CN"/>
              </w:rPr>
              <w:t>运距约为5km的</w:t>
            </w:r>
            <w:r>
              <w:rPr>
                <w:rFonts w:hint="eastAsia"/>
                <w:color w:val="auto"/>
                <w:szCs w:val="21"/>
                <w:lang w:val="en-US" w:eastAsia="zh-CN"/>
              </w:rPr>
              <w:t>胡杨河市第七师130团11连</w:t>
            </w:r>
            <w:r>
              <w:rPr>
                <w:rFonts w:hint="eastAsia"/>
                <w:color w:val="auto"/>
                <w:highlight w:val="none"/>
              </w:rPr>
              <w:t>垃圾填埋场</w:t>
            </w:r>
            <w:r>
              <w:rPr>
                <w:rFonts w:hint="eastAsia"/>
                <w:color w:val="auto"/>
                <w:highlight w:val="none"/>
                <w:lang w:val="en-US" w:eastAsia="zh-CN"/>
              </w:rPr>
              <w:t>处理</w:t>
            </w:r>
            <w:r>
              <w:rPr>
                <w:rFonts w:hint="eastAsia" w:eastAsia="Times New Roman"/>
                <w:color w:val="auto"/>
                <w:kern w:val="0"/>
              </w:rPr>
              <w:t>；废导热油（900-249-08）、废活性炭（900-039-49）和废机油</w:t>
            </w:r>
            <w:r>
              <w:rPr>
                <w:rFonts w:hint="eastAsia"/>
                <w:bCs/>
                <w:color w:val="auto"/>
                <w:szCs w:val="21"/>
              </w:rPr>
              <w:t>（</w:t>
            </w:r>
            <w:r>
              <w:rPr>
                <w:color w:val="auto"/>
                <w:szCs w:val="21"/>
              </w:rPr>
              <w:t>900-249-08</w:t>
            </w:r>
            <w:r>
              <w:rPr>
                <w:rFonts w:hint="eastAsia"/>
                <w:bCs/>
                <w:color w:val="auto"/>
                <w:szCs w:val="21"/>
              </w:rPr>
              <w:t>）</w:t>
            </w:r>
            <w:r>
              <w:rPr>
                <w:rFonts w:hint="eastAsia" w:eastAsia="Times New Roman"/>
                <w:color w:val="auto"/>
                <w:kern w:val="0"/>
              </w:rPr>
              <w:t>分类收集并定期委托有资质的单位处置。各固废均能妥善处理，不会产生二次污染，对项目周围环境影响较小。</w:t>
            </w:r>
            <w:r>
              <w:rPr>
                <w:rFonts w:hint="eastAsia"/>
                <w:color w:val="auto"/>
                <w:szCs w:val="21"/>
              </w:rPr>
              <w:t>本</w:t>
            </w:r>
            <w:r>
              <w:rPr>
                <w:color w:val="auto"/>
                <w:szCs w:val="21"/>
              </w:rPr>
              <w:t>项目固废产生及处置情况</w:t>
            </w:r>
            <w:r>
              <w:rPr>
                <w:rFonts w:hint="eastAsia"/>
                <w:color w:val="auto"/>
                <w:szCs w:val="21"/>
              </w:rPr>
              <w:t>见表4-1</w:t>
            </w:r>
            <w:r>
              <w:rPr>
                <w:rFonts w:hint="eastAsia"/>
                <w:color w:val="auto"/>
                <w:szCs w:val="21"/>
                <w:lang w:val="en-US" w:eastAsia="zh-CN"/>
              </w:rPr>
              <w:t>1</w:t>
            </w:r>
            <w:r>
              <w:rPr>
                <w:rFonts w:hint="eastAsia"/>
                <w:color w:val="auto"/>
                <w:szCs w:val="21"/>
              </w:rPr>
              <w:t>。</w:t>
            </w:r>
          </w:p>
          <w:p w14:paraId="01186124">
            <w:pPr>
              <w:spacing w:line="360" w:lineRule="auto"/>
              <w:ind w:firstLine="422" w:firstLineChars="200"/>
              <w:jc w:val="center"/>
              <w:rPr>
                <w:b/>
                <w:bCs/>
                <w:color w:val="auto"/>
                <w:szCs w:val="21"/>
              </w:rPr>
            </w:pPr>
            <w:r>
              <w:rPr>
                <w:rFonts w:hint="eastAsia"/>
                <w:b/>
                <w:bCs/>
                <w:color w:val="auto"/>
                <w:szCs w:val="21"/>
              </w:rPr>
              <w:t>表4-1</w:t>
            </w:r>
            <w:r>
              <w:rPr>
                <w:rFonts w:hint="eastAsia"/>
                <w:b/>
                <w:bCs/>
                <w:color w:val="auto"/>
                <w:szCs w:val="21"/>
                <w:lang w:val="en-US" w:eastAsia="zh-CN"/>
              </w:rPr>
              <w:t>1</w:t>
            </w:r>
            <w:r>
              <w:rPr>
                <w:rFonts w:hint="eastAsia"/>
                <w:b/>
                <w:bCs/>
                <w:color w:val="auto"/>
                <w:szCs w:val="21"/>
              </w:rPr>
              <w:t xml:space="preserve">  本</w:t>
            </w:r>
            <w:r>
              <w:rPr>
                <w:b/>
                <w:bCs/>
                <w:color w:val="auto"/>
                <w:szCs w:val="21"/>
              </w:rPr>
              <w:t>项目固废产生及处置情况</w:t>
            </w:r>
            <w:r>
              <w:rPr>
                <w:rFonts w:hint="eastAsia"/>
                <w:b/>
                <w:bCs/>
                <w:color w:val="auto"/>
                <w:szCs w:val="21"/>
              </w:rPr>
              <w:t>表</w:t>
            </w:r>
          </w:p>
          <w:tbl>
            <w:tblPr>
              <w:tblStyle w:val="30"/>
              <w:tblW w:w="4995"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270"/>
              <w:gridCol w:w="885"/>
              <w:gridCol w:w="1355"/>
              <w:gridCol w:w="887"/>
              <w:gridCol w:w="550"/>
              <w:gridCol w:w="756"/>
              <w:gridCol w:w="836"/>
              <w:gridCol w:w="519"/>
              <w:gridCol w:w="448"/>
              <w:gridCol w:w="1034"/>
              <w:gridCol w:w="673"/>
            </w:tblGrid>
            <w:tr w14:paraId="564E44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768" w:hRule="atLeast"/>
              </w:trPr>
              <w:tc>
                <w:tcPr>
                  <w:tcW w:w="164" w:type="pct"/>
                  <w:vAlign w:val="center"/>
                </w:tcPr>
                <w:p w14:paraId="2D5621D5">
                  <w:pPr>
                    <w:adjustRightInd w:val="0"/>
                    <w:snapToGrid w:val="0"/>
                    <w:jc w:val="center"/>
                    <w:rPr>
                      <w:b/>
                      <w:color w:val="auto"/>
                      <w:szCs w:val="21"/>
                    </w:rPr>
                  </w:pPr>
                  <w:r>
                    <w:rPr>
                      <w:b/>
                      <w:color w:val="auto"/>
                      <w:szCs w:val="21"/>
                    </w:rPr>
                    <w:t>序号</w:t>
                  </w:r>
                </w:p>
              </w:tc>
              <w:tc>
                <w:tcPr>
                  <w:tcW w:w="538" w:type="pct"/>
                  <w:vAlign w:val="center"/>
                </w:tcPr>
                <w:p w14:paraId="19AA0728">
                  <w:pPr>
                    <w:adjustRightInd w:val="0"/>
                    <w:snapToGrid w:val="0"/>
                    <w:jc w:val="center"/>
                    <w:rPr>
                      <w:b/>
                      <w:color w:val="auto"/>
                      <w:szCs w:val="21"/>
                    </w:rPr>
                  </w:pPr>
                  <w:r>
                    <w:rPr>
                      <w:b/>
                      <w:color w:val="auto"/>
                      <w:szCs w:val="21"/>
                    </w:rPr>
                    <w:t>固废名称</w:t>
                  </w:r>
                </w:p>
              </w:tc>
              <w:tc>
                <w:tcPr>
                  <w:tcW w:w="824" w:type="pct"/>
                  <w:vAlign w:val="center"/>
                </w:tcPr>
                <w:p w14:paraId="5BB902B1">
                  <w:pPr>
                    <w:adjustRightInd w:val="0"/>
                    <w:snapToGrid w:val="0"/>
                    <w:jc w:val="center"/>
                    <w:rPr>
                      <w:b/>
                      <w:color w:val="auto"/>
                      <w:szCs w:val="21"/>
                    </w:rPr>
                  </w:pPr>
                  <w:r>
                    <w:rPr>
                      <w:b/>
                      <w:color w:val="auto"/>
                      <w:szCs w:val="21"/>
                    </w:rPr>
                    <w:t>属性（危险废物、一般工业固体废物或待鉴别）</w:t>
                  </w:r>
                </w:p>
              </w:tc>
              <w:tc>
                <w:tcPr>
                  <w:tcW w:w="539" w:type="pct"/>
                  <w:vAlign w:val="center"/>
                </w:tcPr>
                <w:p w14:paraId="668F3DF3">
                  <w:pPr>
                    <w:adjustRightInd w:val="0"/>
                    <w:snapToGrid w:val="0"/>
                    <w:jc w:val="center"/>
                    <w:rPr>
                      <w:b/>
                      <w:color w:val="auto"/>
                      <w:szCs w:val="21"/>
                    </w:rPr>
                  </w:pPr>
                  <w:r>
                    <w:rPr>
                      <w:b/>
                      <w:color w:val="auto"/>
                      <w:szCs w:val="21"/>
                    </w:rPr>
                    <w:t>产生工序</w:t>
                  </w:r>
                </w:p>
              </w:tc>
              <w:tc>
                <w:tcPr>
                  <w:tcW w:w="334" w:type="pct"/>
                  <w:vAlign w:val="center"/>
                </w:tcPr>
                <w:p w14:paraId="564EB531">
                  <w:pPr>
                    <w:adjustRightInd w:val="0"/>
                    <w:snapToGrid w:val="0"/>
                    <w:jc w:val="center"/>
                    <w:rPr>
                      <w:b/>
                      <w:color w:val="auto"/>
                      <w:szCs w:val="21"/>
                    </w:rPr>
                  </w:pPr>
                  <w:r>
                    <w:rPr>
                      <w:b/>
                      <w:color w:val="auto"/>
                      <w:szCs w:val="21"/>
                    </w:rPr>
                    <w:t>形态</w:t>
                  </w:r>
                </w:p>
              </w:tc>
              <w:tc>
                <w:tcPr>
                  <w:tcW w:w="460" w:type="pct"/>
                  <w:vAlign w:val="center"/>
                </w:tcPr>
                <w:p w14:paraId="3E4381CE">
                  <w:pPr>
                    <w:adjustRightInd w:val="0"/>
                    <w:snapToGrid w:val="0"/>
                    <w:jc w:val="center"/>
                    <w:rPr>
                      <w:b/>
                      <w:color w:val="auto"/>
                      <w:szCs w:val="21"/>
                    </w:rPr>
                  </w:pPr>
                  <w:r>
                    <w:rPr>
                      <w:b/>
                      <w:color w:val="auto"/>
                      <w:szCs w:val="21"/>
                    </w:rPr>
                    <w:t>主要成分</w:t>
                  </w:r>
                </w:p>
              </w:tc>
              <w:tc>
                <w:tcPr>
                  <w:tcW w:w="508" w:type="pct"/>
                  <w:vAlign w:val="center"/>
                </w:tcPr>
                <w:p w14:paraId="4C25FDB9">
                  <w:pPr>
                    <w:adjustRightInd w:val="0"/>
                    <w:snapToGrid w:val="0"/>
                    <w:jc w:val="center"/>
                    <w:rPr>
                      <w:b/>
                      <w:color w:val="auto"/>
                      <w:szCs w:val="21"/>
                    </w:rPr>
                  </w:pPr>
                  <w:r>
                    <w:rPr>
                      <w:b/>
                      <w:color w:val="auto"/>
                      <w:szCs w:val="21"/>
                    </w:rPr>
                    <w:t>危险特性鉴别方法</w:t>
                  </w:r>
                </w:p>
              </w:tc>
              <w:tc>
                <w:tcPr>
                  <w:tcW w:w="315" w:type="pct"/>
                  <w:vAlign w:val="center"/>
                </w:tcPr>
                <w:p w14:paraId="22CE6891">
                  <w:pPr>
                    <w:adjustRightInd w:val="0"/>
                    <w:snapToGrid w:val="0"/>
                    <w:jc w:val="center"/>
                    <w:rPr>
                      <w:b/>
                      <w:color w:val="auto"/>
                      <w:szCs w:val="21"/>
                    </w:rPr>
                  </w:pPr>
                  <w:r>
                    <w:rPr>
                      <w:b/>
                      <w:color w:val="auto"/>
                      <w:szCs w:val="21"/>
                    </w:rPr>
                    <w:t>危险</w:t>
                  </w:r>
                </w:p>
                <w:p w14:paraId="1A29A863">
                  <w:pPr>
                    <w:adjustRightInd w:val="0"/>
                    <w:snapToGrid w:val="0"/>
                    <w:jc w:val="center"/>
                    <w:rPr>
                      <w:b/>
                      <w:color w:val="auto"/>
                      <w:szCs w:val="21"/>
                    </w:rPr>
                  </w:pPr>
                  <w:r>
                    <w:rPr>
                      <w:b/>
                      <w:color w:val="auto"/>
                      <w:szCs w:val="21"/>
                    </w:rPr>
                    <w:t>特性</w:t>
                  </w:r>
                </w:p>
              </w:tc>
              <w:tc>
                <w:tcPr>
                  <w:tcW w:w="272" w:type="pct"/>
                  <w:vAlign w:val="center"/>
                </w:tcPr>
                <w:p w14:paraId="4BF513C1">
                  <w:pPr>
                    <w:adjustRightInd w:val="0"/>
                    <w:snapToGrid w:val="0"/>
                    <w:jc w:val="center"/>
                    <w:rPr>
                      <w:b/>
                      <w:color w:val="auto"/>
                      <w:szCs w:val="21"/>
                    </w:rPr>
                  </w:pPr>
                  <w:r>
                    <w:rPr>
                      <w:b/>
                      <w:color w:val="auto"/>
                      <w:szCs w:val="21"/>
                    </w:rPr>
                    <w:t>废物</w:t>
                  </w:r>
                </w:p>
                <w:p w14:paraId="3F171145">
                  <w:pPr>
                    <w:adjustRightInd w:val="0"/>
                    <w:snapToGrid w:val="0"/>
                    <w:jc w:val="center"/>
                    <w:rPr>
                      <w:b/>
                      <w:color w:val="auto"/>
                      <w:szCs w:val="21"/>
                    </w:rPr>
                  </w:pPr>
                  <w:r>
                    <w:rPr>
                      <w:b/>
                      <w:color w:val="auto"/>
                      <w:szCs w:val="21"/>
                    </w:rPr>
                    <w:t>类别</w:t>
                  </w:r>
                </w:p>
              </w:tc>
              <w:tc>
                <w:tcPr>
                  <w:tcW w:w="629" w:type="pct"/>
                  <w:vAlign w:val="center"/>
                </w:tcPr>
                <w:p w14:paraId="79FF5187">
                  <w:pPr>
                    <w:adjustRightInd w:val="0"/>
                    <w:snapToGrid w:val="0"/>
                    <w:jc w:val="center"/>
                    <w:rPr>
                      <w:b/>
                      <w:color w:val="auto"/>
                      <w:szCs w:val="21"/>
                    </w:rPr>
                  </w:pPr>
                  <w:r>
                    <w:rPr>
                      <w:b/>
                      <w:color w:val="auto"/>
                      <w:szCs w:val="21"/>
                    </w:rPr>
                    <w:t>废物代码</w:t>
                  </w:r>
                </w:p>
              </w:tc>
              <w:tc>
                <w:tcPr>
                  <w:tcW w:w="409" w:type="pct"/>
                  <w:vAlign w:val="center"/>
                </w:tcPr>
                <w:p w14:paraId="035E29F9">
                  <w:pPr>
                    <w:adjustRightInd w:val="0"/>
                    <w:snapToGrid w:val="0"/>
                    <w:jc w:val="center"/>
                    <w:rPr>
                      <w:b/>
                      <w:color w:val="auto"/>
                      <w:szCs w:val="21"/>
                    </w:rPr>
                  </w:pPr>
                  <w:r>
                    <w:rPr>
                      <w:b/>
                      <w:color w:val="auto"/>
                      <w:szCs w:val="21"/>
                    </w:rPr>
                    <w:t>估算产生量（吨/年）</w:t>
                  </w:r>
                </w:p>
              </w:tc>
            </w:tr>
            <w:tr w14:paraId="3384CA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35" w:hRule="atLeast"/>
              </w:trPr>
              <w:tc>
                <w:tcPr>
                  <w:tcW w:w="164" w:type="pct"/>
                  <w:vAlign w:val="center"/>
                </w:tcPr>
                <w:p w14:paraId="1F6BF41E">
                  <w:pPr>
                    <w:adjustRightInd w:val="0"/>
                    <w:snapToGrid w:val="0"/>
                    <w:jc w:val="center"/>
                    <w:rPr>
                      <w:color w:val="auto"/>
                      <w:szCs w:val="21"/>
                    </w:rPr>
                  </w:pPr>
                  <w:r>
                    <w:rPr>
                      <w:color w:val="auto"/>
                      <w:szCs w:val="21"/>
                    </w:rPr>
                    <w:t>1</w:t>
                  </w:r>
                </w:p>
              </w:tc>
              <w:tc>
                <w:tcPr>
                  <w:tcW w:w="538" w:type="pct"/>
                  <w:vAlign w:val="center"/>
                </w:tcPr>
                <w:p w14:paraId="60CD1808">
                  <w:pPr>
                    <w:overflowPunct w:val="0"/>
                    <w:adjustRightInd w:val="0"/>
                    <w:snapToGrid w:val="0"/>
                    <w:jc w:val="center"/>
                    <w:textAlignment w:val="baseline"/>
                    <w:rPr>
                      <w:color w:val="auto"/>
                      <w:kern w:val="0"/>
                      <w:szCs w:val="21"/>
                    </w:rPr>
                  </w:pPr>
                  <w:r>
                    <w:rPr>
                      <w:color w:val="auto"/>
                      <w:kern w:val="0"/>
                      <w:szCs w:val="21"/>
                    </w:rPr>
                    <w:t>粉尘</w:t>
                  </w:r>
                </w:p>
              </w:tc>
              <w:tc>
                <w:tcPr>
                  <w:tcW w:w="824" w:type="pct"/>
                  <w:vMerge w:val="restart"/>
                  <w:vAlign w:val="center"/>
                </w:tcPr>
                <w:p w14:paraId="72A3FD19">
                  <w:pPr>
                    <w:adjustRightInd w:val="0"/>
                    <w:snapToGrid w:val="0"/>
                    <w:jc w:val="center"/>
                    <w:rPr>
                      <w:color w:val="auto"/>
                      <w:szCs w:val="21"/>
                    </w:rPr>
                  </w:pPr>
                  <w:r>
                    <w:rPr>
                      <w:color w:val="auto"/>
                      <w:szCs w:val="21"/>
                    </w:rPr>
                    <w:t>一般固废</w:t>
                  </w:r>
                </w:p>
              </w:tc>
              <w:tc>
                <w:tcPr>
                  <w:tcW w:w="539" w:type="pct"/>
                  <w:vAlign w:val="center"/>
                </w:tcPr>
                <w:p w14:paraId="21C59640">
                  <w:pPr>
                    <w:adjustRightInd w:val="0"/>
                    <w:snapToGrid w:val="0"/>
                    <w:jc w:val="center"/>
                    <w:rPr>
                      <w:color w:val="auto"/>
                      <w:szCs w:val="21"/>
                    </w:rPr>
                  </w:pPr>
                  <w:r>
                    <w:rPr>
                      <w:color w:val="auto"/>
                      <w:szCs w:val="21"/>
                    </w:rPr>
                    <w:t>除尘器</w:t>
                  </w:r>
                </w:p>
              </w:tc>
              <w:tc>
                <w:tcPr>
                  <w:tcW w:w="334" w:type="pct"/>
                  <w:vMerge w:val="restart"/>
                  <w:vAlign w:val="center"/>
                </w:tcPr>
                <w:p w14:paraId="2E2A0457">
                  <w:pPr>
                    <w:adjustRightInd w:val="0"/>
                    <w:snapToGrid w:val="0"/>
                    <w:jc w:val="center"/>
                    <w:rPr>
                      <w:color w:val="auto"/>
                      <w:szCs w:val="21"/>
                    </w:rPr>
                  </w:pPr>
                  <w:r>
                    <w:rPr>
                      <w:color w:val="auto"/>
                      <w:szCs w:val="21"/>
                    </w:rPr>
                    <w:t>固态</w:t>
                  </w:r>
                </w:p>
              </w:tc>
              <w:tc>
                <w:tcPr>
                  <w:tcW w:w="460" w:type="pct"/>
                  <w:vAlign w:val="center"/>
                </w:tcPr>
                <w:p w14:paraId="744909D3">
                  <w:pPr>
                    <w:adjustRightInd w:val="0"/>
                    <w:snapToGrid w:val="0"/>
                    <w:jc w:val="center"/>
                    <w:rPr>
                      <w:color w:val="auto"/>
                      <w:szCs w:val="21"/>
                    </w:rPr>
                  </w:pPr>
                  <w:r>
                    <w:rPr>
                      <w:color w:val="auto"/>
                      <w:szCs w:val="21"/>
                    </w:rPr>
                    <w:t>除尘灰</w:t>
                  </w:r>
                </w:p>
              </w:tc>
              <w:tc>
                <w:tcPr>
                  <w:tcW w:w="508" w:type="pct"/>
                  <w:vMerge w:val="restart"/>
                  <w:vAlign w:val="center"/>
                </w:tcPr>
                <w:p w14:paraId="031FA810">
                  <w:pPr>
                    <w:adjustRightInd w:val="0"/>
                    <w:snapToGrid w:val="0"/>
                    <w:jc w:val="center"/>
                    <w:rPr>
                      <w:color w:val="auto"/>
                      <w:szCs w:val="21"/>
                    </w:rPr>
                  </w:pPr>
                  <w:r>
                    <w:rPr>
                      <w:color w:val="auto"/>
                      <w:szCs w:val="21"/>
                    </w:rPr>
                    <w:t>《国家危险废物名录》</w:t>
                  </w:r>
                </w:p>
              </w:tc>
              <w:tc>
                <w:tcPr>
                  <w:tcW w:w="315" w:type="pct"/>
                  <w:vAlign w:val="center"/>
                </w:tcPr>
                <w:p w14:paraId="2D5B9AD3">
                  <w:pPr>
                    <w:adjustRightInd w:val="0"/>
                    <w:snapToGrid w:val="0"/>
                    <w:jc w:val="center"/>
                    <w:rPr>
                      <w:color w:val="auto"/>
                      <w:szCs w:val="21"/>
                    </w:rPr>
                  </w:pPr>
                  <w:r>
                    <w:rPr>
                      <w:color w:val="auto"/>
                      <w:szCs w:val="21"/>
                    </w:rPr>
                    <w:t>/</w:t>
                  </w:r>
                </w:p>
              </w:tc>
              <w:tc>
                <w:tcPr>
                  <w:tcW w:w="272" w:type="pct"/>
                  <w:vAlign w:val="center"/>
                </w:tcPr>
                <w:p w14:paraId="445ED821">
                  <w:pPr>
                    <w:adjustRightInd w:val="0"/>
                    <w:snapToGrid w:val="0"/>
                    <w:jc w:val="center"/>
                    <w:rPr>
                      <w:color w:val="auto"/>
                      <w:szCs w:val="21"/>
                    </w:rPr>
                  </w:pPr>
                  <w:r>
                    <w:rPr>
                      <w:color w:val="auto"/>
                      <w:szCs w:val="21"/>
                    </w:rPr>
                    <w:t>66</w:t>
                  </w:r>
                </w:p>
              </w:tc>
              <w:tc>
                <w:tcPr>
                  <w:tcW w:w="629" w:type="pct"/>
                  <w:vAlign w:val="center"/>
                </w:tcPr>
                <w:p w14:paraId="33696CF0">
                  <w:pPr>
                    <w:adjustRightInd w:val="0"/>
                    <w:snapToGrid w:val="0"/>
                    <w:jc w:val="center"/>
                    <w:rPr>
                      <w:color w:val="auto"/>
                      <w:szCs w:val="21"/>
                    </w:rPr>
                  </w:pPr>
                  <w:r>
                    <w:rPr>
                      <w:color w:val="auto"/>
                      <w:szCs w:val="21"/>
                    </w:rPr>
                    <w:t>302-001-66</w:t>
                  </w:r>
                </w:p>
              </w:tc>
              <w:tc>
                <w:tcPr>
                  <w:tcW w:w="409" w:type="pct"/>
                  <w:vAlign w:val="center"/>
                </w:tcPr>
                <w:p w14:paraId="4055C247">
                  <w:pPr>
                    <w:adjustRightInd w:val="0"/>
                    <w:snapToGrid w:val="0"/>
                    <w:jc w:val="center"/>
                    <w:rPr>
                      <w:color w:val="auto"/>
                      <w:szCs w:val="21"/>
                    </w:rPr>
                  </w:pPr>
                  <w:r>
                    <w:rPr>
                      <w:snapToGrid w:val="0"/>
                      <w:color w:val="auto"/>
                      <w:kern w:val="21"/>
                      <w:szCs w:val="21"/>
                    </w:rPr>
                    <w:t>79.7</w:t>
                  </w:r>
                </w:p>
              </w:tc>
            </w:tr>
            <w:tr w14:paraId="404515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35" w:hRule="atLeast"/>
              </w:trPr>
              <w:tc>
                <w:tcPr>
                  <w:tcW w:w="164" w:type="pct"/>
                  <w:vAlign w:val="center"/>
                </w:tcPr>
                <w:p w14:paraId="28298A81">
                  <w:pPr>
                    <w:adjustRightInd w:val="0"/>
                    <w:snapToGrid w:val="0"/>
                    <w:jc w:val="center"/>
                    <w:rPr>
                      <w:color w:val="auto"/>
                      <w:szCs w:val="21"/>
                    </w:rPr>
                  </w:pPr>
                  <w:r>
                    <w:rPr>
                      <w:color w:val="auto"/>
                      <w:szCs w:val="21"/>
                    </w:rPr>
                    <w:t>2</w:t>
                  </w:r>
                </w:p>
              </w:tc>
              <w:tc>
                <w:tcPr>
                  <w:tcW w:w="538" w:type="pct"/>
                  <w:vAlign w:val="center"/>
                </w:tcPr>
                <w:p w14:paraId="56B7941E">
                  <w:pPr>
                    <w:overflowPunct w:val="0"/>
                    <w:adjustRightInd w:val="0"/>
                    <w:snapToGrid w:val="0"/>
                    <w:jc w:val="center"/>
                    <w:textAlignment w:val="baseline"/>
                    <w:rPr>
                      <w:color w:val="auto"/>
                      <w:kern w:val="0"/>
                      <w:szCs w:val="21"/>
                    </w:rPr>
                  </w:pPr>
                  <w:r>
                    <w:rPr>
                      <w:color w:val="auto"/>
                    </w:rPr>
                    <w:t>沉淀原料</w:t>
                  </w:r>
                </w:p>
              </w:tc>
              <w:tc>
                <w:tcPr>
                  <w:tcW w:w="824" w:type="pct"/>
                  <w:vMerge w:val="continue"/>
                  <w:vAlign w:val="center"/>
                </w:tcPr>
                <w:p w14:paraId="7D3CC03E">
                  <w:pPr>
                    <w:adjustRightInd w:val="0"/>
                    <w:snapToGrid w:val="0"/>
                    <w:jc w:val="center"/>
                    <w:rPr>
                      <w:color w:val="auto"/>
                      <w:szCs w:val="21"/>
                    </w:rPr>
                  </w:pPr>
                </w:p>
              </w:tc>
              <w:tc>
                <w:tcPr>
                  <w:tcW w:w="539" w:type="pct"/>
                  <w:vAlign w:val="center"/>
                </w:tcPr>
                <w:p w14:paraId="47297CC8">
                  <w:pPr>
                    <w:adjustRightInd w:val="0"/>
                    <w:snapToGrid w:val="0"/>
                    <w:jc w:val="center"/>
                    <w:rPr>
                      <w:color w:val="auto"/>
                      <w:szCs w:val="21"/>
                    </w:rPr>
                  </w:pPr>
                  <w:r>
                    <w:rPr>
                      <w:color w:val="auto"/>
                    </w:rPr>
                    <w:t>洗车槽</w:t>
                  </w:r>
                </w:p>
              </w:tc>
              <w:tc>
                <w:tcPr>
                  <w:tcW w:w="334" w:type="pct"/>
                  <w:vMerge w:val="continue"/>
                  <w:vAlign w:val="center"/>
                </w:tcPr>
                <w:p w14:paraId="3A97AF7C">
                  <w:pPr>
                    <w:adjustRightInd w:val="0"/>
                    <w:snapToGrid w:val="0"/>
                    <w:jc w:val="center"/>
                    <w:rPr>
                      <w:color w:val="auto"/>
                      <w:szCs w:val="21"/>
                    </w:rPr>
                  </w:pPr>
                </w:p>
              </w:tc>
              <w:tc>
                <w:tcPr>
                  <w:tcW w:w="460" w:type="pct"/>
                  <w:vAlign w:val="center"/>
                </w:tcPr>
                <w:p w14:paraId="748AC367">
                  <w:pPr>
                    <w:adjustRightInd w:val="0"/>
                    <w:snapToGrid w:val="0"/>
                    <w:jc w:val="center"/>
                    <w:rPr>
                      <w:color w:val="auto"/>
                      <w:szCs w:val="21"/>
                    </w:rPr>
                  </w:pPr>
                  <w:r>
                    <w:rPr>
                      <w:color w:val="auto"/>
                      <w:szCs w:val="21"/>
                    </w:rPr>
                    <w:t>砂石料</w:t>
                  </w:r>
                </w:p>
              </w:tc>
              <w:tc>
                <w:tcPr>
                  <w:tcW w:w="508" w:type="pct"/>
                  <w:vMerge w:val="continue"/>
                  <w:vAlign w:val="center"/>
                </w:tcPr>
                <w:p w14:paraId="424F0311">
                  <w:pPr>
                    <w:adjustRightInd w:val="0"/>
                    <w:snapToGrid w:val="0"/>
                    <w:jc w:val="center"/>
                    <w:rPr>
                      <w:color w:val="auto"/>
                      <w:szCs w:val="21"/>
                    </w:rPr>
                  </w:pPr>
                </w:p>
              </w:tc>
              <w:tc>
                <w:tcPr>
                  <w:tcW w:w="315" w:type="pct"/>
                  <w:vAlign w:val="center"/>
                </w:tcPr>
                <w:p w14:paraId="7BFC9712">
                  <w:pPr>
                    <w:adjustRightInd w:val="0"/>
                    <w:snapToGrid w:val="0"/>
                    <w:jc w:val="center"/>
                    <w:rPr>
                      <w:color w:val="auto"/>
                      <w:szCs w:val="21"/>
                    </w:rPr>
                  </w:pPr>
                  <w:r>
                    <w:rPr>
                      <w:color w:val="auto"/>
                      <w:szCs w:val="21"/>
                    </w:rPr>
                    <w:t>/</w:t>
                  </w:r>
                </w:p>
              </w:tc>
              <w:tc>
                <w:tcPr>
                  <w:tcW w:w="272" w:type="pct"/>
                  <w:vAlign w:val="center"/>
                </w:tcPr>
                <w:p w14:paraId="1AA43773">
                  <w:pPr>
                    <w:adjustRightInd w:val="0"/>
                    <w:snapToGrid w:val="0"/>
                    <w:jc w:val="center"/>
                    <w:rPr>
                      <w:color w:val="auto"/>
                      <w:szCs w:val="21"/>
                    </w:rPr>
                  </w:pPr>
                  <w:r>
                    <w:rPr>
                      <w:color w:val="auto"/>
                      <w:szCs w:val="21"/>
                    </w:rPr>
                    <w:t>44</w:t>
                  </w:r>
                </w:p>
              </w:tc>
              <w:tc>
                <w:tcPr>
                  <w:tcW w:w="629" w:type="pct"/>
                  <w:vAlign w:val="center"/>
                </w:tcPr>
                <w:p w14:paraId="6E155889">
                  <w:pPr>
                    <w:adjustRightInd w:val="0"/>
                    <w:snapToGrid w:val="0"/>
                    <w:jc w:val="center"/>
                    <w:rPr>
                      <w:color w:val="auto"/>
                      <w:szCs w:val="21"/>
                    </w:rPr>
                  </w:pPr>
                  <w:r>
                    <w:rPr>
                      <w:color w:val="auto"/>
                      <w:szCs w:val="21"/>
                    </w:rPr>
                    <w:t>302-001-44</w:t>
                  </w:r>
                </w:p>
              </w:tc>
              <w:tc>
                <w:tcPr>
                  <w:tcW w:w="409" w:type="pct"/>
                  <w:vAlign w:val="center"/>
                </w:tcPr>
                <w:p w14:paraId="02CAB897">
                  <w:pPr>
                    <w:adjustRightInd w:val="0"/>
                    <w:snapToGrid w:val="0"/>
                    <w:jc w:val="center"/>
                    <w:rPr>
                      <w:snapToGrid w:val="0"/>
                      <w:color w:val="auto"/>
                      <w:kern w:val="21"/>
                      <w:szCs w:val="21"/>
                    </w:rPr>
                  </w:pPr>
                  <w:r>
                    <w:rPr>
                      <w:snapToGrid w:val="0"/>
                      <w:color w:val="auto"/>
                      <w:kern w:val="21"/>
                      <w:szCs w:val="21"/>
                    </w:rPr>
                    <w:t>0.2</w:t>
                  </w:r>
                </w:p>
              </w:tc>
            </w:tr>
            <w:tr w14:paraId="51534A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51" w:hRule="atLeast"/>
              </w:trPr>
              <w:tc>
                <w:tcPr>
                  <w:tcW w:w="164" w:type="pct"/>
                  <w:vAlign w:val="center"/>
                </w:tcPr>
                <w:p w14:paraId="3D4F6D14">
                  <w:pPr>
                    <w:adjustRightInd w:val="0"/>
                    <w:snapToGrid w:val="0"/>
                    <w:jc w:val="center"/>
                    <w:rPr>
                      <w:color w:val="auto"/>
                      <w:szCs w:val="21"/>
                    </w:rPr>
                  </w:pPr>
                  <w:r>
                    <w:rPr>
                      <w:color w:val="auto"/>
                      <w:szCs w:val="21"/>
                    </w:rPr>
                    <w:t>3</w:t>
                  </w:r>
                </w:p>
              </w:tc>
              <w:tc>
                <w:tcPr>
                  <w:tcW w:w="538" w:type="pct"/>
                  <w:vAlign w:val="center"/>
                </w:tcPr>
                <w:p w14:paraId="13AD89FC">
                  <w:pPr>
                    <w:overflowPunct w:val="0"/>
                    <w:adjustRightInd w:val="0"/>
                    <w:snapToGrid w:val="0"/>
                    <w:jc w:val="center"/>
                    <w:textAlignment w:val="baseline"/>
                    <w:rPr>
                      <w:color w:val="auto"/>
                      <w:kern w:val="0"/>
                      <w:szCs w:val="21"/>
                    </w:rPr>
                  </w:pPr>
                  <w:r>
                    <w:rPr>
                      <w:rFonts w:eastAsia="Times New Roman"/>
                      <w:color w:val="auto"/>
                    </w:rPr>
                    <w:t>滴漏沥青</w:t>
                  </w:r>
                </w:p>
              </w:tc>
              <w:tc>
                <w:tcPr>
                  <w:tcW w:w="824" w:type="pct"/>
                  <w:vMerge w:val="continue"/>
                  <w:vAlign w:val="center"/>
                </w:tcPr>
                <w:p w14:paraId="6EC23433">
                  <w:pPr>
                    <w:adjustRightInd w:val="0"/>
                    <w:snapToGrid w:val="0"/>
                    <w:jc w:val="center"/>
                    <w:rPr>
                      <w:color w:val="auto"/>
                      <w:szCs w:val="21"/>
                    </w:rPr>
                  </w:pPr>
                </w:p>
              </w:tc>
              <w:tc>
                <w:tcPr>
                  <w:tcW w:w="539" w:type="pct"/>
                  <w:vAlign w:val="center"/>
                </w:tcPr>
                <w:p w14:paraId="58EB3609">
                  <w:pPr>
                    <w:adjustRightInd w:val="0"/>
                    <w:snapToGrid w:val="0"/>
                    <w:jc w:val="center"/>
                    <w:rPr>
                      <w:color w:val="auto"/>
                      <w:szCs w:val="21"/>
                    </w:rPr>
                  </w:pPr>
                  <w:r>
                    <w:rPr>
                      <w:color w:val="auto"/>
                      <w:szCs w:val="21"/>
                    </w:rPr>
                    <w:t>加入沥青</w:t>
                  </w:r>
                </w:p>
              </w:tc>
              <w:tc>
                <w:tcPr>
                  <w:tcW w:w="334" w:type="pct"/>
                  <w:vMerge w:val="continue"/>
                  <w:vAlign w:val="center"/>
                </w:tcPr>
                <w:p w14:paraId="151E3E6F">
                  <w:pPr>
                    <w:adjustRightInd w:val="0"/>
                    <w:snapToGrid w:val="0"/>
                    <w:jc w:val="center"/>
                    <w:rPr>
                      <w:color w:val="auto"/>
                      <w:szCs w:val="21"/>
                    </w:rPr>
                  </w:pPr>
                </w:p>
              </w:tc>
              <w:tc>
                <w:tcPr>
                  <w:tcW w:w="460" w:type="pct"/>
                  <w:vAlign w:val="center"/>
                </w:tcPr>
                <w:p w14:paraId="2D7E9382">
                  <w:pPr>
                    <w:adjustRightInd w:val="0"/>
                    <w:snapToGrid w:val="0"/>
                    <w:jc w:val="center"/>
                    <w:rPr>
                      <w:color w:val="auto"/>
                      <w:szCs w:val="21"/>
                    </w:rPr>
                  </w:pPr>
                  <w:r>
                    <w:rPr>
                      <w:rFonts w:eastAsia="Times New Roman"/>
                      <w:color w:val="auto"/>
                    </w:rPr>
                    <w:t>滴漏</w:t>
                  </w:r>
                </w:p>
              </w:tc>
              <w:tc>
                <w:tcPr>
                  <w:tcW w:w="508" w:type="pct"/>
                  <w:vMerge w:val="continue"/>
                  <w:vAlign w:val="center"/>
                </w:tcPr>
                <w:p w14:paraId="2BDE3099">
                  <w:pPr>
                    <w:adjustRightInd w:val="0"/>
                    <w:snapToGrid w:val="0"/>
                    <w:jc w:val="center"/>
                    <w:rPr>
                      <w:color w:val="auto"/>
                      <w:szCs w:val="21"/>
                    </w:rPr>
                  </w:pPr>
                </w:p>
              </w:tc>
              <w:tc>
                <w:tcPr>
                  <w:tcW w:w="315" w:type="pct"/>
                  <w:vAlign w:val="center"/>
                </w:tcPr>
                <w:p w14:paraId="35AD529E">
                  <w:pPr>
                    <w:adjustRightInd w:val="0"/>
                    <w:snapToGrid w:val="0"/>
                    <w:jc w:val="center"/>
                    <w:rPr>
                      <w:color w:val="auto"/>
                      <w:szCs w:val="21"/>
                    </w:rPr>
                  </w:pPr>
                  <w:r>
                    <w:rPr>
                      <w:color w:val="auto"/>
                      <w:szCs w:val="21"/>
                    </w:rPr>
                    <w:t>/</w:t>
                  </w:r>
                </w:p>
              </w:tc>
              <w:tc>
                <w:tcPr>
                  <w:tcW w:w="272" w:type="pct"/>
                  <w:vAlign w:val="center"/>
                </w:tcPr>
                <w:p w14:paraId="42B47C37">
                  <w:pPr>
                    <w:adjustRightInd w:val="0"/>
                    <w:snapToGrid w:val="0"/>
                    <w:jc w:val="center"/>
                    <w:rPr>
                      <w:color w:val="auto"/>
                      <w:szCs w:val="21"/>
                    </w:rPr>
                  </w:pPr>
                  <w:r>
                    <w:rPr>
                      <w:color w:val="auto"/>
                      <w:szCs w:val="21"/>
                    </w:rPr>
                    <w:t>99</w:t>
                  </w:r>
                </w:p>
              </w:tc>
              <w:tc>
                <w:tcPr>
                  <w:tcW w:w="629" w:type="pct"/>
                  <w:vAlign w:val="center"/>
                </w:tcPr>
                <w:p w14:paraId="0C16CE01">
                  <w:pPr>
                    <w:adjustRightInd w:val="0"/>
                    <w:snapToGrid w:val="0"/>
                    <w:jc w:val="center"/>
                    <w:rPr>
                      <w:color w:val="auto"/>
                      <w:szCs w:val="21"/>
                    </w:rPr>
                  </w:pPr>
                  <w:r>
                    <w:rPr>
                      <w:color w:val="auto"/>
                      <w:szCs w:val="21"/>
                    </w:rPr>
                    <w:t>302-999-99</w:t>
                  </w:r>
                </w:p>
              </w:tc>
              <w:tc>
                <w:tcPr>
                  <w:tcW w:w="409" w:type="pct"/>
                  <w:vAlign w:val="center"/>
                </w:tcPr>
                <w:p w14:paraId="58E3776F">
                  <w:pPr>
                    <w:adjustRightInd w:val="0"/>
                    <w:snapToGrid w:val="0"/>
                    <w:jc w:val="center"/>
                    <w:rPr>
                      <w:color w:val="auto"/>
                      <w:szCs w:val="21"/>
                    </w:rPr>
                  </w:pPr>
                  <w:r>
                    <w:rPr>
                      <w:color w:val="auto"/>
                      <w:szCs w:val="21"/>
                    </w:rPr>
                    <w:t>0.07</w:t>
                  </w:r>
                </w:p>
              </w:tc>
            </w:tr>
            <w:tr w14:paraId="74646D1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64" w:type="pct"/>
                  <w:vAlign w:val="center"/>
                </w:tcPr>
                <w:p w14:paraId="39B96EAB">
                  <w:pPr>
                    <w:adjustRightInd w:val="0"/>
                    <w:snapToGrid w:val="0"/>
                    <w:jc w:val="center"/>
                    <w:rPr>
                      <w:color w:val="auto"/>
                      <w:szCs w:val="21"/>
                    </w:rPr>
                  </w:pPr>
                  <w:r>
                    <w:rPr>
                      <w:color w:val="auto"/>
                      <w:szCs w:val="21"/>
                    </w:rPr>
                    <w:t>4</w:t>
                  </w:r>
                </w:p>
              </w:tc>
              <w:tc>
                <w:tcPr>
                  <w:tcW w:w="538" w:type="pct"/>
                  <w:vAlign w:val="center"/>
                </w:tcPr>
                <w:p w14:paraId="6174E94B">
                  <w:pPr>
                    <w:overflowPunct w:val="0"/>
                    <w:adjustRightInd w:val="0"/>
                    <w:snapToGrid w:val="0"/>
                    <w:jc w:val="center"/>
                    <w:textAlignment w:val="baseline"/>
                    <w:rPr>
                      <w:color w:val="auto"/>
                      <w:kern w:val="0"/>
                      <w:szCs w:val="21"/>
                    </w:rPr>
                  </w:pPr>
                  <w:r>
                    <w:rPr>
                      <w:color w:val="auto"/>
                      <w:kern w:val="0"/>
                      <w:szCs w:val="21"/>
                    </w:rPr>
                    <w:t>生活垃圾</w:t>
                  </w:r>
                </w:p>
              </w:tc>
              <w:tc>
                <w:tcPr>
                  <w:tcW w:w="824" w:type="pct"/>
                  <w:vMerge w:val="continue"/>
                  <w:vAlign w:val="center"/>
                </w:tcPr>
                <w:p w14:paraId="1EA3C313">
                  <w:pPr>
                    <w:adjustRightInd w:val="0"/>
                    <w:snapToGrid w:val="0"/>
                    <w:jc w:val="center"/>
                    <w:rPr>
                      <w:color w:val="auto"/>
                      <w:szCs w:val="21"/>
                    </w:rPr>
                  </w:pPr>
                </w:p>
              </w:tc>
              <w:tc>
                <w:tcPr>
                  <w:tcW w:w="539" w:type="pct"/>
                  <w:vAlign w:val="center"/>
                </w:tcPr>
                <w:p w14:paraId="1740131A">
                  <w:pPr>
                    <w:adjustRightInd w:val="0"/>
                    <w:snapToGrid w:val="0"/>
                    <w:jc w:val="center"/>
                    <w:rPr>
                      <w:color w:val="auto"/>
                      <w:szCs w:val="21"/>
                    </w:rPr>
                  </w:pPr>
                  <w:r>
                    <w:rPr>
                      <w:color w:val="auto"/>
                      <w:szCs w:val="21"/>
                    </w:rPr>
                    <w:t>员工生活</w:t>
                  </w:r>
                </w:p>
              </w:tc>
              <w:tc>
                <w:tcPr>
                  <w:tcW w:w="334" w:type="pct"/>
                  <w:vMerge w:val="continue"/>
                  <w:vAlign w:val="center"/>
                </w:tcPr>
                <w:p w14:paraId="7A2F2C0A">
                  <w:pPr>
                    <w:adjustRightInd w:val="0"/>
                    <w:snapToGrid w:val="0"/>
                    <w:jc w:val="center"/>
                    <w:rPr>
                      <w:color w:val="auto"/>
                      <w:szCs w:val="21"/>
                    </w:rPr>
                  </w:pPr>
                </w:p>
              </w:tc>
              <w:tc>
                <w:tcPr>
                  <w:tcW w:w="460" w:type="pct"/>
                  <w:vAlign w:val="center"/>
                </w:tcPr>
                <w:p w14:paraId="1E2E4473">
                  <w:pPr>
                    <w:adjustRightInd w:val="0"/>
                    <w:snapToGrid w:val="0"/>
                    <w:jc w:val="center"/>
                    <w:rPr>
                      <w:color w:val="auto"/>
                      <w:szCs w:val="21"/>
                    </w:rPr>
                  </w:pPr>
                  <w:r>
                    <w:rPr>
                      <w:color w:val="auto"/>
                      <w:szCs w:val="21"/>
                    </w:rPr>
                    <w:t>纸屑、果皮等</w:t>
                  </w:r>
                </w:p>
              </w:tc>
              <w:tc>
                <w:tcPr>
                  <w:tcW w:w="508" w:type="pct"/>
                  <w:vMerge w:val="continue"/>
                  <w:vAlign w:val="center"/>
                </w:tcPr>
                <w:p w14:paraId="0720BB5F">
                  <w:pPr>
                    <w:adjustRightInd w:val="0"/>
                    <w:snapToGrid w:val="0"/>
                    <w:jc w:val="center"/>
                    <w:rPr>
                      <w:color w:val="auto"/>
                      <w:szCs w:val="21"/>
                    </w:rPr>
                  </w:pPr>
                </w:p>
              </w:tc>
              <w:tc>
                <w:tcPr>
                  <w:tcW w:w="315" w:type="pct"/>
                  <w:vAlign w:val="center"/>
                </w:tcPr>
                <w:p w14:paraId="645F2E7E">
                  <w:pPr>
                    <w:adjustRightInd w:val="0"/>
                    <w:snapToGrid w:val="0"/>
                    <w:jc w:val="center"/>
                    <w:rPr>
                      <w:color w:val="auto"/>
                      <w:szCs w:val="21"/>
                    </w:rPr>
                  </w:pPr>
                  <w:r>
                    <w:rPr>
                      <w:color w:val="auto"/>
                      <w:szCs w:val="21"/>
                    </w:rPr>
                    <w:t>/</w:t>
                  </w:r>
                </w:p>
              </w:tc>
              <w:tc>
                <w:tcPr>
                  <w:tcW w:w="272" w:type="pct"/>
                  <w:vAlign w:val="center"/>
                </w:tcPr>
                <w:p w14:paraId="39CC4A6C">
                  <w:pPr>
                    <w:adjustRightInd w:val="0"/>
                    <w:snapToGrid w:val="0"/>
                    <w:jc w:val="center"/>
                    <w:rPr>
                      <w:color w:val="auto"/>
                      <w:szCs w:val="21"/>
                    </w:rPr>
                  </w:pPr>
                  <w:r>
                    <w:rPr>
                      <w:color w:val="auto"/>
                      <w:szCs w:val="21"/>
                    </w:rPr>
                    <w:t>99</w:t>
                  </w:r>
                </w:p>
              </w:tc>
              <w:tc>
                <w:tcPr>
                  <w:tcW w:w="629" w:type="pct"/>
                  <w:vAlign w:val="center"/>
                </w:tcPr>
                <w:p w14:paraId="4EDA8D23">
                  <w:pPr>
                    <w:adjustRightInd w:val="0"/>
                    <w:snapToGrid w:val="0"/>
                    <w:jc w:val="center"/>
                    <w:rPr>
                      <w:color w:val="auto"/>
                      <w:szCs w:val="21"/>
                    </w:rPr>
                  </w:pPr>
                  <w:r>
                    <w:rPr>
                      <w:color w:val="auto"/>
                      <w:szCs w:val="21"/>
                    </w:rPr>
                    <w:t>900-999-99</w:t>
                  </w:r>
                </w:p>
              </w:tc>
              <w:tc>
                <w:tcPr>
                  <w:tcW w:w="409" w:type="pct"/>
                  <w:vAlign w:val="center"/>
                </w:tcPr>
                <w:p w14:paraId="55366355">
                  <w:pPr>
                    <w:adjustRightInd w:val="0"/>
                    <w:snapToGrid w:val="0"/>
                    <w:jc w:val="center"/>
                    <w:rPr>
                      <w:color w:val="auto"/>
                      <w:szCs w:val="21"/>
                    </w:rPr>
                  </w:pPr>
                  <w:r>
                    <w:rPr>
                      <w:color w:val="auto"/>
                      <w:szCs w:val="21"/>
                    </w:rPr>
                    <w:t>2.88</w:t>
                  </w:r>
                </w:p>
              </w:tc>
            </w:tr>
            <w:tr w14:paraId="0EEF93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51" w:hRule="atLeast"/>
              </w:trPr>
              <w:tc>
                <w:tcPr>
                  <w:tcW w:w="164" w:type="pct"/>
                  <w:vAlign w:val="center"/>
                </w:tcPr>
                <w:p w14:paraId="4A7330F3">
                  <w:pPr>
                    <w:adjustRightInd w:val="0"/>
                    <w:snapToGrid w:val="0"/>
                    <w:jc w:val="center"/>
                    <w:rPr>
                      <w:color w:val="auto"/>
                      <w:szCs w:val="21"/>
                    </w:rPr>
                  </w:pPr>
                  <w:r>
                    <w:rPr>
                      <w:color w:val="auto"/>
                      <w:szCs w:val="21"/>
                    </w:rPr>
                    <w:t>5</w:t>
                  </w:r>
                </w:p>
              </w:tc>
              <w:tc>
                <w:tcPr>
                  <w:tcW w:w="538" w:type="pct"/>
                  <w:vAlign w:val="center"/>
                </w:tcPr>
                <w:p w14:paraId="3497F938">
                  <w:pPr>
                    <w:overflowPunct w:val="0"/>
                    <w:adjustRightInd w:val="0"/>
                    <w:snapToGrid w:val="0"/>
                    <w:jc w:val="center"/>
                    <w:textAlignment w:val="baseline"/>
                    <w:rPr>
                      <w:color w:val="auto"/>
                      <w:kern w:val="0"/>
                      <w:szCs w:val="21"/>
                    </w:rPr>
                  </w:pPr>
                  <w:r>
                    <w:rPr>
                      <w:rFonts w:eastAsia="Times New Roman"/>
                      <w:color w:val="auto"/>
                    </w:rPr>
                    <w:t>废导热油</w:t>
                  </w:r>
                </w:p>
              </w:tc>
              <w:tc>
                <w:tcPr>
                  <w:tcW w:w="824" w:type="pct"/>
                  <w:vMerge w:val="restart"/>
                  <w:vAlign w:val="center"/>
                </w:tcPr>
                <w:p w14:paraId="69C158A4">
                  <w:pPr>
                    <w:adjustRightInd w:val="0"/>
                    <w:snapToGrid w:val="0"/>
                    <w:jc w:val="center"/>
                    <w:rPr>
                      <w:color w:val="auto"/>
                      <w:szCs w:val="21"/>
                    </w:rPr>
                  </w:pPr>
                  <w:r>
                    <w:rPr>
                      <w:color w:val="auto"/>
                      <w:szCs w:val="21"/>
                    </w:rPr>
                    <w:t>危险废物</w:t>
                  </w:r>
                </w:p>
              </w:tc>
              <w:tc>
                <w:tcPr>
                  <w:tcW w:w="539" w:type="pct"/>
                  <w:vAlign w:val="center"/>
                </w:tcPr>
                <w:p w14:paraId="1F6213BC">
                  <w:pPr>
                    <w:adjustRightInd w:val="0"/>
                    <w:snapToGrid w:val="0"/>
                    <w:jc w:val="center"/>
                    <w:rPr>
                      <w:color w:val="auto"/>
                      <w:szCs w:val="21"/>
                    </w:rPr>
                  </w:pPr>
                  <w:r>
                    <w:rPr>
                      <w:color w:val="auto"/>
                      <w:szCs w:val="21"/>
                    </w:rPr>
                    <w:t>沥青加热装置</w:t>
                  </w:r>
                </w:p>
              </w:tc>
              <w:tc>
                <w:tcPr>
                  <w:tcW w:w="334" w:type="pct"/>
                  <w:vAlign w:val="center"/>
                </w:tcPr>
                <w:p w14:paraId="2C195C81">
                  <w:pPr>
                    <w:adjustRightInd w:val="0"/>
                    <w:snapToGrid w:val="0"/>
                    <w:jc w:val="center"/>
                    <w:rPr>
                      <w:color w:val="auto"/>
                      <w:szCs w:val="21"/>
                    </w:rPr>
                  </w:pPr>
                  <w:r>
                    <w:rPr>
                      <w:color w:val="auto"/>
                      <w:szCs w:val="21"/>
                    </w:rPr>
                    <w:t>液态</w:t>
                  </w:r>
                </w:p>
              </w:tc>
              <w:tc>
                <w:tcPr>
                  <w:tcW w:w="460" w:type="pct"/>
                  <w:vAlign w:val="center"/>
                </w:tcPr>
                <w:p w14:paraId="0CC0B15D">
                  <w:pPr>
                    <w:adjustRightInd w:val="0"/>
                    <w:snapToGrid w:val="0"/>
                    <w:jc w:val="center"/>
                    <w:rPr>
                      <w:color w:val="auto"/>
                      <w:szCs w:val="21"/>
                    </w:rPr>
                  </w:pPr>
                  <w:r>
                    <w:rPr>
                      <w:color w:val="auto"/>
                      <w:szCs w:val="21"/>
                    </w:rPr>
                    <w:t>矿物油</w:t>
                  </w:r>
                </w:p>
              </w:tc>
              <w:tc>
                <w:tcPr>
                  <w:tcW w:w="508" w:type="pct"/>
                  <w:vMerge w:val="continue"/>
                  <w:vAlign w:val="center"/>
                </w:tcPr>
                <w:p w14:paraId="0EFEF693">
                  <w:pPr>
                    <w:adjustRightInd w:val="0"/>
                    <w:snapToGrid w:val="0"/>
                    <w:jc w:val="center"/>
                    <w:rPr>
                      <w:color w:val="auto"/>
                      <w:szCs w:val="21"/>
                    </w:rPr>
                  </w:pPr>
                </w:p>
              </w:tc>
              <w:tc>
                <w:tcPr>
                  <w:tcW w:w="315" w:type="pct"/>
                  <w:vAlign w:val="center"/>
                </w:tcPr>
                <w:p w14:paraId="056C820F">
                  <w:pPr>
                    <w:adjustRightInd w:val="0"/>
                    <w:snapToGrid w:val="0"/>
                    <w:jc w:val="center"/>
                    <w:rPr>
                      <w:color w:val="auto"/>
                      <w:szCs w:val="21"/>
                    </w:rPr>
                  </w:pPr>
                  <w:r>
                    <w:rPr>
                      <w:color w:val="auto"/>
                      <w:szCs w:val="21"/>
                    </w:rPr>
                    <w:t>T，I</w:t>
                  </w:r>
                </w:p>
              </w:tc>
              <w:tc>
                <w:tcPr>
                  <w:tcW w:w="272" w:type="pct"/>
                  <w:vAlign w:val="center"/>
                </w:tcPr>
                <w:p w14:paraId="071379D0">
                  <w:pPr>
                    <w:adjustRightInd w:val="0"/>
                    <w:snapToGrid w:val="0"/>
                    <w:jc w:val="center"/>
                    <w:rPr>
                      <w:color w:val="auto"/>
                      <w:szCs w:val="21"/>
                    </w:rPr>
                  </w:pPr>
                  <w:r>
                    <w:rPr>
                      <w:color w:val="auto"/>
                      <w:szCs w:val="21"/>
                    </w:rPr>
                    <w:t>HW08</w:t>
                  </w:r>
                </w:p>
              </w:tc>
              <w:tc>
                <w:tcPr>
                  <w:tcW w:w="629" w:type="pct"/>
                  <w:vAlign w:val="center"/>
                </w:tcPr>
                <w:p w14:paraId="680307C1">
                  <w:pPr>
                    <w:widowControl/>
                    <w:jc w:val="left"/>
                    <w:rPr>
                      <w:color w:val="auto"/>
                      <w:szCs w:val="21"/>
                    </w:rPr>
                  </w:pPr>
                  <w:r>
                    <w:rPr>
                      <w:bCs/>
                      <w:color w:val="auto"/>
                      <w:kern w:val="0"/>
                      <w:szCs w:val="21"/>
                    </w:rPr>
                    <w:t>900-249-08</w:t>
                  </w:r>
                </w:p>
              </w:tc>
              <w:tc>
                <w:tcPr>
                  <w:tcW w:w="409" w:type="pct"/>
                  <w:vAlign w:val="center"/>
                </w:tcPr>
                <w:p w14:paraId="5BFE819D">
                  <w:pPr>
                    <w:adjustRightInd w:val="0"/>
                    <w:snapToGrid w:val="0"/>
                    <w:jc w:val="center"/>
                    <w:rPr>
                      <w:color w:val="auto"/>
                      <w:szCs w:val="21"/>
                    </w:rPr>
                  </w:pPr>
                  <w:r>
                    <w:rPr>
                      <w:color w:val="auto"/>
                      <w:szCs w:val="21"/>
                    </w:rPr>
                    <w:t>0.6</w:t>
                  </w:r>
                </w:p>
              </w:tc>
            </w:tr>
            <w:tr w14:paraId="756B6B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64" w:type="pct"/>
                  <w:vAlign w:val="center"/>
                </w:tcPr>
                <w:p w14:paraId="25FF895B">
                  <w:pPr>
                    <w:adjustRightInd w:val="0"/>
                    <w:snapToGrid w:val="0"/>
                    <w:jc w:val="center"/>
                    <w:rPr>
                      <w:color w:val="auto"/>
                      <w:szCs w:val="21"/>
                    </w:rPr>
                  </w:pPr>
                  <w:r>
                    <w:rPr>
                      <w:color w:val="auto"/>
                      <w:szCs w:val="21"/>
                    </w:rPr>
                    <w:t>6</w:t>
                  </w:r>
                </w:p>
              </w:tc>
              <w:tc>
                <w:tcPr>
                  <w:tcW w:w="538" w:type="pct"/>
                  <w:vAlign w:val="center"/>
                </w:tcPr>
                <w:p w14:paraId="297B4BB0">
                  <w:pPr>
                    <w:overflowPunct w:val="0"/>
                    <w:adjustRightInd w:val="0"/>
                    <w:snapToGrid w:val="0"/>
                    <w:jc w:val="center"/>
                    <w:textAlignment w:val="baseline"/>
                    <w:rPr>
                      <w:rFonts w:eastAsia="Times New Roman"/>
                      <w:color w:val="auto"/>
                    </w:rPr>
                  </w:pPr>
                  <w:r>
                    <w:rPr>
                      <w:rFonts w:eastAsia="Times New Roman"/>
                      <w:color w:val="auto"/>
                    </w:rPr>
                    <w:t>废活性炭</w:t>
                  </w:r>
                </w:p>
              </w:tc>
              <w:tc>
                <w:tcPr>
                  <w:tcW w:w="824" w:type="pct"/>
                  <w:vMerge w:val="continue"/>
                  <w:vAlign w:val="center"/>
                </w:tcPr>
                <w:p w14:paraId="7F22ED95">
                  <w:pPr>
                    <w:adjustRightInd w:val="0"/>
                    <w:snapToGrid w:val="0"/>
                    <w:jc w:val="center"/>
                    <w:rPr>
                      <w:color w:val="auto"/>
                      <w:szCs w:val="21"/>
                    </w:rPr>
                  </w:pPr>
                </w:p>
              </w:tc>
              <w:tc>
                <w:tcPr>
                  <w:tcW w:w="539" w:type="pct"/>
                  <w:vAlign w:val="center"/>
                </w:tcPr>
                <w:p w14:paraId="248A07E8">
                  <w:pPr>
                    <w:adjustRightInd w:val="0"/>
                    <w:snapToGrid w:val="0"/>
                    <w:jc w:val="center"/>
                    <w:rPr>
                      <w:color w:val="auto"/>
                      <w:szCs w:val="21"/>
                    </w:rPr>
                  </w:pPr>
                  <w:r>
                    <w:rPr>
                      <w:color w:val="auto"/>
                      <w:szCs w:val="21"/>
                    </w:rPr>
                    <w:t>沥青净化装置</w:t>
                  </w:r>
                </w:p>
              </w:tc>
              <w:tc>
                <w:tcPr>
                  <w:tcW w:w="334" w:type="pct"/>
                  <w:vAlign w:val="center"/>
                </w:tcPr>
                <w:p w14:paraId="63757EAA">
                  <w:pPr>
                    <w:adjustRightInd w:val="0"/>
                    <w:snapToGrid w:val="0"/>
                    <w:jc w:val="center"/>
                    <w:rPr>
                      <w:color w:val="auto"/>
                      <w:szCs w:val="21"/>
                    </w:rPr>
                  </w:pPr>
                  <w:r>
                    <w:rPr>
                      <w:color w:val="auto"/>
                      <w:szCs w:val="21"/>
                    </w:rPr>
                    <w:t>固态</w:t>
                  </w:r>
                </w:p>
              </w:tc>
              <w:tc>
                <w:tcPr>
                  <w:tcW w:w="460" w:type="pct"/>
                  <w:vAlign w:val="center"/>
                </w:tcPr>
                <w:p w14:paraId="26503BC5">
                  <w:pPr>
                    <w:adjustRightInd w:val="0"/>
                    <w:snapToGrid w:val="0"/>
                    <w:jc w:val="center"/>
                    <w:rPr>
                      <w:color w:val="auto"/>
                      <w:szCs w:val="21"/>
                    </w:rPr>
                  </w:pPr>
                  <w:r>
                    <w:rPr>
                      <w:color w:val="auto"/>
                      <w:szCs w:val="21"/>
                    </w:rPr>
                    <w:t>沥青烟</w:t>
                  </w:r>
                </w:p>
              </w:tc>
              <w:tc>
                <w:tcPr>
                  <w:tcW w:w="508" w:type="pct"/>
                  <w:vMerge w:val="continue"/>
                  <w:vAlign w:val="center"/>
                </w:tcPr>
                <w:p w14:paraId="34A77551">
                  <w:pPr>
                    <w:adjustRightInd w:val="0"/>
                    <w:snapToGrid w:val="0"/>
                    <w:jc w:val="center"/>
                    <w:rPr>
                      <w:color w:val="auto"/>
                      <w:szCs w:val="21"/>
                    </w:rPr>
                  </w:pPr>
                </w:p>
              </w:tc>
              <w:tc>
                <w:tcPr>
                  <w:tcW w:w="315" w:type="pct"/>
                  <w:vAlign w:val="center"/>
                </w:tcPr>
                <w:p w14:paraId="7C6090FC">
                  <w:pPr>
                    <w:adjustRightInd w:val="0"/>
                    <w:snapToGrid w:val="0"/>
                    <w:jc w:val="center"/>
                    <w:rPr>
                      <w:color w:val="auto"/>
                      <w:szCs w:val="21"/>
                    </w:rPr>
                  </w:pPr>
                  <w:r>
                    <w:rPr>
                      <w:color w:val="auto"/>
                      <w:kern w:val="0"/>
                      <w:szCs w:val="21"/>
                    </w:rPr>
                    <w:t>T</w:t>
                  </w:r>
                </w:p>
              </w:tc>
              <w:tc>
                <w:tcPr>
                  <w:tcW w:w="272" w:type="pct"/>
                  <w:vAlign w:val="center"/>
                </w:tcPr>
                <w:p w14:paraId="5FD08F15">
                  <w:pPr>
                    <w:adjustRightInd w:val="0"/>
                    <w:snapToGrid w:val="0"/>
                    <w:jc w:val="center"/>
                    <w:rPr>
                      <w:color w:val="auto"/>
                      <w:szCs w:val="21"/>
                    </w:rPr>
                  </w:pPr>
                  <w:r>
                    <w:rPr>
                      <w:color w:val="auto"/>
                      <w:szCs w:val="21"/>
                    </w:rPr>
                    <w:t>HW49</w:t>
                  </w:r>
                </w:p>
              </w:tc>
              <w:tc>
                <w:tcPr>
                  <w:tcW w:w="629" w:type="pct"/>
                  <w:vAlign w:val="center"/>
                </w:tcPr>
                <w:p w14:paraId="0FEB2213">
                  <w:pPr>
                    <w:adjustRightInd w:val="0"/>
                    <w:snapToGrid w:val="0"/>
                    <w:jc w:val="center"/>
                    <w:rPr>
                      <w:color w:val="auto"/>
                      <w:szCs w:val="21"/>
                    </w:rPr>
                  </w:pPr>
                  <w:r>
                    <w:rPr>
                      <w:color w:val="auto"/>
                      <w:kern w:val="0"/>
                      <w:szCs w:val="21"/>
                    </w:rPr>
                    <w:t>900-039-49</w:t>
                  </w:r>
                </w:p>
              </w:tc>
              <w:tc>
                <w:tcPr>
                  <w:tcW w:w="409" w:type="pct"/>
                  <w:vAlign w:val="center"/>
                </w:tcPr>
                <w:p w14:paraId="53C8AEF3">
                  <w:pPr>
                    <w:adjustRightInd w:val="0"/>
                    <w:snapToGrid w:val="0"/>
                    <w:jc w:val="center"/>
                    <w:rPr>
                      <w:color w:val="auto"/>
                      <w:szCs w:val="21"/>
                    </w:rPr>
                  </w:pPr>
                  <w:r>
                    <w:rPr>
                      <w:color w:val="auto"/>
                      <w:szCs w:val="21"/>
                    </w:rPr>
                    <w:t>0.2</w:t>
                  </w:r>
                </w:p>
              </w:tc>
            </w:tr>
            <w:tr w14:paraId="01D673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98" w:hRule="atLeast"/>
              </w:trPr>
              <w:tc>
                <w:tcPr>
                  <w:tcW w:w="164" w:type="pct"/>
                  <w:vAlign w:val="center"/>
                </w:tcPr>
                <w:p w14:paraId="2CDF7A05">
                  <w:pPr>
                    <w:adjustRightInd w:val="0"/>
                    <w:snapToGrid w:val="0"/>
                    <w:jc w:val="center"/>
                    <w:rPr>
                      <w:color w:val="auto"/>
                      <w:szCs w:val="21"/>
                    </w:rPr>
                  </w:pPr>
                  <w:r>
                    <w:rPr>
                      <w:color w:val="auto"/>
                      <w:szCs w:val="21"/>
                    </w:rPr>
                    <w:t>7</w:t>
                  </w:r>
                </w:p>
              </w:tc>
              <w:tc>
                <w:tcPr>
                  <w:tcW w:w="538" w:type="pct"/>
                  <w:vAlign w:val="center"/>
                </w:tcPr>
                <w:p w14:paraId="3ECBE742">
                  <w:pPr>
                    <w:overflowPunct w:val="0"/>
                    <w:adjustRightInd w:val="0"/>
                    <w:snapToGrid w:val="0"/>
                    <w:jc w:val="center"/>
                    <w:textAlignment w:val="baseline"/>
                    <w:rPr>
                      <w:rFonts w:eastAsia="Times New Roman"/>
                      <w:color w:val="auto"/>
                    </w:rPr>
                  </w:pPr>
                  <w:r>
                    <w:rPr>
                      <w:rFonts w:eastAsia="Times New Roman"/>
                      <w:color w:val="auto"/>
                    </w:rPr>
                    <w:t>废机油</w:t>
                  </w:r>
                </w:p>
              </w:tc>
              <w:tc>
                <w:tcPr>
                  <w:tcW w:w="824" w:type="pct"/>
                  <w:vMerge w:val="continue"/>
                  <w:vAlign w:val="center"/>
                </w:tcPr>
                <w:p w14:paraId="2FD19E1B">
                  <w:pPr>
                    <w:adjustRightInd w:val="0"/>
                    <w:snapToGrid w:val="0"/>
                    <w:jc w:val="center"/>
                    <w:rPr>
                      <w:color w:val="auto"/>
                      <w:szCs w:val="21"/>
                    </w:rPr>
                  </w:pPr>
                </w:p>
              </w:tc>
              <w:tc>
                <w:tcPr>
                  <w:tcW w:w="539" w:type="pct"/>
                  <w:vAlign w:val="center"/>
                </w:tcPr>
                <w:p w14:paraId="6AF0575F">
                  <w:pPr>
                    <w:adjustRightInd w:val="0"/>
                    <w:snapToGrid w:val="0"/>
                    <w:jc w:val="center"/>
                    <w:rPr>
                      <w:color w:val="auto"/>
                      <w:szCs w:val="21"/>
                    </w:rPr>
                  </w:pPr>
                  <w:r>
                    <w:rPr>
                      <w:color w:val="auto"/>
                      <w:szCs w:val="21"/>
                    </w:rPr>
                    <w:t>设备维修</w:t>
                  </w:r>
                </w:p>
              </w:tc>
              <w:tc>
                <w:tcPr>
                  <w:tcW w:w="334" w:type="pct"/>
                  <w:vAlign w:val="center"/>
                </w:tcPr>
                <w:p w14:paraId="401F34F2">
                  <w:pPr>
                    <w:adjustRightInd w:val="0"/>
                    <w:snapToGrid w:val="0"/>
                    <w:jc w:val="center"/>
                    <w:rPr>
                      <w:color w:val="auto"/>
                      <w:szCs w:val="21"/>
                    </w:rPr>
                  </w:pPr>
                  <w:r>
                    <w:rPr>
                      <w:color w:val="auto"/>
                      <w:szCs w:val="21"/>
                    </w:rPr>
                    <w:t>液态</w:t>
                  </w:r>
                </w:p>
              </w:tc>
              <w:tc>
                <w:tcPr>
                  <w:tcW w:w="460" w:type="pct"/>
                  <w:vAlign w:val="center"/>
                </w:tcPr>
                <w:p w14:paraId="0F890862">
                  <w:pPr>
                    <w:adjustRightInd w:val="0"/>
                    <w:snapToGrid w:val="0"/>
                    <w:jc w:val="center"/>
                    <w:rPr>
                      <w:color w:val="auto"/>
                      <w:szCs w:val="21"/>
                    </w:rPr>
                  </w:pPr>
                  <w:r>
                    <w:rPr>
                      <w:color w:val="auto"/>
                      <w:szCs w:val="21"/>
                    </w:rPr>
                    <w:t>油类</w:t>
                  </w:r>
                </w:p>
              </w:tc>
              <w:tc>
                <w:tcPr>
                  <w:tcW w:w="508" w:type="pct"/>
                  <w:vMerge w:val="continue"/>
                  <w:vAlign w:val="center"/>
                </w:tcPr>
                <w:p w14:paraId="4DDBDA9E">
                  <w:pPr>
                    <w:adjustRightInd w:val="0"/>
                    <w:snapToGrid w:val="0"/>
                    <w:jc w:val="center"/>
                    <w:rPr>
                      <w:color w:val="auto"/>
                      <w:szCs w:val="21"/>
                    </w:rPr>
                  </w:pPr>
                </w:p>
              </w:tc>
              <w:tc>
                <w:tcPr>
                  <w:tcW w:w="315" w:type="pct"/>
                  <w:vAlign w:val="center"/>
                </w:tcPr>
                <w:p w14:paraId="1E80BA26">
                  <w:pPr>
                    <w:adjustRightInd w:val="0"/>
                    <w:snapToGrid w:val="0"/>
                    <w:jc w:val="center"/>
                    <w:rPr>
                      <w:color w:val="auto"/>
                      <w:kern w:val="0"/>
                      <w:szCs w:val="21"/>
                    </w:rPr>
                  </w:pPr>
                  <w:r>
                    <w:rPr>
                      <w:color w:val="auto"/>
                      <w:szCs w:val="21"/>
                    </w:rPr>
                    <w:t>T，I</w:t>
                  </w:r>
                </w:p>
              </w:tc>
              <w:tc>
                <w:tcPr>
                  <w:tcW w:w="272" w:type="pct"/>
                  <w:vAlign w:val="center"/>
                </w:tcPr>
                <w:p w14:paraId="4769315A">
                  <w:pPr>
                    <w:adjustRightInd w:val="0"/>
                    <w:snapToGrid w:val="0"/>
                    <w:jc w:val="center"/>
                    <w:rPr>
                      <w:color w:val="auto"/>
                      <w:szCs w:val="21"/>
                    </w:rPr>
                  </w:pPr>
                  <w:r>
                    <w:rPr>
                      <w:bCs/>
                      <w:color w:val="auto"/>
                      <w:szCs w:val="21"/>
                    </w:rPr>
                    <w:t>HW08</w:t>
                  </w:r>
                </w:p>
              </w:tc>
              <w:tc>
                <w:tcPr>
                  <w:tcW w:w="629" w:type="pct"/>
                  <w:vAlign w:val="center"/>
                </w:tcPr>
                <w:p w14:paraId="1213EB48">
                  <w:pPr>
                    <w:adjustRightInd w:val="0"/>
                    <w:snapToGrid w:val="0"/>
                    <w:jc w:val="center"/>
                    <w:rPr>
                      <w:color w:val="auto"/>
                      <w:kern w:val="0"/>
                      <w:szCs w:val="21"/>
                    </w:rPr>
                  </w:pPr>
                  <w:r>
                    <w:rPr>
                      <w:color w:val="auto"/>
                      <w:szCs w:val="21"/>
                    </w:rPr>
                    <w:t>900-249-08</w:t>
                  </w:r>
                </w:p>
              </w:tc>
              <w:tc>
                <w:tcPr>
                  <w:tcW w:w="409" w:type="pct"/>
                  <w:vAlign w:val="center"/>
                </w:tcPr>
                <w:p w14:paraId="01805149">
                  <w:pPr>
                    <w:adjustRightInd w:val="0"/>
                    <w:snapToGrid w:val="0"/>
                    <w:jc w:val="center"/>
                    <w:rPr>
                      <w:color w:val="auto"/>
                      <w:szCs w:val="21"/>
                    </w:rPr>
                  </w:pPr>
                  <w:r>
                    <w:rPr>
                      <w:color w:val="auto"/>
                      <w:szCs w:val="21"/>
                    </w:rPr>
                    <w:t>1</w:t>
                  </w:r>
                </w:p>
              </w:tc>
            </w:tr>
          </w:tbl>
          <w:p w14:paraId="4D231CB5">
            <w:pPr>
              <w:widowControl/>
              <w:spacing w:line="480" w:lineRule="exact"/>
              <w:jc w:val="left"/>
              <w:rPr>
                <w:b/>
                <w:bCs/>
                <w:color w:val="auto"/>
                <w:szCs w:val="21"/>
                <w:lang w:bidi="ar"/>
              </w:rPr>
            </w:pPr>
            <w:r>
              <w:rPr>
                <w:rFonts w:hint="eastAsia"/>
                <w:b/>
                <w:bCs/>
                <w:color w:val="auto"/>
                <w:szCs w:val="21"/>
                <w:lang w:bidi="ar"/>
              </w:rPr>
              <w:t>4.5.3</w:t>
            </w:r>
            <w:r>
              <w:rPr>
                <w:b/>
                <w:bCs/>
                <w:color w:val="auto"/>
                <w:szCs w:val="21"/>
                <w:lang w:bidi="ar"/>
              </w:rPr>
              <w:t>危险废物处置措施</w:t>
            </w:r>
          </w:p>
          <w:p w14:paraId="1CDA934B">
            <w:pPr>
              <w:spacing w:line="360" w:lineRule="auto"/>
              <w:ind w:firstLine="420" w:firstLineChars="200"/>
              <w:rPr>
                <w:color w:val="auto"/>
                <w:szCs w:val="21"/>
              </w:rPr>
            </w:pPr>
            <w:r>
              <w:rPr>
                <w:color w:val="auto"/>
                <w:szCs w:val="21"/>
              </w:rPr>
              <w:t>（1）危险废物基本情况</w:t>
            </w:r>
          </w:p>
          <w:p w14:paraId="364E4954">
            <w:pPr>
              <w:spacing w:line="360" w:lineRule="auto"/>
              <w:ind w:firstLine="420" w:firstLineChars="200"/>
              <w:jc w:val="left"/>
              <w:rPr>
                <w:szCs w:val="21"/>
              </w:rPr>
            </w:pPr>
            <w:r>
              <w:rPr>
                <w:szCs w:val="21"/>
              </w:rPr>
              <w:t>根据《建设项目危险废物环境影响评价指南》要求，本评价明确危险废物的名称、数量、类别、形态、危险特性和污染防治措施等内容。本项目基本情况详见表4-1</w:t>
            </w:r>
            <w:r>
              <w:rPr>
                <w:rFonts w:hint="eastAsia"/>
                <w:szCs w:val="21"/>
                <w:lang w:val="en-US" w:eastAsia="zh-CN"/>
              </w:rPr>
              <w:t>2</w:t>
            </w:r>
            <w:r>
              <w:rPr>
                <w:szCs w:val="21"/>
              </w:rPr>
              <w:t>。</w:t>
            </w:r>
          </w:p>
          <w:p w14:paraId="5A4DB876">
            <w:pPr>
              <w:jc w:val="center"/>
              <w:rPr>
                <w:b/>
                <w:bCs/>
                <w:szCs w:val="21"/>
              </w:rPr>
            </w:pPr>
            <w:r>
              <w:rPr>
                <w:b/>
                <w:bCs/>
                <w:szCs w:val="21"/>
              </w:rPr>
              <w:t>表4-1</w:t>
            </w:r>
            <w:r>
              <w:rPr>
                <w:rFonts w:hint="eastAsia"/>
                <w:b/>
                <w:bCs/>
                <w:szCs w:val="21"/>
                <w:lang w:val="en-US" w:eastAsia="zh-CN"/>
              </w:rPr>
              <w:t>2</w:t>
            </w:r>
            <w:r>
              <w:rPr>
                <w:rFonts w:hint="eastAsia"/>
                <w:b/>
                <w:bCs/>
                <w:szCs w:val="21"/>
              </w:rPr>
              <w:t xml:space="preserve">  </w:t>
            </w:r>
            <w:r>
              <w:rPr>
                <w:b/>
                <w:bCs/>
                <w:szCs w:val="21"/>
              </w:rPr>
              <w:t>项目危险废物汇总表</w:t>
            </w:r>
          </w:p>
          <w:tbl>
            <w:tblPr>
              <w:tblStyle w:val="30"/>
              <w:tblW w:w="8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
              <w:gridCol w:w="786"/>
              <w:gridCol w:w="1133"/>
              <w:gridCol w:w="650"/>
              <w:gridCol w:w="775"/>
              <w:gridCol w:w="805"/>
              <w:gridCol w:w="498"/>
              <w:gridCol w:w="697"/>
              <w:gridCol w:w="688"/>
              <w:gridCol w:w="562"/>
              <w:gridCol w:w="1028"/>
            </w:tblGrid>
            <w:tr w14:paraId="7577A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3" w:type="dxa"/>
                  <w:tcBorders>
                    <w:tl2br w:val="nil"/>
                    <w:tr2bl w:val="nil"/>
                  </w:tcBorders>
                  <w:shd w:val="clear" w:color="auto" w:fill="auto"/>
                  <w:vAlign w:val="center"/>
                </w:tcPr>
                <w:p w14:paraId="7F81D4CE">
                  <w:pPr>
                    <w:adjustRightInd w:val="0"/>
                    <w:snapToGrid w:val="0"/>
                    <w:jc w:val="center"/>
                    <w:rPr>
                      <w:b/>
                      <w:bCs/>
                      <w:szCs w:val="21"/>
                    </w:rPr>
                  </w:pPr>
                  <w:r>
                    <w:rPr>
                      <w:b/>
                      <w:bCs/>
                      <w:szCs w:val="21"/>
                    </w:rPr>
                    <w:t>序号</w:t>
                  </w:r>
                </w:p>
              </w:tc>
              <w:tc>
                <w:tcPr>
                  <w:tcW w:w="786" w:type="dxa"/>
                  <w:tcBorders>
                    <w:tl2br w:val="nil"/>
                    <w:tr2bl w:val="nil"/>
                  </w:tcBorders>
                  <w:shd w:val="clear" w:color="auto" w:fill="auto"/>
                  <w:vAlign w:val="center"/>
                </w:tcPr>
                <w:p w14:paraId="2739C945">
                  <w:pPr>
                    <w:adjustRightInd w:val="0"/>
                    <w:snapToGrid w:val="0"/>
                    <w:jc w:val="center"/>
                    <w:rPr>
                      <w:b/>
                      <w:bCs/>
                      <w:szCs w:val="21"/>
                    </w:rPr>
                  </w:pPr>
                  <w:r>
                    <w:rPr>
                      <w:b/>
                      <w:bCs/>
                      <w:szCs w:val="21"/>
                    </w:rPr>
                    <w:t>危险废物名称</w:t>
                  </w:r>
                </w:p>
              </w:tc>
              <w:tc>
                <w:tcPr>
                  <w:tcW w:w="1133" w:type="dxa"/>
                  <w:tcBorders>
                    <w:tl2br w:val="nil"/>
                    <w:tr2bl w:val="nil"/>
                  </w:tcBorders>
                  <w:shd w:val="clear" w:color="auto" w:fill="auto"/>
                  <w:vAlign w:val="center"/>
                </w:tcPr>
                <w:p w14:paraId="75DF5D75">
                  <w:pPr>
                    <w:adjustRightInd w:val="0"/>
                    <w:snapToGrid w:val="0"/>
                    <w:jc w:val="center"/>
                    <w:rPr>
                      <w:b/>
                      <w:bCs/>
                      <w:szCs w:val="21"/>
                    </w:rPr>
                  </w:pPr>
                  <w:r>
                    <w:rPr>
                      <w:b/>
                      <w:bCs/>
                      <w:szCs w:val="21"/>
                    </w:rPr>
                    <w:t>危险废物类别</w:t>
                  </w:r>
                </w:p>
              </w:tc>
              <w:tc>
                <w:tcPr>
                  <w:tcW w:w="650" w:type="dxa"/>
                  <w:tcBorders>
                    <w:tl2br w:val="nil"/>
                    <w:tr2bl w:val="nil"/>
                  </w:tcBorders>
                  <w:shd w:val="clear" w:color="auto" w:fill="auto"/>
                  <w:vAlign w:val="center"/>
                </w:tcPr>
                <w:p w14:paraId="1E9EC157">
                  <w:pPr>
                    <w:adjustRightInd w:val="0"/>
                    <w:snapToGrid w:val="0"/>
                    <w:jc w:val="center"/>
                    <w:rPr>
                      <w:b/>
                      <w:bCs/>
                      <w:szCs w:val="21"/>
                    </w:rPr>
                  </w:pPr>
                  <w:r>
                    <w:rPr>
                      <w:b/>
                      <w:bCs/>
                      <w:szCs w:val="21"/>
                    </w:rPr>
                    <w:t>危险废物代码</w:t>
                  </w:r>
                </w:p>
              </w:tc>
              <w:tc>
                <w:tcPr>
                  <w:tcW w:w="775" w:type="dxa"/>
                  <w:tcBorders>
                    <w:tl2br w:val="nil"/>
                    <w:tr2bl w:val="nil"/>
                  </w:tcBorders>
                  <w:shd w:val="clear" w:color="auto" w:fill="auto"/>
                  <w:vAlign w:val="center"/>
                </w:tcPr>
                <w:p w14:paraId="32DE0DDB">
                  <w:pPr>
                    <w:adjustRightInd w:val="0"/>
                    <w:snapToGrid w:val="0"/>
                    <w:jc w:val="center"/>
                    <w:rPr>
                      <w:b/>
                      <w:bCs/>
                      <w:szCs w:val="21"/>
                    </w:rPr>
                  </w:pPr>
                  <w:r>
                    <w:rPr>
                      <w:b/>
                      <w:bCs/>
                      <w:szCs w:val="21"/>
                    </w:rPr>
                    <w:t>产生量（吨）</w:t>
                  </w:r>
                </w:p>
              </w:tc>
              <w:tc>
                <w:tcPr>
                  <w:tcW w:w="805" w:type="dxa"/>
                  <w:tcBorders>
                    <w:tl2br w:val="nil"/>
                    <w:tr2bl w:val="nil"/>
                  </w:tcBorders>
                  <w:shd w:val="clear" w:color="auto" w:fill="auto"/>
                  <w:vAlign w:val="center"/>
                </w:tcPr>
                <w:p w14:paraId="6D8094E4">
                  <w:pPr>
                    <w:adjustRightInd w:val="0"/>
                    <w:snapToGrid w:val="0"/>
                    <w:jc w:val="center"/>
                    <w:rPr>
                      <w:b/>
                      <w:bCs/>
                      <w:szCs w:val="21"/>
                    </w:rPr>
                  </w:pPr>
                  <w:r>
                    <w:rPr>
                      <w:b/>
                      <w:bCs/>
                      <w:szCs w:val="21"/>
                    </w:rPr>
                    <w:t>产生工序及装置</w:t>
                  </w:r>
                </w:p>
              </w:tc>
              <w:tc>
                <w:tcPr>
                  <w:tcW w:w="498" w:type="dxa"/>
                  <w:tcBorders>
                    <w:tl2br w:val="nil"/>
                    <w:tr2bl w:val="nil"/>
                  </w:tcBorders>
                  <w:shd w:val="clear" w:color="auto" w:fill="auto"/>
                  <w:vAlign w:val="center"/>
                </w:tcPr>
                <w:p w14:paraId="6209BEF7">
                  <w:pPr>
                    <w:adjustRightInd w:val="0"/>
                    <w:snapToGrid w:val="0"/>
                    <w:jc w:val="center"/>
                    <w:rPr>
                      <w:b/>
                      <w:bCs/>
                      <w:szCs w:val="21"/>
                    </w:rPr>
                  </w:pPr>
                  <w:r>
                    <w:rPr>
                      <w:b/>
                      <w:bCs/>
                      <w:szCs w:val="21"/>
                    </w:rPr>
                    <w:t>形态</w:t>
                  </w:r>
                </w:p>
              </w:tc>
              <w:tc>
                <w:tcPr>
                  <w:tcW w:w="697" w:type="dxa"/>
                  <w:tcBorders>
                    <w:tl2br w:val="nil"/>
                    <w:tr2bl w:val="nil"/>
                  </w:tcBorders>
                  <w:shd w:val="clear" w:color="auto" w:fill="auto"/>
                  <w:vAlign w:val="center"/>
                </w:tcPr>
                <w:p w14:paraId="612B9ABA">
                  <w:pPr>
                    <w:adjustRightInd w:val="0"/>
                    <w:snapToGrid w:val="0"/>
                    <w:jc w:val="center"/>
                    <w:rPr>
                      <w:b/>
                      <w:bCs/>
                      <w:szCs w:val="21"/>
                    </w:rPr>
                  </w:pPr>
                  <w:r>
                    <w:rPr>
                      <w:b/>
                      <w:bCs/>
                      <w:szCs w:val="21"/>
                    </w:rPr>
                    <w:t>主要成分</w:t>
                  </w:r>
                </w:p>
              </w:tc>
              <w:tc>
                <w:tcPr>
                  <w:tcW w:w="688" w:type="dxa"/>
                  <w:tcBorders>
                    <w:tl2br w:val="nil"/>
                    <w:tr2bl w:val="nil"/>
                  </w:tcBorders>
                  <w:shd w:val="clear" w:color="auto" w:fill="auto"/>
                  <w:vAlign w:val="center"/>
                </w:tcPr>
                <w:p w14:paraId="7F6EF8DB">
                  <w:pPr>
                    <w:adjustRightInd w:val="0"/>
                    <w:snapToGrid w:val="0"/>
                    <w:jc w:val="center"/>
                    <w:rPr>
                      <w:b/>
                      <w:bCs/>
                      <w:szCs w:val="21"/>
                    </w:rPr>
                  </w:pPr>
                  <w:r>
                    <w:rPr>
                      <w:b/>
                      <w:bCs/>
                      <w:szCs w:val="21"/>
                    </w:rPr>
                    <w:t>产废周期</w:t>
                  </w:r>
                </w:p>
              </w:tc>
              <w:tc>
                <w:tcPr>
                  <w:tcW w:w="562" w:type="dxa"/>
                  <w:tcBorders>
                    <w:tl2br w:val="nil"/>
                    <w:tr2bl w:val="nil"/>
                  </w:tcBorders>
                  <w:shd w:val="clear" w:color="auto" w:fill="auto"/>
                  <w:vAlign w:val="center"/>
                </w:tcPr>
                <w:p w14:paraId="70A60EDB">
                  <w:pPr>
                    <w:adjustRightInd w:val="0"/>
                    <w:snapToGrid w:val="0"/>
                    <w:jc w:val="center"/>
                    <w:rPr>
                      <w:b/>
                      <w:bCs/>
                      <w:szCs w:val="21"/>
                    </w:rPr>
                  </w:pPr>
                  <w:r>
                    <w:rPr>
                      <w:b/>
                      <w:bCs/>
                      <w:szCs w:val="21"/>
                    </w:rPr>
                    <w:t>危险</w:t>
                  </w:r>
                </w:p>
                <w:p w14:paraId="774E8B9E">
                  <w:pPr>
                    <w:adjustRightInd w:val="0"/>
                    <w:snapToGrid w:val="0"/>
                    <w:jc w:val="center"/>
                    <w:rPr>
                      <w:b/>
                      <w:bCs/>
                      <w:szCs w:val="21"/>
                    </w:rPr>
                  </w:pPr>
                  <w:r>
                    <w:rPr>
                      <w:b/>
                      <w:bCs/>
                      <w:szCs w:val="21"/>
                    </w:rPr>
                    <w:t>特性</w:t>
                  </w:r>
                </w:p>
              </w:tc>
              <w:tc>
                <w:tcPr>
                  <w:tcW w:w="1028" w:type="dxa"/>
                  <w:tcBorders>
                    <w:tl2br w:val="nil"/>
                    <w:tr2bl w:val="nil"/>
                  </w:tcBorders>
                  <w:shd w:val="clear" w:color="auto" w:fill="auto"/>
                  <w:vAlign w:val="center"/>
                </w:tcPr>
                <w:p w14:paraId="746FBD69">
                  <w:pPr>
                    <w:adjustRightInd w:val="0"/>
                    <w:snapToGrid w:val="0"/>
                    <w:jc w:val="center"/>
                    <w:rPr>
                      <w:b/>
                      <w:bCs/>
                      <w:szCs w:val="21"/>
                    </w:rPr>
                  </w:pPr>
                  <w:r>
                    <w:rPr>
                      <w:b/>
                      <w:bCs/>
                      <w:szCs w:val="21"/>
                    </w:rPr>
                    <w:t>污染防治措施</w:t>
                  </w:r>
                </w:p>
              </w:tc>
            </w:tr>
            <w:tr w14:paraId="78BCC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493" w:type="dxa"/>
                  <w:tcBorders>
                    <w:tl2br w:val="nil"/>
                    <w:tr2bl w:val="nil"/>
                  </w:tcBorders>
                  <w:vAlign w:val="center"/>
                </w:tcPr>
                <w:p w14:paraId="384F37A9">
                  <w:pPr>
                    <w:adjustRightInd w:val="0"/>
                    <w:snapToGrid w:val="0"/>
                    <w:jc w:val="center"/>
                    <w:rPr>
                      <w:color w:val="auto"/>
                      <w:szCs w:val="21"/>
                    </w:rPr>
                  </w:pPr>
                  <w:r>
                    <w:rPr>
                      <w:color w:val="auto"/>
                      <w:szCs w:val="21"/>
                    </w:rPr>
                    <w:t>1</w:t>
                  </w:r>
                </w:p>
              </w:tc>
              <w:tc>
                <w:tcPr>
                  <w:tcW w:w="786" w:type="dxa"/>
                  <w:tcBorders>
                    <w:tl2br w:val="nil"/>
                    <w:tr2bl w:val="nil"/>
                  </w:tcBorders>
                  <w:vAlign w:val="center"/>
                </w:tcPr>
                <w:p w14:paraId="2610AF4F">
                  <w:pPr>
                    <w:adjustRightInd w:val="0"/>
                    <w:snapToGrid w:val="0"/>
                    <w:jc w:val="center"/>
                    <w:rPr>
                      <w:color w:val="auto"/>
                      <w:szCs w:val="21"/>
                    </w:rPr>
                  </w:pPr>
                  <w:r>
                    <w:rPr>
                      <w:rFonts w:hint="eastAsia"/>
                      <w:color w:val="auto"/>
                      <w:szCs w:val="21"/>
                    </w:rPr>
                    <w:t>废导热油</w:t>
                  </w:r>
                </w:p>
              </w:tc>
              <w:tc>
                <w:tcPr>
                  <w:tcW w:w="1133" w:type="dxa"/>
                  <w:tcBorders>
                    <w:tl2br w:val="nil"/>
                    <w:tr2bl w:val="nil"/>
                  </w:tcBorders>
                  <w:vAlign w:val="center"/>
                </w:tcPr>
                <w:p w14:paraId="0B7724EE">
                  <w:pPr>
                    <w:jc w:val="center"/>
                    <w:rPr>
                      <w:bCs/>
                      <w:color w:val="auto"/>
                      <w:szCs w:val="21"/>
                    </w:rPr>
                  </w:pPr>
                  <w:r>
                    <w:rPr>
                      <w:color w:val="auto"/>
                      <w:szCs w:val="21"/>
                    </w:rPr>
                    <w:t>HW08废矿物油与含矿物油废物</w:t>
                  </w:r>
                </w:p>
              </w:tc>
              <w:tc>
                <w:tcPr>
                  <w:tcW w:w="650" w:type="dxa"/>
                  <w:tcBorders>
                    <w:tl2br w:val="nil"/>
                    <w:tr2bl w:val="nil"/>
                  </w:tcBorders>
                  <w:vAlign w:val="center"/>
                </w:tcPr>
                <w:p w14:paraId="13E62F0C">
                  <w:pPr>
                    <w:adjustRightInd w:val="0"/>
                    <w:snapToGrid w:val="0"/>
                    <w:jc w:val="center"/>
                    <w:rPr>
                      <w:color w:val="auto"/>
                      <w:szCs w:val="21"/>
                    </w:rPr>
                  </w:pPr>
                  <w:r>
                    <w:rPr>
                      <w:rFonts w:hint="eastAsia"/>
                      <w:bCs/>
                      <w:color w:val="auto"/>
                      <w:kern w:val="0"/>
                      <w:szCs w:val="21"/>
                    </w:rPr>
                    <w:t>900-249-08</w:t>
                  </w:r>
                </w:p>
              </w:tc>
              <w:tc>
                <w:tcPr>
                  <w:tcW w:w="775" w:type="dxa"/>
                  <w:tcBorders>
                    <w:tl2br w:val="nil"/>
                    <w:tr2bl w:val="nil"/>
                  </w:tcBorders>
                  <w:vAlign w:val="center"/>
                </w:tcPr>
                <w:p w14:paraId="34551836">
                  <w:pPr>
                    <w:adjustRightInd w:val="0"/>
                    <w:snapToGrid w:val="0"/>
                    <w:jc w:val="center"/>
                    <w:rPr>
                      <w:color w:val="auto"/>
                      <w:szCs w:val="21"/>
                    </w:rPr>
                  </w:pPr>
                  <w:r>
                    <w:rPr>
                      <w:rFonts w:hint="eastAsia"/>
                      <w:color w:val="auto"/>
                      <w:szCs w:val="21"/>
                    </w:rPr>
                    <w:t>0.6</w:t>
                  </w:r>
                  <w:r>
                    <w:rPr>
                      <w:color w:val="auto"/>
                      <w:szCs w:val="21"/>
                    </w:rPr>
                    <w:t>t/a</w:t>
                  </w:r>
                </w:p>
              </w:tc>
              <w:tc>
                <w:tcPr>
                  <w:tcW w:w="805" w:type="dxa"/>
                  <w:tcBorders>
                    <w:tl2br w:val="nil"/>
                    <w:tr2bl w:val="nil"/>
                  </w:tcBorders>
                  <w:vAlign w:val="center"/>
                </w:tcPr>
                <w:p w14:paraId="0085E61F">
                  <w:pPr>
                    <w:adjustRightInd w:val="0"/>
                    <w:snapToGrid w:val="0"/>
                    <w:jc w:val="center"/>
                    <w:rPr>
                      <w:color w:val="auto"/>
                      <w:szCs w:val="21"/>
                    </w:rPr>
                  </w:pPr>
                  <w:r>
                    <w:rPr>
                      <w:rFonts w:hint="eastAsia"/>
                      <w:color w:val="auto"/>
                      <w:szCs w:val="21"/>
                    </w:rPr>
                    <w:t>沥青加热</w:t>
                  </w:r>
                </w:p>
              </w:tc>
              <w:tc>
                <w:tcPr>
                  <w:tcW w:w="498" w:type="dxa"/>
                  <w:tcBorders>
                    <w:tl2br w:val="nil"/>
                    <w:tr2bl w:val="nil"/>
                  </w:tcBorders>
                  <w:vAlign w:val="center"/>
                </w:tcPr>
                <w:p w14:paraId="6B2B4A36">
                  <w:pPr>
                    <w:topLinePunct/>
                    <w:jc w:val="center"/>
                    <w:rPr>
                      <w:color w:val="auto"/>
                      <w:kern w:val="0"/>
                      <w:szCs w:val="21"/>
                    </w:rPr>
                  </w:pPr>
                  <w:r>
                    <w:rPr>
                      <w:color w:val="auto"/>
                      <w:kern w:val="0"/>
                      <w:szCs w:val="21"/>
                    </w:rPr>
                    <w:t>液态</w:t>
                  </w:r>
                </w:p>
              </w:tc>
              <w:tc>
                <w:tcPr>
                  <w:tcW w:w="697" w:type="dxa"/>
                  <w:tcBorders>
                    <w:tl2br w:val="nil"/>
                    <w:tr2bl w:val="nil"/>
                  </w:tcBorders>
                  <w:vAlign w:val="center"/>
                </w:tcPr>
                <w:p w14:paraId="7E34DCBF">
                  <w:pPr>
                    <w:jc w:val="center"/>
                    <w:rPr>
                      <w:color w:val="auto"/>
                      <w:position w:val="6"/>
                      <w:szCs w:val="21"/>
                    </w:rPr>
                  </w:pPr>
                  <w:r>
                    <w:rPr>
                      <w:rFonts w:hint="eastAsia"/>
                      <w:color w:val="auto"/>
                      <w:szCs w:val="21"/>
                    </w:rPr>
                    <w:t>矿物油</w:t>
                  </w:r>
                </w:p>
              </w:tc>
              <w:tc>
                <w:tcPr>
                  <w:tcW w:w="688" w:type="dxa"/>
                  <w:tcBorders>
                    <w:tl2br w:val="nil"/>
                    <w:tr2bl w:val="nil"/>
                  </w:tcBorders>
                  <w:vAlign w:val="center"/>
                </w:tcPr>
                <w:p w14:paraId="086BF5B0">
                  <w:pPr>
                    <w:jc w:val="center"/>
                    <w:rPr>
                      <w:kern w:val="0"/>
                      <w:szCs w:val="21"/>
                    </w:rPr>
                  </w:pPr>
                  <w:r>
                    <w:rPr>
                      <w:kern w:val="0"/>
                      <w:szCs w:val="21"/>
                    </w:rPr>
                    <w:t>每年1次</w:t>
                  </w:r>
                </w:p>
              </w:tc>
              <w:tc>
                <w:tcPr>
                  <w:tcW w:w="562" w:type="dxa"/>
                  <w:tcBorders>
                    <w:tl2br w:val="nil"/>
                    <w:tr2bl w:val="nil"/>
                  </w:tcBorders>
                  <w:vAlign w:val="center"/>
                </w:tcPr>
                <w:p w14:paraId="77AB5C5D">
                  <w:pPr>
                    <w:adjustRightInd w:val="0"/>
                    <w:snapToGrid w:val="0"/>
                    <w:jc w:val="center"/>
                    <w:rPr>
                      <w:szCs w:val="21"/>
                    </w:rPr>
                  </w:pPr>
                  <w:r>
                    <w:rPr>
                      <w:kern w:val="0"/>
                      <w:szCs w:val="21"/>
                    </w:rPr>
                    <w:t>T，I</w:t>
                  </w:r>
                </w:p>
              </w:tc>
              <w:tc>
                <w:tcPr>
                  <w:tcW w:w="1028" w:type="dxa"/>
                  <w:vMerge w:val="restart"/>
                  <w:tcBorders>
                    <w:tl2br w:val="nil"/>
                    <w:tr2bl w:val="nil"/>
                  </w:tcBorders>
                  <w:vAlign w:val="center"/>
                </w:tcPr>
                <w:p w14:paraId="6D6A1416">
                  <w:pPr>
                    <w:adjustRightInd w:val="0"/>
                    <w:snapToGrid w:val="0"/>
                    <w:jc w:val="center"/>
                    <w:rPr>
                      <w:szCs w:val="21"/>
                    </w:rPr>
                  </w:pPr>
                  <w:r>
                    <w:rPr>
                      <w:szCs w:val="21"/>
                    </w:rPr>
                    <w:t>分类存放、危废贮藏室贴有危险废物图片警告标识、容器密封、有盖、危废暂存间应采取防渗、防漏措施</w:t>
                  </w:r>
                </w:p>
              </w:tc>
            </w:tr>
            <w:tr w14:paraId="631B3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93" w:type="dxa"/>
                  <w:tcBorders>
                    <w:tl2br w:val="nil"/>
                    <w:tr2bl w:val="nil"/>
                  </w:tcBorders>
                  <w:vAlign w:val="center"/>
                </w:tcPr>
                <w:p w14:paraId="646861D9">
                  <w:pPr>
                    <w:adjustRightInd w:val="0"/>
                    <w:snapToGrid w:val="0"/>
                    <w:jc w:val="center"/>
                    <w:rPr>
                      <w:color w:val="auto"/>
                      <w:szCs w:val="21"/>
                    </w:rPr>
                  </w:pPr>
                  <w:r>
                    <w:rPr>
                      <w:rFonts w:hint="eastAsia"/>
                      <w:color w:val="auto"/>
                      <w:szCs w:val="21"/>
                    </w:rPr>
                    <w:t>2</w:t>
                  </w:r>
                </w:p>
              </w:tc>
              <w:tc>
                <w:tcPr>
                  <w:tcW w:w="786" w:type="dxa"/>
                  <w:tcBorders>
                    <w:tl2br w:val="nil"/>
                    <w:tr2bl w:val="nil"/>
                  </w:tcBorders>
                  <w:vAlign w:val="center"/>
                </w:tcPr>
                <w:p w14:paraId="284D4106">
                  <w:pPr>
                    <w:pStyle w:val="51"/>
                    <w:spacing w:before="24" w:after="24"/>
                    <w:ind w:firstLine="0"/>
                    <w:rPr>
                      <w:rFonts w:ascii="Times New Roman"/>
                      <w:color w:val="auto"/>
                      <w:szCs w:val="21"/>
                    </w:rPr>
                  </w:pPr>
                  <w:r>
                    <w:rPr>
                      <w:rFonts w:ascii="Times New Roman"/>
                      <w:color w:val="auto"/>
                      <w:szCs w:val="21"/>
                    </w:rPr>
                    <w:t>废活性炭</w:t>
                  </w:r>
                </w:p>
              </w:tc>
              <w:tc>
                <w:tcPr>
                  <w:tcW w:w="1133" w:type="dxa"/>
                  <w:tcBorders>
                    <w:tl2br w:val="nil"/>
                    <w:tr2bl w:val="nil"/>
                  </w:tcBorders>
                  <w:vAlign w:val="center"/>
                </w:tcPr>
                <w:p w14:paraId="3F38BFB9">
                  <w:pPr>
                    <w:jc w:val="center"/>
                    <w:rPr>
                      <w:color w:val="auto"/>
                      <w:szCs w:val="21"/>
                    </w:rPr>
                  </w:pPr>
                  <w:r>
                    <w:rPr>
                      <w:bCs/>
                      <w:color w:val="auto"/>
                      <w:szCs w:val="21"/>
                    </w:rPr>
                    <w:t>HW49其他废物</w:t>
                  </w:r>
                </w:p>
              </w:tc>
              <w:tc>
                <w:tcPr>
                  <w:tcW w:w="650" w:type="dxa"/>
                  <w:tcBorders>
                    <w:tl2br w:val="nil"/>
                    <w:tr2bl w:val="nil"/>
                  </w:tcBorders>
                  <w:vAlign w:val="center"/>
                </w:tcPr>
                <w:p w14:paraId="2FE7DB26">
                  <w:pPr>
                    <w:jc w:val="center"/>
                    <w:rPr>
                      <w:bCs/>
                      <w:color w:val="auto"/>
                      <w:szCs w:val="21"/>
                    </w:rPr>
                  </w:pPr>
                  <w:r>
                    <w:rPr>
                      <w:bCs/>
                      <w:color w:val="auto"/>
                      <w:szCs w:val="21"/>
                    </w:rPr>
                    <w:t>900-0</w:t>
                  </w:r>
                  <w:r>
                    <w:rPr>
                      <w:rFonts w:hint="eastAsia"/>
                      <w:bCs/>
                      <w:color w:val="auto"/>
                      <w:szCs w:val="21"/>
                      <w:lang w:val="en-US" w:eastAsia="zh-CN"/>
                    </w:rPr>
                    <w:t>39</w:t>
                  </w:r>
                  <w:r>
                    <w:rPr>
                      <w:bCs/>
                      <w:color w:val="auto"/>
                      <w:szCs w:val="21"/>
                    </w:rPr>
                    <w:t>-49</w:t>
                  </w:r>
                </w:p>
              </w:tc>
              <w:tc>
                <w:tcPr>
                  <w:tcW w:w="775" w:type="dxa"/>
                  <w:tcBorders>
                    <w:tl2br w:val="nil"/>
                    <w:tr2bl w:val="nil"/>
                  </w:tcBorders>
                  <w:vAlign w:val="center"/>
                </w:tcPr>
                <w:p w14:paraId="61432F0B">
                  <w:pPr>
                    <w:jc w:val="center"/>
                    <w:rPr>
                      <w:color w:val="auto"/>
                      <w:szCs w:val="21"/>
                    </w:rPr>
                  </w:pPr>
                  <w:r>
                    <w:rPr>
                      <w:color w:val="auto"/>
                      <w:position w:val="6"/>
                      <w:szCs w:val="21"/>
                    </w:rPr>
                    <w:t>0.2t/a</w:t>
                  </w:r>
                </w:p>
              </w:tc>
              <w:tc>
                <w:tcPr>
                  <w:tcW w:w="805" w:type="dxa"/>
                  <w:vMerge w:val="restart"/>
                  <w:tcBorders>
                    <w:tl2br w:val="nil"/>
                    <w:tr2bl w:val="nil"/>
                  </w:tcBorders>
                  <w:vAlign w:val="center"/>
                </w:tcPr>
                <w:p w14:paraId="4C08965D">
                  <w:pPr>
                    <w:jc w:val="center"/>
                    <w:rPr>
                      <w:color w:val="auto"/>
                      <w:szCs w:val="21"/>
                    </w:rPr>
                  </w:pPr>
                  <w:r>
                    <w:rPr>
                      <w:color w:val="auto"/>
                      <w:szCs w:val="21"/>
                    </w:rPr>
                    <w:t>有机废气处理设备</w:t>
                  </w:r>
                </w:p>
              </w:tc>
              <w:tc>
                <w:tcPr>
                  <w:tcW w:w="498" w:type="dxa"/>
                  <w:tcBorders>
                    <w:tl2br w:val="nil"/>
                    <w:tr2bl w:val="nil"/>
                  </w:tcBorders>
                  <w:vAlign w:val="center"/>
                </w:tcPr>
                <w:p w14:paraId="3B3857DB">
                  <w:pPr>
                    <w:jc w:val="center"/>
                    <w:rPr>
                      <w:color w:val="auto"/>
                      <w:szCs w:val="21"/>
                    </w:rPr>
                  </w:pPr>
                  <w:r>
                    <w:rPr>
                      <w:color w:val="auto"/>
                      <w:kern w:val="0"/>
                      <w:szCs w:val="21"/>
                    </w:rPr>
                    <w:t>固态</w:t>
                  </w:r>
                </w:p>
              </w:tc>
              <w:tc>
                <w:tcPr>
                  <w:tcW w:w="697" w:type="dxa"/>
                  <w:tcBorders>
                    <w:tl2br w:val="nil"/>
                    <w:tr2bl w:val="nil"/>
                  </w:tcBorders>
                  <w:vAlign w:val="center"/>
                </w:tcPr>
                <w:p w14:paraId="251E7C75">
                  <w:pPr>
                    <w:jc w:val="center"/>
                    <w:rPr>
                      <w:color w:val="auto"/>
                      <w:position w:val="6"/>
                      <w:szCs w:val="21"/>
                    </w:rPr>
                  </w:pPr>
                  <w:r>
                    <w:rPr>
                      <w:color w:val="auto"/>
                      <w:position w:val="6"/>
                      <w:szCs w:val="21"/>
                    </w:rPr>
                    <w:t>沾染有机溶剂废物</w:t>
                  </w:r>
                </w:p>
              </w:tc>
              <w:tc>
                <w:tcPr>
                  <w:tcW w:w="688" w:type="dxa"/>
                  <w:tcBorders>
                    <w:tl2br w:val="nil"/>
                    <w:tr2bl w:val="nil"/>
                  </w:tcBorders>
                  <w:vAlign w:val="center"/>
                </w:tcPr>
                <w:p w14:paraId="0EFC503B">
                  <w:pPr>
                    <w:topLinePunct/>
                    <w:jc w:val="center"/>
                    <w:rPr>
                      <w:szCs w:val="21"/>
                    </w:rPr>
                  </w:pPr>
                  <w:r>
                    <w:rPr>
                      <w:kern w:val="0"/>
                      <w:szCs w:val="21"/>
                    </w:rPr>
                    <w:t>每季度1次</w:t>
                  </w:r>
                </w:p>
              </w:tc>
              <w:tc>
                <w:tcPr>
                  <w:tcW w:w="562" w:type="dxa"/>
                  <w:tcBorders>
                    <w:tl2br w:val="nil"/>
                    <w:tr2bl w:val="nil"/>
                  </w:tcBorders>
                  <w:vAlign w:val="center"/>
                </w:tcPr>
                <w:p w14:paraId="79A3183F">
                  <w:pPr>
                    <w:jc w:val="center"/>
                    <w:rPr>
                      <w:szCs w:val="21"/>
                    </w:rPr>
                  </w:pPr>
                  <w:r>
                    <w:rPr>
                      <w:bCs/>
                      <w:szCs w:val="21"/>
                    </w:rPr>
                    <w:t>T</w:t>
                  </w:r>
                </w:p>
              </w:tc>
              <w:tc>
                <w:tcPr>
                  <w:tcW w:w="1028" w:type="dxa"/>
                  <w:vMerge w:val="continue"/>
                  <w:tcBorders>
                    <w:tl2br w:val="nil"/>
                    <w:tr2bl w:val="nil"/>
                  </w:tcBorders>
                  <w:vAlign w:val="center"/>
                </w:tcPr>
                <w:p w14:paraId="22105645">
                  <w:pPr>
                    <w:adjustRightInd w:val="0"/>
                    <w:snapToGrid w:val="0"/>
                    <w:jc w:val="center"/>
                    <w:rPr>
                      <w:szCs w:val="21"/>
                    </w:rPr>
                  </w:pPr>
                </w:p>
              </w:tc>
            </w:tr>
            <w:tr w14:paraId="22011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 w:type="dxa"/>
                  <w:tcBorders>
                    <w:tl2br w:val="nil"/>
                    <w:tr2bl w:val="nil"/>
                  </w:tcBorders>
                  <w:vAlign w:val="center"/>
                </w:tcPr>
                <w:p w14:paraId="6A31460F">
                  <w:pPr>
                    <w:adjustRightInd w:val="0"/>
                    <w:snapToGrid w:val="0"/>
                    <w:jc w:val="center"/>
                    <w:rPr>
                      <w:szCs w:val="21"/>
                    </w:rPr>
                  </w:pPr>
                  <w:r>
                    <w:rPr>
                      <w:rFonts w:hint="eastAsia"/>
                      <w:szCs w:val="21"/>
                    </w:rPr>
                    <w:t>3</w:t>
                  </w:r>
                </w:p>
              </w:tc>
              <w:tc>
                <w:tcPr>
                  <w:tcW w:w="786" w:type="dxa"/>
                  <w:tcBorders>
                    <w:tl2br w:val="nil"/>
                    <w:tr2bl w:val="nil"/>
                  </w:tcBorders>
                  <w:vAlign w:val="center"/>
                </w:tcPr>
                <w:p w14:paraId="0A8051EC">
                  <w:pPr>
                    <w:pStyle w:val="51"/>
                    <w:spacing w:before="24" w:after="24"/>
                    <w:ind w:firstLine="0"/>
                    <w:rPr>
                      <w:rFonts w:ascii="Times New Roman"/>
                      <w:szCs w:val="21"/>
                    </w:rPr>
                  </w:pPr>
                  <w:r>
                    <w:rPr>
                      <w:rFonts w:hint="eastAsia" w:ascii="Times New Roman"/>
                      <w:szCs w:val="21"/>
                    </w:rPr>
                    <w:t>废</w:t>
                  </w:r>
                  <w:r>
                    <w:rPr>
                      <w:rFonts w:hint="eastAsia" w:ascii="Times New Roman" w:eastAsia="Times New Roman"/>
                    </w:rPr>
                    <w:t>机油</w:t>
                  </w:r>
                </w:p>
              </w:tc>
              <w:tc>
                <w:tcPr>
                  <w:tcW w:w="1133" w:type="dxa"/>
                  <w:tcBorders>
                    <w:tl2br w:val="nil"/>
                    <w:tr2bl w:val="nil"/>
                  </w:tcBorders>
                  <w:vAlign w:val="center"/>
                </w:tcPr>
                <w:p w14:paraId="47C011A6">
                  <w:pPr>
                    <w:jc w:val="center"/>
                    <w:rPr>
                      <w:bCs/>
                      <w:szCs w:val="21"/>
                    </w:rPr>
                  </w:pPr>
                  <w:r>
                    <w:rPr>
                      <w:bCs/>
                      <w:szCs w:val="21"/>
                    </w:rPr>
                    <w:t>HW08</w:t>
                  </w:r>
                  <w:r>
                    <w:rPr>
                      <w:rFonts w:cs="宋体" w:asciiTheme="minorEastAsia" w:hAnsiTheme="minorEastAsia"/>
                      <w:kern w:val="0"/>
                      <w:szCs w:val="21"/>
                    </w:rPr>
                    <w:t>废矿物油与含矿物油废物</w:t>
                  </w:r>
                </w:p>
              </w:tc>
              <w:tc>
                <w:tcPr>
                  <w:tcW w:w="650" w:type="dxa"/>
                  <w:tcBorders>
                    <w:tl2br w:val="nil"/>
                    <w:tr2bl w:val="nil"/>
                  </w:tcBorders>
                  <w:vAlign w:val="center"/>
                </w:tcPr>
                <w:p w14:paraId="4C548327">
                  <w:pPr>
                    <w:jc w:val="center"/>
                    <w:rPr>
                      <w:bCs/>
                      <w:szCs w:val="21"/>
                    </w:rPr>
                  </w:pPr>
                  <w:r>
                    <w:rPr>
                      <w:szCs w:val="21"/>
                    </w:rPr>
                    <w:t>900-249-08</w:t>
                  </w:r>
                </w:p>
              </w:tc>
              <w:tc>
                <w:tcPr>
                  <w:tcW w:w="775" w:type="dxa"/>
                  <w:tcBorders>
                    <w:tl2br w:val="nil"/>
                    <w:tr2bl w:val="nil"/>
                  </w:tcBorders>
                  <w:vAlign w:val="center"/>
                </w:tcPr>
                <w:p w14:paraId="1EF57A11">
                  <w:pPr>
                    <w:jc w:val="center"/>
                    <w:rPr>
                      <w:position w:val="6"/>
                      <w:szCs w:val="21"/>
                    </w:rPr>
                  </w:pPr>
                  <w:r>
                    <w:rPr>
                      <w:position w:val="6"/>
                      <w:szCs w:val="21"/>
                    </w:rPr>
                    <w:t>0.</w:t>
                  </w:r>
                  <w:r>
                    <w:rPr>
                      <w:rFonts w:hint="eastAsia"/>
                      <w:position w:val="6"/>
                      <w:szCs w:val="21"/>
                    </w:rPr>
                    <w:t>2</w:t>
                  </w:r>
                  <w:r>
                    <w:rPr>
                      <w:position w:val="6"/>
                      <w:szCs w:val="21"/>
                    </w:rPr>
                    <w:t>t/a</w:t>
                  </w:r>
                </w:p>
              </w:tc>
              <w:tc>
                <w:tcPr>
                  <w:tcW w:w="805" w:type="dxa"/>
                  <w:vMerge w:val="continue"/>
                  <w:tcBorders>
                    <w:tl2br w:val="nil"/>
                    <w:tr2bl w:val="nil"/>
                  </w:tcBorders>
                  <w:vAlign w:val="center"/>
                </w:tcPr>
                <w:p w14:paraId="2CE521F3">
                  <w:pPr>
                    <w:jc w:val="center"/>
                    <w:rPr>
                      <w:szCs w:val="21"/>
                    </w:rPr>
                  </w:pPr>
                </w:p>
              </w:tc>
              <w:tc>
                <w:tcPr>
                  <w:tcW w:w="498" w:type="dxa"/>
                  <w:tcBorders>
                    <w:tl2br w:val="nil"/>
                    <w:tr2bl w:val="nil"/>
                  </w:tcBorders>
                  <w:vAlign w:val="center"/>
                </w:tcPr>
                <w:p w14:paraId="0166FB5C">
                  <w:pPr>
                    <w:jc w:val="center"/>
                    <w:rPr>
                      <w:kern w:val="0"/>
                      <w:szCs w:val="21"/>
                    </w:rPr>
                  </w:pPr>
                  <w:r>
                    <w:rPr>
                      <w:kern w:val="0"/>
                      <w:szCs w:val="21"/>
                    </w:rPr>
                    <w:t>液态</w:t>
                  </w:r>
                </w:p>
              </w:tc>
              <w:tc>
                <w:tcPr>
                  <w:tcW w:w="697" w:type="dxa"/>
                  <w:tcBorders>
                    <w:tl2br w:val="nil"/>
                    <w:tr2bl w:val="nil"/>
                  </w:tcBorders>
                  <w:vAlign w:val="center"/>
                </w:tcPr>
                <w:p w14:paraId="241B3C1E">
                  <w:pPr>
                    <w:jc w:val="center"/>
                    <w:rPr>
                      <w:position w:val="6"/>
                      <w:szCs w:val="21"/>
                    </w:rPr>
                  </w:pPr>
                  <w:r>
                    <w:rPr>
                      <w:rFonts w:hint="eastAsia"/>
                      <w:szCs w:val="21"/>
                    </w:rPr>
                    <w:t>油类</w:t>
                  </w:r>
                </w:p>
              </w:tc>
              <w:tc>
                <w:tcPr>
                  <w:tcW w:w="688" w:type="dxa"/>
                  <w:tcBorders>
                    <w:tl2br w:val="nil"/>
                    <w:tr2bl w:val="nil"/>
                  </w:tcBorders>
                  <w:vAlign w:val="center"/>
                </w:tcPr>
                <w:p w14:paraId="73A9B2F6">
                  <w:pPr>
                    <w:topLinePunct/>
                    <w:jc w:val="center"/>
                    <w:rPr>
                      <w:kern w:val="0"/>
                      <w:szCs w:val="21"/>
                    </w:rPr>
                  </w:pPr>
                  <w:r>
                    <w:rPr>
                      <w:kern w:val="0"/>
                      <w:szCs w:val="21"/>
                    </w:rPr>
                    <w:t>每年1次</w:t>
                  </w:r>
                </w:p>
              </w:tc>
              <w:tc>
                <w:tcPr>
                  <w:tcW w:w="562" w:type="dxa"/>
                  <w:tcBorders>
                    <w:tl2br w:val="nil"/>
                    <w:tr2bl w:val="nil"/>
                  </w:tcBorders>
                  <w:vAlign w:val="center"/>
                </w:tcPr>
                <w:p w14:paraId="23DDF422">
                  <w:pPr>
                    <w:jc w:val="center"/>
                    <w:rPr>
                      <w:bCs/>
                      <w:szCs w:val="21"/>
                    </w:rPr>
                  </w:pPr>
                  <w:r>
                    <w:rPr>
                      <w:kern w:val="0"/>
                      <w:szCs w:val="21"/>
                    </w:rPr>
                    <w:t>T，I</w:t>
                  </w:r>
                </w:p>
              </w:tc>
              <w:tc>
                <w:tcPr>
                  <w:tcW w:w="1028" w:type="dxa"/>
                  <w:vMerge w:val="continue"/>
                  <w:tcBorders>
                    <w:tl2br w:val="nil"/>
                    <w:tr2bl w:val="nil"/>
                  </w:tcBorders>
                  <w:vAlign w:val="center"/>
                </w:tcPr>
                <w:p w14:paraId="28A1BBA9">
                  <w:pPr>
                    <w:adjustRightInd w:val="0"/>
                    <w:snapToGrid w:val="0"/>
                    <w:jc w:val="center"/>
                    <w:rPr>
                      <w:szCs w:val="21"/>
                    </w:rPr>
                  </w:pPr>
                </w:p>
              </w:tc>
            </w:tr>
          </w:tbl>
          <w:p w14:paraId="0BFA8D17">
            <w:pPr>
              <w:spacing w:line="360" w:lineRule="auto"/>
              <w:ind w:firstLine="420" w:firstLineChars="200"/>
              <w:jc w:val="left"/>
              <w:rPr>
                <w:szCs w:val="21"/>
              </w:rPr>
            </w:pPr>
            <w:r>
              <w:rPr>
                <w:szCs w:val="21"/>
              </w:rPr>
              <w:t>（2）危险废物暂存要求</w:t>
            </w:r>
          </w:p>
          <w:p w14:paraId="0B895728">
            <w:pPr>
              <w:spacing w:line="360" w:lineRule="auto"/>
              <w:ind w:firstLine="420" w:firstLineChars="200"/>
              <w:jc w:val="left"/>
              <w:rPr>
                <w:szCs w:val="21"/>
              </w:rPr>
            </w:pPr>
            <w:r>
              <w:rPr>
                <w:szCs w:val="21"/>
              </w:rPr>
              <w:t>该公司设立单独的危险废物废物存放区。为保证危险废物置场内暂存的废物不对环境产生污染，依据《危险废物贮存污染控制标准》（</w:t>
            </w:r>
            <w:r>
              <w:rPr>
                <w:rFonts w:hint="eastAsia"/>
                <w:szCs w:val="21"/>
              </w:rPr>
              <w:t xml:space="preserve">GB </w:t>
            </w:r>
            <w:r>
              <w:rPr>
                <w:szCs w:val="21"/>
              </w:rPr>
              <w:t>18597-2001）及其修改单、《危险废物收集贮存运输技术规范》（</w:t>
            </w:r>
            <w:r>
              <w:rPr>
                <w:rFonts w:hint="eastAsia"/>
                <w:szCs w:val="21"/>
              </w:rPr>
              <w:t xml:space="preserve">HJ </w:t>
            </w:r>
            <w:r>
              <w:rPr>
                <w:szCs w:val="21"/>
              </w:rPr>
              <w:t>2025-2012）</w:t>
            </w:r>
            <w:r>
              <w:rPr>
                <w:bCs/>
                <w:kern w:val="0"/>
                <w:szCs w:val="21"/>
              </w:rPr>
              <w:t>和</w:t>
            </w:r>
            <w:r>
              <w:rPr>
                <w:rFonts w:hint="eastAsia"/>
                <w:bCs/>
                <w:kern w:val="0"/>
                <w:szCs w:val="21"/>
              </w:rPr>
              <w:t>《</w:t>
            </w:r>
            <w:r>
              <w:rPr>
                <w:rFonts w:hint="eastAsia"/>
              </w:rPr>
              <w:t>危险废物转移管理办法》（部令 第23号）</w:t>
            </w:r>
            <w:r>
              <w:rPr>
                <w:szCs w:val="21"/>
              </w:rPr>
              <w:t>及相关国家及地方法律法规，对危险废物暂存地点提出如下安全措施：</w:t>
            </w:r>
          </w:p>
          <w:p w14:paraId="3C593AC5">
            <w:pPr>
              <w:spacing w:line="360" w:lineRule="auto"/>
              <w:ind w:firstLine="420" w:firstLineChars="200"/>
              <w:jc w:val="left"/>
              <w:rPr>
                <w:szCs w:val="21"/>
              </w:rPr>
            </w:pPr>
            <w:r>
              <w:rPr>
                <w:szCs w:val="21"/>
              </w:rPr>
              <w:t>a.危险废物应选择防腐、防漏、防磕碰、密封严密的容器进行贮存和运输，储存于阴凉、通风良好的库房，远离火种、热源，与酸类化学品分开存放，库房应有专门人员看管。贮存库看管人员和危险废物运输人员在工作中应佩带防护用具，并配备医疗急救用品；</w:t>
            </w:r>
          </w:p>
          <w:p w14:paraId="38AC5DFE">
            <w:pPr>
              <w:spacing w:line="360" w:lineRule="auto"/>
              <w:ind w:firstLine="420" w:firstLineChars="200"/>
              <w:jc w:val="left"/>
              <w:rPr>
                <w:szCs w:val="21"/>
              </w:rPr>
            </w:pPr>
            <w:r>
              <w:rPr>
                <w:szCs w:val="21"/>
              </w:rPr>
              <w:t>b.危险废物的盛装容器严格执行国家标准；</w:t>
            </w:r>
          </w:p>
          <w:p w14:paraId="1E9F6E79">
            <w:pPr>
              <w:spacing w:line="360" w:lineRule="auto"/>
              <w:ind w:firstLine="420" w:firstLineChars="200"/>
              <w:jc w:val="left"/>
              <w:rPr>
                <w:szCs w:val="21"/>
              </w:rPr>
            </w:pPr>
            <w:r>
              <w:rPr>
                <w:szCs w:val="21"/>
              </w:rPr>
              <w:t>c.贮存容器均具有耐腐蚀、耐压、密封和不与所贮存的废物发生反应等特性；</w:t>
            </w:r>
          </w:p>
          <w:p w14:paraId="1311D71A">
            <w:pPr>
              <w:spacing w:line="360" w:lineRule="auto"/>
              <w:ind w:firstLine="420" w:firstLineChars="200"/>
              <w:jc w:val="left"/>
              <w:rPr>
                <w:szCs w:val="21"/>
              </w:rPr>
            </w:pPr>
            <w:r>
              <w:rPr>
                <w:szCs w:val="21"/>
              </w:rPr>
              <w:t>d.贮存容器保证完好无损并具有明显标志；</w:t>
            </w:r>
          </w:p>
          <w:p w14:paraId="52274A6C">
            <w:pPr>
              <w:spacing w:line="360" w:lineRule="auto"/>
              <w:ind w:firstLine="420" w:firstLineChars="200"/>
              <w:jc w:val="left"/>
              <w:rPr>
                <w:szCs w:val="21"/>
              </w:rPr>
            </w:pPr>
            <w:r>
              <w:rPr>
                <w:szCs w:val="21"/>
              </w:rPr>
              <w:t>e.不相容的危险废物均分开存放，并设有隔离间隔断；</w:t>
            </w:r>
          </w:p>
          <w:p w14:paraId="008674A8">
            <w:pPr>
              <w:spacing w:line="360" w:lineRule="auto"/>
              <w:ind w:firstLine="420" w:firstLineChars="200"/>
              <w:jc w:val="left"/>
              <w:rPr>
                <w:szCs w:val="21"/>
              </w:rPr>
            </w:pPr>
            <w:r>
              <w:rPr>
                <w:szCs w:val="21"/>
              </w:rPr>
              <w:t>f.危险废物暂存场所应设有符合《环境保护图形标志---固体废物贮存（处置）场》（</w:t>
            </w:r>
            <w:r>
              <w:rPr>
                <w:rFonts w:hint="eastAsia"/>
                <w:szCs w:val="21"/>
              </w:rPr>
              <w:t xml:space="preserve">GB </w:t>
            </w:r>
            <w:r>
              <w:rPr>
                <w:szCs w:val="21"/>
              </w:rPr>
              <w:t>15562.2-1995）的专用标志；</w:t>
            </w:r>
          </w:p>
          <w:p w14:paraId="4B061C38">
            <w:pPr>
              <w:spacing w:line="360" w:lineRule="auto"/>
              <w:ind w:firstLine="420" w:firstLineChars="200"/>
              <w:jc w:val="left"/>
              <w:rPr>
                <w:szCs w:val="21"/>
              </w:rPr>
            </w:pPr>
            <w:r>
              <w:rPr>
                <w:szCs w:val="21"/>
              </w:rPr>
              <w:t>g.设有专人专职对本项目产生的危险废物的收集、暂存和保管进行管理。</w:t>
            </w:r>
          </w:p>
          <w:p w14:paraId="1A73A5D6">
            <w:pPr>
              <w:spacing w:line="360" w:lineRule="auto"/>
              <w:ind w:firstLine="420" w:firstLineChars="200"/>
              <w:jc w:val="left"/>
              <w:rPr>
                <w:szCs w:val="21"/>
              </w:rPr>
            </w:pPr>
            <w:r>
              <w:rPr>
                <w:szCs w:val="21"/>
              </w:rPr>
              <w:t>h.建立档案制度，对暂存的废物种类、数量、特性、包装容器类别、存放库位、存入日期、运出日期等详细记录在案并长期保存。建立定期巡查、维护制度；</w:t>
            </w:r>
          </w:p>
          <w:p w14:paraId="5C657688">
            <w:pPr>
              <w:spacing w:line="360" w:lineRule="auto"/>
              <w:ind w:firstLine="420" w:firstLineChars="200"/>
              <w:jc w:val="left"/>
              <w:rPr>
                <w:szCs w:val="21"/>
              </w:rPr>
            </w:pPr>
            <w:r>
              <w:rPr>
                <w:szCs w:val="21"/>
              </w:rPr>
              <w:t>i.危险废物置场室内地面硬化</w:t>
            </w:r>
            <w:r>
              <w:rPr>
                <w:rFonts w:hint="eastAsia"/>
                <w:szCs w:val="21"/>
              </w:rPr>
              <w:t>、导流围堰、</w:t>
            </w:r>
            <w:r>
              <w:rPr>
                <w:szCs w:val="21"/>
              </w:rPr>
              <w:t>防渗漏处理。一旦出现盛装液态固体废物的容器发生破裂或渗漏情况，马上修复或更换破损容器，地面残留液体用布擦拭干净。出现泄漏事故及时向有关部门通报。</w:t>
            </w:r>
          </w:p>
          <w:p w14:paraId="3B639D67">
            <w:pPr>
              <w:spacing w:line="360" w:lineRule="auto"/>
              <w:ind w:firstLine="420" w:firstLineChars="200"/>
              <w:jc w:val="left"/>
              <w:rPr>
                <w:szCs w:val="21"/>
              </w:rPr>
            </w:pPr>
            <w:r>
              <w:rPr>
                <w:szCs w:val="21"/>
              </w:rPr>
              <w:t>危险废物的堆放：</w:t>
            </w:r>
          </w:p>
          <w:p w14:paraId="6BE1654D">
            <w:pPr>
              <w:spacing w:line="360" w:lineRule="auto"/>
              <w:ind w:firstLine="420" w:firstLineChars="200"/>
              <w:jc w:val="left"/>
              <w:rPr>
                <w:szCs w:val="21"/>
              </w:rPr>
            </w:pPr>
            <w:r>
              <w:rPr>
                <w:szCs w:val="21"/>
              </w:rPr>
              <w:t>a.基础必须防渗，防渗层为至少1m厚粘土层（渗透系数≤10</w:t>
            </w:r>
            <w:r>
              <w:rPr>
                <w:szCs w:val="21"/>
                <w:vertAlign w:val="superscript"/>
              </w:rPr>
              <w:t>-7</w:t>
            </w:r>
            <w:r>
              <w:rPr>
                <w:szCs w:val="21"/>
              </w:rPr>
              <w:t>cm/s），或2mm厚高密度聚乙烯，或至少2mm厚的其它人工材料，渗透系数≤10</w:t>
            </w:r>
            <w:r>
              <w:rPr>
                <w:szCs w:val="21"/>
                <w:vertAlign w:val="superscript"/>
              </w:rPr>
              <w:t>-10</w:t>
            </w:r>
            <w:r>
              <w:rPr>
                <w:szCs w:val="21"/>
              </w:rPr>
              <w:t>cm/s；</w:t>
            </w:r>
          </w:p>
          <w:p w14:paraId="5FFB3269">
            <w:pPr>
              <w:spacing w:line="360" w:lineRule="auto"/>
              <w:ind w:firstLine="420" w:firstLineChars="200"/>
              <w:jc w:val="left"/>
              <w:rPr>
                <w:szCs w:val="21"/>
              </w:rPr>
            </w:pPr>
            <w:r>
              <w:rPr>
                <w:szCs w:val="21"/>
              </w:rPr>
              <w:t>b.堆放危险废物的高度应根据地面承载能力确定；</w:t>
            </w:r>
          </w:p>
          <w:p w14:paraId="612A8934">
            <w:pPr>
              <w:spacing w:line="360" w:lineRule="auto"/>
              <w:ind w:firstLine="420" w:firstLineChars="200"/>
              <w:jc w:val="left"/>
              <w:rPr>
                <w:szCs w:val="21"/>
              </w:rPr>
            </w:pPr>
            <w:r>
              <w:rPr>
                <w:szCs w:val="21"/>
              </w:rPr>
              <w:t>c.衬里放在一个基础或底座上；</w:t>
            </w:r>
          </w:p>
          <w:p w14:paraId="14C19D2A">
            <w:pPr>
              <w:spacing w:line="360" w:lineRule="auto"/>
              <w:ind w:firstLine="420" w:firstLineChars="200"/>
              <w:jc w:val="left"/>
              <w:rPr>
                <w:szCs w:val="21"/>
              </w:rPr>
            </w:pPr>
            <w:r>
              <w:rPr>
                <w:szCs w:val="21"/>
              </w:rPr>
              <w:t>d.衬里要能够覆盖危险废物或其溶出物可能涉及到的范围；</w:t>
            </w:r>
          </w:p>
          <w:p w14:paraId="1E99C25A">
            <w:pPr>
              <w:spacing w:line="360" w:lineRule="auto"/>
              <w:ind w:firstLine="420" w:firstLineChars="200"/>
              <w:jc w:val="left"/>
              <w:rPr>
                <w:szCs w:val="21"/>
              </w:rPr>
            </w:pPr>
            <w:r>
              <w:rPr>
                <w:szCs w:val="21"/>
              </w:rPr>
              <w:t>e.衬里材料与堆放危险废物相容；</w:t>
            </w:r>
          </w:p>
          <w:p w14:paraId="73F75A7D">
            <w:pPr>
              <w:spacing w:line="360" w:lineRule="auto"/>
              <w:ind w:firstLine="420" w:firstLineChars="200"/>
              <w:jc w:val="left"/>
              <w:rPr>
                <w:szCs w:val="21"/>
              </w:rPr>
            </w:pPr>
            <w:r>
              <w:rPr>
                <w:szCs w:val="21"/>
              </w:rPr>
              <w:t>f.在衬里上设计、建造浸出液收集清除系统；</w:t>
            </w:r>
          </w:p>
          <w:p w14:paraId="50A47101">
            <w:pPr>
              <w:spacing w:line="360" w:lineRule="auto"/>
              <w:ind w:firstLine="420" w:firstLineChars="200"/>
              <w:jc w:val="left"/>
              <w:rPr>
                <w:szCs w:val="21"/>
              </w:rPr>
            </w:pPr>
            <w:r>
              <w:rPr>
                <w:szCs w:val="21"/>
              </w:rPr>
              <w:t>g.危险废物堆要防风、防雨、防晒；</w:t>
            </w:r>
          </w:p>
          <w:p w14:paraId="721C5DA7">
            <w:pPr>
              <w:spacing w:line="360" w:lineRule="auto"/>
              <w:ind w:firstLine="420" w:firstLineChars="200"/>
              <w:jc w:val="left"/>
              <w:rPr>
                <w:szCs w:val="21"/>
              </w:rPr>
            </w:pPr>
            <w:r>
              <w:rPr>
                <w:szCs w:val="21"/>
              </w:rPr>
              <w:t>h.不相容的危险废物不能堆放在一起；</w:t>
            </w:r>
          </w:p>
          <w:p w14:paraId="6CDFFACC">
            <w:pPr>
              <w:spacing w:line="360" w:lineRule="auto"/>
              <w:ind w:firstLine="420" w:firstLineChars="200"/>
              <w:jc w:val="left"/>
              <w:rPr>
                <w:szCs w:val="21"/>
              </w:rPr>
            </w:pPr>
            <w:r>
              <w:rPr>
                <w:szCs w:val="21"/>
              </w:rPr>
              <w:t>i.总贮存量不超过300kg（L）的危险废物要放入符合标准的容器内，加上标签，容器放入坚固的柜或箱中，柜或箱应设多个直径不少于30mm的排气孔。不相容危险废物要分别存放或存放在不渗透间隔分开的区域内，每个部分都应有防漏裙脚或储漏盘，防漏裙脚或储漏盘的材料要与危险废物相容。</w:t>
            </w:r>
          </w:p>
          <w:p w14:paraId="2F1A800D">
            <w:pPr>
              <w:tabs>
                <w:tab w:val="left" w:pos="3075"/>
              </w:tabs>
              <w:ind w:firstLine="420" w:firstLineChars="200"/>
              <w:rPr>
                <w:szCs w:val="21"/>
              </w:rPr>
            </w:pPr>
            <w:r>
              <w:rPr>
                <w:szCs w:val="21"/>
              </w:rPr>
              <w:t>本项目危险废物贮存场所（设施）基本情况详见表</w:t>
            </w:r>
            <w:r>
              <w:rPr>
                <w:rFonts w:hint="eastAsia"/>
                <w:szCs w:val="21"/>
              </w:rPr>
              <w:t>4-1</w:t>
            </w:r>
            <w:r>
              <w:rPr>
                <w:rFonts w:hint="eastAsia"/>
                <w:szCs w:val="21"/>
                <w:lang w:val="en-US" w:eastAsia="zh-CN"/>
              </w:rPr>
              <w:t>3</w:t>
            </w:r>
            <w:r>
              <w:rPr>
                <w:szCs w:val="21"/>
              </w:rPr>
              <w:t>。</w:t>
            </w:r>
          </w:p>
          <w:p w14:paraId="6E4D2689">
            <w:pPr>
              <w:ind w:firstLine="422" w:firstLineChars="200"/>
              <w:jc w:val="center"/>
              <w:rPr>
                <w:b/>
                <w:bCs/>
                <w:szCs w:val="21"/>
              </w:rPr>
            </w:pPr>
            <w:r>
              <w:rPr>
                <w:b/>
                <w:bCs/>
                <w:szCs w:val="21"/>
              </w:rPr>
              <w:t>表</w:t>
            </w:r>
            <w:r>
              <w:rPr>
                <w:rFonts w:hint="eastAsia"/>
                <w:b/>
                <w:bCs/>
                <w:szCs w:val="21"/>
              </w:rPr>
              <w:t>4-1</w:t>
            </w:r>
            <w:r>
              <w:rPr>
                <w:rFonts w:hint="eastAsia"/>
                <w:b/>
                <w:bCs/>
                <w:szCs w:val="21"/>
                <w:lang w:val="en-US" w:eastAsia="zh-CN"/>
              </w:rPr>
              <w:t>3</w:t>
            </w:r>
            <w:r>
              <w:rPr>
                <w:rFonts w:hint="eastAsia"/>
                <w:b/>
                <w:bCs/>
                <w:szCs w:val="21"/>
              </w:rPr>
              <w:t xml:space="preserve">  </w:t>
            </w:r>
            <w:r>
              <w:rPr>
                <w:b/>
                <w:bCs/>
                <w:szCs w:val="21"/>
              </w:rPr>
              <w:t>本项目危险废物贮存情况</w:t>
            </w:r>
          </w:p>
          <w:tbl>
            <w:tblPr>
              <w:tblStyle w:val="30"/>
              <w:tblW w:w="8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963"/>
              <w:gridCol w:w="977"/>
              <w:gridCol w:w="1395"/>
              <w:gridCol w:w="1192"/>
              <w:gridCol w:w="1200"/>
              <w:gridCol w:w="795"/>
              <w:gridCol w:w="1123"/>
            </w:tblGrid>
            <w:tr w14:paraId="599EF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610" w:type="dxa"/>
                  <w:tcBorders>
                    <w:tl2br w:val="nil"/>
                    <w:tr2bl w:val="nil"/>
                  </w:tcBorders>
                  <w:shd w:val="clear" w:color="auto" w:fill="auto"/>
                  <w:vAlign w:val="center"/>
                </w:tcPr>
                <w:p w14:paraId="27F898EE">
                  <w:pPr>
                    <w:jc w:val="center"/>
                    <w:rPr>
                      <w:b/>
                      <w:bCs/>
                      <w:position w:val="6"/>
                      <w:szCs w:val="21"/>
                    </w:rPr>
                  </w:pPr>
                  <w:r>
                    <w:rPr>
                      <w:b/>
                      <w:bCs/>
                      <w:position w:val="6"/>
                      <w:szCs w:val="21"/>
                    </w:rPr>
                    <w:t>序号</w:t>
                  </w:r>
                </w:p>
              </w:tc>
              <w:tc>
                <w:tcPr>
                  <w:tcW w:w="963" w:type="dxa"/>
                  <w:tcBorders>
                    <w:tl2br w:val="nil"/>
                    <w:tr2bl w:val="nil"/>
                  </w:tcBorders>
                  <w:shd w:val="clear" w:color="auto" w:fill="auto"/>
                  <w:vAlign w:val="center"/>
                </w:tcPr>
                <w:p w14:paraId="10E6D99E">
                  <w:pPr>
                    <w:jc w:val="center"/>
                    <w:rPr>
                      <w:b/>
                      <w:bCs/>
                      <w:position w:val="6"/>
                      <w:szCs w:val="21"/>
                    </w:rPr>
                  </w:pPr>
                  <w:r>
                    <w:rPr>
                      <w:b/>
                      <w:bCs/>
                      <w:position w:val="6"/>
                      <w:szCs w:val="21"/>
                    </w:rPr>
                    <w:t>贮存场所（设施）名称</w:t>
                  </w:r>
                </w:p>
              </w:tc>
              <w:tc>
                <w:tcPr>
                  <w:tcW w:w="977" w:type="dxa"/>
                  <w:tcBorders>
                    <w:tl2br w:val="nil"/>
                    <w:tr2bl w:val="nil"/>
                  </w:tcBorders>
                  <w:shd w:val="clear" w:color="auto" w:fill="auto"/>
                  <w:vAlign w:val="center"/>
                </w:tcPr>
                <w:p w14:paraId="4B071457">
                  <w:pPr>
                    <w:jc w:val="center"/>
                    <w:rPr>
                      <w:b/>
                      <w:bCs/>
                      <w:position w:val="6"/>
                      <w:szCs w:val="21"/>
                    </w:rPr>
                  </w:pPr>
                  <w:r>
                    <w:rPr>
                      <w:b/>
                      <w:bCs/>
                      <w:position w:val="6"/>
                      <w:szCs w:val="21"/>
                    </w:rPr>
                    <w:t>危险废物名称</w:t>
                  </w:r>
                </w:p>
              </w:tc>
              <w:tc>
                <w:tcPr>
                  <w:tcW w:w="1395" w:type="dxa"/>
                  <w:tcBorders>
                    <w:tl2br w:val="nil"/>
                    <w:tr2bl w:val="nil"/>
                  </w:tcBorders>
                  <w:shd w:val="clear" w:color="auto" w:fill="auto"/>
                  <w:vAlign w:val="center"/>
                </w:tcPr>
                <w:p w14:paraId="7B238ABF">
                  <w:pPr>
                    <w:jc w:val="center"/>
                    <w:rPr>
                      <w:b/>
                      <w:bCs/>
                      <w:position w:val="6"/>
                      <w:szCs w:val="21"/>
                    </w:rPr>
                  </w:pPr>
                  <w:r>
                    <w:rPr>
                      <w:b/>
                      <w:bCs/>
                      <w:position w:val="6"/>
                      <w:szCs w:val="21"/>
                    </w:rPr>
                    <w:t>危险废物类别</w:t>
                  </w:r>
                </w:p>
              </w:tc>
              <w:tc>
                <w:tcPr>
                  <w:tcW w:w="1192" w:type="dxa"/>
                  <w:tcBorders>
                    <w:tl2br w:val="nil"/>
                    <w:tr2bl w:val="nil"/>
                  </w:tcBorders>
                  <w:shd w:val="clear" w:color="auto" w:fill="auto"/>
                  <w:vAlign w:val="center"/>
                </w:tcPr>
                <w:p w14:paraId="3E85DE73">
                  <w:pPr>
                    <w:jc w:val="center"/>
                    <w:rPr>
                      <w:b/>
                      <w:bCs/>
                      <w:position w:val="6"/>
                      <w:szCs w:val="21"/>
                    </w:rPr>
                  </w:pPr>
                  <w:r>
                    <w:rPr>
                      <w:b/>
                      <w:bCs/>
                      <w:position w:val="6"/>
                      <w:szCs w:val="21"/>
                    </w:rPr>
                    <w:t>危险废物代码</w:t>
                  </w:r>
                </w:p>
              </w:tc>
              <w:tc>
                <w:tcPr>
                  <w:tcW w:w="1200" w:type="dxa"/>
                  <w:tcBorders>
                    <w:tl2br w:val="nil"/>
                    <w:tr2bl w:val="nil"/>
                  </w:tcBorders>
                  <w:shd w:val="clear" w:color="auto" w:fill="auto"/>
                  <w:vAlign w:val="center"/>
                </w:tcPr>
                <w:p w14:paraId="05E9CB20">
                  <w:pPr>
                    <w:jc w:val="center"/>
                    <w:rPr>
                      <w:b/>
                      <w:bCs/>
                      <w:position w:val="6"/>
                      <w:szCs w:val="21"/>
                    </w:rPr>
                  </w:pPr>
                  <w:r>
                    <w:rPr>
                      <w:b/>
                      <w:bCs/>
                      <w:position w:val="6"/>
                      <w:szCs w:val="21"/>
                    </w:rPr>
                    <w:t>位置</w:t>
                  </w:r>
                </w:p>
              </w:tc>
              <w:tc>
                <w:tcPr>
                  <w:tcW w:w="795" w:type="dxa"/>
                  <w:tcBorders>
                    <w:tl2br w:val="nil"/>
                    <w:tr2bl w:val="nil"/>
                  </w:tcBorders>
                  <w:shd w:val="clear" w:color="auto" w:fill="auto"/>
                  <w:vAlign w:val="center"/>
                </w:tcPr>
                <w:p w14:paraId="2B528924">
                  <w:pPr>
                    <w:jc w:val="center"/>
                    <w:rPr>
                      <w:b/>
                      <w:bCs/>
                      <w:position w:val="6"/>
                      <w:szCs w:val="21"/>
                    </w:rPr>
                  </w:pPr>
                  <w:r>
                    <w:rPr>
                      <w:b/>
                      <w:bCs/>
                      <w:position w:val="6"/>
                      <w:szCs w:val="21"/>
                    </w:rPr>
                    <w:t>占地面积</w:t>
                  </w:r>
                </w:p>
              </w:tc>
              <w:tc>
                <w:tcPr>
                  <w:tcW w:w="1123" w:type="dxa"/>
                  <w:tcBorders>
                    <w:tl2br w:val="nil"/>
                    <w:tr2bl w:val="nil"/>
                  </w:tcBorders>
                  <w:shd w:val="clear" w:color="auto" w:fill="auto"/>
                  <w:vAlign w:val="center"/>
                </w:tcPr>
                <w:p w14:paraId="24658DD5">
                  <w:pPr>
                    <w:jc w:val="center"/>
                    <w:rPr>
                      <w:b/>
                      <w:bCs/>
                      <w:position w:val="6"/>
                      <w:szCs w:val="21"/>
                    </w:rPr>
                  </w:pPr>
                  <w:r>
                    <w:rPr>
                      <w:b/>
                      <w:bCs/>
                      <w:position w:val="6"/>
                      <w:szCs w:val="21"/>
                    </w:rPr>
                    <w:t>贮存周期</w:t>
                  </w:r>
                </w:p>
              </w:tc>
            </w:tr>
            <w:tr w14:paraId="2C732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610" w:type="dxa"/>
                  <w:tcBorders>
                    <w:tl2br w:val="nil"/>
                    <w:tr2bl w:val="nil"/>
                  </w:tcBorders>
                  <w:vAlign w:val="center"/>
                </w:tcPr>
                <w:p w14:paraId="0FFBD2DD">
                  <w:pPr>
                    <w:jc w:val="center"/>
                    <w:rPr>
                      <w:position w:val="6"/>
                      <w:szCs w:val="21"/>
                    </w:rPr>
                  </w:pPr>
                  <w:r>
                    <w:rPr>
                      <w:position w:val="6"/>
                      <w:szCs w:val="21"/>
                    </w:rPr>
                    <w:t>1</w:t>
                  </w:r>
                </w:p>
              </w:tc>
              <w:tc>
                <w:tcPr>
                  <w:tcW w:w="963" w:type="dxa"/>
                  <w:vMerge w:val="restart"/>
                  <w:tcBorders>
                    <w:tl2br w:val="nil"/>
                    <w:tr2bl w:val="nil"/>
                  </w:tcBorders>
                  <w:vAlign w:val="center"/>
                </w:tcPr>
                <w:p w14:paraId="6D3E7008">
                  <w:pPr>
                    <w:jc w:val="center"/>
                    <w:rPr>
                      <w:position w:val="6"/>
                      <w:szCs w:val="21"/>
                    </w:rPr>
                  </w:pPr>
                  <w:r>
                    <w:rPr>
                      <w:position w:val="6"/>
                      <w:szCs w:val="21"/>
                    </w:rPr>
                    <w:t>危废暂存间</w:t>
                  </w:r>
                </w:p>
              </w:tc>
              <w:tc>
                <w:tcPr>
                  <w:tcW w:w="977" w:type="dxa"/>
                  <w:tcBorders>
                    <w:tl2br w:val="nil"/>
                    <w:tr2bl w:val="nil"/>
                  </w:tcBorders>
                  <w:vAlign w:val="center"/>
                </w:tcPr>
                <w:p w14:paraId="74C3EF6D">
                  <w:pPr>
                    <w:jc w:val="center"/>
                    <w:rPr>
                      <w:color w:val="auto"/>
                      <w:szCs w:val="21"/>
                    </w:rPr>
                  </w:pPr>
                  <w:r>
                    <w:rPr>
                      <w:rFonts w:hint="eastAsia" w:eastAsia="Times New Roman"/>
                      <w:color w:val="auto"/>
                    </w:rPr>
                    <w:t>废导热油</w:t>
                  </w:r>
                </w:p>
              </w:tc>
              <w:tc>
                <w:tcPr>
                  <w:tcW w:w="1395" w:type="dxa"/>
                  <w:tcBorders>
                    <w:tl2br w:val="nil"/>
                    <w:tr2bl w:val="nil"/>
                  </w:tcBorders>
                  <w:vAlign w:val="center"/>
                </w:tcPr>
                <w:p w14:paraId="2A4ED2C5">
                  <w:pPr>
                    <w:jc w:val="center"/>
                    <w:rPr>
                      <w:bCs/>
                      <w:color w:val="auto"/>
                      <w:szCs w:val="21"/>
                    </w:rPr>
                  </w:pPr>
                  <w:r>
                    <w:rPr>
                      <w:bCs/>
                      <w:color w:val="auto"/>
                      <w:szCs w:val="21"/>
                    </w:rPr>
                    <w:t>HW08</w:t>
                  </w:r>
                  <w:r>
                    <w:rPr>
                      <w:rFonts w:cs="宋体" w:asciiTheme="minorEastAsia" w:hAnsiTheme="minorEastAsia"/>
                      <w:color w:val="auto"/>
                      <w:kern w:val="0"/>
                      <w:szCs w:val="21"/>
                    </w:rPr>
                    <w:t>废矿物油与含矿物油废物</w:t>
                  </w:r>
                </w:p>
              </w:tc>
              <w:tc>
                <w:tcPr>
                  <w:tcW w:w="1192" w:type="dxa"/>
                  <w:tcBorders>
                    <w:tl2br w:val="nil"/>
                    <w:tr2bl w:val="nil"/>
                  </w:tcBorders>
                  <w:vAlign w:val="center"/>
                </w:tcPr>
                <w:p w14:paraId="6904B4BB">
                  <w:pPr>
                    <w:jc w:val="center"/>
                    <w:rPr>
                      <w:color w:val="auto"/>
                      <w:szCs w:val="21"/>
                    </w:rPr>
                  </w:pPr>
                  <w:r>
                    <w:rPr>
                      <w:rFonts w:hint="eastAsia"/>
                      <w:bCs/>
                      <w:color w:val="auto"/>
                      <w:kern w:val="0"/>
                      <w:szCs w:val="21"/>
                    </w:rPr>
                    <w:t>900-249-08</w:t>
                  </w:r>
                </w:p>
              </w:tc>
              <w:tc>
                <w:tcPr>
                  <w:tcW w:w="1200" w:type="dxa"/>
                  <w:vMerge w:val="restart"/>
                  <w:tcBorders>
                    <w:tl2br w:val="nil"/>
                    <w:tr2bl w:val="nil"/>
                  </w:tcBorders>
                  <w:vAlign w:val="center"/>
                </w:tcPr>
                <w:p w14:paraId="337E9324">
                  <w:pPr>
                    <w:jc w:val="center"/>
                    <w:rPr>
                      <w:color w:val="auto"/>
                      <w:szCs w:val="21"/>
                    </w:rPr>
                  </w:pPr>
                  <w:r>
                    <w:rPr>
                      <w:rFonts w:hint="eastAsia"/>
                      <w:color w:val="auto"/>
                      <w:szCs w:val="21"/>
                    </w:rPr>
                    <w:t>厂区西</w:t>
                  </w:r>
                  <w:r>
                    <w:rPr>
                      <w:color w:val="auto"/>
                      <w:szCs w:val="21"/>
                    </w:rPr>
                    <w:t>侧</w:t>
                  </w:r>
                  <w:r>
                    <w:rPr>
                      <w:rFonts w:hint="eastAsia"/>
                      <w:color w:val="auto"/>
                      <w:szCs w:val="21"/>
                    </w:rPr>
                    <w:t>机修及材料库房旁</w:t>
                  </w:r>
                </w:p>
              </w:tc>
              <w:tc>
                <w:tcPr>
                  <w:tcW w:w="795" w:type="dxa"/>
                  <w:vMerge w:val="restart"/>
                  <w:tcBorders>
                    <w:tl2br w:val="nil"/>
                    <w:tr2bl w:val="nil"/>
                  </w:tcBorders>
                  <w:vAlign w:val="center"/>
                </w:tcPr>
                <w:p w14:paraId="3255AE01">
                  <w:pPr>
                    <w:jc w:val="center"/>
                    <w:rPr>
                      <w:position w:val="6"/>
                      <w:szCs w:val="21"/>
                    </w:rPr>
                  </w:pPr>
                  <w:r>
                    <w:rPr>
                      <w:rFonts w:hint="eastAsia"/>
                      <w:position w:val="6"/>
                      <w:szCs w:val="21"/>
                    </w:rPr>
                    <w:t>6</w:t>
                  </w:r>
                  <w:r>
                    <w:rPr>
                      <w:position w:val="6"/>
                      <w:szCs w:val="21"/>
                    </w:rPr>
                    <w:t>m</w:t>
                  </w:r>
                  <w:r>
                    <w:rPr>
                      <w:position w:val="6"/>
                      <w:szCs w:val="21"/>
                      <w:vertAlign w:val="superscript"/>
                    </w:rPr>
                    <w:t>2</w:t>
                  </w:r>
                </w:p>
              </w:tc>
              <w:tc>
                <w:tcPr>
                  <w:tcW w:w="1123" w:type="dxa"/>
                  <w:tcBorders>
                    <w:tl2br w:val="nil"/>
                    <w:tr2bl w:val="nil"/>
                  </w:tcBorders>
                  <w:vAlign w:val="center"/>
                </w:tcPr>
                <w:p w14:paraId="39F19263">
                  <w:pPr>
                    <w:jc w:val="center"/>
                    <w:rPr>
                      <w:position w:val="6"/>
                      <w:szCs w:val="21"/>
                    </w:rPr>
                  </w:pPr>
                  <w:r>
                    <w:rPr>
                      <w:position w:val="6"/>
                      <w:szCs w:val="21"/>
                    </w:rPr>
                    <w:t>一年</w:t>
                  </w:r>
                </w:p>
              </w:tc>
            </w:tr>
            <w:tr w14:paraId="6679B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610" w:type="dxa"/>
                  <w:tcBorders>
                    <w:tl2br w:val="nil"/>
                    <w:tr2bl w:val="nil"/>
                  </w:tcBorders>
                  <w:vAlign w:val="center"/>
                </w:tcPr>
                <w:p w14:paraId="29723900">
                  <w:pPr>
                    <w:jc w:val="center"/>
                    <w:rPr>
                      <w:position w:val="6"/>
                      <w:szCs w:val="21"/>
                    </w:rPr>
                  </w:pPr>
                  <w:r>
                    <w:rPr>
                      <w:rFonts w:hint="eastAsia"/>
                      <w:position w:val="6"/>
                      <w:szCs w:val="21"/>
                    </w:rPr>
                    <w:t>2</w:t>
                  </w:r>
                </w:p>
              </w:tc>
              <w:tc>
                <w:tcPr>
                  <w:tcW w:w="963" w:type="dxa"/>
                  <w:vMerge w:val="continue"/>
                  <w:tcBorders>
                    <w:tl2br w:val="nil"/>
                    <w:tr2bl w:val="nil"/>
                  </w:tcBorders>
                  <w:vAlign w:val="center"/>
                </w:tcPr>
                <w:p w14:paraId="25C306B6">
                  <w:pPr>
                    <w:jc w:val="center"/>
                    <w:rPr>
                      <w:position w:val="6"/>
                      <w:szCs w:val="21"/>
                    </w:rPr>
                  </w:pPr>
                </w:p>
              </w:tc>
              <w:tc>
                <w:tcPr>
                  <w:tcW w:w="977" w:type="dxa"/>
                  <w:tcBorders>
                    <w:tl2br w:val="nil"/>
                    <w:tr2bl w:val="nil"/>
                  </w:tcBorders>
                  <w:vAlign w:val="center"/>
                </w:tcPr>
                <w:p w14:paraId="4D151C29">
                  <w:pPr>
                    <w:jc w:val="center"/>
                    <w:rPr>
                      <w:color w:val="auto"/>
                      <w:szCs w:val="21"/>
                    </w:rPr>
                  </w:pPr>
                  <w:r>
                    <w:rPr>
                      <w:color w:val="auto"/>
                      <w:szCs w:val="21"/>
                    </w:rPr>
                    <w:t>废活性炭</w:t>
                  </w:r>
                </w:p>
              </w:tc>
              <w:tc>
                <w:tcPr>
                  <w:tcW w:w="1395" w:type="dxa"/>
                  <w:tcBorders>
                    <w:tl2br w:val="nil"/>
                    <w:tr2bl w:val="nil"/>
                  </w:tcBorders>
                  <w:vAlign w:val="center"/>
                </w:tcPr>
                <w:p w14:paraId="675A68E8">
                  <w:pPr>
                    <w:jc w:val="center"/>
                    <w:rPr>
                      <w:bCs/>
                      <w:color w:val="auto"/>
                      <w:szCs w:val="21"/>
                    </w:rPr>
                  </w:pPr>
                  <w:r>
                    <w:rPr>
                      <w:bCs/>
                      <w:color w:val="auto"/>
                      <w:szCs w:val="21"/>
                    </w:rPr>
                    <w:t>HW49其他废物</w:t>
                  </w:r>
                </w:p>
              </w:tc>
              <w:tc>
                <w:tcPr>
                  <w:tcW w:w="1192" w:type="dxa"/>
                  <w:tcBorders>
                    <w:tl2br w:val="nil"/>
                    <w:tr2bl w:val="nil"/>
                  </w:tcBorders>
                  <w:vAlign w:val="center"/>
                </w:tcPr>
                <w:p w14:paraId="4427D53F">
                  <w:pPr>
                    <w:jc w:val="center"/>
                    <w:rPr>
                      <w:bCs/>
                      <w:color w:val="auto"/>
                      <w:szCs w:val="21"/>
                    </w:rPr>
                  </w:pPr>
                  <w:r>
                    <w:rPr>
                      <w:bCs/>
                      <w:color w:val="auto"/>
                      <w:szCs w:val="21"/>
                    </w:rPr>
                    <w:t>900-0</w:t>
                  </w:r>
                  <w:r>
                    <w:rPr>
                      <w:rFonts w:hint="eastAsia"/>
                      <w:bCs/>
                      <w:color w:val="auto"/>
                      <w:szCs w:val="21"/>
                      <w:lang w:val="en-US" w:eastAsia="zh-CN"/>
                    </w:rPr>
                    <w:t>39</w:t>
                  </w:r>
                  <w:r>
                    <w:rPr>
                      <w:bCs/>
                      <w:color w:val="auto"/>
                      <w:szCs w:val="21"/>
                    </w:rPr>
                    <w:t>-49</w:t>
                  </w:r>
                </w:p>
              </w:tc>
              <w:tc>
                <w:tcPr>
                  <w:tcW w:w="1200" w:type="dxa"/>
                  <w:vMerge w:val="continue"/>
                  <w:tcBorders>
                    <w:tl2br w:val="nil"/>
                    <w:tr2bl w:val="nil"/>
                  </w:tcBorders>
                  <w:vAlign w:val="center"/>
                </w:tcPr>
                <w:p w14:paraId="26C8ACA8">
                  <w:pPr>
                    <w:jc w:val="center"/>
                    <w:rPr>
                      <w:bCs/>
                      <w:color w:val="auto"/>
                      <w:szCs w:val="21"/>
                    </w:rPr>
                  </w:pPr>
                </w:p>
              </w:tc>
              <w:tc>
                <w:tcPr>
                  <w:tcW w:w="795" w:type="dxa"/>
                  <w:vMerge w:val="continue"/>
                  <w:tcBorders>
                    <w:tl2br w:val="nil"/>
                    <w:tr2bl w:val="nil"/>
                  </w:tcBorders>
                  <w:vAlign w:val="center"/>
                </w:tcPr>
                <w:p w14:paraId="7E19D593">
                  <w:pPr>
                    <w:jc w:val="center"/>
                    <w:rPr>
                      <w:position w:val="6"/>
                      <w:szCs w:val="21"/>
                    </w:rPr>
                  </w:pPr>
                </w:p>
              </w:tc>
              <w:tc>
                <w:tcPr>
                  <w:tcW w:w="1123" w:type="dxa"/>
                  <w:tcBorders>
                    <w:tl2br w:val="nil"/>
                    <w:tr2bl w:val="nil"/>
                  </w:tcBorders>
                  <w:vAlign w:val="center"/>
                </w:tcPr>
                <w:p w14:paraId="089ED977">
                  <w:pPr>
                    <w:jc w:val="center"/>
                    <w:rPr>
                      <w:position w:val="6"/>
                      <w:szCs w:val="21"/>
                    </w:rPr>
                  </w:pPr>
                  <w:r>
                    <w:rPr>
                      <w:position w:val="6"/>
                      <w:szCs w:val="21"/>
                    </w:rPr>
                    <w:t>一年</w:t>
                  </w:r>
                </w:p>
              </w:tc>
            </w:tr>
            <w:tr w14:paraId="201D4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10" w:type="dxa"/>
                  <w:tcBorders>
                    <w:tl2br w:val="nil"/>
                    <w:tr2bl w:val="nil"/>
                  </w:tcBorders>
                  <w:vAlign w:val="center"/>
                </w:tcPr>
                <w:p w14:paraId="26663EAA">
                  <w:pPr>
                    <w:jc w:val="center"/>
                    <w:rPr>
                      <w:position w:val="6"/>
                      <w:szCs w:val="21"/>
                    </w:rPr>
                  </w:pPr>
                  <w:r>
                    <w:rPr>
                      <w:rFonts w:hint="eastAsia"/>
                      <w:position w:val="6"/>
                      <w:szCs w:val="21"/>
                    </w:rPr>
                    <w:t>3</w:t>
                  </w:r>
                </w:p>
              </w:tc>
              <w:tc>
                <w:tcPr>
                  <w:tcW w:w="963" w:type="dxa"/>
                  <w:vMerge w:val="continue"/>
                  <w:tcBorders>
                    <w:tl2br w:val="nil"/>
                    <w:tr2bl w:val="nil"/>
                  </w:tcBorders>
                  <w:vAlign w:val="center"/>
                </w:tcPr>
                <w:p w14:paraId="584CF2EA">
                  <w:pPr>
                    <w:jc w:val="center"/>
                    <w:rPr>
                      <w:position w:val="6"/>
                      <w:szCs w:val="21"/>
                    </w:rPr>
                  </w:pPr>
                </w:p>
              </w:tc>
              <w:tc>
                <w:tcPr>
                  <w:tcW w:w="977" w:type="dxa"/>
                  <w:tcBorders>
                    <w:tl2br w:val="nil"/>
                    <w:tr2bl w:val="nil"/>
                  </w:tcBorders>
                  <w:vAlign w:val="center"/>
                </w:tcPr>
                <w:p w14:paraId="6929ACE4">
                  <w:pPr>
                    <w:jc w:val="center"/>
                    <w:rPr>
                      <w:szCs w:val="21"/>
                    </w:rPr>
                  </w:pPr>
                  <w:r>
                    <w:rPr>
                      <w:rFonts w:hint="eastAsia"/>
                      <w:szCs w:val="21"/>
                    </w:rPr>
                    <w:t>废机油</w:t>
                  </w:r>
                </w:p>
              </w:tc>
              <w:tc>
                <w:tcPr>
                  <w:tcW w:w="1395" w:type="dxa"/>
                  <w:tcBorders>
                    <w:tl2br w:val="nil"/>
                    <w:tr2bl w:val="nil"/>
                  </w:tcBorders>
                  <w:vAlign w:val="center"/>
                </w:tcPr>
                <w:p w14:paraId="0D7D47B9">
                  <w:pPr>
                    <w:jc w:val="center"/>
                    <w:rPr>
                      <w:bCs/>
                      <w:szCs w:val="21"/>
                    </w:rPr>
                  </w:pPr>
                  <w:r>
                    <w:rPr>
                      <w:bCs/>
                      <w:szCs w:val="21"/>
                    </w:rPr>
                    <w:t>HW08</w:t>
                  </w:r>
                  <w:r>
                    <w:rPr>
                      <w:rFonts w:cs="宋体" w:asciiTheme="minorEastAsia" w:hAnsiTheme="minorEastAsia"/>
                      <w:kern w:val="0"/>
                      <w:szCs w:val="21"/>
                    </w:rPr>
                    <w:t>废矿物油与含矿物油废物</w:t>
                  </w:r>
                </w:p>
              </w:tc>
              <w:tc>
                <w:tcPr>
                  <w:tcW w:w="1192" w:type="dxa"/>
                  <w:tcBorders>
                    <w:tl2br w:val="nil"/>
                    <w:tr2bl w:val="nil"/>
                  </w:tcBorders>
                  <w:vAlign w:val="center"/>
                </w:tcPr>
                <w:p w14:paraId="1F048A1E">
                  <w:pPr>
                    <w:jc w:val="center"/>
                    <w:rPr>
                      <w:bCs/>
                      <w:szCs w:val="21"/>
                    </w:rPr>
                  </w:pPr>
                  <w:r>
                    <w:rPr>
                      <w:szCs w:val="21"/>
                    </w:rPr>
                    <w:t>900-249-08</w:t>
                  </w:r>
                </w:p>
              </w:tc>
              <w:tc>
                <w:tcPr>
                  <w:tcW w:w="1200" w:type="dxa"/>
                  <w:vMerge w:val="continue"/>
                  <w:tcBorders>
                    <w:tl2br w:val="nil"/>
                    <w:tr2bl w:val="nil"/>
                  </w:tcBorders>
                  <w:vAlign w:val="center"/>
                </w:tcPr>
                <w:p w14:paraId="0A2EAF14">
                  <w:pPr>
                    <w:jc w:val="center"/>
                    <w:rPr>
                      <w:bCs/>
                      <w:szCs w:val="21"/>
                    </w:rPr>
                  </w:pPr>
                </w:p>
              </w:tc>
              <w:tc>
                <w:tcPr>
                  <w:tcW w:w="795" w:type="dxa"/>
                  <w:vMerge w:val="continue"/>
                  <w:tcBorders>
                    <w:tl2br w:val="nil"/>
                    <w:tr2bl w:val="nil"/>
                  </w:tcBorders>
                  <w:vAlign w:val="center"/>
                </w:tcPr>
                <w:p w14:paraId="124D5964">
                  <w:pPr>
                    <w:jc w:val="center"/>
                    <w:rPr>
                      <w:position w:val="6"/>
                      <w:szCs w:val="21"/>
                    </w:rPr>
                  </w:pPr>
                </w:p>
              </w:tc>
              <w:tc>
                <w:tcPr>
                  <w:tcW w:w="1123" w:type="dxa"/>
                  <w:tcBorders>
                    <w:tl2br w:val="nil"/>
                    <w:tr2bl w:val="nil"/>
                  </w:tcBorders>
                  <w:vAlign w:val="center"/>
                </w:tcPr>
                <w:p w14:paraId="7D953D04">
                  <w:pPr>
                    <w:jc w:val="center"/>
                    <w:rPr>
                      <w:position w:val="6"/>
                      <w:szCs w:val="21"/>
                    </w:rPr>
                  </w:pPr>
                  <w:r>
                    <w:rPr>
                      <w:position w:val="6"/>
                      <w:szCs w:val="21"/>
                    </w:rPr>
                    <w:t>一年</w:t>
                  </w:r>
                </w:p>
              </w:tc>
            </w:tr>
          </w:tbl>
          <w:p w14:paraId="637E031E">
            <w:pPr>
              <w:spacing w:line="360" w:lineRule="auto"/>
              <w:ind w:firstLine="420" w:firstLineChars="200"/>
              <w:rPr>
                <w:szCs w:val="21"/>
              </w:rPr>
            </w:pPr>
            <w:r>
              <w:rPr>
                <w:szCs w:val="21"/>
              </w:rPr>
              <w:t>本项目设置危废暂存间储存危废，满足本项目的储存需求，上述废物委托有相应危险废物处理资质的单位定期处置。</w:t>
            </w:r>
          </w:p>
          <w:p w14:paraId="50EB21CA">
            <w:pPr>
              <w:spacing w:line="360" w:lineRule="auto"/>
              <w:ind w:firstLine="420" w:firstLineChars="200"/>
              <w:rPr>
                <w:szCs w:val="21"/>
              </w:rPr>
            </w:pPr>
            <w:r>
              <w:rPr>
                <w:szCs w:val="21"/>
              </w:rPr>
              <w:t>（3）危险废物环境管理要求</w:t>
            </w:r>
          </w:p>
          <w:p w14:paraId="1242DE43">
            <w:pPr>
              <w:spacing w:line="360" w:lineRule="auto"/>
              <w:ind w:firstLine="420" w:firstLineChars="200"/>
              <w:rPr>
                <w:szCs w:val="21"/>
              </w:rPr>
            </w:pPr>
            <w:r>
              <w:rPr>
                <w:szCs w:val="21"/>
              </w:rPr>
              <w:t>建设单位运营过程应该对本项目产生的危险废物从收集、贮存、运输、利用、处置各环节进行全过程的监管，各环节应严格执行《危险废物收集、贮存、运输技术规范》（</w:t>
            </w:r>
            <w:r>
              <w:rPr>
                <w:rFonts w:hint="eastAsia"/>
                <w:szCs w:val="21"/>
              </w:rPr>
              <w:t xml:space="preserve">HJ  </w:t>
            </w:r>
            <w:r>
              <w:rPr>
                <w:szCs w:val="21"/>
              </w:rPr>
              <w:t>2025-2012）的相关要求。</w:t>
            </w:r>
          </w:p>
          <w:p w14:paraId="67F42981">
            <w:pPr>
              <w:spacing w:line="360" w:lineRule="auto"/>
              <w:ind w:firstLine="420" w:firstLineChars="200"/>
              <w:rPr>
                <w:szCs w:val="21"/>
              </w:rPr>
            </w:pPr>
            <w:r>
              <w:rPr>
                <w:szCs w:val="21"/>
              </w:rPr>
              <w:t>危险废物暂存过程中应满足《危险废物贮存污染控制标准》（</w:t>
            </w:r>
            <w:r>
              <w:rPr>
                <w:rFonts w:hint="eastAsia"/>
                <w:szCs w:val="21"/>
              </w:rPr>
              <w:t xml:space="preserve">GB </w:t>
            </w:r>
            <w:r>
              <w:rPr>
                <w:szCs w:val="21"/>
              </w:rPr>
              <w:t>18597-2001）及修改单中的相关规定，危险废物的贮存容器须满足下列要求：</w:t>
            </w:r>
          </w:p>
          <w:p w14:paraId="4DFB6318">
            <w:pPr>
              <w:spacing w:line="360" w:lineRule="auto"/>
              <w:ind w:firstLine="420" w:firstLineChars="200"/>
              <w:rPr>
                <w:szCs w:val="21"/>
              </w:rPr>
            </w:pPr>
            <w:r>
              <w:rPr>
                <w:szCs w:val="21"/>
              </w:rPr>
              <w:t>a.应当使用符合标准的容器盛装危险废物；</w:t>
            </w:r>
          </w:p>
          <w:p w14:paraId="151ADC44">
            <w:pPr>
              <w:spacing w:line="360" w:lineRule="auto"/>
              <w:ind w:firstLine="420" w:firstLineChars="200"/>
              <w:rPr>
                <w:szCs w:val="21"/>
              </w:rPr>
            </w:pPr>
            <w:r>
              <w:rPr>
                <w:szCs w:val="21"/>
              </w:rPr>
              <w:t>b.装载危险废物的容器及材质要满足相应的强度要求；</w:t>
            </w:r>
          </w:p>
          <w:p w14:paraId="3106FDD5">
            <w:pPr>
              <w:spacing w:line="360" w:lineRule="auto"/>
              <w:ind w:firstLine="420" w:firstLineChars="200"/>
              <w:rPr>
                <w:szCs w:val="21"/>
              </w:rPr>
            </w:pPr>
            <w:r>
              <w:rPr>
                <w:szCs w:val="21"/>
              </w:rPr>
              <w:t>c.装载危险废物的容器必须完好无损；</w:t>
            </w:r>
          </w:p>
          <w:p w14:paraId="7C6E556E">
            <w:pPr>
              <w:spacing w:line="360" w:lineRule="auto"/>
              <w:ind w:firstLine="420" w:firstLineChars="200"/>
              <w:rPr>
                <w:szCs w:val="21"/>
              </w:rPr>
            </w:pPr>
            <w:r>
              <w:rPr>
                <w:szCs w:val="21"/>
              </w:rPr>
              <w:t>d.盛装危险废物的容器材质和衬里要与危险废物相容（不相互反应）；</w:t>
            </w:r>
          </w:p>
          <w:p w14:paraId="6358E5D3">
            <w:pPr>
              <w:spacing w:line="360" w:lineRule="auto"/>
              <w:ind w:firstLine="420" w:firstLineChars="200"/>
              <w:rPr>
                <w:szCs w:val="21"/>
              </w:rPr>
            </w:pPr>
            <w:r>
              <w:rPr>
                <w:szCs w:val="21"/>
              </w:rPr>
              <w:t>e.盛装危险废物的容器上必须粘贴符合本标准附录A所示的标签。</w:t>
            </w:r>
          </w:p>
          <w:p w14:paraId="7C43421F">
            <w:pPr>
              <w:spacing w:line="360" w:lineRule="auto"/>
              <w:ind w:firstLine="420" w:firstLineChars="200"/>
              <w:rPr>
                <w:szCs w:val="21"/>
              </w:rPr>
            </w:pPr>
            <w:r>
              <w:rPr>
                <w:szCs w:val="21"/>
              </w:rPr>
              <w:t>危险废物贮存设施的运行与管理应按照下列要求执行：</w:t>
            </w:r>
          </w:p>
          <w:p w14:paraId="2C893550">
            <w:pPr>
              <w:spacing w:line="360" w:lineRule="auto"/>
              <w:ind w:firstLine="420" w:firstLineChars="200"/>
              <w:rPr>
                <w:szCs w:val="21"/>
              </w:rPr>
            </w:pPr>
            <w:r>
              <w:rPr>
                <w:szCs w:val="21"/>
              </w:rPr>
              <w:t>a.不得将不相容的废物混合或合并存放；</w:t>
            </w:r>
          </w:p>
          <w:p w14:paraId="687278B6">
            <w:pPr>
              <w:spacing w:line="360" w:lineRule="auto"/>
              <w:ind w:firstLine="420" w:firstLineChars="200"/>
              <w:rPr>
                <w:szCs w:val="21"/>
              </w:rPr>
            </w:pPr>
            <w:r>
              <w:rPr>
                <w:szCs w:val="21"/>
              </w:rPr>
              <w:t>b.须做好危险废物情况的记录，记录上须注明危险废物的名称、源、数量、特性和包装容器的类别、入库日期、存放库位、废物出库日期及接收单位名称。危险废物的记录和货单在危险废物回取后应继续保留三年；</w:t>
            </w:r>
          </w:p>
          <w:p w14:paraId="31963AFF">
            <w:pPr>
              <w:spacing w:line="360" w:lineRule="auto"/>
              <w:ind w:firstLine="420" w:firstLineChars="200"/>
              <w:rPr>
                <w:szCs w:val="21"/>
              </w:rPr>
            </w:pPr>
            <w:r>
              <w:rPr>
                <w:szCs w:val="21"/>
              </w:rPr>
              <w:t>c.必须定期对所贮存的危险废物包转容器及贮存设施进行检查，发现破损，应及时采取措施清理更换。</w:t>
            </w:r>
          </w:p>
          <w:p w14:paraId="4054FBAA">
            <w:pPr>
              <w:spacing w:line="360" w:lineRule="auto"/>
              <w:ind w:firstLine="420" w:firstLineChars="200"/>
              <w:rPr>
                <w:szCs w:val="21"/>
              </w:rPr>
            </w:pPr>
            <w:r>
              <w:rPr>
                <w:szCs w:val="21"/>
              </w:rPr>
              <w:t>（4）危险废物环境影响分析</w:t>
            </w:r>
          </w:p>
          <w:p w14:paraId="4D4CE86E">
            <w:pPr>
              <w:spacing w:line="360" w:lineRule="auto"/>
              <w:ind w:firstLine="420" w:firstLineChars="200"/>
              <w:rPr>
                <w:szCs w:val="21"/>
              </w:rPr>
            </w:pPr>
            <w:r>
              <w:rPr>
                <w:szCs w:val="21"/>
              </w:rPr>
              <w:t>a.贮存场所环境影响分析</w:t>
            </w:r>
          </w:p>
          <w:p w14:paraId="7D0BE7A4">
            <w:pPr>
              <w:spacing w:line="360" w:lineRule="auto"/>
              <w:ind w:firstLine="420" w:firstLineChars="200"/>
              <w:rPr>
                <w:szCs w:val="21"/>
              </w:rPr>
            </w:pPr>
            <w:r>
              <w:rPr>
                <w:szCs w:val="21"/>
              </w:rPr>
              <w:t>危险废物暂存场所（危废间）设置于车间东侧，应满足“四防”（防风、防雨、防晒、防渗漏）要求，采取防渗措施和渗漏收集措施，并设置警示标示。在采取严格防治措施的前提下，危险废物贮存场所不会造成不利环境影响。</w:t>
            </w:r>
          </w:p>
          <w:p w14:paraId="7BA241A0">
            <w:pPr>
              <w:spacing w:line="360" w:lineRule="auto"/>
              <w:ind w:firstLine="420" w:firstLineChars="200"/>
              <w:rPr>
                <w:szCs w:val="21"/>
              </w:rPr>
            </w:pPr>
            <w:r>
              <w:rPr>
                <w:szCs w:val="21"/>
              </w:rPr>
              <w:t>b.运输过程的环境影响分析</w:t>
            </w:r>
          </w:p>
          <w:p w14:paraId="6110B206">
            <w:pPr>
              <w:spacing w:line="360" w:lineRule="auto"/>
              <w:ind w:firstLine="420" w:firstLineChars="200"/>
              <w:rPr>
                <w:szCs w:val="21"/>
              </w:rPr>
            </w:pPr>
            <w:r>
              <w:rPr>
                <w:szCs w:val="21"/>
              </w:rPr>
              <w:t>本项目危险废物产生及贮存场所均位于生产车间，车间地面及运输通道应采取硬化和防腐防渗措施，因此危险废物从产生工艺环节运输到暂存场所的过程中产生散落和泄漏均会将影响控制在车间内，不会对周边环境敏感点及地下水环境产生不利影响。</w:t>
            </w:r>
          </w:p>
          <w:p w14:paraId="116E875A">
            <w:pPr>
              <w:spacing w:line="360" w:lineRule="auto"/>
              <w:ind w:firstLine="420" w:firstLineChars="200"/>
              <w:rPr>
                <w:szCs w:val="21"/>
              </w:rPr>
            </w:pPr>
            <w:r>
              <w:rPr>
                <w:szCs w:val="21"/>
              </w:rPr>
              <w:t>c.委托利用或者处置的环境影响分析</w:t>
            </w:r>
          </w:p>
          <w:p w14:paraId="34FB8E00">
            <w:pPr>
              <w:spacing w:line="360" w:lineRule="auto"/>
              <w:ind w:firstLine="420" w:firstLineChars="200"/>
              <w:rPr>
                <w:szCs w:val="21"/>
              </w:rPr>
            </w:pPr>
            <w:r>
              <w:rPr>
                <w:szCs w:val="21"/>
              </w:rPr>
              <w:t>本项目危险废物均由具有相应危险废物处理资质的单位进行处置。本项目产生的危险废物类别均应在相应处理资质的单位的经营范围内，且危险废物产生量较小，不会对其处理负荷造成冲击，不会产生显著的环境影响。</w:t>
            </w:r>
          </w:p>
          <w:p w14:paraId="13D0B37B">
            <w:pPr>
              <w:spacing w:line="360" w:lineRule="auto"/>
              <w:rPr>
                <w:b/>
                <w:bCs/>
                <w:kern w:val="0"/>
                <w:szCs w:val="21"/>
              </w:rPr>
            </w:pPr>
            <w:r>
              <w:rPr>
                <w:szCs w:val="21"/>
              </w:rPr>
              <w:t>综上所述，在保证对固体废物进行综合利用、及时外运，危险废物交由有资质单位处置并完善其在厂内暂存措施的前提下，本项目固体废物不会对外环境产生二次污染。</w:t>
            </w:r>
          </w:p>
          <w:p w14:paraId="107FB007">
            <w:pPr>
              <w:spacing w:line="360" w:lineRule="auto"/>
              <w:rPr>
                <w:szCs w:val="20"/>
              </w:rPr>
            </w:pPr>
            <w:r>
              <w:rPr>
                <w:rFonts w:hint="eastAsia" w:eastAsia="Times New Roman"/>
                <w:b/>
                <w:bCs/>
                <w:kern w:val="0"/>
              </w:rPr>
              <w:t>4.6地下水及土壤环境影响分析</w:t>
            </w:r>
          </w:p>
          <w:p w14:paraId="6210DD54">
            <w:pPr>
              <w:spacing w:line="360" w:lineRule="auto"/>
              <w:ind w:firstLine="420" w:firstLineChars="200"/>
              <w:rPr>
                <w:rFonts w:eastAsiaTheme="majorEastAsia"/>
                <w:szCs w:val="21"/>
              </w:rPr>
            </w:pPr>
            <w:r>
              <w:rPr>
                <w:rFonts w:eastAsiaTheme="majorEastAsia"/>
                <w:szCs w:val="21"/>
              </w:rPr>
              <w:t>（1）项目防渗分区划分</w:t>
            </w:r>
          </w:p>
          <w:p w14:paraId="1B34E24B">
            <w:pPr>
              <w:spacing w:line="360" w:lineRule="auto"/>
              <w:ind w:firstLine="420" w:firstLineChars="200"/>
              <w:rPr>
                <w:rFonts w:eastAsiaTheme="majorEastAsia"/>
                <w:color w:val="auto"/>
                <w:szCs w:val="21"/>
              </w:rPr>
            </w:pPr>
            <w:r>
              <w:rPr>
                <w:rFonts w:eastAsiaTheme="majorEastAsia"/>
                <w:szCs w:val="21"/>
              </w:rPr>
              <w:t>按照分区防渗的划分原则：没有污染物泄漏不会对地下水环境造成污染的区域或部位属于简单防渗区；污染地下水环境的物料或污染物泄漏后可及时发现和处理的区域和部位属于一般</w:t>
            </w:r>
            <w:r>
              <w:rPr>
                <w:rFonts w:eastAsiaTheme="majorEastAsia"/>
                <w:color w:val="auto"/>
                <w:szCs w:val="21"/>
              </w:rPr>
              <w:t>防渗区；位于地下或半地下的生产功能单元，污染地下水环境的物料或污染物泄漏后不易及时发现和处理的区域或部位属于重点防渗区。</w:t>
            </w:r>
          </w:p>
          <w:p w14:paraId="2A4D2FDA">
            <w:pPr>
              <w:spacing w:line="360" w:lineRule="auto"/>
              <w:ind w:firstLine="420" w:firstLineChars="200"/>
              <w:rPr>
                <w:rFonts w:eastAsiaTheme="majorEastAsia"/>
                <w:color w:val="auto"/>
                <w:szCs w:val="21"/>
              </w:rPr>
            </w:pPr>
            <w:r>
              <w:rPr>
                <w:rFonts w:eastAsiaTheme="majorEastAsia"/>
                <w:color w:val="auto"/>
                <w:szCs w:val="21"/>
              </w:rPr>
              <w:t>根据项目各功能单元是否可能对地下水造成污染及其风险程度，将场区划分为重点防渗区、</w:t>
            </w:r>
            <w:r>
              <w:rPr>
                <w:rFonts w:hint="eastAsia" w:eastAsiaTheme="majorEastAsia"/>
                <w:color w:val="auto"/>
                <w:szCs w:val="21"/>
              </w:rPr>
              <w:t>一</w:t>
            </w:r>
            <w:r>
              <w:rPr>
                <w:rFonts w:eastAsiaTheme="majorEastAsia"/>
                <w:color w:val="auto"/>
                <w:szCs w:val="21"/>
              </w:rPr>
              <w:t>般防渗区和简单防渗区。</w:t>
            </w:r>
            <w:r>
              <w:rPr>
                <w:rFonts w:hint="eastAsia" w:eastAsiaTheme="majorEastAsia"/>
                <w:color w:val="auto"/>
                <w:szCs w:val="21"/>
              </w:rPr>
              <w:t>分区防渗图见图4-1。</w:t>
            </w:r>
          </w:p>
          <w:p w14:paraId="2201394B">
            <w:pPr>
              <w:spacing w:line="360" w:lineRule="auto"/>
              <w:ind w:firstLine="420" w:firstLineChars="200"/>
              <w:rPr>
                <w:rFonts w:eastAsiaTheme="majorEastAsia"/>
                <w:color w:val="auto"/>
                <w:szCs w:val="21"/>
              </w:rPr>
            </w:pPr>
            <w:r>
              <w:rPr>
                <w:rFonts w:eastAsiaTheme="majorEastAsia"/>
                <w:color w:val="auto"/>
                <w:szCs w:val="21"/>
              </w:rPr>
              <w:t>重点防渗区:</w:t>
            </w:r>
            <w:r>
              <w:rPr>
                <w:rFonts w:hint="eastAsia" w:eastAsiaTheme="majorEastAsia"/>
                <w:color w:val="auto"/>
                <w:szCs w:val="21"/>
              </w:rPr>
              <w:t>危废间、（待检）料仓棚</w:t>
            </w:r>
            <w:r>
              <w:rPr>
                <w:rFonts w:hint="eastAsia" w:eastAsiaTheme="majorEastAsia"/>
                <w:color w:val="auto"/>
                <w:szCs w:val="21"/>
                <w:lang w:eastAsia="zh-CN"/>
              </w:rPr>
              <w:t>（</w:t>
            </w:r>
            <w:r>
              <w:rPr>
                <w:rFonts w:hint="eastAsia" w:eastAsiaTheme="majorEastAsia"/>
                <w:color w:val="auto"/>
                <w:szCs w:val="21"/>
                <w:lang w:val="en-US" w:eastAsia="zh-CN"/>
              </w:rPr>
              <w:t>包含沥青储罐</w:t>
            </w:r>
            <w:r>
              <w:rPr>
                <w:rFonts w:hint="eastAsia" w:eastAsiaTheme="majorEastAsia"/>
                <w:color w:val="auto"/>
                <w:szCs w:val="21"/>
                <w:lang w:eastAsia="zh-CN"/>
              </w:rPr>
              <w:t>）</w:t>
            </w:r>
            <w:r>
              <w:rPr>
                <w:rFonts w:hint="eastAsia" w:eastAsiaTheme="majorEastAsia"/>
                <w:color w:val="auto"/>
                <w:szCs w:val="21"/>
              </w:rPr>
              <w:t>和化粪池</w:t>
            </w:r>
            <w:r>
              <w:rPr>
                <w:rFonts w:eastAsiaTheme="majorEastAsia"/>
                <w:color w:val="auto"/>
                <w:szCs w:val="21"/>
              </w:rPr>
              <w:t>。</w:t>
            </w:r>
          </w:p>
          <w:p w14:paraId="7BC65B8F">
            <w:pPr>
              <w:spacing w:line="360" w:lineRule="auto"/>
              <w:ind w:firstLine="420" w:firstLineChars="200"/>
              <w:rPr>
                <w:rFonts w:eastAsiaTheme="majorEastAsia"/>
                <w:color w:val="auto"/>
                <w:szCs w:val="21"/>
              </w:rPr>
            </w:pPr>
            <w:r>
              <w:rPr>
                <w:rFonts w:eastAsiaTheme="majorEastAsia"/>
                <w:color w:val="auto"/>
                <w:szCs w:val="21"/>
              </w:rPr>
              <w:t>一般防渗区:</w:t>
            </w:r>
            <w:r>
              <w:rPr>
                <w:rFonts w:hint="eastAsia" w:eastAsiaTheme="majorEastAsia"/>
                <w:color w:val="auto"/>
                <w:szCs w:val="21"/>
              </w:rPr>
              <w:t>消防水池、沥青混凝土拌合站、水泥稳定土拌合站</w:t>
            </w:r>
            <w:r>
              <w:rPr>
                <w:rFonts w:eastAsiaTheme="majorEastAsia"/>
                <w:color w:val="auto"/>
                <w:szCs w:val="21"/>
              </w:rPr>
              <w:t>。</w:t>
            </w:r>
          </w:p>
          <w:p w14:paraId="4F2506F1">
            <w:pPr>
              <w:spacing w:line="360" w:lineRule="auto"/>
              <w:ind w:firstLine="420" w:firstLineChars="200"/>
              <w:rPr>
                <w:rFonts w:eastAsiaTheme="majorEastAsia"/>
                <w:color w:val="auto"/>
                <w:szCs w:val="21"/>
              </w:rPr>
            </w:pPr>
            <w:r>
              <w:rPr>
                <w:rFonts w:eastAsiaTheme="majorEastAsia"/>
                <w:color w:val="auto"/>
                <w:szCs w:val="21"/>
              </w:rPr>
              <w:t>简单防渗区:其他区域。</w:t>
            </w:r>
          </w:p>
          <w:p w14:paraId="00EE2532">
            <w:pPr>
              <w:spacing w:line="360" w:lineRule="auto"/>
              <w:ind w:firstLine="420" w:firstLineChars="200"/>
              <w:rPr>
                <w:rFonts w:eastAsiaTheme="majorEastAsia"/>
                <w:color w:val="auto"/>
                <w:szCs w:val="21"/>
              </w:rPr>
            </w:pPr>
            <w:r>
              <w:rPr>
                <w:rFonts w:eastAsiaTheme="majorEastAsia"/>
                <w:color w:val="auto"/>
                <w:szCs w:val="21"/>
              </w:rPr>
              <w:t>（2）项目各防渗分区防渗措施</w:t>
            </w:r>
          </w:p>
          <w:p w14:paraId="2BA4F450">
            <w:pPr>
              <w:spacing w:line="360" w:lineRule="auto"/>
              <w:ind w:firstLine="420" w:firstLineChars="200"/>
              <w:rPr>
                <w:rFonts w:eastAsiaTheme="majorEastAsia"/>
                <w:color w:val="auto"/>
                <w:szCs w:val="21"/>
              </w:rPr>
            </w:pPr>
            <w:r>
              <w:rPr>
                <w:rFonts w:eastAsiaTheme="majorEastAsia"/>
                <w:color w:val="auto"/>
                <w:szCs w:val="21"/>
              </w:rPr>
              <w:t>简单防渗区：采用混凝土硬化防渗措施，可满足简单防渗区防渗要求。</w:t>
            </w:r>
          </w:p>
          <w:p w14:paraId="45ED5AF6">
            <w:pPr>
              <w:spacing w:line="360" w:lineRule="auto"/>
              <w:ind w:firstLine="420" w:firstLineChars="200"/>
              <w:rPr>
                <w:rFonts w:eastAsiaTheme="majorEastAsia"/>
                <w:color w:val="auto"/>
                <w:szCs w:val="21"/>
              </w:rPr>
            </w:pPr>
            <w:r>
              <w:rPr>
                <w:rFonts w:hint="eastAsia" w:eastAsiaTheme="majorEastAsia"/>
                <w:color w:val="auto"/>
                <w:szCs w:val="21"/>
              </w:rPr>
              <w:t>一般防渗区：应采取粘土铺底，再在上层铺10~15cm的水泥进行硬化，通过上述措施可使一般污染区各单元防渗层等效黏土防渗层Mb&gt;1.5m,K≤1×10</w:t>
            </w:r>
            <w:r>
              <w:rPr>
                <w:rFonts w:hint="eastAsia" w:eastAsiaTheme="majorEastAsia"/>
                <w:color w:val="auto"/>
                <w:szCs w:val="21"/>
                <w:vertAlign w:val="superscript"/>
              </w:rPr>
              <w:t>-7</w:t>
            </w:r>
            <w:r>
              <w:rPr>
                <w:rFonts w:hint="eastAsia" w:eastAsiaTheme="majorEastAsia"/>
                <w:color w:val="auto"/>
                <w:szCs w:val="21"/>
              </w:rPr>
              <w:t>cm/s。</w:t>
            </w:r>
          </w:p>
          <w:p w14:paraId="73BB4DD5">
            <w:pPr>
              <w:spacing w:line="360" w:lineRule="auto"/>
              <w:ind w:firstLine="420" w:firstLineChars="200"/>
              <w:rPr>
                <w:rFonts w:eastAsiaTheme="majorEastAsia"/>
                <w:color w:val="auto"/>
                <w:szCs w:val="21"/>
              </w:rPr>
            </w:pPr>
            <w:r>
              <w:rPr>
                <w:rFonts w:eastAsiaTheme="majorEastAsia"/>
                <w:color w:val="auto"/>
                <w:szCs w:val="21"/>
              </w:rPr>
              <w:t>重点防渗区：</w:t>
            </w:r>
            <w:r>
              <w:rPr>
                <w:rFonts w:hint="eastAsia" w:eastAsiaTheme="majorEastAsia"/>
                <w:color w:val="auto"/>
                <w:szCs w:val="21"/>
              </w:rPr>
              <w:t>应采取HDPE膜和粘土结合型防渗措施，等效黏土防渗层Mb≥6.0m,K≤1×10</w:t>
            </w:r>
            <w:r>
              <w:rPr>
                <w:rFonts w:hint="eastAsia" w:eastAsiaTheme="majorEastAsia"/>
                <w:color w:val="auto"/>
                <w:szCs w:val="21"/>
                <w:vertAlign w:val="superscript"/>
              </w:rPr>
              <w:t>-7</w:t>
            </w:r>
            <w:r>
              <w:rPr>
                <w:rFonts w:hint="eastAsia" w:eastAsiaTheme="majorEastAsia"/>
                <w:color w:val="auto"/>
                <w:szCs w:val="21"/>
              </w:rPr>
              <w:t>cm/s。</w:t>
            </w:r>
          </w:p>
          <w:p w14:paraId="695B6951">
            <w:pPr>
              <w:spacing w:line="360" w:lineRule="auto"/>
              <w:ind w:firstLine="420" w:firstLineChars="200"/>
              <w:rPr>
                <w:rFonts w:eastAsia="Times New Roman"/>
                <w:b/>
                <w:bCs/>
                <w:kern w:val="0"/>
              </w:rPr>
            </w:pPr>
            <w:r>
              <w:rPr>
                <w:rFonts w:eastAsiaTheme="majorEastAsia"/>
                <w:szCs w:val="21"/>
              </w:rPr>
              <w:t>综上，项目对可能产生地下水及土壤影响的各项途径均进行有效预防，各项防渗措施可以有效地防止对区域地下水及土壤造成污染。</w:t>
            </w:r>
          </w:p>
          <w:p w14:paraId="0CD4970A">
            <w:pPr>
              <w:pStyle w:val="71"/>
              <w:spacing w:line="360" w:lineRule="auto"/>
              <w:rPr>
                <w:rFonts w:ascii="Times New Roman" w:hAnsi="Times New Roman" w:eastAsia="Times New Roman" w:cs="Times New Roman"/>
                <w:b/>
                <w:bCs/>
                <w:kern w:val="0"/>
              </w:rPr>
            </w:pPr>
            <w:r>
              <w:rPr>
                <w:rFonts w:hint="eastAsia" w:ascii="Times New Roman" w:hAnsi="Times New Roman" w:eastAsia="Times New Roman" w:cs="Times New Roman"/>
                <w:b/>
                <w:bCs/>
                <w:kern w:val="0"/>
              </w:rPr>
              <w:t>4.7生态环境影响</w:t>
            </w:r>
          </w:p>
          <w:p w14:paraId="02393428">
            <w:pPr>
              <w:spacing w:line="360" w:lineRule="auto"/>
              <w:ind w:firstLine="420" w:firstLineChars="200"/>
              <w:rPr>
                <w:rFonts w:eastAsia="Times New Roman"/>
                <w:color w:val="FF0000"/>
                <w:kern w:val="0"/>
              </w:rPr>
            </w:pPr>
            <w:r>
              <w:rPr>
                <w:rFonts w:hint="eastAsia" w:eastAsia="Times New Roman"/>
                <w:kern w:val="0"/>
              </w:rPr>
              <w:t>本</w:t>
            </w:r>
            <w:r>
              <w:rPr>
                <w:szCs w:val="20"/>
              </w:rPr>
              <w:t>项目投入运行后，各项施工活动</w:t>
            </w:r>
            <w:r>
              <w:rPr>
                <w:rFonts w:hint="eastAsia"/>
                <w:szCs w:val="20"/>
              </w:rPr>
              <w:t>基本</w:t>
            </w:r>
            <w:r>
              <w:rPr>
                <w:szCs w:val="20"/>
              </w:rPr>
              <w:t>已结束，建设期的大部分开挖面已由建筑（构）物所取代，投入运行后随着配套绿化工程和植被恢复工程的实施，将对项目所在地生态环境有一定改善。</w:t>
            </w:r>
            <w:r>
              <w:rPr>
                <w:rFonts w:hint="eastAsia"/>
                <w:szCs w:val="20"/>
              </w:rPr>
              <w:t>本项目占地范围内无生态环境保护目标，对周边生态环境影响不大。</w:t>
            </w:r>
          </w:p>
          <w:p w14:paraId="072D3B20">
            <w:pPr>
              <w:pStyle w:val="71"/>
              <w:spacing w:line="360" w:lineRule="auto"/>
              <w:rPr>
                <w:rFonts w:ascii="Times New Roman" w:hAnsi="Times New Roman" w:eastAsia="Times New Roman" w:cs="Times New Roman"/>
                <w:b/>
                <w:bCs/>
                <w:kern w:val="0"/>
              </w:rPr>
            </w:pPr>
            <w:r>
              <w:rPr>
                <w:rFonts w:hint="eastAsia" w:ascii="Times New Roman" w:hAnsi="Times New Roman" w:eastAsia="Times New Roman" w:cs="Times New Roman"/>
                <w:b/>
                <w:bCs/>
                <w:kern w:val="0"/>
              </w:rPr>
              <w:t>4.8环境风险评价</w:t>
            </w:r>
          </w:p>
          <w:p w14:paraId="4910C5AB">
            <w:pPr>
              <w:spacing w:line="360" w:lineRule="auto"/>
              <w:rPr>
                <w:rFonts w:eastAsia="Times New Roman"/>
                <w:b/>
                <w:bCs/>
                <w:kern w:val="0"/>
              </w:rPr>
            </w:pPr>
            <w:bookmarkStart w:id="4" w:name="_Toc29929"/>
            <w:bookmarkStart w:id="5" w:name="_Toc25008"/>
            <w:r>
              <w:rPr>
                <w:rFonts w:hint="eastAsia" w:eastAsia="Times New Roman"/>
                <w:b/>
                <w:bCs/>
                <w:kern w:val="0"/>
              </w:rPr>
              <w:t>4.8.1</w:t>
            </w:r>
            <w:r>
              <w:rPr>
                <w:rFonts w:eastAsia="Times New Roman"/>
                <w:b/>
                <w:bCs/>
                <w:kern w:val="0"/>
              </w:rPr>
              <w:t>评价依据</w:t>
            </w:r>
            <w:bookmarkEnd w:id="4"/>
          </w:p>
          <w:p w14:paraId="6BE5ED58">
            <w:pPr>
              <w:spacing w:line="360" w:lineRule="auto"/>
              <w:ind w:firstLine="420" w:firstLineChars="200"/>
              <w:rPr>
                <w:szCs w:val="21"/>
              </w:rPr>
            </w:pPr>
            <w:bookmarkStart w:id="6" w:name="_Toc19938"/>
            <w:r>
              <w:rPr>
                <w:szCs w:val="21"/>
              </w:rPr>
              <w:t>环境风险评价的目的是分析和预测建设项目存在的潜在危险、有害因素，项目建设期和运行期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bookmarkEnd w:id="6"/>
          <w:p w14:paraId="2872B2A4">
            <w:pPr>
              <w:spacing w:line="360" w:lineRule="auto"/>
              <w:rPr>
                <w:rFonts w:eastAsia="Times New Roman"/>
                <w:b/>
                <w:bCs/>
                <w:kern w:val="0"/>
              </w:rPr>
            </w:pPr>
            <w:r>
              <w:rPr>
                <w:rFonts w:hint="eastAsia" w:eastAsia="Times New Roman"/>
                <w:b/>
                <w:bCs/>
                <w:kern w:val="0"/>
              </w:rPr>
              <w:t>4.8.2</w:t>
            </w:r>
            <w:r>
              <w:rPr>
                <w:rFonts w:eastAsia="Times New Roman"/>
                <w:b/>
                <w:bCs/>
                <w:kern w:val="0"/>
              </w:rPr>
              <w:t>建设项目风险源调查</w:t>
            </w:r>
          </w:p>
          <w:p w14:paraId="06606C36">
            <w:pPr>
              <w:pStyle w:val="92"/>
              <w:widowControl w:val="0"/>
              <w:ind w:firstLine="420"/>
              <w:rPr>
                <w:rFonts w:eastAsia="宋体" w:cs="Times New Roman"/>
                <w:bCs/>
                <w:sz w:val="21"/>
                <w:szCs w:val="21"/>
              </w:rPr>
            </w:pPr>
            <w:r>
              <w:rPr>
                <w:rFonts w:eastAsia="宋体" w:cs="Times New Roman"/>
                <w:bCs/>
                <w:sz w:val="21"/>
                <w:szCs w:val="21"/>
              </w:rPr>
              <w:t>按照《建设项目环境风险技术导则》（</w:t>
            </w:r>
            <w:r>
              <w:rPr>
                <w:rFonts w:hint="eastAsia" w:eastAsia="宋体" w:cs="Times New Roman"/>
                <w:bCs/>
                <w:sz w:val="21"/>
                <w:szCs w:val="21"/>
              </w:rPr>
              <w:t xml:space="preserve">HJ </w:t>
            </w:r>
            <w:r>
              <w:rPr>
                <w:rFonts w:eastAsia="宋体" w:cs="Times New Roman"/>
                <w:bCs/>
                <w:sz w:val="21"/>
                <w:szCs w:val="21"/>
              </w:rPr>
              <w:t>/T169-2018）附录中附录B，拟建项目主要风险物质为</w:t>
            </w:r>
            <w:r>
              <w:rPr>
                <w:rFonts w:hint="eastAsia" w:eastAsia="宋体" w:cs="Times New Roman"/>
                <w:bCs/>
                <w:sz w:val="21"/>
                <w:szCs w:val="21"/>
              </w:rPr>
              <w:t>天然气（甲烷）。</w:t>
            </w:r>
          </w:p>
          <w:p w14:paraId="6E144BBB">
            <w:pPr>
              <w:spacing w:line="360" w:lineRule="auto"/>
              <w:rPr>
                <w:rFonts w:eastAsia="Times New Roman"/>
                <w:b/>
                <w:bCs/>
                <w:kern w:val="0"/>
              </w:rPr>
            </w:pPr>
            <w:r>
              <w:rPr>
                <w:rFonts w:hint="eastAsia" w:eastAsia="Times New Roman"/>
                <w:b/>
                <w:bCs/>
                <w:kern w:val="0"/>
              </w:rPr>
              <w:t>4.8.3</w:t>
            </w:r>
            <w:r>
              <w:rPr>
                <w:rFonts w:eastAsia="Times New Roman"/>
                <w:b/>
                <w:bCs/>
                <w:kern w:val="0"/>
              </w:rPr>
              <w:t>风险潜势初判及风险评价等级</w:t>
            </w:r>
          </w:p>
          <w:p w14:paraId="5331376B">
            <w:pPr>
              <w:pStyle w:val="92"/>
              <w:widowControl w:val="0"/>
              <w:ind w:firstLine="420"/>
              <w:rPr>
                <w:rFonts w:eastAsia="宋体" w:cs="Times New Roman"/>
                <w:bCs/>
                <w:sz w:val="21"/>
                <w:szCs w:val="21"/>
              </w:rPr>
            </w:pPr>
            <w:r>
              <w:rPr>
                <w:rFonts w:eastAsia="宋体" w:cs="Times New Roman"/>
                <w:bCs/>
                <w:sz w:val="21"/>
                <w:szCs w:val="21"/>
              </w:rPr>
              <w:t>根据《建设项目环境风险评价技术导则》（</w:t>
            </w:r>
            <w:r>
              <w:rPr>
                <w:rFonts w:hint="eastAsia" w:eastAsia="宋体" w:cs="Times New Roman"/>
                <w:bCs/>
                <w:sz w:val="21"/>
                <w:szCs w:val="21"/>
              </w:rPr>
              <w:t xml:space="preserve">HJ </w:t>
            </w:r>
            <w:r>
              <w:rPr>
                <w:rFonts w:eastAsia="宋体" w:cs="Times New Roman"/>
                <w:bCs/>
                <w:sz w:val="21"/>
                <w:szCs w:val="21"/>
              </w:rPr>
              <w:t>/T169-2018）附录B，计算本项目的危险物质数量与临界量比值（Q），计算结果见表</w:t>
            </w:r>
            <w:r>
              <w:rPr>
                <w:rFonts w:hint="eastAsia" w:eastAsia="宋体" w:cs="Times New Roman"/>
                <w:bCs/>
                <w:sz w:val="21"/>
                <w:szCs w:val="21"/>
              </w:rPr>
              <w:t>4</w:t>
            </w:r>
            <w:r>
              <w:rPr>
                <w:rFonts w:eastAsia="宋体" w:cs="Times New Roman"/>
                <w:bCs/>
                <w:sz w:val="21"/>
                <w:szCs w:val="21"/>
              </w:rPr>
              <w:t>-1</w:t>
            </w:r>
            <w:r>
              <w:rPr>
                <w:rFonts w:hint="eastAsia" w:eastAsia="宋体" w:cs="Times New Roman"/>
                <w:bCs/>
                <w:sz w:val="21"/>
                <w:szCs w:val="21"/>
                <w:lang w:val="en-US" w:eastAsia="zh-CN"/>
              </w:rPr>
              <w:t>4</w:t>
            </w:r>
            <w:r>
              <w:rPr>
                <w:rFonts w:eastAsia="宋体" w:cs="Times New Roman"/>
                <w:bCs/>
                <w:sz w:val="21"/>
                <w:szCs w:val="21"/>
              </w:rPr>
              <w:t>。</w:t>
            </w:r>
          </w:p>
          <w:p w14:paraId="4C8B7A24">
            <w:pPr>
              <w:spacing w:before="120" w:beforeLines="50"/>
              <w:jc w:val="center"/>
              <w:rPr>
                <w:b/>
                <w:kern w:val="0"/>
                <w:szCs w:val="20"/>
              </w:rPr>
            </w:pPr>
            <w:r>
              <w:rPr>
                <w:b/>
                <w:kern w:val="0"/>
                <w:szCs w:val="20"/>
              </w:rPr>
              <w:t>表4-</w:t>
            </w:r>
            <w:r>
              <w:rPr>
                <w:rFonts w:hint="eastAsia"/>
                <w:b/>
                <w:kern w:val="0"/>
                <w:szCs w:val="20"/>
              </w:rPr>
              <w:t>1</w:t>
            </w:r>
            <w:r>
              <w:rPr>
                <w:rFonts w:hint="eastAsia"/>
                <w:b/>
                <w:kern w:val="0"/>
                <w:szCs w:val="20"/>
                <w:lang w:val="en-US" w:eastAsia="zh-CN"/>
              </w:rPr>
              <w:t>4</w:t>
            </w:r>
            <w:r>
              <w:rPr>
                <w:rFonts w:hint="eastAsia"/>
                <w:b/>
                <w:kern w:val="0"/>
                <w:szCs w:val="20"/>
              </w:rPr>
              <w:t xml:space="preserve">  </w:t>
            </w:r>
            <w:r>
              <w:rPr>
                <w:b/>
                <w:kern w:val="0"/>
                <w:szCs w:val="20"/>
              </w:rPr>
              <w:t>危险物质临界量比值（Q）</w:t>
            </w:r>
          </w:p>
          <w:tbl>
            <w:tblPr>
              <w:tblStyle w:val="3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6"/>
              <w:gridCol w:w="2206"/>
              <w:gridCol w:w="2280"/>
              <w:gridCol w:w="1553"/>
            </w:tblGrid>
            <w:tr w14:paraId="5C20A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324" w:type="pct"/>
                  <w:vAlign w:val="center"/>
                </w:tcPr>
                <w:p w14:paraId="2084061E">
                  <w:pPr>
                    <w:jc w:val="center"/>
                    <w:rPr>
                      <w:b/>
                      <w:bCs/>
                      <w:szCs w:val="21"/>
                    </w:rPr>
                  </w:pPr>
                  <w:r>
                    <w:rPr>
                      <w:b/>
                      <w:bCs/>
                      <w:szCs w:val="21"/>
                    </w:rPr>
                    <w:t>物质名称</w:t>
                  </w:r>
                </w:p>
              </w:tc>
              <w:tc>
                <w:tcPr>
                  <w:tcW w:w="1342" w:type="pct"/>
                  <w:vAlign w:val="center"/>
                </w:tcPr>
                <w:p w14:paraId="03266F8C">
                  <w:pPr>
                    <w:jc w:val="center"/>
                    <w:rPr>
                      <w:b/>
                      <w:bCs/>
                      <w:szCs w:val="21"/>
                    </w:rPr>
                  </w:pPr>
                  <w:r>
                    <w:rPr>
                      <w:b/>
                      <w:bCs/>
                      <w:szCs w:val="21"/>
                    </w:rPr>
                    <w:t>界区内临界量Q（t）</w:t>
                  </w:r>
                </w:p>
              </w:tc>
              <w:tc>
                <w:tcPr>
                  <w:tcW w:w="1387" w:type="pct"/>
                  <w:vAlign w:val="center"/>
                </w:tcPr>
                <w:p w14:paraId="23D2BE2D">
                  <w:pPr>
                    <w:jc w:val="center"/>
                    <w:rPr>
                      <w:b/>
                      <w:bCs/>
                      <w:szCs w:val="21"/>
                    </w:rPr>
                  </w:pPr>
                  <w:r>
                    <w:rPr>
                      <w:rFonts w:hint="eastAsia"/>
                      <w:b/>
                      <w:bCs/>
                      <w:szCs w:val="21"/>
                    </w:rPr>
                    <w:t>最大储存量</w:t>
                  </w:r>
                  <w:r>
                    <w:rPr>
                      <w:b/>
                      <w:bCs/>
                      <w:szCs w:val="21"/>
                    </w:rPr>
                    <w:t>q（t）</w:t>
                  </w:r>
                </w:p>
              </w:tc>
              <w:tc>
                <w:tcPr>
                  <w:tcW w:w="945" w:type="pct"/>
                  <w:vAlign w:val="center"/>
                </w:tcPr>
                <w:p w14:paraId="72ABDF4B">
                  <w:pPr>
                    <w:jc w:val="center"/>
                    <w:rPr>
                      <w:b/>
                      <w:bCs/>
                      <w:szCs w:val="21"/>
                    </w:rPr>
                  </w:pPr>
                  <w:r>
                    <w:rPr>
                      <w:b/>
                      <w:bCs/>
                      <w:szCs w:val="21"/>
                    </w:rPr>
                    <w:t>q/Q</w:t>
                  </w:r>
                </w:p>
              </w:tc>
            </w:tr>
            <w:tr w14:paraId="28A1C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176" w:type="dxa"/>
                  <w:vAlign w:val="center"/>
                </w:tcPr>
                <w:p w14:paraId="2EDCDB0C">
                  <w:pPr>
                    <w:adjustRightInd w:val="0"/>
                    <w:snapToGrid w:val="0"/>
                    <w:jc w:val="center"/>
                    <w:textAlignment w:val="baseline"/>
                    <w:rPr>
                      <w:szCs w:val="21"/>
                    </w:rPr>
                  </w:pPr>
                  <w:r>
                    <w:rPr>
                      <w:rFonts w:hint="eastAsia" w:eastAsia="Times New Roman"/>
                      <w:kern w:val="0"/>
                    </w:rPr>
                    <w:t>甲烷</w:t>
                  </w:r>
                </w:p>
              </w:tc>
              <w:tc>
                <w:tcPr>
                  <w:tcW w:w="2206" w:type="dxa"/>
                  <w:vAlign w:val="center"/>
                </w:tcPr>
                <w:p w14:paraId="7B57AFB4">
                  <w:pPr>
                    <w:jc w:val="center"/>
                    <w:rPr>
                      <w:szCs w:val="21"/>
                    </w:rPr>
                  </w:pPr>
                  <w:r>
                    <w:rPr>
                      <w:rFonts w:hint="eastAsia" w:eastAsia="Times New Roman"/>
                      <w:kern w:val="0"/>
                    </w:rPr>
                    <w:t>10</w:t>
                  </w:r>
                </w:p>
              </w:tc>
              <w:tc>
                <w:tcPr>
                  <w:tcW w:w="2280" w:type="dxa"/>
                  <w:vAlign w:val="center"/>
                </w:tcPr>
                <w:p w14:paraId="3A9BE788">
                  <w:pPr>
                    <w:jc w:val="center"/>
                    <w:rPr>
                      <w:szCs w:val="21"/>
                    </w:rPr>
                  </w:pPr>
                  <w:r>
                    <w:rPr>
                      <w:rFonts w:hint="eastAsia" w:eastAsia="Times New Roman"/>
                      <w:kern w:val="0"/>
                    </w:rPr>
                    <w:t>4.675</w:t>
                  </w:r>
                </w:p>
              </w:tc>
              <w:tc>
                <w:tcPr>
                  <w:tcW w:w="1553" w:type="dxa"/>
                  <w:vAlign w:val="center"/>
                </w:tcPr>
                <w:p w14:paraId="0EB445EC">
                  <w:pPr>
                    <w:jc w:val="center"/>
                    <w:rPr>
                      <w:szCs w:val="21"/>
                    </w:rPr>
                  </w:pPr>
                  <w:r>
                    <w:rPr>
                      <w:rFonts w:hint="eastAsia" w:eastAsia="Times New Roman"/>
                      <w:kern w:val="0"/>
                    </w:rPr>
                    <w:t>0.4675</w:t>
                  </w:r>
                </w:p>
              </w:tc>
            </w:tr>
          </w:tbl>
          <w:p w14:paraId="59F5CFD9">
            <w:pPr>
              <w:spacing w:line="360" w:lineRule="auto"/>
              <w:ind w:firstLine="420" w:firstLineChars="200"/>
              <w:rPr>
                <w:szCs w:val="21"/>
              </w:rPr>
            </w:pPr>
            <w:r>
              <w:rPr>
                <w:szCs w:val="21"/>
              </w:rPr>
              <w:t>根据《建设项目环境风险评价技术导则》（</w:t>
            </w:r>
            <w:r>
              <w:rPr>
                <w:rFonts w:hint="eastAsia"/>
                <w:szCs w:val="21"/>
              </w:rPr>
              <w:t xml:space="preserve">HJ </w:t>
            </w:r>
            <w:r>
              <w:rPr>
                <w:szCs w:val="21"/>
              </w:rPr>
              <w:t>169-2018）附录C中“C.1.1危险物质数量与临界量比值”，计算本项目的危险物质数量与临界量比值，计算方法如下：</w:t>
            </w:r>
          </w:p>
          <w:p w14:paraId="3098220E">
            <w:pPr>
              <w:spacing w:line="360" w:lineRule="auto"/>
              <w:ind w:firstLine="420" w:firstLineChars="200"/>
              <w:rPr>
                <w:szCs w:val="21"/>
              </w:rPr>
            </w:pPr>
            <w:r>
              <w:rPr>
                <w:szCs w:val="21"/>
              </w:rPr>
              <w:t>计算所涉及的每种危险物质在厂界内的最大存在总量与其在附录B中对应临界量的比值Q。在不同厂区的同一种物质，按其在厂界内的最大存在总量计算。</w:t>
            </w:r>
          </w:p>
          <w:p w14:paraId="094B38DF">
            <w:pPr>
              <w:spacing w:line="360" w:lineRule="auto"/>
              <w:ind w:firstLine="420" w:firstLineChars="200"/>
              <w:rPr>
                <w:szCs w:val="21"/>
              </w:rPr>
            </w:pPr>
            <w:r>
              <w:rPr>
                <w:szCs w:val="21"/>
              </w:rPr>
              <w:t>当只涉及一种危险物质时，计算该物质的总量与其临界量比值，即为Q；</w:t>
            </w:r>
          </w:p>
          <w:p w14:paraId="6AC535E7">
            <w:pPr>
              <w:spacing w:line="360" w:lineRule="auto"/>
              <w:ind w:firstLine="420" w:firstLineChars="200"/>
              <w:rPr>
                <w:szCs w:val="21"/>
              </w:rPr>
            </w:pPr>
            <w:r>
              <w:rPr>
                <w:szCs w:val="21"/>
              </w:rPr>
              <w:t>当存在多种危险物质时，则按下式计算物质总量与其临界量比值（Q）；</w:t>
            </w:r>
          </w:p>
          <w:p w14:paraId="517FB87A">
            <w:pPr>
              <w:spacing w:line="360" w:lineRule="auto"/>
              <w:ind w:firstLine="420" w:firstLineChars="200"/>
              <w:jc w:val="center"/>
              <w:rPr>
                <w:szCs w:val="21"/>
              </w:rPr>
            </w:pPr>
            <w:r>
              <w:rPr>
                <w:szCs w:val="21"/>
              </w:rPr>
              <w:object>
                <v:shape id="_x0000_i1025" o:spt="75" type="#_x0000_t75" style="height:41pt;width:129pt;" o:ole="t" filled="f" o:preferrelative="t" stroked="f" coordsize="21600,21600">
                  <v:path/>
                  <v:fill on="f" focussize="0,0"/>
                  <v:stroke on="f" joinstyle="miter"/>
                  <v:imagedata r:id="rId25" o:title=""/>
                  <o:lock v:ext="edit" aspectratio="t"/>
                  <w10:wrap type="none"/>
                  <w10:anchorlock/>
                </v:shape>
                <o:OLEObject Type="Embed" ProgID="Equations" ShapeID="_x0000_i1025" DrawAspect="Content" ObjectID="_1468075725" r:id="rId24">
                  <o:LockedField>false</o:LockedField>
                </o:OLEObject>
              </w:object>
            </w:r>
          </w:p>
          <w:p w14:paraId="53A37606">
            <w:pPr>
              <w:spacing w:line="360" w:lineRule="auto"/>
              <w:ind w:firstLine="420" w:firstLineChars="200"/>
              <w:rPr>
                <w:szCs w:val="21"/>
              </w:rPr>
            </w:pPr>
            <w:r>
              <w:rPr>
                <w:szCs w:val="21"/>
              </w:rPr>
              <w:t>式中：q1，q2，.....qn—每种危险物质的最大存在总量，t；</w:t>
            </w:r>
          </w:p>
          <w:p w14:paraId="2EFEB07B">
            <w:pPr>
              <w:spacing w:line="360" w:lineRule="auto"/>
              <w:ind w:firstLine="420" w:firstLineChars="200"/>
              <w:rPr>
                <w:szCs w:val="21"/>
              </w:rPr>
            </w:pPr>
            <w:r>
              <w:rPr>
                <w:szCs w:val="21"/>
              </w:rPr>
              <w:t>Q1，Q2，.....Qn—每种危险物质的临界量，t。</w:t>
            </w:r>
          </w:p>
          <w:p w14:paraId="0E70B88D">
            <w:pPr>
              <w:spacing w:line="360" w:lineRule="auto"/>
              <w:ind w:firstLine="420" w:firstLineChars="200"/>
              <w:rPr>
                <w:szCs w:val="21"/>
              </w:rPr>
            </w:pPr>
            <w:r>
              <w:rPr>
                <w:szCs w:val="21"/>
              </w:rPr>
              <w:t>当Q＜1时，该项目环境风险潜势为</w:t>
            </w:r>
            <w:r>
              <w:rPr>
                <w:szCs w:val="21"/>
              </w:rPr>
              <w:fldChar w:fldCharType="begin"/>
            </w:r>
            <w:r>
              <w:rPr>
                <w:szCs w:val="21"/>
              </w:rPr>
              <w:instrText xml:space="preserve"> = 1 \* ROMAN \* MERGEFORMAT </w:instrText>
            </w:r>
            <w:r>
              <w:rPr>
                <w:szCs w:val="21"/>
              </w:rPr>
              <w:fldChar w:fldCharType="separate"/>
            </w:r>
            <w:r>
              <w:rPr>
                <w:szCs w:val="21"/>
              </w:rPr>
              <w:t>I</w:t>
            </w:r>
            <w:r>
              <w:rPr>
                <w:szCs w:val="21"/>
              </w:rPr>
              <w:fldChar w:fldCharType="end"/>
            </w:r>
            <w:r>
              <w:rPr>
                <w:szCs w:val="21"/>
              </w:rPr>
              <w:t>。</w:t>
            </w:r>
          </w:p>
          <w:p w14:paraId="7B27D519">
            <w:pPr>
              <w:spacing w:line="360" w:lineRule="auto"/>
              <w:ind w:firstLine="420" w:firstLineChars="200"/>
              <w:rPr>
                <w:szCs w:val="21"/>
              </w:rPr>
            </w:pPr>
            <w:r>
              <w:rPr>
                <w:szCs w:val="21"/>
              </w:rPr>
              <w:t>当Q≥1时，将Q值划分为：①1≤Q＜10；②10≤Q＜100；③Q≥100。</w:t>
            </w:r>
          </w:p>
          <w:p w14:paraId="552DB229">
            <w:pPr>
              <w:spacing w:line="360" w:lineRule="auto"/>
              <w:ind w:firstLine="420" w:firstLineChars="200"/>
              <w:rPr>
                <w:rFonts w:eastAsia="Times New Roman"/>
                <w:kern w:val="0"/>
              </w:rPr>
            </w:pPr>
            <w:r>
              <w:rPr>
                <w:rFonts w:eastAsia="Times New Roman"/>
                <w:kern w:val="0"/>
              </w:rPr>
              <w:t>本项目</w:t>
            </w:r>
            <w:r>
              <w:rPr>
                <w:rFonts w:hint="eastAsia" w:eastAsia="Times New Roman"/>
                <w:kern w:val="0"/>
              </w:rPr>
              <w:t>天然气撬装站</w:t>
            </w:r>
            <w:r>
              <w:rPr>
                <w:rFonts w:eastAsia="Times New Roman"/>
                <w:kern w:val="0"/>
              </w:rPr>
              <w:t>设1个</w:t>
            </w:r>
            <w:r>
              <w:rPr>
                <w:rFonts w:hint="eastAsia" w:eastAsia="Times New Roman"/>
                <w:kern w:val="0"/>
              </w:rPr>
              <w:t>液化天</w:t>
            </w:r>
            <w:r>
              <w:rPr>
                <w:rFonts w:hint="eastAsia" w:eastAsia="宋体"/>
                <w:kern w:val="0"/>
                <w:lang w:val="en-US" w:eastAsia="zh-CN"/>
              </w:rPr>
              <w:t>然</w:t>
            </w:r>
            <w:r>
              <w:rPr>
                <w:rFonts w:hint="eastAsia" w:eastAsia="Times New Roman"/>
                <w:kern w:val="0"/>
              </w:rPr>
              <w:t>气</w:t>
            </w:r>
            <w:r>
              <w:rPr>
                <w:rFonts w:eastAsia="Times New Roman"/>
                <w:kern w:val="0"/>
              </w:rPr>
              <w:t>罐（</w:t>
            </w:r>
            <w:r>
              <w:rPr>
                <w:rFonts w:hint="eastAsia" w:eastAsia="Times New Roman"/>
                <w:kern w:val="0"/>
              </w:rPr>
              <w:t>4.675</w:t>
            </w:r>
            <w:r>
              <w:rPr>
                <w:rFonts w:eastAsia="Times New Roman"/>
                <w:kern w:val="0"/>
              </w:rPr>
              <w:t>t）</w:t>
            </w:r>
            <w:r>
              <w:rPr>
                <w:rFonts w:hint="eastAsia" w:eastAsia="Times New Roman"/>
                <w:kern w:val="0"/>
              </w:rPr>
              <w:t>，</w:t>
            </w:r>
            <w:r>
              <w:rPr>
                <w:rFonts w:eastAsia="Times New Roman"/>
                <w:kern w:val="0"/>
              </w:rPr>
              <w:t>因此，</w:t>
            </w:r>
            <w:r>
              <w:rPr>
                <w:rFonts w:hint="eastAsia" w:eastAsia="Times New Roman"/>
                <w:kern w:val="0"/>
              </w:rPr>
              <w:t>液化天然气</w:t>
            </w:r>
            <w:r>
              <w:rPr>
                <w:rFonts w:eastAsia="Times New Roman"/>
                <w:kern w:val="0"/>
              </w:rPr>
              <w:t>的最大储存量为</w:t>
            </w:r>
            <w:r>
              <w:rPr>
                <w:rFonts w:hint="eastAsia" w:eastAsia="Times New Roman"/>
                <w:kern w:val="0"/>
              </w:rPr>
              <w:t>4.675</w:t>
            </w:r>
            <w:r>
              <w:rPr>
                <w:rFonts w:eastAsia="Times New Roman"/>
                <w:kern w:val="0"/>
              </w:rPr>
              <w:t>吨</w:t>
            </w:r>
            <w:r>
              <w:rPr>
                <w:rFonts w:hint="eastAsia" w:eastAsia="Times New Roman"/>
                <w:kern w:val="0"/>
              </w:rPr>
              <w:t>，经计算，该项目危险物质</w:t>
            </w:r>
            <w:bookmarkStart w:id="12" w:name="_GoBack"/>
            <w:bookmarkEnd w:id="12"/>
            <w:r>
              <w:rPr>
                <w:rFonts w:hint="eastAsia" w:eastAsia="Times New Roman"/>
                <w:kern w:val="0"/>
              </w:rPr>
              <w:t>数量与临界量比值（Q）为0.4675，小于1，根据附录C危险物质及工艺系统危险性的分级，项目风险潜势为I。项目环境风险评价工作等级划分依据见表4-1</w:t>
            </w:r>
            <w:r>
              <w:rPr>
                <w:rFonts w:hint="eastAsia" w:eastAsia="宋体"/>
                <w:kern w:val="0"/>
                <w:lang w:val="en-US" w:eastAsia="zh-CN"/>
              </w:rPr>
              <w:t>5</w:t>
            </w:r>
            <w:r>
              <w:rPr>
                <w:rFonts w:hint="eastAsia" w:eastAsia="Times New Roman"/>
                <w:kern w:val="0"/>
              </w:rPr>
              <w:t>。</w:t>
            </w:r>
          </w:p>
          <w:p w14:paraId="2112758B">
            <w:pPr>
              <w:ind w:firstLine="422" w:firstLineChars="200"/>
              <w:jc w:val="center"/>
              <w:rPr>
                <w:b/>
                <w:bCs/>
                <w:szCs w:val="21"/>
              </w:rPr>
            </w:pPr>
            <w:r>
              <w:rPr>
                <w:rFonts w:hint="eastAsia"/>
                <w:b/>
                <w:bCs/>
                <w:szCs w:val="21"/>
              </w:rPr>
              <w:t>表4-1</w:t>
            </w:r>
            <w:r>
              <w:rPr>
                <w:rFonts w:hint="eastAsia"/>
                <w:b/>
                <w:bCs/>
                <w:szCs w:val="21"/>
                <w:lang w:val="en-US" w:eastAsia="zh-CN"/>
              </w:rPr>
              <w:t>5</w:t>
            </w:r>
            <w:r>
              <w:rPr>
                <w:rFonts w:hint="eastAsia"/>
                <w:b/>
                <w:bCs/>
                <w:szCs w:val="21"/>
              </w:rPr>
              <w:t xml:space="preserve"> 项目环境风险评价工作等级划分</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5"/>
              <w:gridCol w:w="1635"/>
              <w:gridCol w:w="1635"/>
              <w:gridCol w:w="1636"/>
              <w:gridCol w:w="1636"/>
            </w:tblGrid>
            <w:tr w14:paraId="5F124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635" w:type="dxa"/>
                </w:tcPr>
                <w:p w14:paraId="3FF0D8BD">
                  <w:pPr>
                    <w:adjustRightInd w:val="0"/>
                    <w:snapToGrid w:val="0"/>
                    <w:jc w:val="center"/>
                    <w:textAlignment w:val="baseline"/>
                    <w:rPr>
                      <w:b/>
                      <w:bCs/>
                      <w:szCs w:val="21"/>
                    </w:rPr>
                  </w:pPr>
                  <w:r>
                    <w:rPr>
                      <w:rFonts w:hint="eastAsia"/>
                      <w:b/>
                      <w:bCs/>
                      <w:szCs w:val="21"/>
                    </w:rPr>
                    <w:t>环境风险潜势</w:t>
                  </w:r>
                </w:p>
              </w:tc>
              <w:tc>
                <w:tcPr>
                  <w:tcW w:w="1635" w:type="dxa"/>
                </w:tcPr>
                <w:p w14:paraId="6F7FF8E4">
                  <w:pPr>
                    <w:adjustRightInd w:val="0"/>
                    <w:snapToGrid w:val="0"/>
                    <w:jc w:val="center"/>
                    <w:textAlignment w:val="baseline"/>
                    <w:rPr>
                      <w:b/>
                      <w:bCs/>
                      <w:szCs w:val="21"/>
                    </w:rPr>
                  </w:pPr>
                  <w:r>
                    <w:rPr>
                      <w:b/>
                      <w:bCs/>
                      <w:szCs w:val="21"/>
                    </w:rPr>
                    <w:t>Ⅳ</w:t>
                  </w:r>
                  <w:r>
                    <w:rPr>
                      <w:rFonts w:hint="eastAsia"/>
                      <w:b/>
                      <w:bCs/>
                      <w:szCs w:val="21"/>
                    </w:rPr>
                    <w:t>、</w:t>
                  </w:r>
                  <w:r>
                    <w:rPr>
                      <w:b/>
                      <w:bCs/>
                      <w:szCs w:val="21"/>
                    </w:rPr>
                    <w:t>Ⅳ+</w:t>
                  </w:r>
                </w:p>
              </w:tc>
              <w:tc>
                <w:tcPr>
                  <w:tcW w:w="1635" w:type="dxa"/>
                </w:tcPr>
                <w:p w14:paraId="5B27F859">
                  <w:pPr>
                    <w:adjustRightInd w:val="0"/>
                    <w:snapToGrid w:val="0"/>
                    <w:jc w:val="center"/>
                    <w:textAlignment w:val="baseline"/>
                    <w:rPr>
                      <w:b/>
                      <w:bCs/>
                      <w:szCs w:val="21"/>
                    </w:rPr>
                  </w:pPr>
                  <w:r>
                    <w:rPr>
                      <w:b/>
                      <w:bCs/>
                      <w:szCs w:val="21"/>
                    </w:rPr>
                    <w:t>Ⅲ</w:t>
                  </w:r>
                </w:p>
              </w:tc>
              <w:tc>
                <w:tcPr>
                  <w:tcW w:w="1636" w:type="dxa"/>
                </w:tcPr>
                <w:p w14:paraId="7B4E8F6F">
                  <w:pPr>
                    <w:adjustRightInd w:val="0"/>
                    <w:snapToGrid w:val="0"/>
                    <w:jc w:val="center"/>
                    <w:textAlignment w:val="baseline"/>
                    <w:rPr>
                      <w:b/>
                      <w:bCs/>
                      <w:szCs w:val="21"/>
                    </w:rPr>
                  </w:pPr>
                  <w:r>
                    <w:rPr>
                      <w:b/>
                      <w:bCs/>
                      <w:szCs w:val="21"/>
                    </w:rPr>
                    <w:t>Ⅱ</w:t>
                  </w:r>
                </w:p>
              </w:tc>
              <w:tc>
                <w:tcPr>
                  <w:tcW w:w="1636" w:type="dxa"/>
                </w:tcPr>
                <w:p w14:paraId="58E54287">
                  <w:pPr>
                    <w:adjustRightInd w:val="0"/>
                    <w:snapToGrid w:val="0"/>
                    <w:jc w:val="center"/>
                    <w:textAlignment w:val="baseline"/>
                    <w:rPr>
                      <w:b/>
                      <w:bCs/>
                      <w:szCs w:val="21"/>
                    </w:rPr>
                  </w:pPr>
                  <w:r>
                    <w:rPr>
                      <w:b/>
                      <w:bCs/>
                      <w:szCs w:val="21"/>
                    </w:rPr>
                    <w:t>Ⅰ</w:t>
                  </w:r>
                </w:p>
              </w:tc>
            </w:tr>
            <w:tr w14:paraId="51EA3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635" w:type="dxa"/>
                </w:tcPr>
                <w:p w14:paraId="6FEC50E5">
                  <w:pPr>
                    <w:adjustRightInd w:val="0"/>
                    <w:snapToGrid w:val="0"/>
                    <w:jc w:val="center"/>
                    <w:textAlignment w:val="baseline"/>
                    <w:rPr>
                      <w:szCs w:val="21"/>
                    </w:rPr>
                  </w:pPr>
                  <w:r>
                    <w:rPr>
                      <w:rFonts w:hint="eastAsia"/>
                      <w:szCs w:val="21"/>
                    </w:rPr>
                    <w:t>评价工作等级</w:t>
                  </w:r>
                </w:p>
              </w:tc>
              <w:tc>
                <w:tcPr>
                  <w:tcW w:w="1635" w:type="dxa"/>
                </w:tcPr>
                <w:p w14:paraId="29A6B424">
                  <w:pPr>
                    <w:adjustRightInd w:val="0"/>
                    <w:snapToGrid w:val="0"/>
                    <w:jc w:val="center"/>
                    <w:textAlignment w:val="baseline"/>
                    <w:rPr>
                      <w:szCs w:val="21"/>
                    </w:rPr>
                  </w:pPr>
                  <w:r>
                    <w:rPr>
                      <w:rFonts w:hint="eastAsia"/>
                      <w:szCs w:val="21"/>
                    </w:rPr>
                    <w:t>一</w:t>
                  </w:r>
                </w:p>
              </w:tc>
              <w:tc>
                <w:tcPr>
                  <w:tcW w:w="1635" w:type="dxa"/>
                </w:tcPr>
                <w:p w14:paraId="29E03909">
                  <w:pPr>
                    <w:adjustRightInd w:val="0"/>
                    <w:snapToGrid w:val="0"/>
                    <w:jc w:val="center"/>
                    <w:textAlignment w:val="baseline"/>
                    <w:rPr>
                      <w:szCs w:val="21"/>
                    </w:rPr>
                  </w:pPr>
                  <w:r>
                    <w:rPr>
                      <w:rFonts w:hint="eastAsia"/>
                      <w:szCs w:val="21"/>
                    </w:rPr>
                    <w:t>二</w:t>
                  </w:r>
                </w:p>
              </w:tc>
              <w:tc>
                <w:tcPr>
                  <w:tcW w:w="1636" w:type="dxa"/>
                </w:tcPr>
                <w:p w14:paraId="2A2D3DAD">
                  <w:pPr>
                    <w:adjustRightInd w:val="0"/>
                    <w:snapToGrid w:val="0"/>
                    <w:jc w:val="center"/>
                    <w:textAlignment w:val="baseline"/>
                    <w:rPr>
                      <w:szCs w:val="21"/>
                    </w:rPr>
                  </w:pPr>
                  <w:r>
                    <w:rPr>
                      <w:rFonts w:hint="eastAsia"/>
                      <w:szCs w:val="21"/>
                    </w:rPr>
                    <w:t>三</w:t>
                  </w:r>
                </w:p>
              </w:tc>
              <w:tc>
                <w:tcPr>
                  <w:tcW w:w="1636" w:type="dxa"/>
                </w:tcPr>
                <w:p w14:paraId="74CB08F1">
                  <w:pPr>
                    <w:adjustRightInd w:val="0"/>
                    <w:snapToGrid w:val="0"/>
                    <w:jc w:val="center"/>
                    <w:textAlignment w:val="baseline"/>
                    <w:rPr>
                      <w:szCs w:val="21"/>
                    </w:rPr>
                  </w:pPr>
                  <w:r>
                    <w:rPr>
                      <w:rFonts w:hint="eastAsia"/>
                      <w:szCs w:val="21"/>
                    </w:rPr>
                    <w:t>简单分析</w:t>
                  </w:r>
                  <w:r>
                    <w:rPr>
                      <w:szCs w:val="21"/>
                      <w:vertAlign w:val="superscript"/>
                    </w:rPr>
                    <w:t>a</w:t>
                  </w:r>
                </w:p>
              </w:tc>
            </w:tr>
            <w:tr w14:paraId="6D47F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8177" w:type="dxa"/>
                  <w:gridSpan w:val="5"/>
                </w:tcPr>
                <w:p w14:paraId="0AF6D406">
                  <w:pPr>
                    <w:widowControl/>
                    <w:jc w:val="left"/>
                    <w:rPr>
                      <w:rFonts w:eastAsia="Times New Roman"/>
                      <w:kern w:val="0"/>
                    </w:rPr>
                  </w:pPr>
                  <w:r>
                    <w:rPr>
                      <w:color w:val="000000"/>
                      <w:kern w:val="0"/>
                      <w:szCs w:val="21"/>
                      <w:lang w:bidi="ar"/>
                    </w:rPr>
                    <w:t>a</w:t>
                  </w:r>
                  <w:r>
                    <w:rPr>
                      <w:rFonts w:hint="eastAsia" w:ascii="宋体" w:hAnsi="宋体" w:cs="宋体"/>
                      <w:color w:val="000000"/>
                      <w:kern w:val="0"/>
                      <w:szCs w:val="21"/>
                      <w:lang w:bidi="ar"/>
                    </w:rPr>
                    <w:t>是相对于详细评价工作内容而言，在描述危险物质、环境影响途径、环境危害后果、风险防范措施等方面给出定性的说明。</w:t>
                  </w:r>
                </w:p>
              </w:tc>
            </w:tr>
          </w:tbl>
          <w:p w14:paraId="209B575F">
            <w:pPr>
              <w:spacing w:line="360" w:lineRule="auto"/>
              <w:ind w:firstLine="420" w:firstLineChars="200"/>
              <w:rPr>
                <w:rFonts w:eastAsia="Times New Roman"/>
                <w:kern w:val="0"/>
              </w:rPr>
            </w:pPr>
            <w:r>
              <w:rPr>
                <w:rFonts w:hint="eastAsia"/>
                <w:szCs w:val="21"/>
              </w:rPr>
              <w:t>根据表4-18，评价工作等级为</w:t>
            </w:r>
            <w:r>
              <w:rPr>
                <w:szCs w:val="21"/>
              </w:rPr>
              <w:t>“</w:t>
            </w:r>
            <w:r>
              <w:rPr>
                <w:rFonts w:hint="eastAsia"/>
                <w:szCs w:val="21"/>
              </w:rPr>
              <w:t>简单分析</w:t>
            </w:r>
            <w:r>
              <w:rPr>
                <w:szCs w:val="21"/>
              </w:rPr>
              <w:t>”</w:t>
            </w:r>
            <w:r>
              <w:rPr>
                <w:rFonts w:hint="eastAsia"/>
                <w:szCs w:val="21"/>
              </w:rPr>
              <w:t>。</w:t>
            </w:r>
          </w:p>
          <w:p w14:paraId="0CAE36A5">
            <w:pPr>
              <w:spacing w:line="360" w:lineRule="auto"/>
              <w:rPr>
                <w:rFonts w:eastAsia="Times New Roman"/>
                <w:b/>
                <w:bCs/>
                <w:kern w:val="0"/>
              </w:rPr>
            </w:pPr>
            <w:bookmarkStart w:id="7" w:name="_Toc1821"/>
            <w:bookmarkStart w:id="8" w:name="_Toc10462123"/>
            <w:r>
              <w:rPr>
                <w:rFonts w:hint="eastAsia" w:eastAsia="Times New Roman"/>
                <w:b/>
                <w:bCs/>
                <w:kern w:val="0"/>
              </w:rPr>
              <w:t>4.8</w:t>
            </w:r>
            <w:r>
              <w:rPr>
                <w:rFonts w:eastAsia="Times New Roman"/>
                <w:b/>
                <w:bCs/>
                <w:kern w:val="0"/>
              </w:rPr>
              <w:t>.</w:t>
            </w:r>
            <w:r>
              <w:rPr>
                <w:rFonts w:hint="eastAsia" w:eastAsia="Times New Roman"/>
                <w:b/>
                <w:bCs/>
                <w:kern w:val="0"/>
              </w:rPr>
              <w:t>4</w:t>
            </w:r>
            <w:r>
              <w:rPr>
                <w:rFonts w:eastAsia="Times New Roman"/>
                <w:b/>
                <w:bCs/>
                <w:kern w:val="0"/>
              </w:rPr>
              <w:t>环境敏感目标</w:t>
            </w:r>
            <w:bookmarkEnd w:id="7"/>
            <w:bookmarkEnd w:id="8"/>
            <w:r>
              <w:rPr>
                <w:rFonts w:eastAsia="Times New Roman"/>
                <w:b/>
                <w:bCs/>
                <w:kern w:val="0"/>
              </w:rPr>
              <w:t>概况</w:t>
            </w:r>
          </w:p>
          <w:p w14:paraId="5CE6E26F">
            <w:pPr>
              <w:spacing w:line="360" w:lineRule="auto"/>
              <w:ind w:firstLine="420" w:firstLineChars="200"/>
              <w:rPr>
                <w:szCs w:val="21"/>
              </w:rPr>
            </w:pPr>
            <w:r>
              <w:rPr>
                <w:rFonts w:hint="eastAsia"/>
                <w:szCs w:val="21"/>
              </w:rPr>
              <w:t>本项目500m范围内无</w:t>
            </w:r>
            <w:r>
              <w:rPr>
                <w:szCs w:val="21"/>
              </w:rPr>
              <w:t>大气环境、声环境</w:t>
            </w:r>
            <w:r>
              <w:rPr>
                <w:rFonts w:hint="eastAsia"/>
                <w:szCs w:val="21"/>
              </w:rPr>
              <w:t>保护目标。</w:t>
            </w:r>
            <w:bookmarkStart w:id="9" w:name="_Toc11920"/>
            <w:bookmarkStart w:id="10" w:name="_Toc10462124"/>
          </w:p>
          <w:p w14:paraId="40069CFE">
            <w:pPr>
              <w:spacing w:line="360" w:lineRule="auto"/>
              <w:rPr>
                <w:rFonts w:eastAsia="Times New Roman"/>
                <w:b/>
                <w:bCs/>
                <w:kern w:val="0"/>
              </w:rPr>
            </w:pPr>
            <w:r>
              <w:rPr>
                <w:rFonts w:hint="eastAsia" w:eastAsia="Times New Roman"/>
                <w:b/>
                <w:bCs/>
                <w:kern w:val="0"/>
              </w:rPr>
              <w:t>4.8</w:t>
            </w:r>
            <w:r>
              <w:rPr>
                <w:rFonts w:eastAsia="Times New Roman"/>
                <w:b/>
                <w:bCs/>
                <w:kern w:val="0"/>
              </w:rPr>
              <w:t>.</w:t>
            </w:r>
            <w:r>
              <w:rPr>
                <w:rFonts w:hint="eastAsia" w:eastAsia="Times New Roman"/>
                <w:b/>
                <w:bCs/>
                <w:kern w:val="0"/>
              </w:rPr>
              <w:t>5</w:t>
            </w:r>
            <w:r>
              <w:rPr>
                <w:rFonts w:eastAsia="Times New Roman"/>
                <w:b/>
                <w:bCs/>
                <w:kern w:val="0"/>
              </w:rPr>
              <w:t>环境风险识别</w:t>
            </w:r>
          </w:p>
          <w:p w14:paraId="0C6CE5E7">
            <w:pPr>
              <w:spacing w:line="360" w:lineRule="auto"/>
              <w:ind w:firstLine="420" w:firstLineChars="200"/>
              <w:rPr>
                <w:szCs w:val="21"/>
              </w:rPr>
            </w:pPr>
            <w:r>
              <w:rPr>
                <w:szCs w:val="21"/>
              </w:rPr>
              <w:t>依据《建设项目环境风险评价技术导则》（</w:t>
            </w:r>
            <w:r>
              <w:rPr>
                <w:rFonts w:hint="eastAsia"/>
                <w:szCs w:val="21"/>
              </w:rPr>
              <w:t xml:space="preserve">HJ </w:t>
            </w:r>
            <w:r>
              <w:rPr>
                <w:szCs w:val="21"/>
              </w:rPr>
              <w:t>169-2018），结合本项目实际情况，项目环境风险识别情况见表</w:t>
            </w:r>
            <w:r>
              <w:rPr>
                <w:rFonts w:hint="eastAsia"/>
                <w:szCs w:val="21"/>
              </w:rPr>
              <w:t>4-1</w:t>
            </w:r>
            <w:r>
              <w:rPr>
                <w:rFonts w:hint="eastAsia"/>
                <w:szCs w:val="21"/>
                <w:lang w:val="en-US" w:eastAsia="zh-CN"/>
              </w:rPr>
              <w:t>6</w:t>
            </w:r>
            <w:r>
              <w:rPr>
                <w:szCs w:val="21"/>
              </w:rPr>
              <w:t>。</w:t>
            </w:r>
          </w:p>
          <w:p w14:paraId="5E1FEFB0">
            <w:pPr>
              <w:ind w:firstLine="422" w:firstLineChars="200"/>
              <w:jc w:val="center"/>
              <w:rPr>
                <w:b/>
                <w:bCs/>
                <w:szCs w:val="21"/>
              </w:rPr>
            </w:pPr>
            <w:r>
              <w:rPr>
                <w:b/>
                <w:bCs/>
                <w:szCs w:val="21"/>
              </w:rPr>
              <w:t>表4-1</w:t>
            </w:r>
            <w:r>
              <w:rPr>
                <w:rFonts w:hint="eastAsia"/>
                <w:b/>
                <w:bCs/>
                <w:szCs w:val="21"/>
                <w:lang w:val="en-US" w:eastAsia="zh-CN"/>
              </w:rPr>
              <w:t>6</w:t>
            </w:r>
            <w:r>
              <w:rPr>
                <w:rFonts w:hint="eastAsia"/>
                <w:b/>
                <w:bCs/>
                <w:szCs w:val="21"/>
              </w:rPr>
              <w:t xml:space="preserve">  </w:t>
            </w:r>
            <w:r>
              <w:rPr>
                <w:b/>
                <w:bCs/>
                <w:szCs w:val="21"/>
              </w:rPr>
              <w:t>环境风险识别一览表</w:t>
            </w:r>
          </w:p>
          <w:tbl>
            <w:tblPr>
              <w:tblStyle w:val="30"/>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9"/>
              <w:gridCol w:w="1100"/>
              <w:gridCol w:w="1275"/>
              <w:gridCol w:w="1901"/>
              <w:gridCol w:w="1454"/>
              <w:gridCol w:w="1548"/>
            </w:tblGrid>
            <w:tr w14:paraId="2761E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5" w:hRule="atLeast"/>
              </w:trPr>
              <w:tc>
                <w:tcPr>
                  <w:tcW w:w="571" w:type="pct"/>
                  <w:vAlign w:val="center"/>
                </w:tcPr>
                <w:p w14:paraId="3450B82D">
                  <w:pPr>
                    <w:jc w:val="center"/>
                    <w:rPr>
                      <w:b/>
                      <w:bCs/>
                      <w:szCs w:val="21"/>
                    </w:rPr>
                  </w:pPr>
                  <w:r>
                    <w:rPr>
                      <w:b/>
                      <w:bCs/>
                      <w:szCs w:val="21"/>
                    </w:rPr>
                    <w:t>危险单元</w:t>
                  </w:r>
                </w:p>
              </w:tc>
              <w:tc>
                <w:tcPr>
                  <w:tcW w:w="669" w:type="pct"/>
                  <w:vAlign w:val="center"/>
                </w:tcPr>
                <w:p w14:paraId="146DE57B">
                  <w:pPr>
                    <w:jc w:val="center"/>
                    <w:rPr>
                      <w:b/>
                      <w:bCs/>
                      <w:szCs w:val="21"/>
                    </w:rPr>
                  </w:pPr>
                  <w:r>
                    <w:rPr>
                      <w:b/>
                      <w:bCs/>
                      <w:szCs w:val="21"/>
                    </w:rPr>
                    <w:t>风险源</w:t>
                  </w:r>
                </w:p>
              </w:tc>
              <w:tc>
                <w:tcPr>
                  <w:tcW w:w="776" w:type="pct"/>
                  <w:vAlign w:val="center"/>
                </w:tcPr>
                <w:p w14:paraId="3844A2AE">
                  <w:pPr>
                    <w:jc w:val="center"/>
                    <w:rPr>
                      <w:b/>
                      <w:bCs/>
                      <w:szCs w:val="21"/>
                    </w:rPr>
                  </w:pPr>
                  <w:r>
                    <w:rPr>
                      <w:b/>
                      <w:bCs/>
                      <w:szCs w:val="21"/>
                    </w:rPr>
                    <w:t>主要危险物质</w:t>
                  </w:r>
                </w:p>
              </w:tc>
              <w:tc>
                <w:tcPr>
                  <w:tcW w:w="1156" w:type="pct"/>
                  <w:vAlign w:val="center"/>
                </w:tcPr>
                <w:p w14:paraId="180DCC6B">
                  <w:pPr>
                    <w:jc w:val="center"/>
                    <w:rPr>
                      <w:b/>
                      <w:bCs/>
                      <w:szCs w:val="21"/>
                    </w:rPr>
                  </w:pPr>
                  <w:r>
                    <w:rPr>
                      <w:b/>
                      <w:bCs/>
                      <w:szCs w:val="21"/>
                    </w:rPr>
                    <w:t>环境风险类型</w:t>
                  </w:r>
                </w:p>
              </w:tc>
              <w:tc>
                <w:tcPr>
                  <w:tcW w:w="884" w:type="pct"/>
                  <w:vAlign w:val="center"/>
                </w:tcPr>
                <w:p w14:paraId="6CBE3C32">
                  <w:pPr>
                    <w:jc w:val="center"/>
                    <w:rPr>
                      <w:b/>
                      <w:bCs/>
                      <w:szCs w:val="21"/>
                    </w:rPr>
                  </w:pPr>
                  <w:r>
                    <w:rPr>
                      <w:b/>
                      <w:bCs/>
                      <w:szCs w:val="21"/>
                    </w:rPr>
                    <w:t>环境影响</w:t>
                  </w:r>
                </w:p>
                <w:p w14:paraId="7F2AF858">
                  <w:pPr>
                    <w:jc w:val="center"/>
                    <w:rPr>
                      <w:b/>
                      <w:bCs/>
                      <w:szCs w:val="21"/>
                    </w:rPr>
                  </w:pPr>
                  <w:r>
                    <w:rPr>
                      <w:b/>
                      <w:bCs/>
                      <w:szCs w:val="21"/>
                    </w:rPr>
                    <w:t>途径</w:t>
                  </w:r>
                </w:p>
              </w:tc>
              <w:tc>
                <w:tcPr>
                  <w:tcW w:w="941" w:type="pct"/>
                  <w:vAlign w:val="center"/>
                </w:tcPr>
                <w:p w14:paraId="00765DA7">
                  <w:pPr>
                    <w:jc w:val="center"/>
                    <w:rPr>
                      <w:b/>
                      <w:bCs/>
                      <w:szCs w:val="21"/>
                    </w:rPr>
                  </w:pPr>
                  <w:r>
                    <w:rPr>
                      <w:b/>
                      <w:bCs/>
                      <w:szCs w:val="21"/>
                    </w:rPr>
                    <w:t>可能受影响的环境敏感目标</w:t>
                  </w:r>
                </w:p>
              </w:tc>
            </w:tr>
            <w:tr w14:paraId="2265A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9" w:type="dxa"/>
                  <w:vAlign w:val="center"/>
                </w:tcPr>
                <w:p w14:paraId="3119BEB1">
                  <w:pPr>
                    <w:jc w:val="center"/>
                    <w:rPr>
                      <w:szCs w:val="21"/>
                    </w:rPr>
                  </w:pPr>
                  <w:r>
                    <w:rPr>
                      <w:szCs w:val="21"/>
                    </w:rPr>
                    <w:t>天然气</w:t>
                  </w:r>
                </w:p>
              </w:tc>
              <w:tc>
                <w:tcPr>
                  <w:tcW w:w="1100" w:type="dxa"/>
                  <w:vAlign w:val="center"/>
                </w:tcPr>
                <w:p w14:paraId="4F690F1C">
                  <w:pPr>
                    <w:jc w:val="center"/>
                    <w:rPr>
                      <w:szCs w:val="21"/>
                    </w:rPr>
                  </w:pPr>
                  <w:r>
                    <w:rPr>
                      <w:rFonts w:hint="eastAsia"/>
                      <w:szCs w:val="21"/>
                    </w:rPr>
                    <w:t>液化天然气罐撬装站及项目区内部天然气管网</w:t>
                  </w:r>
                </w:p>
              </w:tc>
              <w:tc>
                <w:tcPr>
                  <w:tcW w:w="1276" w:type="dxa"/>
                  <w:vAlign w:val="center"/>
                </w:tcPr>
                <w:p w14:paraId="4B29C20D">
                  <w:pPr>
                    <w:jc w:val="center"/>
                    <w:rPr>
                      <w:szCs w:val="21"/>
                    </w:rPr>
                  </w:pPr>
                  <w:r>
                    <w:rPr>
                      <w:szCs w:val="21"/>
                    </w:rPr>
                    <w:t>天然气</w:t>
                  </w:r>
                </w:p>
              </w:tc>
              <w:tc>
                <w:tcPr>
                  <w:tcW w:w="1901" w:type="dxa"/>
                  <w:vAlign w:val="center"/>
                </w:tcPr>
                <w:p w14:paraId="11D5853F">
                  <w:pPr>
                    <w:jc w:val="center"/>
                    <w:rPr>
                      <w:szCs w:val="21"/>
                    </w:rPr>
                  </w:pPr>
                  <w:r>
                    <w:rPr>
                      <w:szCs w:val="21"/>
                    </w:rPr>
                    <w:t>泄漏、火灾引发的次生污染</w:t>
                  </w:r>
                </w:p>
              </w:tc>
              <w:tc>
                <w:tcPr>
                  <w:tcW w:w="1454" w:type="dxa"/>
                  <w:vAlign w:val="center"/>
                </w:tcPr>
                <w:p w14:paraId="72C54B37">
                  <w:pPr>
                    <w:jc w:val="center"/>
                    <w:rPr>
                      <w:szCs w:val="21"/>
                    </w:rPr>
                  </w:pPr>
                  <w:r>
                    <w:rPr>
                      <w:szCs w:val="21"/>
                    </w:rPr>
                    <w:t>地下水、大气、土壤</w:t>
                  </w:r>
                </w:p>
              </w:tc>
              <w:tc>
                <w:tcPr>
                  <w:tcW w:w="1547" w:type="dxa"/>
                  <w:vAlign w:val="center"/>
                </w:tcPr>
                <w:p w14:paraId="3E16BE4D">
                  <w:pPr>
                    <w:jc w:val="center"/>
                    <w:rPr>
                      <w:szCs w:val="21"/>
                    </w:rPr>
                  </w:pPr>
                  <w:r>
                    <w:rPr>
                      <w:szCs w:val="21"/>
                    </w:rPr>
                    <w:t>项目区及周边</w:t>
                  </w:r>
                </w:p>
              </w:tc>
            </w:tr>
          </w:tbl>
          <w:p w14:paraId="566B5E1A">
            <w:pPr>
              <w:spacing w:line="360" w:lineRule="auto"/>
              <w:rPr>
                <w:rFonts w:eastAsia="Times New Roman"/>
                <w:b/>
                <w:bCs/>
                <w:kern w:val="0"/>
              </w:rPr>
            </w:pPr>
            <w:r>
              <w:rPr>
                <w:rFonts w:hint="eastAsia" w:eastAsia="Times New Roman"/>
                <w:b/>
                <w:bCs/>
                <w:kern w:val="0"/>
              </w:rPr>
              <w:t>4.8</w:t>
            </w:r>
            <w:r>
              <w:rPr>
                <w:rFonts w:eastAsia="Times New Roman"/>
                <w:b/>
                <w:bCs/>
                <w:kern w:val="0"/>
              </w:rPr>
              <w:t>.</w:t>
            </w:r>
            <w:bookmarkEnd w:id="9"/>
            <w:bookmarkEnd w:id="10"/>
            <w:r>
              <w:rPr>
                <w:rFonts w:hint="eastAsia" w:eastAsia="Times New Roman"/>
                <w:b/>
                <w:bCs/>
                <w:kern w:val="0"/>
              </w:rPr>
              <w:t>6</w:t>
            </w:r>
            <w:r>
              <w:rPr>
                <w:rFonts w:eastAsia="Times New Roman"/>
                <w:b/>
                <w:bCs/>
                <w:kern w:val="0"/>
              </w:rPr>
              <w:t>环境风险分析</w:t>
            </w:r>
          </w:p>
          <w:p w14:paraId="7A1852F7">
            <w:pPr>
              <w:spacing w:line="360" w:lineRule="auto"/>
              <w:ind w:firstLine="420" w:firstLineChars="200"/>
              <w:rPr>
                <w:rFonts w:eastAsia="Times New Roman"/>
                <w:b/>
                <w:bCs/>
                <w:kern w:val="0"/>
              </w:rPr>
            </w:pPr>
            <w:r>
              <w:rPr>
                <w:rFonts w:hint="eastAsia" w:eastAsia="Times New Roman"/>
                <w:b/>
                <w:bCs/>
                <w:kern w:val="0"/>
              </w:rPr>
              <w:t>4.8</w:t>
            </w:r>
            <w:r>
              <w:rPr>
                <w:rFonts w:eastAsia="Times New Roman"/>
                <w:b/>
                <w:bCs/>
                <w:kern w:val="0"/>
              </w:rPr>
              <w:t>.</w:t>
            </w:r>
            <w:r>
              <w:rPr>
                <w:rFonts w:hint="eastAsia" w:eastAsia="Times New Roman"/>
                <w:b/>
                <w:bCs/>
                <w:kern w:val="0"/>
              </w:rPr>
              <w:t>6</w:t>
            </w:r>
            <w:r>
              <w:rPr>
                <w:rFonts w:eastAsia="Times New Roman"/>
                <w:b/>
                <w:bCs/>
                <w:kern w:val="0"/>
              </w:rPr>
              <w:t>.1</w:t>
            </w:r>
            <w:r>
              <w:rPr>
                <w:rFonts w:hint="eastAsia" w:eastAsia="Times New Roman"/>
                <w:b/>
                <w:bCs/>
                <w:kern w:val="0"/>
              </w:rPr>
              <w:t>天然气</w:t>
            </w:r>
            <w:r>
              <w:rPr>
                <w:rFonts w:eastAsia="Times New Roman"/>
                <w:b/>
                <w:bCs/>
                <w:kern w:val="0"/>
              </w:rPr>
              <w:t>危险性分析</w:t>
            </w:r>
          </w:p>
          <w:p w14:paraId="56DF1E33">
            <w:pPr>
              <w:ind w:firstLine="422" w:firstLineChars="200"/>
              <w:jc w:val="center"/>
              <w:rPr>
                <w:b/>
                <w:bCs/>
                <w:szCs w:val="21"/>
              </w:rPr>
            </w:pPr>
            <w:r>
              <w:rPr>
                <w:b/>
                <w:bCs/>
                <w:szCs w:val="21"/>
              </w:rPr>
              <w:t>表4-</w:t>
            </w:r>
            <w:r>
              <w:rPr>
                <w:rFonts w:hint="eastAsia"/>
                <w:b/>
                <w:bCs/>
                <w:szCs w:val="21"/>
                <w:lang w:val="en-US" w:eastAsia="zh-CN"/>
              </w:rPr>
              <w:t>17</w:t>
            </w:r>
            <w:r>
              <w:rPr>
                <w:rFonts w:hint="eastAsia"/>
                <w:b/>
                <w:bCs/>
                <w:szCs w:val="21"/>
              </w:rPr>
              <w:t xml:space="preserve">  天然气</w:t>
            </w:r>
            <w:r>
              <w:rPr>
                <w:b/>
                <w:bCs/>
                <w:szCs w:val="21"/>
              </w:rPr>
              <w:t>理化性质一览表</w:t>
            </w:r>
          </w:p>
          <w:tbl>
            <w:tblPr>
              <w:tblStyle w:val="30"/>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0"/>
              <w:gridCol w:w="1492"/>
              <w:gridCol w:w="858"/>
              <w:gridCol w:w="906"/>
              <w:gridCol w:w="973"/>
              <w:gridCol w:w="814"/>
              <w:gridCol w:w="1995"/>
              <w:gridCol w:w="610"/>
            </w:tblGrid>
            <w:tr w14:paraId="63C17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64" w:hRule="exact"/>
                <w:jc w:val="center"/>
              </w:trPr>
              <w:tc>
                <w:tcPr>
                  <w:tcW w:w="346" w:type="pct"/>
                  <w:vMerge w:val="restart"/>
                  <w:vAlign w:val="center"/>
                </w:tcPr>
                <w:p w14:paraId="30042055">
                  <w:pPr>
                    <w:jc w:val="center"/>
                    <w:rPr>
                      <w:szCs w:val="21"/>
                    </w:rPr>
                  </w:pPr>
                  <w:r>
                    <w:rPr>
                      <w:szCs w:val="21"/>
                    </w:rPr>
                    <w:t>标识</w:t>
                  </w:r>
                </w:p>
              </w:tc>
              <w:tc>
                <w:tcPr>
                  <w:tcW w:w="3067" w:type="pct"/>
                  <w:gridSpan w:val="5"/>
                  <w:vAlign w:val="center"/>
                </w:tcPr>
                <w:p w14:paraId="6CE04C1D">
                  <w:pPr>
                    <w:jc w:val="center"/>
                    <w:rPr>
                      <w:szCs w:val="21"/>
                    </w:rPr>
                  </w:pPr>
                  <w:r>
                    <w:rPr>
                      <w:szCs w:val="21"/>
                    </w:rPr>
                    <w:t>中文名：天然气[含甲烷，压缩的]；沼气</w:t>
                  </w:r>
                </w:p>
              </w:tc>
              <w:tc>
                <w:tcPr>
                  <w:tcW w:w="1585" w:type="pct"/>
                  <w:gridSpan w:val="2"/>
                  <w:vAlign w:val="center"/>
                </w:tcPr>
                <w:p w14:paraId="4052BA3A">
                  <w:pPr>
                    <w:jc w:val="center"/>
                    <w:rPr>
                      <w:szCs w:val="21"/>
                    </w:rPr>
                  </w:pPr>
                  <w:r>
                    <w:rPr>
                      <w:szCs w:val="21"/>
                    </w:rPr>
                    <w:t>危险货物编号：21007</w:t>
                  </w:r>
                </w:p>
              </w:tc>
            </w:tr>
            <w:tr w14:paraId="59D790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exact"/>
                <w:jc w:val="center"/>
              </w:trPr>
              <w:tc>
                <w:tcPr>
                  <w:tcW w:w="346" w:type="pct"/>
                  <w:vMerge w:val="continue"/>
                  <w:vAlign w:val="center"/>
                </w:tcPr>
                <w:p w14:paraId="75915447">
                  <w:pPr>
                    <w:jc w:val="center"/>
                    <w:rPr>
                      <w:szCs w:val="21"/>
                    </w:rPr>
                  </w:pPr>
                </w:p>
              </w:tc>
              <w:tc>
                <w:tcPr>
                  <w:tcW w:w="3067" w:type="pct"/>
                  <w:gridSpan w:val="5"/>
                  <w:vAlign w:val="center"/>
                </w:tcPr>
                <w:p w14:paraId="7B8BF2EF">
                  <w:pPr>
                    <w:jc w:val="center"/>
                    <w:rPr>
                      <w:szCs w:val="21"/>
                    </w:rPr>
                  </w:pPr>
                  <w:r>
                    <w:rPr>
                      <w:szCs w:val="21"/>
                    </w:rPr>
                    <w:t>英文名： natural gas，NG</w:t>
                  </w:r>
                </w:p>
              </w:tc>
              <w:tc>
                <w:tcPr>
                  <w:tcW w:w="1585" w:type="pct"/>
                  <w:gridSpan w:val="2"/>
                  <w:vAlign w:val="center"/>
                </w:tcPr>
                <w:p w14:paraId="6D27CCF3">
                  <w:pPr>
                    <w:jc w:val="center"/>
                    <w:rPr>
                      <w:szCs w:val="21"/>
                    </w:rPr>
                  </w:pPr>
                  <w:r>
                    <w:rPr>
                      <w:szCs w:val="21"/>
                    </w:rPr>
                    <w:t>UN编号：1971</w:t>
                  </w:r>
                </w:p>
              </w:tc>
            </w:tr>
            <w:tr w14:paraId="4C33E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exact"/>
                <w:jc w:val="center"/>
              </w:trPr>
              <w:tc>
                <w:tcPr>
                  <w:tcW w:w="346" w:type="pct"/>
                  <w:vMerge w:val="continue"/>
                  <w:vAlign w:val="center"/>
                </w:tcPr>
                <w:p w14:paraId="2589FD4F">
                  <w:pPr>
                    <w:jc w:val="center"/>
                    <w:rPr>
                      <w:szCs w:val="21"/>
                    </w:rPr>
                  </w:pPr>
                </w:p>
              </w:tc>
              <w:tc>
                <w:tcPr>
                  <w:tcW w:w="907" w:type="pct"/>
                  <w:vAlign w:val="center"/>
                </w:tcPr>
                <w:p w14:paraId="396711B8">
                  <w:pPr>
                    <w:jc w:val="center"/>
                    <w:rPr>
                      <w:szCs w:val="21"/>
                    </w:rPr>
                  </w:pPr>
                  <w:r>
                    <w:rPr>
                      <w:szCs w:val="21"/>
                    </w:rPr>
                    <w:t>分子式：/ </w:t>
                  </w:r>
                </w:p>
              </w:tc>
              <w:tc>
                <w:tcPr>
                  <w:tcW w:w="2159" w:type="pct"/>
                  <w:gridSpan w:val="4"/>
                  <w:vAlign w:val="center"/>
                </w:tcPr>
                <w:p w14:paraId="540DF1D1">
                  <w:pPr>
                    <w:jc w:val="center"/>
                    <w:rPr>
                      <w:szCs w:val="21"/>
                    </w:rPr>
                  </w:pPr>
                  <w:r>
                    <w:rPr>
                      <w:szCs w:val="21"/>
                    </w:rPr>
                    <w:t>分子量：/ </w:t>
                  </w:r>
                </w:p>
              </w:tc>
              <w:tc>
                <w:tcPr>
                  <w:tcW w:w="1585" w:type="pct"/>
                  <w:gridSpan w:val="2"/>
                  <w:vAlign w:val="center"/>
                </w:tcPr>
                <w:p w14:paraId="1E79389D">
                  <w:pPr>
                    <w:jc w:val="center"/>
                    <w:rPr>
                      <w:szCs w:val="21"/>
                    </w:rPr>
                  </w:pPr>
                  <w:r>
                    <w:rPr>
                      <w:szCs w:val="21"/>
                    </w:rPr>
                    <w:t>CAS号：8006-14-2</w:t>
                  </w:r>
                </w:p>
              </w:tc>
            </w:tr>
            <w:tr w14:paraId="0A806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94" w:hRule="exact"/>
                <w:jc w:val="center"/>
              </w:trPr>
              <w:tc>
                <w:tcPr>
                  <w:tcW w:w="346" w:type="pct"/>
                  <w:vMerge w:val="restart"/>
                  <w:vAlign w:val="center"/>
                </w:tcPr>
                <w:p w14:paraId="7EF8899F">
                  <w:pPr>
                    <w:jc w:val="center"/>
                    <w:rPr>
                      <w:szCs w:val="21"/>
                    </w:rPr>
                  </w:pPr>
                  <w:r>
                    <w:rPr>
                      <w:szCs w:val="21"/>
                    </w:rPr>
                    <w:t>理化性质</w:t>
                  </w:r>
                </w:p>
              </w:tc>
              <w:tc>
                <w:tcPr>
                  <w:tcW w:w="907" w:type="pct"/>
                  <w:vAlign w:val="center"/>
                </w:tcPr>
                <w:p w14:paraId="6ACB70F1">
                  <w:pPr>
                    <w:jc w:val="center"/>
                    <w:rPr>
                      <w:szCs w:val="21"/>
                    </w:rPr>
                  </w:pPr>
                  <w:r>
                    <w:rPr>
                      <w:szCs w:val="21"/>
                    </w:rPr>
                    <w:t>外观与性状</w:t>
                  </w:r>
                </w:p>
              </w:tc>
              <w:tc>
                <w:tcPr>
                  <w:tcW w:w="3745" w:type="pct"/>
                  <w:gridSpan w:val="6"/>
                  <w:vAlign w:val="center"/>
                </w:tcPr>
                <w:p w14:paraId="5BD6E580">
                  <w:pPr>
                    <w:jc w:val="center"/>
                    <w:rPr>
                      <w:szCs w:val="21"/>
                    </w:rPr>
                  </w:pPr>
                  <w:r>
                    <w:rPr>
                      <w:szCs w:val="21"/>
                    </w:rPr>
                    <w:t>无色无臭气体。</w:t>
                  </w:r>
                </w:p>
              </w:tc>
            </w:tr>
            <w:tr w14:paraId="4A131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89" w:hRule="exact"/>
                <w:jc w:val="center"/>
              </w:trPr>
              <w:tc>
                <w:tcPr>
                  <w:tcW w:w="346" w:type="pct"/>
                  <w:vMerge w:val="continue"/>
                  <w:vAlign w:val="center"/>
                </w:tcPr>
                <w:p w14:paraId="6DC90E15">
                  <w:pPr>
                    <w:jc w:val="center"/>
                    <w:rPr>
                      <w:szCs w:val="21"/>
                    </w:rPr>
                  </w:pPr>
                </w:p>
              </w:tc>
              <w:tc>
                <w:tcPr>
                  <w:tcW w:w="907" w:type="pct"/>
                  <w:vAlign w:val="center"/>
                </w:tcPr>
                <w:p w14:paraId="1AB40BAE">
                  <w:pPr>
                    <w:jc w:val="center"/>
                    <w:rPr>
                      <w:szCs w:val="21"/>
                    </w:rPr>
                  </w:pPr>
                  <w:r>
                    <w:rPr>
                      <w:szCs w:val="21"/>
                    </w:rPr>
                    <w:t>熔点（℃）</w:t>
                  </w:r>
                </w:p>
              </w:tc>
              <w:tc>
                <w:tcPr>
                  <w:tcW w:w="522" w:type="pct"/>
                  <w:vAlign w:val="center"/>
                </w:tcPr>
                <w:p w14:paraId="09111C31">
                  <w:pPr>
                    <w:jc w:val="center"/>
                    <w:rPr>
                      <w:szCs w:val="21"/>
                    </w:rPr>
                  </w:pPr>
                  <w:r>
                    <w:rPr>
                      <w:szCs w:val="21"/>
                    </w:rPr>
                    <w:t>/</w:t>
                  </w:r>
                </w:p>
              </w:tc>
              <w:tc>
                <w:tcPr>
                  <w:tcW w:w="1143" w:type="pct"/>
                  <w:gridSpan w:val="2"/>
                  <w:vAlign w:val="center"/>
                </w:tcPr>
                <w:p w14:paraId="377BCC16">
                  <w:pPr>
                    <w:jc w:val="center"/>
                    <w:rPr>
                      <w:szCs w:val="21"/>
                    </w:rPr>
                  </w:pPr>
                  <w:r>
                    <w:rPr>
                      <w:szCs w:val="21"/>
                    </w:rPr>
                    <w:t>相对密度(水=1) </w:t>
                  </w:r>
                </w:p>
              </w:tc>
              <w:tc>
                <w:tcPr>
                  <w:tcW w:w="493" w:type="pct"/>
                  <w:vAlign w:val="center"/>
                </w:tcPr>
                <w:p w14:paraId="07220C86">
                  <w:pPr>
                    <w:jc w:val="center"/>
                    <w:rPr>
                      <w:szCs w:val="21"/>
                    </w:rPr>
                  </w:pPr>
                  <w:r>
                    <w:rPr>
                      <w:szCs w:val="21"/>
                    </w:rPr>
                    <w:t>0.415</w:t>
                  </w:r>
                </w:p>
              </w:tc>
              <w:tc>
                <w:tcPr>
                  <w:tcW w:w="1214" w:type="pct"/>
                  <w:vAlign w:val="center"/>
                </w:tcPr>
                <w:p w14:paraId="2F9D1E52">
                  <w:pPr>
                    <w:jc w:val="center"/>
                    <w:rPr>
                      <w:szCs w:val="21"/>
                    </w:rPr>
                  </w:pPr>
                  <w:r>
                    <w:rPr>
                      <w:szCs w:val="21"/>
                    </w:rPr>
                    <w:t>相对密度(水=1) </w:t>
                  </w:r>
                </w:p>
              </w:tc>
              <w:tc>
                <w:tcPr>
                  <w:tcW w:w="371" w:type="pct"/>
                  <w:vAlign w:val="center"/>
                </w:tcPr>
                <w:p w14:paraId="7D330438">
                  <w:pPr>
                    <w:jc w:val="center"/>
                    <w:rPr>
                      <w:szCs w:val="21"/>
                    </w:rPr>
                  </w:pPr>
                  <w:r>
                    <w:rPr>
                      <w:szCs w:val="21"/>
                    </w:rPr>
                    <w:t>0.55</w:t>
                  </w:r>
                </w:p>
              </w:tc>
            </w:tr>
            <w:tr w14:paraId="2170DC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exact"/>
                <w:jc w:val="center"/>
              </w:trPr>
              <w:tc>
                <w:tcPr>
                  <w:tcW w:w="346" w:type="pct"/>
                  <w:vMerge w:val="continue"/>
                  <w:vAlign w:val="center"/>
                </w:tcPr>
                <w:p w14:paraId="0C8EE2F3">
                  <w:pPr>
                    <w:jc w:val="center"/>
                    <w:rPr>
                      <w:szCs w:val="21"/>
                    </w:rPr>
                  </w:pPr>
                </w:p>
              </w:tc>
              <w:tc>
                <w:tcPr>
                  <w:tcW w:w="907" w:type="pct"/>
                  <w:vAlign w:val="center"/>
                </w:tcPr>
                <w:p w14:paraId="73C53950">
                  <w:pPr>
                    <w:jc w:val="center"/>
                    <w:rPr>
                      <w:szCs w:val="21"/>
                    </w:rPr>
                  </w:pPr>
                  <w:r>
                    <w:rPr>
                      <w:szCs w:val="21"/>
                    </w:rPr>
                    <w:t>沸点（℃）</w:t>
                  </w:r>
                </w:p>
              </w:tc>
              <w:tc>
                <w:tcPr>
                  <w:tcW w:w="522" w:type="pct"/>
                  <w:vAlign w:val="center"/>
                </w:tcPr>
                <w:p w14:paraId="38E99F02">
                  <w:pPr>
                    <w:jc w:val="center"/>
                    <w:rPr>
                      <w:szCs w:val="21"/>
                    </w:rPr>
                  </w:pPr>
                  <w:r>
                    <w:rPr>
                      <w:szCs w:val="21"/>
                    </w:rPr>
                    <w:t>-161.5</w:t>
                  </w:r>
                </w:p>
              </w:tc>
              <w:tc>
                <w:tcPr>
                  <w:tcW w:w="1636" w:type="pct"/>
                  <w:gridSpan w:val="3"/>
                  <w:vAlign w:val="center"/>
                </w:tcPr>
                <w:p w14:paraId="3637FD57">
                  <w:pPr>
                    <w:jc w:val="center"/>
                    <w:rPr>
                      <w:szCs w:val="21"/>
                    </w:rPr>
                  </w:pPr>
                  <w:r>
                    <w:rPr>
                      <w:szCs w:val="21"/>
                    </w:rPr>
                    <w:t>饱和蒸气压（kPa）</w:t>
                  </w:r>
                </w:p>
              </w:tc>
              <w:tc>
                <w:tcPr>
                  <w:tcW w:w="1585" w:type="pct"/>
                  <w:gridSpan w:val="2"/>
                  <w:vAlign w:val="center"/>
                </w:tcPr>
                <w:p w14:paraId="5399A61B">
                  <w:pPr>
                    <w:jc w:val="center"/>
                    <w:rPr>
                      <w:szCs w:val="21"/>
                    </w:rPr>
                  </w:pPr>
                  <w:r>
                    <w:rPr>
                      <w:szCs w:val="21"/>
                    </w:rPr>
                    <w:t>/</w:t>
                  </w:r>
                </w:p>
              </w:tc>
            </w:tr>
            <w:tr w14:paraId="6AEAA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exact"/>
                <w:jc w:val="center"/>
              </w:trPr>
              <w:tc>
                <w:tcPr>
                  <w:tcW w:w="346" w:type="pct"/>
                  <w:vMerge w:val="continue"/>
                  <w:vAlign w:val="center"/>
                </w:tcPr>
                <w:p w14:paraId="6851F5B8">
                  <w:pPr>
                    <w:jc w:val="center"/>
                    <w:rPr>
                      <w:szCs w:val="21"/>
                    </w:rPr>
                  </w:pPr>
                </w:p>
              </w:tc>
              <w:tc>
                <w:tcPr>
                  <w:tcW w:w="907" w:type="pct"/>
                  <w:vAlign w:val="center"/>
                </w:tcPr>
                <w:p w14:paraId="22DA8764">
                  <w:pPr>
                    <w:jc w:val="center"/>
                    <w:rPr>
                      <w:szCs w:val="21"/>
                    </w:rPr>
                  </w:pPr>
                  <w:r>
                    <w:rPr>
                      <w:szCs w:val="21"/>
                    </w:rPr>
                    <w:t>溶解性</w:t>
                  </w:r>
                </w:p>
              </w:tc>
              <w:tc>
                <w:tcPr>
                  <w:tcW w:w="3745" w:type="pct"/>
                  <w:gridSpan w:val="6"/>
                  <w:vAlign w:val="center"/>
                </w:tcPr>
                <w:p w14:paraId="7A2E9582">
                  <w:pPr>
                    <w:jc w:val="center"/>
                    <w:rPr>
                      <w:szCs w:val="21"/>
                    </w:rPr>
                  </w:pPr>
                  <w:r>
                    <w:rPr>
                      <w:szCs w:val="21"/>
                    </w:rPr>
                    <w:t>微溶于水，溶于乙醇、乙醚。</w:t>
                  </w:r>
                </w:p>
              </w:tc>
            </w:tr>
            <w:tr w14:paraId="2DFFC5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53" w:hRule="exact"/>
                <w:jc w:val="center"/>
              </w:trPr>
              <w:tc>
                <w:tcPr>
                  <w:tcW w:w="346" w:type="pct"/>
                  <w:vMerge w:val="restart"/>
                  <w:vAlign w:val="center"/>
                </w:tcPr>
                <w:p w14:paraId="095CD470">
                  <w:pPr>
                    <w:jc w:val="center"/>
                    <w:rPr>
                      <w:szCs w:val="21"/>
                    </w:rPr>
                  </w:pPr>
                  <w:r>
                    <w:rPr>
                      <w:szCs w:val="21"/>
                    </w:rPr>
                    <w:t>毒性及健康危害</w:t>
                  </w:r>
                </w:p>
              </w:tc>
              <w:tc>
                <w:tcPr>
                  <w:tcW w:w="907" w:type="pct"/>
                  <w:vAlign w:val="center"/>
                </w:tcPr>
                <w:p w14:paraId="30B022C3">
                  <w:pPr>
                    <w:jc w:val="center"/>
                    <w:rPr>
                      <w:szCs w:val="21"/>
                    </w:rPr>
                  </w:pPr>
                  <w:r>
                    <w:rPr>
                      <w:szCs w:val="21"/>
                    </w:rPr>
                    <w:t>侵入途径</w:t>
                  </w:r>
                </w:p>
              </w:tc>
              <w:tc>
                <w:tcPr>
                  <w:tcW w:w="3745" w:type="pct"/>
                  <w:gridSpan w:val="6"/>
                  <w:vAlign w:val="center"/>
                </w:tcPr>
                <w:p w14:paraId="3C12AA3F">
                  <w:pPr>
                    <w:jc w:val="center"/>
                    <w:rPr>
                      <w:szCs w:val="21"/>
                    </w:rPr>
                  </w:pPr>
                  <w:r>
                    <w:rPr>
                      <w:szCs w:val="21"/>
                    </w:rPr>
                    <w:t>吸入。</w:t>
                  </w:r>
                </w:p>
              </w:tc>
            </w:tr>
            <w:tr w14:paraId="32BFD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53" w:hRule="exact"/>
                <w:jc w:val="center"/>
              </w:trPr>
              <w:tc>
                <w:tcPr>
                  <w:tcW w:w="346" w:type="pct"/>
                  <w:vMerge w:val="continue"/>
                  <w:vAlign w:val="center"/>
                </w:tcPr>
                <w:p w14:paraId="55D4E4B9">
                  <w:pPr>
                    <w:jc w:val="center"/>
                    <w:rPr>
                      <w:szCs w:val="21"/>
                    </w:rPr>
                  </w:pPr>
                </w:p>
              </w:tc>
              <w:tc>
                <w:tcPr>
                  <w:tcW w:w="907" w:type="pct"/>
                  <w:vAlign w:val="center"/>
                </w:tcPr>
                <w:p w14:paraId="2FB62513">
                  <w:pPr>
                    <w:jc w:val="center"/>
                    <w:rPr>
                      <w:szCs w:val="21"/>
                    </w:rPr>
                  </w:pPr>
                  <w:r>
                    <w:rPr>
                      <w:szCs w:val="21"/>
                    </w:rPr>
                    <w:t>毒性</w:t>
                  </w:r>
                </w:p>
              </w:tc>
              <w:tc>
                <w:tcPr>
                  <w:tcW w:w="3745" w:type="pct"/>
                  <w:gridSpan w:val="6"/>
                  <w:vAlign w:val="center"/>
                </w:tcPr>
                <w:p w14:paraId="6F9F3B51">
                  <w:pPr>
                    <w:jc w:val="center"/>
                    <w:rPr>
                      <w:szCs w:val="21"/>
                    </w:rPr>
                  </w:pPr>
                  <w:r>
                    <w:rPr>
                      <w:szCs w:val="21"/>
                    </w:rPr>
                    <w:t>LD50：LC50：</w:t>
                  </w:r>
                </w:p>
              </w:tc>
            </w:tr>
            <w:tr w14:paraId="3E0EC4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038" w:hRule="exact"/>
                <w:jc w:val="center"/>
              </w:trPr>
              <w:tc>
                <w:tcPr>
                  <w:tcW w:w="346" w:type="pct"/>
                  <w:vMerge w:val="continue"/>
                  <w:vAlign w:val="center"/>
                </w:tcPr>
                <w:p w14:paraId="585AA158">
                  <w:pPr>
                    <w:jc w:val="center"/>
                    <w:rPr>
                      <w:szCs w:val="21"/>
                    </w:rPr>
                  </w:pPr>
                </w:p>
              </w:tc>
              <w:tc>
                <w:tcPr>
                  <w:tcW w:w="907" w:type="pct"/>
                  <w:vAlign w:val="center"/>
                </w:tcPr>
                <w:p w14:paraId="02047DD4">
                  <w:pPr>
                    <w:jc w:val="center"/>
                    <w:rPr>
                      <w:szCs w:val="21"/>
                    </w:rPr>
                  </w:pPr>
                  <w:r>
                    <w:rPr>
                      <w:szCs w:val="21"/>
                    </w:rPr>
                    <w:t>健康危害</w:t>
                  </w:r>
                </w:p>
              </w:tc>
              <w:tc>
                <w:tcPr>
                  <w:tcW w:w="3745" w:type="pct"/>
                  <w:gridSpan w:val="6"/>
                  <w:vAlign w:val="center"/>
                </w:tcPr>
                <w:p w14:paraId="3FA9D320">
                  <w:pPr>
                    <w:jc w:val="center"/>
                    <w:rPr>
                      <w:szCs w:val="21"/>
                    </w:rPr>
                  </w:pPr>
                  <w:r>
                    <w:rPr>
                      <w:szCs w:val="21"/>
                    </w:rPr>
                    <w:t>天然气主要由甲烷组成，其性质与纯甲烷相似，属“单纯窒息性”气体，高浓度时因缺氧而引起窒息。空气中甲烷浓度达到25%~30%时，出现头昏、呼吸加速、运动失调。</w:t>
                  </w:r>
                </w:p>
              </w:tc>
            </w:tr>
            <w:tr w14:paraId="0590B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93" w:hRule="exact"/>
                <w:jc w:val="center"/>
              </w:trPr>
              <w:tc>
                <w:tcPr>
                  <w:tcW w:w="346" w:type="pct"/>
                  <w:vMerge w:val="continue"/>
                  <w:vAlign w:val="center"/>
                </w:tcPr>
                <w:p w14:paraId="03713278">
                  <w:pPr>
                    <w:jc w:val="center"/>
                    <w:rPr>
                      <w:szCs w:val="21"/>
                    </w:rPr>
                  </w:pPr>
                </w:p>
              </w:tc>
              <w:tc>
                <w:tcPr>
                  <w:tcW w:w="907" w:type="pct"/>
                  <w:vAlign w:val="center"/>
                </w:tcPr>
                <w:p w14:paraId="7B3BBFBC">
                  <w:pPr>
                    <w:jc w:val="center"/>
                    <w:rPr>
                      <w:szCs w:val="21"/>
                    </w:rPr>
                  </w:pPr>
                  <w:r>
                    <w:rPr>
                      <w:szCs w:val="21"/>
                    </w:rPr>
                    <w:t>急救方法</w:t>
                  </w:r>
                </w:p>
              </w:tc>
              <w:tc>
                <w:tcPr>
                  <w:tcW w:w="3745" w:type="pct"/>
                  <w:gridSpan w:val="6"/>
                  <w:vAlign w:val="center"/>
                </w:tcPr>
                <w:p w14:paraId="01A47EFB">
                  <w:pPr>
                    <w:jc w:val="center"/>
                    <w:rPr>
                      <w:szCs w:val="21"/>
                    </w:rPr>
                  </w:pPr>
                  <w:r>
                    <w:rPr>
                      <w:szCs w:val="21"/>
                    </w:rPr>
                    <w:t>应使吸入天然气的患者脱离污染区，安置休息并保暖；当呼吸失调时进行输氧；如呼吸停止，应先清洗口腔和呼吸道中的黏液及呕吐物，然后立即进行口对口人工呼吸，并送医院急救。</w:t>
                  </w:r>
                </w:p>
              </w:tc>
            </w:tr>
            <w:tr w14:paraId="6D27F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exact"/>
                <w:jc w:val="center"/>
              </w:trPr>
              <w:tc>
                <w:tcPr>
                  <w:tcW w:w="346" w:type="pct"/>
                  <w:vMerge w:val="restart"/>
                  <w:vAlign w:val="center"/>
                </w:tcPr>
                <w:p w14:paraId="0B4CC7B5">
                  <w:pPr>
                    <w:jc w:val="center"/>
                    <w:rPr>
                      <w:szCs w:val="21"/>
                    </w:rPr>
                  </w:pPr>
                  <w:r>
                    <w:rPr>
                      <w:szCs w:val="21"/>
                    </w:rPr>
                    <w:t>燃烧爆炸危险性</w:t>
                  </w:r>
                </w:p>
              </w:tc>
              <w:tc>
                <w:tcPr>
                  <w:tcW w:w="907" w:type="pct"/>
                  <w:vAlign w:val="center"/>
                </w:tcPr>
                <w:p w14:paraId="2495D636">
                  <w:pPr>
                    <w:jc w:val="center"/>
                    <w:rPr>
                      <w:szCs w:val="21"/>
                    </w:rPr>
                  </w:pPr>
                  <w:r>
                    <w:rPr>
                      <w:szCs w:val="21"/>
                    </w:rPr>
                    <w:t>燃烧性</w:t>
                  </w:r>
                </w:p>
              </w:tc>
              <w:tc>
                <w:tcPr>
                  <w:tcW w:w="1073" w:type="pct"/>
                  <w:gridSpan w:val="2"/>
                  <w:vAlign w:val="center"/>
                </w:tcPr>
                <w:p w14:paraId="60775C60">
                  <w:pPr>
                    <w:jc w:val="center"/>
                    <w:rPr>
                      <w:szCs w:val="21"/>
                    </w:rPr>
                  </w:pPr>
                  <w:r>
                    <w:rPr>
                      <w:szCs w:val="21"/>
                    </w:rPr>
                    <w:t>易燃</w:t>
                  </w:r>
                </w:p>
              </w:tc>
              <w:tc>
                <w:tcPr>
                  <w:tcW w:w="1085" w:type="pct"/>
                  <w:gridSpan w:val="2"/>
                  <w:vAlign w:val="center"/>
                </w:tcPr>
                <w:p w14:paraId="51BE95A5">
                  <w:pPr>
                    <w:jc w:val="center"/>
                    <w:rPr>
                      <w:szCs w:val="21"/>
                    </w:rPr>
                  </w:pPr>
                  <w:r>
                    <w:rPr>
                      <w:szCs w:val="21"/>
                    </w:rPr>
                    <w:t>燃烧分解物</w:t>
                  </w:r>
                </w:p>
              </w:tc>
              <w:tc>
                <w:tcPr>
                  <w:tcW w:w="1585" w:type="pct"/>
                  <w:gridSpan w:val="2"/>
                  <w:vAlign w:val="center"/>
                </w:tcPr>
                <w:p w14:paraId="0637F37D">
                  <w:pPr>
                    <w:jc w:val="center"/>
                    <w:rPr>
                      <w:szCs w:val="21"/>
                    </w:rPr>
                  </w:pPr>
                  <w:r>
                    <w:rPr>
                      <w:szCs w:val="21"/>
                    </w:rPr>
                    <w:t>/</w:t>
                  </w:r>
                </w:p>
              </w:tc>
            </w:tr>
            <w:tr w14:paraId="3D0173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09" w:hRule="exact"/>
                <w:jc w:val="center"/>
              </w:trPr>
              <w:tc>
                <w:tcPr>
                  <w:tcW w:w="346" w:type="pct"/>
                  <w:vMerge w:val="continue"/>
                  <w:vAlign w:val="center"/>
                </w:tcPr>
                <w:p w14:paraId="6EE102AD">
                  <w:pPr>
                    <w:jc w:val="center"/>
                    <w:rPr>
                      <w:szCs w:val="21"/>
                    </w:rPr>
                  </w:pPr>
                </w:p>
              </w:tc>
              <w:tc>
                <w:tcPr>
                  <w:tcW w:w="907" w:type="pct"/>
                  <w:vAlign w:val="center"/>
                </w:tcPr>
                <w:p w14:paraId="3A0BC36E">
                  <w:pPr>
                    <w:jc w:val="center"/>
                    <w:rPr>
                      <w:szCs w:val="21"/>
                    </w:rPr>
                  </w:pPr>
                  <w:r>
                    <w:rPr>
                      <w:szCs w:val="21"/>
                    </w:rPr>
                    <w:t>闪点（℃）</w:t>
                  </w:r>
                </w:p>
              </w:tc>
              <w:tc>
                <w:tcPr>
                  <w:tcW w:w="1073" w:type="pct"/>
                  <w:gridSpan w:val="2"/>
                  <w:vAlign w:val="center"/>
                </w:tcPr>
                <w:p w14:paraId="10047061">
                  <w:pPr>
                    <w:jc w:val="center"/>
                    <w:rPr>
                      <w:szCs w:val="21"/>
                    </w:rPr>
                  </w:pPr>
                  <w:r>
                    <w:rPr>
                      <w:szCs w:val="21"/>
                    </w:rPr>
                    <w:t>/</w:t>
                  </w:r>
                </w:p>
              </w:tc>
              <w:tc>
                <w:tcPr>
                  <w:tcW w:w="1085" w:type="pct"/>
                  <w:gridSpan w:val="2"/>
                  <w:vAlign w:val="center"/>
                </w:tcPr>
                <w:p w14:paraId="566BD575">
                  <w:pPr>
                    <w:jc w:val="center"/>
                    <w:rPr>
                      <w:szCs w:val="21"/>
                    </w:rPr>
                  </w:pPr>
                  <w:r>
                    <w:rPr>
                      <w:szCs w:val="21"/>
                    </w:rPr>
                    <w:t>爆炸上限（V%）</w:t>
                  </w:r>
                </w:p>
              </w:tc>
              <w:tc>
                <w:tcPr>
                  <w:tcW w:w="1585" w:type="pct"/>
                  <w:gridSpan w:val="2"/>
                  <w:vAlign w:val="center"/>
                </w:tcPr>
                <w:p w14:paraId="30B1C103">
                  <w:pPr>
                    <w:jc w:val="center"/>
                    <w:rPr>
                      <w:szCs w:val="21"/>
                    </w:rPr>
                  </w:pPr>
                  <w:r>
                    <w:rPr>
                      <w:szCs w:val="21"/>
                    </w:rPr>
                    <w:t>15</w:t>
                  </w:r>
                </w:p>
              </w:tc>
            </w:tr>
            <w:tr w14:paraId="23127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19" w:hRule="exact"/>
                <w:jc w:val="center"/>
              </w:trPr>
              <w:tc>
                <w:tcPr>
                  <w:tcW w:w="346" w:type="pct"/>
                  <w:vMerge w:val="continue"/>
                  <w:vAlign w:val="center"/>
                </w:tcPr>
                <w:p w14:paraId="51ED14B4">
                  <w:pPr>
                    <w:jc w:val="center"/>
                    <w:rPr>
                      <w:szCs w:val="21"/>
                    </w:rPr>
                  </w:pPr>
                </w:p>
              </w:tc>
              <w:tc>
                <w:tcPr>
                  <w:tcW w:w="907" w:type="pct"/>
                  <w:vAlign w:val="center"/>
                </w:tcPr>
                <w:p w14:paraId="52CBBD03">
                  <w:pPr>
                    <w:jc w:val="center"/>
                    <w:rPr>
                      <w:szCs w:val="21"/>
                    </w:rPr>
                  </w:pPr>
                  <w:r>
                    <w:rPr>
                      <w:szCs w:val="21"/>
                    </w:rPr>
                    <w:t>引燃温度（℃）</w:t>
                  </w:r>
                </w:p>
              </w:tc>
              <w:tc>
                <w:tcPr>
                  <w:tcW w:w="1073" w:type="pct"/>
                  <w:gridSpan w:val="2"/>
                  <w:vAlign w:val="center"/>
                </w:tcPr>
                <w:p w14:paraId="67C86483">
                  <w:pPr>
                    <w:jc w:val="center"/>
                    <w:rPr>
                      <w:szCs w:val="21"/>
                    </w:rPr>
                  </w:pPr>
                  <w:r>
                    <w:rPr>
                      <w:szCs w:val="21"/>
                    </w:rPr>
                    <w:t>537</w:t>
                  </w:r>
                </w:p>
              </w:tc>
              <w:tc>
                <w:tcPr>
                  <w:tcW w:w="1085" w:type="pct"/>
                  <w:gridSpan w:val="2"/>
                  <w:vAlign w:val="center"/>
                </w:tcPr>
                <w:p w14:paraId="5BC59FCD">
                  <w:pPr>
                    <w:jc w:val="center"/>
                    <w:rPr>
                      <w:szCs w:val="21"/>
                    </w:rPr>
                  </w:pPr>
                  <w:r>
                    <w:rPr>
                      <w:szCs w:val="21"/>
                    </w:rPr>
                    <w:t>爆炸下限（V%）</w:t>
                  </w:r>
                </w:p>
              </w:tc>
              <w:tc>
                <w:tcPr>
                  <w:tcW w:w="1585" w:type="pct"/>
                  <w:gridSpan w:val="2"/>
                  <w:vAlign w:val="center"/>
                </w:tcPr>
                <w:p w14:paraId="5A4A40CD">
                  <w:pPr>
                    <w:jc w:val="center"/>
                    <w:rPr>
                      <w:szCs w:val="21"/>
                    </w:rPr>
                  </w:pPr>
                  <w:r>
                    <w:rPr>
                      <w:szCs w:val="21"/>
                    </w:rPr>
                    <w:t>5.3</w:t>
                  </w:r>
                </w:p>
              </w:tc>
            </w:tr>
            <w:tr w14:paraId="5416A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034" w:hRule="exact"/>
                <w:jc w:val="center"/>
              </w:trPr>
              <w:tc>
                <w:tcPr>
                  <w:tcW w:w="346" w:type="pct"/>
                  <w:vMerge w:val="continue"/>
                  <w:vAlign w:val="center"/>
                </w:tcPr>
                <w:p w14:paraId="2215D5E3">
                  <w:pPr>
                    <w:jc w:val="center"/>
                    <w:rPr>
                      <w:szCs w:val="21"/>
                    </w:rPr>
                  </w:pPr>
                </w:p>
              </w:tc>
              <w:tc>
                <w:tcPr>
                  <w:tcW w:w="907" w:type="pct"/>
                  <w:vAlign w:val="center"/>
                </w:tcPr>
                <w:p w14:paraId="50602095">
                  <w:pPr>
                    <w:jc w:val="center"/>
                    <w:rPr>
                      <w:szCs w:val="21"/>
                    </w:rPr>
                  </w:pPr>
                  <w:r>
                    <w:rPr>
                      <w:szCs w:val="21"/>
                    </w:rPr>
                    <w:t>危险特性</w:t>
                  </w:r>
                </w:p>
              </w:tc>
              <w:tc>
                <w:tcPr>
                  <w:tcW w:w="3745" w:type="pct"/>
                  <w:gridSpan w:val="6"/>
                  <w:vAlign w:val="center"/>
                </w:tcPr>
                <w:p w14:paraId="7A22FD82">
                  <w:pPr>
                    <w:jc w:val="center"/>
                    <w:rPr>
                      <w:szCs w:val="21"/>
                    </w:rPr>
                  </w:pPr>
                  <w:r>
                    <w:rPr>
                      <w:szCs w:val="21"/>
                    </w:rPr>
                    <w:t>蒸气能与空气形成爆炸性混合物；遇热源、明火着火、爆炸危险。与五氟化溴、氯气、次氯酸、三氟化氮、液氧、二氟化溴、强氧化剂接触剧烈反应。</w:t>
                  </w:r>
                </w:p>
              </w:tc>
            </w:tr>
            <w:tr w14:paraId="25504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024" w:hRule="exact"/>
                <w:jc w:val="center"/>
              </w:trPr>
              <w:tc>
                <w:tcPr>
                  <w:tcW w:w="346" w:type="pct"/>
                  <w:vMerge w:val="continue"/>
                  <w:vAlign w:val="center"/>
                </w:tcPr>
                <w:p w14:paraId="4312687F">
                  <w:pPr>
                    <w:jc w:val="center"/>
                    <w:rPr>
                      <w:szCs w:val="21"/>
                    </w:rPr>
                  </w:pPr>
                </w:p>
              </w:tc>
              <w:tc>
                <w:tcPr>
                  <w:tcW w:w="907" w:type="pct"/>
                  <w:vAlign w:val="center"/>
                </w:tcPr>
                <w:p w14:paraId="301A34CD">
                  <w:pPr>
                    <w:jc w:val="center"/>
                    <w:rPr>
                      <w:szCs w:val="21"/>
                    </w:rPr>
                  </w:pPr>
                  <w:r>
                    <w:rPr>
                      <w:szCs w:val="21"/>
                    </w:rPr>
                    <w:t>储运条件与泄漏处理</w:t>
                  </w:r>
                </w:p>
              </w:tc>
              <w:tc>
                <w:tcPr>
                  <w:tcW w:w="3745" w:type="pct"/>
                  <w:gridSpan w:val="6"/>
                  <w:vAlign w:val="center"/>
                </w:tcPr>
                <w:p w14:paraId="14C2E82B">
                  <w:pPr>
                    <w:jc w:val="center"/>
                    <w:rPr>
                      <w:szCs w:val="21"/>
                    </w:rPr>
                  </w:pPr>
                  <w:r>
                    <w:rPr>
                      <w:szCs w:val="21"/>
                    </w:rPr>
                    <w:t>储运条件：储存在阴凉、通风良好的专用库房内或大型气柜，远离容易起火的地方。与五氟化溴、氯气、二氧化氯、液氧、二氟化氧、氧化剂隔离储运。</w:t>
                  </w:r>
                </w:p>
                <w:p w14:paraId="1A637B3A">
                  <w:pPr>
                    <w:jc w:val="center"/>
                    <w:rPr>
                      <w:szCs w:val="21"/>
                    </w:rPr>
                  </w:pPr>
                  <w:r>
                    <w:rPr>
                      <w:szCs w:val="21"/>
                    </w:rPr>
                    <w:t>泄漏处理：切断火源，勿使其燃烧，同时关闭阀门等，制止渗漏；并用雾状水保护阀门人员；操作时必须穿戴防毒面具与手套。对残余废气或钢瓶泄漏出气要用排风机排至空旷地方。</w:t>
                  </w:r>
                </w:p>
              </w:tc>
            </w:tr>
            <w:tr w14:paraId="324A2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exact"/>
                <w:jc w:val="center"/>
              </w:trPr>
              <w:tc>
                <w:tcPr>
                  <w:tcW w:w="346" w:type="pct"/>
                  <w:vMerge w:val="continue"/>
                  <w:vAlign w:val="center"/>
                </w:tcPr>
                <w:p w14:paraId="3EF898E3">
                  <w:pPr>
                    <w:jc w:val="center"/>
                    <w:rPr>
                      <w:szCs w:val="21"/>
                    </w:rPr>
                  </w:pPr>
                </w:p>
              </w:tc>
              <w:tc>
                <w:tcPr>
                  <w:tcW w:w="907" w:type="pct"/>
                  <w:vAlign w:val="center"/>
                </w:tcPr>
                <w:p w14:paraId="1D932898">
                  <w:pPr>
                    <w:jc w:val="center"/>
                    <w:rPr>
                      <w:szCs w:val="21"/>
                    </w:rPr>
                  </w:pPr>
                  <w:r>
                    <w:rPr>
                      <w:szCs w:val="21"/>
                    </w:rPr>
                    <w:t>灭火方法</w:t>
                  </w:r>
                </w:p>
              </w:tc>
              <w:tc>
                <w:tcPr>
                  <w:tcW w:w="3745" w:type="pct"/>
                  <w:gridSpan w:val="6"/>
                  <w:vAlign w:val="center"/>
                </w:tcPr>
                <w:p w14:paraId="09393EC8">
                  <w:pPr>
                    <w:jc w:val="center"/>
                    <w:rPr>
                      <w:szCs w:val="21"/>
                    </w:rPr>
                  </w:pPr>
                  <w:r>
                    <w:rPr>
                      <w:szCs w:val="21"/>
                    </w:rPr>
                    <w:t>用泡沫、雾状水、二氧化碳、干粉。</w:t>
                  </w:r>
                </w:p>
              </w:tc>
            </w:tr>
          </w:tbl>
          <w:p w14:paraId="5302888A">
            <w:pPr>
              <w:spacing w:line="360" w:lineRule="auto"/>
              <w:rPr>
                <w:rFonts w:eastAsia="Times New Roman"/>
                <w:b/>
                <w:bCs/>
                <w:kern w:val="0"/>
              </w:rPr>
            </w:pPr>
            <w:r>
              <w:rPr>
                <w:rFonts w:hint="eastAsia" w:eastAsia="Times New Roman"/>
                <w:b/>
                <w:bCs/>
                <w:kern w:val="0"/>
              </w:rPr>
              <w:t>4.8</w:t>
            </w:r>
            <w:r>
              <w:rPr>
                <w:rFonts w:eastAsia="Times New Roman"/>
                <w:b/>
                <w:bCs/>
                <w:kern w:val="0"/>
              </w:rPr>
              <w:t>.</w:t>
            </w:r>
            <w:r>
              <w:rPr>
                <w:rFonts w:hint="eastAsia" w:eastAsia="Times New Roman"/>
                <w:b/>
                <w:bCs/>
                <w:kern w:val="0"/>
              </w:rPr>
              <w:t>7</w:t>
            </w:r>
            <w:r>
              <w:rPr>
                <w:rFonts w:eastAsia="Times New Roman"/>
                <w:b/>
                <w:bCs/>
                <w:kern w:val="0"/>
              </w:rPr>
              <w:t>环境风险防范措施及应急要求</w:t>
            </w:r>
          </w:p>
          <w:p w14:paraId="015DC3C7">
            <w:pPr>
              <w:spacing w:line="360" w:lineRule="auto"/>
              <w:ind w:firstLine="420" w:firstLineChars="200"/>
              <w:rPr>
                <w:szCs w:val="21"/>
              </w:rPr>
            </w:pPr>
            <w:r>
              <w:rPr>
                <w:szCs w:val="21"/>
              </w:rPr>
              <w:t>本项目提出了以下风险防范指施。</w:t>
            </w:r>
          </w:p>
          <w:p w14:paraId="4A83A6CA">
            <w:pPr>
              <w:spacing w:line="360" w:lineRule="auto"/>
              <w:rPr>
                <w:szCs w:val="21"/>
              </w:rPr>
            </w:pPr>
            <w:r>
              <w:rPr>
                <w:rFonts w:hint="eastAsia"/>
                <w:szCs w:val="21"/>
              </w:rPr>
              <w:t>（1）设计上采取的防范措施</w:t>
            </w:r>
          </w:p>
          <w:p w14:paraId="2E8DF14B">
            <w:pPr>
              <w:spacing w:line="360" w:lineRule="auto"/>
              <w:ind w:firstLine="420" w:firstLineChars="200"/>
              <w:rPr>
                <w:szCs w:val="21"/>
              </w:rPr>
            </w:pPr>
            <w:r>
              <w:rPr>
                <w:rFonts w:hint="eastAsia"/>
                <w:szCs w:val="21"/>
              </w:rPr>
              <w:t>①装置尽量采用先进合理、安全可靠的装置，从根本上提高装置的安全性，防止和减少事故的发生。</w:t>
            </w:r>
          </w:p>
          <w:p w14:paraId="04B8C5E7">
            <w:pPr>
              <w:spacing w:line="360" w:lineRule="auto"/>
              <w:ind w:firstLine="420" w:firstLineChars="200"/>
              <w:rPr>
                <w:szCs w:val="21"/>
              </w:rPr>
            </w:pPr>
            <w:r>
              <w:rPr>
                <w:rFonts w:hint="eastAsia"/>
                <w:szCs w:val="21"/>
              </w:rPr>
              <w:t>②存在火灾隐患的装置区内应设火灾报警系统。</w:t>
            </w:r>
          </w:p>
          <w:p w14:paraId="4678F96E">
            <w:pPr>
              <w:spacing w:line="360" w:lineRule="auto"/>
              <w:ind w:firstLine="420" w:firstLineChars="200"/>
              <w:rPr>
                <w:szCs w:val="21"/>
              </w:rPr>
            </w:pPr>
            <w:r>
              <w:rPr>
                <w:rFonts w:hint="eastAsia"/>
                <w:szCs w:val="21"/>
              </w:rPr>
              <w:t>③设置设施完备的消防系统。</w:t>
            </w:r>
          </w:p>
          <w:p w14:paraId="099544B8">
            <w:pPr>
              <w:spacing w:line="360" w:lineRule="auto"/>
              <w:ind w:firstLine="420" w:firstLineChars="200"/>
              <w:rPr>
                <w:szCs w:val="21"/>
              </w:rPr>
            </w:pPr>
            <w:r>
              <w:rPr>
                <w:rFonts w:hint="eastAsia"/>
                <w:szCs w:val="21"/>
              </w:rPr>
              <w:t>④运行期间制定HSE管理体系规划、防止突发性事故发生。</w:t>
            </w:r>
          </w:p>
          <w:p w14:paraId="2910794C">
            <w:pPr>
              <w:spacing w:line="360" w:lineRule="auto"/>
              <w:ind w:firstLine="420" w:firstLineChars="200"/>
              <w:rPr>
                <w:szCs w:val="21"/>
              </w:rPr>
            </w:pPr>
            <w:r>
              <w:rPr>
                <w:rFonts w:hint="eastAsia"/>
                <w:szCs w:val="21"/>
              </w:rPr>
              <w:t>⑤建立与现有安全管理体系完全接轨的管理组织机构，并设专职管理人员。</w:t>
            </w:r>
          </w:p>
          <w:p w14:paraId="3223B193">
            <w:pPr>
              <w:spacing w:line="360" w:lineRule="auto"/>
              <w:ind w:firstLine="420" w:firstLineChars="200"/>
              <w:rPr>
                <w:szCs w:val="21"/>
              </w:rPr>
            </w:pPr>
            <w:r>
              <w:rPr>
                <w:rFonts w:hint="eastAsia"/>
                <w:szCs w:val="21"/>
              </w:rPr>
              <w:t>⑥对项目所在地较近的居民定期宣传风险事故可能造成的影响，并提供应急预案。</w:t>
            </w:r>
          </w:p>
          <w:p w14:paraId="7CC125B6">
            <w:pPr>
              <w:spacing w:line="360" w:lineRule="auto"/>
              <w:rPr>
                <w:szCs w:val="21"/>
              </w:rPr>
            </w:pPr>
            <w:r>
              <w:rPr>
                <w:rFonts w:hint="eastAsia"/>
                <w:szCs w:val="21"/>
              </w:rPr>
              <w:t>（2）运输、储存及生产过程中风险防范对策与措施</w:t>
            </w:r>
          </w:p>
          <w:p w14:paraId="1A3DEEF4">
            <w:pPr>
              <w:spacing w:line="360" w:lineRule="auto"/>
              <w:ind w:firstLine="420" w:firstLineChars="200"/>
              <w:rPr>
                <w:szCs w:val="21"/>
              </w:rPr>
            </w:pPr>
            <w:r>
              <w:rPr>
                <w:rFonts w:hint="eastAsia"/>
                <w:szCs w:val="21"/>
              </w:rPr>
              <w:t>根据有毒有害物料的理化性质、毒性学特征，环境风险因素分析，以及该项目产品的运输、储存方式，充分考虑工程所处的地理位置、区域自然环境和社会概况，对罐区运输、储存过程中的环境风险提出以下防范对策与措施：</w:t>
            </w:r>
          </w:p>
          <w:p w14:paraId="62C0ADB5">
            <w:pPr>
              <w:spacing w:line="360" w:lineRule="auto"/>
              <w:ind w:firstLine="420" w:firstLineChars="200"/>
              <w:rPr>
                <w:szCs w:val="21"/>
              </w:rPr>
            </w:pPr>
            <w:r>
              <w:rPr>
                <w:rFonts w:hint="eastAsia"/>
                <w:szCs w:val="21"/>
              </w:rPr>
              <w:t>在运输、储存过程中的员工操作提出以下防范对策与措施：</w:t>
            </w:r>
          </w:p>
          <w:p w14:paraId="18957EDC">
            <w:pPr>
              <w:spacing w:line="360" w:lineRule="auto"/>
              <w:ind w:firstLine="420" w:firstLineChars="200"/>
              <w:rPr>
                <w:szCs w:val="21"/>
              </w:rPr>
            </w:pPr>
            <w:r>
              <w:rPr>
                <w:rFonts w:hint="eastAsia"/>
                <w:szCs w:val="21"/>
              </w:rPr>
              <w:t>①呼吸系统防护：空气中浓度超标时，建议佩戴自吸过滤式防毒面具（半面罩）。紧急事态抢救或撤离时，应佩戴空气呼吸器。</w:t>
            </w:r>
          </w:p>
          <w:p w14:paraId="378DE76E">
            <w:pPr>
              <w:spacing w:line="360" w:lineRule="auto"/>
              <w:ind w:firstLine="420" w:firstLineChars="200"/>
              <w:rPr>
                <w:szCs w:val="21"/>
              </w:rPr>
            </w:pPr>
            <w:r>
              <w:rPr>
                <w:rFonts w:hint="eastAsia"/>
                <w:szCs w:val="21"/>
              </w:rPr>
              <w:t>②眼睛防护：戴化学安全防护眼镜。</w:t>
            </w:r>
          </w:p>
          <w:p w14:paraId="78C1FF83">
            <w:pPr>
              <w:spacing w:line="360" w:lineRule="auto"/>
              <w:ind w:firstLine="420" w:firstLineChars="200"/>
              <w:rPr>
                <w:szCs w:val="21"/>
              </w:rPr>
            </w:pPr>
            <w:r>
              <w:rPr>
                <w:rFonts w:hint="eastAsia"/>
                <w:szCs w:val="21"/>
              </w:rPr>
              <w:t>③身体防护：穿一般作业防护服。</w:t>
            </w:r>
          </w:p>
          <w:p w14:paraId="5A61DE60">
            <w:pPr>
              <w:spacing w:line="360" w:lineRule="auto"/>
              <w:ind w:firstLine="420" w:firstLineChars="200"/>
              <w:rPr>
                <w:szCs w:val="21"/>
              </w:rPr>
            </w:pPr>
            <w:r>
              <w:rPr>
                <w:rFonts w:hint="eastAsia"/>
                <w:szCs w:val="21"/>
              </w:rPr>
              <w:t>④手防护：戴橡胶耐油手套。</w:t>
            </w:r>
          </w:p>
          <w:p w14:paraId="0A8B76B4">
            <w:pPr>
              <w:spacing w:line="360" w:lineRule="auto"/>
              <w:ind w:firstLine="420" w:firstLineChars="200"/>
              <w:rPr>
                <w:szCs w:val="21"/>
              </w:rPr>
            </w:pPr>
            <w:r>
              <w:rPr>
                <w:rFonts w:hint="eastAsia"/>
                <w:szCs w:val="21"/>
              </w:rPr>
              <w:t>通过采取以上安全防范措施和配备相应的应急预案及消防措施，可以最大程度的减少风险事故的发生以及风险事故发生时造成的对环境和人身安全的伤害。该项目建成后，虽存在发生风险事故的可能，但概率很低，且由于其不属于重大危险源，发生环境风险事故的后果较小，在可以接受的范围内。</w:t>
            </w:r>
          </w:p>
          <w:p w14:paraId="45FC6C28">
            <w:pPr>
              <w:spacing w:line="360" w:lineRule="auto"/>
              <w:ind w:firstLine="420" w:firstLineChars="200"/>
              <w:rPr>
                <w:szCs w:val="21"/>
              </w:rPr>
            </w:pPr>
            <w:r>
              <w:rPr>
                <w:rFonts w:hint="eastAsia"/>
                <w:szCs w:val="21"/>
              </w:rPr>
              <w:t>（3</w:t>
            </w:r>
            <w:r>
              <w:rPr>
                <w:szCs w:val="21"/>
              </w:rPr>
              <w:t>）泄漏事故应急措施</w:t>
            </w:r>
          </w:p>
          <w:p w14:paraId="68FBE2D4">
            <w:pPr>
              <w:spacing w:line="360" w:lineRule="auto"/>
              <w:ind w:firstLine="420" w:firstLineChars="200"/>
              <w:rPr>
                <w:szCs w:val="21"/>
              </w:rPr>
            </w:pPr>
            <w:r>
              <w:rPr>
                <w:rFonts w:hint="eastAsia"/>
                <w:szCs w:val="21"/>
              </w:rPr>
              <w:t>①</w:t>
            </w:r>
            <w:r>
              <w:rPr>
                <w:szCs w:val="21"/>
              </w:rPr>
              <w:t>迅速查明泄漏点，立即关闭泄露点两端管线上的阀门和与该管线相接的每个储罐阀门，把气源切断。</w:t>
            </w:r>
          </w:p>
          <w:p w14:paraId="44F6283D">
            <w:pPr>
              <w:spacing w:line="360" w:lineRule="auto"/>
              <w:ind w:firstLine="420" w:firstLineChars="200"/>
              <w:rPr>
                <w:szCs w:val="21"/>
              </w:rPr>
            </w:pPr>
            <w:r>
              <w:rPr>
                <w:rFonts w:hint="eastAsia"/>
                <w:szCs w:val="21"/>
              </w:rPr>
              <w:t>②</w:t>
            </w:r>
            <w:r>
              <w:rPr>
                <w:szCs w:val="21"/>
              </w:rPr>
              <w:t>杜绝附近一切火源，禁止一切车辆在附近行驶。同时派人员向负责人和安全消防人员报告发生泄露和具体情况及正在采取的措施。</w:t>
            </w:r>
          </w:p>
          <w:p w14:paraId="326F26F6">
            <w:pPr>
              <w:spacing w:line="360" w:lineRule="auto"/>
              <w:ind w:firstLine="420" w:firstLineChars="200"/>
              <w:rPr>
                <w:szCs w:val="21"/>
              </w:rPr>
            </w:pPr>
            <w:r>
              <w:rPr>
                <w:szCs w:val="21"/>
              </w:rPr>
              <w:t>（</w:t>
            </w:r>
            <w:r>
              <w:rPr>
                <w:rFonts w:hint="eastAsia"/>
                <w:szCs w:val="21"/>
              </w:rPr>
              <w:t>4</w:t>
            </w:r>
            <w:r>
              <w:rPr>
                <w:szCs w:val="21"/>
              </w:rPr>
              <w:t>）火灾事故应急措施</w:t>
            </w:r>
          </w:p>
          <w:p w14:paraId="4617CA42">
            <w:pPr>
              <w:spacing w:line="360" w:lineRule="auto"/>
              <w:ind w:firstLine="420" w:firstLineChars="200"/>
              <w:rPr>
                <w:szCs w:val="21"/>
              </w:rPr>
            </w:pPr>
            <w:r>
              <w:rPr>
                <w:rFonts w:hint="eastAsia"/>
                <w:szCs w:val="21"/>
              </w:rPr>
              <w:t>①</w:t>
            </w:r>
            <w:r>
              <w:rPr>
                <w:szCs w:val="21"/>
              </w:rPr>
              <w:t>立即发出警报，及时通知周围企业，及时疏散非应急人员；</w:t>
            </w:r>
          </w:p>
          <w:p w14:paraId="7A72002F">
            <w:pPr>
              <w:spacing w:line="360" w:lineRule="auto"/>
              <w:ind w:firstLine="420" w:firstLineChars="200"/>
              <w:rPr>
                <w:szCs w:val="21"/>
              </w:rPr>
            </w:pPr>
            <w:r>
              <w:rPr>
                <w:rFonts w:hint="eastAsia"/>
                <w:szCs w:val="21"/>
              </w:rPr>
              <w:t>②</w:t>
            </w:r>
            <w:r>
              <w:rPr>
                <w:szCs w:val="21"/>
              </w:rPr>
              <w:t>及时向应急中心汇报事态发展情况，初步预测对周围人员、环境造成的危害；</w:t>
            </w:r>
          </w:p>
          <w:p w14:paraId="51D855FA">
            <w:pPr>
              <w:spacing w:line="360" w:lineRule="auto"/>
              <w:ind w:firstLine="420" w:firstLineChars="200"/>
              <w:rPr>
                <w:szCs w:val="21"/>
              </w:rPr>
            </w:pPr>
            <w:r>
              <w:rPr>
                <w:rFonts w:hint="eastAsia"/>
                <w:szCs w:val="21"/>
              </w:rPr>
              <w:t>③</w:t>
            </w:r>
            <w:r>
              <w:rPr>
                <w:szCs w:val="21"/>
              </w:rPr>
              <w:t>及时启动应急预案，按照预案开展应急救援工作；</w:t>
            </w:r>
          </w:p>
          <w:p w14:paraId="5D528FFB">
            <w:pPr>
              <w:spacing w:line="360" w:lineRule="auto"/>
              <w:ind w:firstLine="420" w:firstLineChars="200"/>
              <w:rPr>
                <w:szCs w:val="21"/>
              </w:rPr>
            </w:pPr>
            <w:r>
              <w:rPr>
                <w:rFonts w:hint="eastAsia"/>
                <w:szCs w:val="21"/>
              </w:rPr>
              <w:t>④</w:t>
            </w:r>
            <w:r>
              <w:rPr>
                <w:szCs w:val="21"/>
              </w:rPr>
              <w:t>按照预案相关要求，开展环境监测工作。</w:t>
            </w:r>
          </w:p>
          <w:p w14:paraId="02B41AAB">
            <w:pPr>
              <w:spacing w:line="360" w:lineRule="auto"/>
              <w:ind w:firstLine="420" w:firstLineChars="200"/>
              <w:rPr>
                <w:szCs w:val="21"/>
              </w:rPr>
            </w:pPr>
            <w:r>
              <w:rPr>
                <w:szCs w:val="21"/>
              </w:rPr>
              <w:t>综合上述分析，通过采取以上措施，可有效降低项目风险事故发生时对外环境的影响，确保环境安全。</w:t>
            </w:r>
          </w:p>
          <w:p w14:paraId="5361BD12">
            <w:pPr>
              <w:spacing w:line="360" w:lineRule="auto"/>
              <w:ind w:firstLine="420" w:firstLineChars="200"/>
              <w:rPr>
                <w:color w:val="auto"/>
                <w:szCs w:val="21"/>
              </w:rPr>
            </w:pPr>
            <w:r>
              <w:rPr>
                <w:color w:val="auto"/>
                <w:szCs w:val="21"/>
              </w:rPr>
              <w:t>（</w:t>
            </w:r>
            <w:r>
              <w:rPr>
                <w:rFonts w:hint="eastAsia"/>
                <w:color w:val="auto"/>
                <w:szCs w:val="21"/>
                <w:lang w:val="en-US" w:eastAsia="zh-CN"/>
              </w:rPr>
              <w:t>5</w:t>
            </w:r>
            <w:r>
              <w:rPr>
                <w:color w:val="auto"/>
                <w:szCs w:val="21"/>
              </w:rPr>
              <w:t>）</w:t>
            </w:r>
            <w:r>
              <w:rPr>
                <w:rFonts w:hint="eastAsia"/>
                <w:color w:val="auto"/>
                <w:szCs w:val="21"/>
                <w:lang w:val="en-US" w:eastAsia="zh-CN"/>
              </w:rPr>
              <w:t>储罐</w:t>
            </w:r>
            <w:r>
              <w:rPr>
                <w:rFonts w:hint="eastAsia" w:ascii="Times New Roman" w:hAnsi="Times New Roman" w:eastAsia="宋体" w:cs="Times New Roman"/>
                <w:color w:val="auto"/>
                <w:sz w:val="21"/>
                <w:szCs w:val="21"/>
                <w:lang w:val="en-US" w:eastAsia="zh-CN"/>
              </w:rPr>
              <w:t>风险防护措施</w:t>
            </w:r>
          </w:p>
          <w:p w14:paraId="14355D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①</w:t>
            </w:r>
            <w:r>
              <w:rPr>
                <w:rFonts w:hint="eastAsia" w:ascii="Times New Roman" w:hAnsi="Times New Roman" w:eastAsia="宋体" w:cs="Times New Roman"/>
                <w:color w:val="auto"/>
                <w:sz w:val="21"/>
                <w:szCs w:val="21"/>
                <w:lang w:val="en-US" w:eastAsia="zh-CN"/>
              </w:rPr>
              <w:t>建设单位应对储罐区地面硬底化防渗，在储罐与其他生产设备之间设置隔离槽，以免泄漏时外溢下渗或遇明火造成火灾。</w:t>
            </w:r>
          </w:p>
          <w:p w14:paraId="14C302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②</w:t>
            </w:r>
            <w:r>
              <w:rPr>
                <w:rFonts w:hint="eastAsia" w:ascii="Times New Roman" w:hAnsi="Times New Roman" w:eastAsia="宋体" w:cs="Times New Roman"/>
                <w:color w:val="auto"/>
                <w:sz w:val="21"/>
                <w:szCs w:val="21"/>
                <w:lang w:val="en-US" w:eastAsia="zh-CN"/>
              </w:rPr>
              <w:t>对于生产技术人员操作失误导致的少量泄漏，使用布料、海棉等物品吸收。</w:t>
            </w:r>
          </w:p>
          <w:p w14:paraId="028832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③</w:t>
            </w:r>
            <w:r>
              <w:rPr>
                <w:rFonts w:hint="eastAsia" w:ascii="Times New Roman" w:hAnsi="Times New Roman" w:eastAsia="宋体" w:cs="Times New Roman"/>
                <w:color w:val="auto"/>
                <w:sz w:val="21"/>
                <w:szCs w:val="21"/>
                <w:lang w:val="en-US" w:eastAsia="zh-CN"/>
              </w:rPr>
              <w:t>生产线风机设备采用防爆防火设计，同时设置禁止火源警告牌。</w:t>
            </w:r>
          </w:p>
          <w:p w14:paraId="1A4F3A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④</w:t>
            </w:r>
            <w:r>
              <w:rPr>
                <w:rFonts w:hint="eastAsia" w:ascii="Times New Roman" w:hAnsi="Times New Roman" w:eastAsia="宋体" w:cs="Times New Roman"/>
                <w:color w:val="auto"/>
                <w:sz w:val="21"/>
                <w:szCs w:val="21"/>
                <w:lang w:val="en-US" w:eastAsia="zh-CN"/>
              </w:rPr>
              <w:t>建议建设单位应在储罐区设置遮阳设施，防止暴晒。</w:t>
            </w:r>
          </w:p>
          <w:p w14:paraId="31D199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⑤</w:t>
            </w:r>
            <w:r>
              <w:rPr>
                <w:rFonts w:hint="eastAsia" w:ascii="Times New Roman" w:hAnsi="Times New Roman" w:eastAsia="宋体" w:cs="Times New Roman"/>
                <w:color w:val="auto"/>
                <w:sz w:val="21"/>
                <w:szCs w:val="21"/>
                <w:lang w:val="en-US" w:eastAsia="zh-CN"/>
              </w:rPr>
              <w:t>各类储罐应做好防雷工作。</w:t>
            </w:r>
          </w:p>
          <w:p w14:paraId="6C6B71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经采取以上措施，储罐泄漏事故发生后，污染物不会外流或下渗进入周围环境，从而不会对周围水体、土壤产生影响。</w:t>
            </w:r>
          </w:p>
          <w:p w14:paraId="420951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同时，环评要求建设单位在生产过程中，还应做好以下几个方面：</w:t>
            </w:r>
          </w:p>
          <w:p w14:paraId="753A2F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（1）设备的安全管理</w:t>
            </w:r>
          </w:p>
          <w:p w14:paraId="78AFE4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定期对设备进行安全检测，检测内容、时间、人员应有记录保存。安全检测应根据设备的安全性、危险性设定检测频次。设置永久性接地装置；要有防雷装置，特别防止雷击。</w:t>
            </w:r>
          </w:p>
          <w:p w14:paraId="4F5B42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（2）火源的管理：严禁在储罐区附近吸烟和违章用火，防止黑色金属撞击及静电火花产生；定期测试线路绝缘，防止线路老化着火；电气设施符合防爆等级要求等。</w:t>
            </w:r>
          </w:p>
          <w:p w14:paraId="13B427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（3）在作业区内的所有运营设备，电气装置都应满足防爆防火的要求。</w:t>
            </w:r>
          </w:p>
          <w:p w14:paraId="3840AC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（4）制定事故应急方案，同时提高员工安全防范意识，能有效减少因操作失误而导致事故的发生。</w:t>
            </w:r>
          </w:p>
          <w:p w14:paraId="12154838">
            <w:pPr>
              <w:spacing w:line="360" w:lineRule="auto"/>
              <w:ind w:firstLine="420" w:firstLineChars="20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（5）储罐区应设置围堰，根据《化工装置设备布置设计规定》（HG/T20546.2-2019）、《石油化工企业设计防火标准》（GB 50160-2008）,围堰高度不低于0.15m，</w:t>
            </w:r>
            <w:r>
              <w:rPr>
                <w:rFonts w:hint="eastAsia" w:cs="Times New Roman"/>
                <w:color w:val="auto"/>
                <w:sz w:val="21"/>
                <w:szCs w:val="21"/>
                <w:highlight w:val="none"/>
                <w:lang w:val="en-US" w:eastAsia="zh-CN"/>
              </w:rPr>
              <w:t>依据</w:t>
            </w:r>
            <w:r>
              <w:rPr>
                <w:rFonts w:hint="eastAsia" w:ascii="Times New Roman" w:hAnsi="Times New Roman" w:eastAsia="宋体" w:cs="Times New Roman"/>
                <w:color w:val="auto"/>
                <w:sz w:val="21"/>
                <w:szCs w:val="21"/>
                <w:highlight w:val="none"/>
                <w:lang w:val="en-US" w:eastAsia="zh-CN"/>
              </w:rPr>
              <w:t>《消防给水及消火栓系统技术规范》（GB50974-2014）</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场区内应设置有效容积不小于</w:t>
            </w:r>
            <w:r>
              <w:rPr>
                <w:rFonts w:hint="eastAsia" w:ascii="Times New Roman" w:hAnsi="Times New Roman" w:cs="Times New Roman"/>
                <w:color w:val="auto"/>
                <w:sz w:val="21"/>
                <w:szCs w:val="21"/>
                <w:highlight w:val="none"/>
                <w:lang w:val="en-US" w:eastAsia="zh-CN"/>
              </w:rPr>
              <w:t>100</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的消防水池。</w:t>
            </w:r>
          </w:p>
          <w:p w14:paraId="37982D5D">
            <w:pPr>
              <w:pStyle w:val="2"/>
              <w:keepNext w:val="0"/>
              <w:keepLines w:val="0"/>
              <w:pageBreakBefore w:val="0"/>
              <w:widowControl/>
              <w:kinsoku/>
              <w:wordWrap/>
              <w:overflowPunct w:val="0"/>
              <w:topLinePunct w:val="0"/>
              <w:autoSpaceDE w:val="0"/>
              <w:autoSpaceDN w:val="0"/>
              <w:bidi w:val="0"/>
              <w:adjustRightInd w:val="0"/>
              <w:snapToGrid/>
              <w:spacing w:line="360" w:lineRule="auto"/>
              <w:ind w:left="0" w:firstLine="420" w:firstLineChars="200"/>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6</w:t>
            </w:r>
            <w:r>
              <w:rPr>
                <w:rFonts w:hint="eastAsia" w:ascii="Times New Roman" w:hAnsi="Times New Roman" w:eastAsia="宋体" w:cs="Times New Roman"/>
                <w:color w:val="auto"/>
                <w:kern w:val="2"/>
                <w:sz w:val="21"/>
                <w:szCs w:val="21"/>
                <w:highlight w:val="none"/>
                <w:lang w:val="en-US" w:eastAsia="zh-CN" w:bidi="ar-SA"/>
              </w:rPr>
              <w:t>）厂区进出口、危险废物暂存间、天然气撬装站等关键部位均设置视频监控设施，作为厂区日常监管手段，要求最少储存1个月以上视频资料。</w:t>
            </w:r>
          </w:p>
          <w:p w14:paraId="13104262">
            <w:pPr>
              <w:pStyle w:val="2"/>
              <w:keepNext w:val="0"/>
              <w:keepLines w:val="0"/>
              <w:pageBreakBefore w:val="0"/>
              <w:widowControl/>
              <w:kinsoku/>
              <w:wordWrap/>
              <w:overflowPunct w:val="0"/>
              <w:topLinePunct w:val="0"/>
              <w:autoSpaceDE w:val="0"/>
              <w:autoSpaceDN w:val="0"/>
              <w:bidi w:val="0"/>
              <w:adjustRightInd w:val="0"/>
              <w:snapToGrid/>
              <w:spacing w:line="360" w:lineRule="auto"/>
              <w:ind w:left="0" w:firstLine="420" w:firstLineChars="200"/>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（7）落实各项应急环境管理措施以及各项环境风险防范措施，确保风险事故得到有效控制。</w:t>
            </w:r>
          </w:p>
          <w:p w14:paraId="2FDAB1E0">
            <w:pPr>
              <w:spacing w:line="360" w:lineRule="auto"/>
              <w:rPr>
                <w:rFonts w:eastAsia="Times New Roman"/>
                <w:b/>
                <w:bCs/>
                <w:color w:val="auto"/>
                <w:kern w:val="0"/>
              </w:rPr>
            </w:pPr>
            <w:r>
              <w:rPr>
                <w:rFonts w:hint="eastAsia" w:eastAsia="Times New Roman"/>
                <w:b/>
                <w:bCs/>
                <w:color w:val="auto"/>
                <w:kern w:val="0"/>
              </w:rPr>
              <w:t>4.8</w:t>
            </w:r>
            <w:r>
              <w:rPr>
                <w:rFonts w:eastAsia="Times New Roman"/>
                <w:b/>
                <w:bCs/>
                <w:color w:val="auto"/>
                <w:kern w:val="0"/>
              </w:rPr>
              <w:t>.</w:t>
            </w:r>
            <w:r>
              <w:rPr>
                <w:rFonts w:hint="eastAsia" w:eastAsia="Times New Roman"/>
                <w:b/>
                <w:bCs/>
                <w:color w:val="auto"/>
                <w:kern w:val="0"/>
              </w:rPr>
              <w:t>8</w:t>
            </w:r>
            <w:r>
              <w:rPr>
                <w:rFonts w:eastAsia="Times New Roman"/>
                <w:b/>
                <w:bCs/>
                <w:color w:val="auto"/>
                <w:kern w:val="0"/>
              </w:rPr>
              <w:t>分析结论</w:t>
            </w:r>
          </w:p>
          <w:p w14:paraId="05D40F2F">
            <w:pPr>
              <w:spacing w:line="360" w:lineRule="auto"/>
              <w:ind w:firstLine="420" w:firstLineChars="200"/>
              <w:rPr>
                <w:color w:val="auto"/>
                <w:szCs w:val="21"/>
              </w:rPr>
            </w:pPr>
            <w:r>
              <w:rPr>
                <w:color w:val="auto"/>
                <w:szCs w:val="21"/>
              </w:rPr>
              <w:t>综上所述，本项目环境风险主要来自于因</w:t>
            </w:r>
            <w:r>
              <w:rPr>
                <w:rFonts w:hint="eastAsia"/>
                <w:color w:val="auto"/>
                <w:szCs w:val="21"/>
              </w:rPr>
              <w:t>天然气</w:t>
            </w:r>
            <w:r>
              <w:rPr>
                <w:color w:val="auto"/>
                <w:szCs w:val="21"/>
              </w:rPr>
              <w:t>泄漏的环境风险、火灾爆炸产生的次生环境风险。</w:t>
            </w:r>
          </w:p>
          <w:p w14:paraId="474C6E55">
            <w:pPr>
              <w:spacing w:line="360" w:lineRule="auto"/>
              <w:ind w:firstLine="420" w:firstLineChars="200"/>
              <w:rPr>
                <w:szCs w:val="21"/>
              </w:rPr>
            </w:pPr>
            <w:r>
              <w:rPr>
                <w:color w:val="auto"/>
                <w:szCs w:val="21"/>
              </w:rPr>
              <w:t>建设单位须进一步加强风险管理，严格风险管</w:t>
            </w:r>
            <w:r>
              <w:rPr>
                <w:szCs w:val="21"/>
              </w:rPr>
              <w:t>理机制，落实本评价提出的环境风险防范措施和应急措施，并应经常或定期开展应急救援培训和演练，一旦发生事故，能够及时启动应急预案，将风险事故的影响降到较低水平。在此基础上，本项目环境风险可接受。</w:t>
            </w:r>
          </w:p>
          <w:p w14:paraId="194ED594">
            <w:pPr>
              <w:tabs>
                <w:tab w:val="left" w:pos="438"/>
              </w:tabs>
              <w:jc w:val="center"/>
              <w:rPr>
                <w:szCs w:val="21"/>
              </w:rPr>
            </w:pPr>
            <w:r>
              <w:rPr>
                <w:b/>
                <w:szCs w:val="21"/>
              </w:rPr>
              <w:t>表4-</w:t>
            </w:r>
            <w:r>
              <w:rPr>
                <w:rFonts w:hint="eastAsia"/>
                <w:b/>
                <w:szCs w:val="21"/>
                <w:lang w:val="en-US" w:eastAsia="zh-CN"/>
              </w:rPr>
              <w:t>18</w:t>
            </w:r>
            <w:r>
              <w:rPr>
                <w:rFonts w:hint="eastAsia"/>
                <w:b/>
                <w:szCs w:val="21"/>
              </w:rPr>
              <w:t xml:space="preserve">  </w:t>
            </w:r>
            <w:r>
              <w:rPr>
                <w:b/>
                <w:szCs w:val="21"/>
              </w:rPr>
              <w:t>建设项目环境风险简单分析内容表</w:t>
            </w:r>
          </w:p>
          <w:tbl>
            <w:tblPr>
              <w:tblStyle w:val="31"/>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66"/>
              <w:gridCol w:w="1749"/>
              <w:gridCol w:w="1990"/>
              <w:gridCol w:w="1268"/>
              <w:gridCol w:w="2142"/>
            </w:tblGrid>
            <w:tr w14:paraId="2D7C4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8" w:type="pct"/>
                  <w:tcBorders>
                    <w:tl2br w:val="nil"/>
                    <w:tr2bl w:val="nil"/>
                  </w:tcBorders>
                  <w:vAlign w:val="center"/>
                </w:tcPr>
                <w:p w14:paraId="636F8D3E">
                  <w:pPr>
                    <w:jc w:val="center"/>
                    <w:rPr>
                      <w:szCs w:val="21"/>
                    </w:rPr>
                  </w:pPr>
                  <w:r>
                    <w:rPr>
                      <w:szCs w:val="21"/>
                    </w:rPr>
                    <w:t>建设项目名称</w:t>
                  </w:r>
                </w:p>
              </w:tc>
              <w:tc>
                <w:tcPr>
                  <w:tcW w:w="4351" w:type="pct"/>
                  <w:gridSpan w:val="4"/>
                  <w:tcBorders>
                    <w:tl2br w:val="nil"/>
                    <w:tr2bl w:val="nil"/>
                  </w:tcBorders>
                  <w:vAlign w:val="center"/>
                </w:tcPr>
                <w:p w14:paraId="2DD65DDA">
                  <w:pPr>
                    <w:jc w:val="center"/>
                    <w:rPr>
                      <w:szCs w:val="21"/>
                    </w:rPr>
                  </w:pPr>
                  <w:r>
                    <w:rPr>
                      <w:rFonts w:hint="eastAsia"/>
                    </w:rPr>
                    <w:t>奎屯广合商品混凝土有限责任公司新建沥青拌合站、水泥稳定土拌合站</w:t>
                  </w:r>
                </w:p>
              </w:tc>
            </w:tr>
            <w:tr w14:paraId="3C799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8" w:type="pct"/>
                  <w:tcBorders>
                    <w:tl2br w:val="nil"/>
                    <w:tr2bl w:val="nil"/>
                  </w:tcBorders>
                  <w:vAlign w:val="center"/>
                </w:tcPr>
                <w:p w14:paraId="4BE9C95E">
                  <w:pPr>
                    <w:jc w:val="center"/>
                    <w:rPr>
                      <w:szCs w:val="21"/>
                    </w:rPr>
                  </w:pPr>
                  <w:r>
                    <w:rPr>
                      <w:szCs w:val="21"/>
                    </w:rPr>
                    <w:t>建设地点</w:t>
                  </w:r>
                </w:p>
              </w:tc>
              <w:tc>
                <w:tcPr>
                  <w:tcW w:w="1064" w:type="pct"/>
                  <w:tcBorders>
                    <w:tl2br w:val="nil"/>
                    <w:tr2bl w:val="nil"/>
                  </w:tcBorders>
                  <w:vAlign w:val="center"/>
                </w:tcPr>
                <w:p w14:paraId="25A76160">
                  <w:pPr>
                    <w:jc w:val="center"/>
                    <w:rPr>
                      <w:szCs w:val="21"/>
                    </w:rPr>
                  </w:pPr>
                  <w:r>
                    <w:rPr>
                      <w:szCs w:val="21"/>
                    </w:rPr>
                    <w:t>新疆维吾尔自治区</w:t>
                  </w:r>
                </w:p>
              </w:tc>
              <w:tc>
                <w:tcPr>
                  <w:tcW w:w="1211" w:type="pct"/>
                  <w:tcBorders>
                    <w:tl2br w:val="nil"/>
                    <w:tr2bl w:val="nil"/>
                  </w:tcBorders>
                  <w:vAlign w:val="center"/>
                </w:tcPr>
                <w:p w14:paraId="70FF4CFB">
                  <w:pPr>
                    <w:jc w:val="center"/>
                    <w:rPr>
                      <w:szCs w:val="21"/>
                    </w:rPr>
                  </w:pPr>
                  <w:r>
                    <w:rPr>
                      <w:rFonts w:hint="eastAsia"/>
                      <w:szCs w:val="21"/>
                    </w:rPr>
                    <w:t>第七师</w:t>
                  </w:r>
                </w:p>
              </w:tc>
              <w:tc>
                <w:tcPr>
                  <w:tcW w:w="772" w:type="pct"/>
                  <w:tcBorders>
                    <w:tl2br w:val="nil"/>
                    <w:tr2bl w:val="nil"/>
                  </w:tcBorders>
                  <w:vAlign w:val="center"/>
                </w:tcPr>
                <w:p w14:paraId="3AADF1AE">
                  <w:pPr>
                    <w:jc w:val="center"/>
                    <w:rPr>
                      <w:szCs w:val="21"/>
                    </w:rPr>
                  </w:pPr>
                  <w:r>
                    <w:rPr>
                      <w:rFonts w:hint="eastAsia"/>
                      <w:szCs w:val="21"/>
                    </w:rPr>
                    <w:t>胡杨河</w:t>
                  </w:r>
                  <w:r>
                    <w:rPr>
                      <w:szCs w:val="21"/>
                    </w:rPr>
                    <w:t>市</w:t>
                  </w:r>
                </w:p>
              </w:tc>
              <w:tc>
                <w:tcPr>
                  <w:tcW w:w="1303" w:type="pct"/>
                  <w:tcBorders>
                    <w:tl2br w:val="nil"/>
                    <w:tr2bl w:val="nil"/>
                  </w:tcBorders>
                  <w:vAlign w:val="center"/>
                </w:tcPr>
                <w:p w14:paraId="24587A90">
                  <w:pPr>
                    <w:jc w:val="center"/>
                    <w:rPr>
                      <w:szCs w:val="21"/>
                    </w:rPr>
                  </w:pPr>
                  <w:r>
                    <w:rPr>
                      <w:szCs w:val="21"/>
                    </w:rPr>
                    <w:t>130团6连</w:t>
                  </w:r>
                </w:p>
              </w:tc>
            </w:tr>
            <w:tr w14:paraId="46792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8" w:type="pct"/>
                  <w:tcBorders>
                    <w:tl2br w:val="nil"/>
                    <w:tr2bl w:val="nil"/>
                  </w:tcBorders>
                  <w:vAlign w:val="center"/>
                </w:tcPr>
                <w:p w14:paraId="13B45602">
                  <w:pPr>
                    <w:jc w:val="center"/>
                    <w:rPr>
                      <w:szCs w:val="21"/>
                    </w:rPr>
                  </w:pPr>
                  <w:r>
                    <w:rPr>
                      <w:szCs w:val="21"/>
                    </w:rPr>
                    <w:t>地理坐标</w:t>
                  </w:r>
                </w:p>
              </w:tc>
              <w:tc>
                <w:tcPr>
                  <w:tcW w:w="1064" w:type="pct"/>
                  <w:tcBorders>
                    <w:tl2br w:val="nil"/>
                    <w:tr2bl w:val="nil"/>
                  </w:tcBorders>
                  <w:vAlign w:val="center"/>
                </w:tcPr>
                <w:p w14:paraId="74CA202A">
                  <w:pPr>
                    <w:jc w:val="center"/>
                    <w:rPr>
                      <w:szCs w:val="21"/>
                    </w:rPr>
                  </w:pPr>
                  <w:r>
                    <w:rPr>
                      <w:szCs w:val="21"/>
                    </w:rPr>
                    <w:t>经度</w:t>
                  </w:r>
                </w:p>
              </w:tc>
              <w:tc>
                <w:tcPr>
                  <w:tcW w:w="1211" w:type="pct"/>
                  <w:tcBorders>
                    <w:tl2br w:val="nil"/>
                    <w:tr2bl w:val="nil"/>
                  </w:tcBorders>
                  <w:vAlign w:val="center"/>
                </w:tcPr>
                <w:p w14:paraId="149299A6">
                  <w:pPr>
                    <w:jc w:val="center"/>
                    <w:rPr>
                      <w:szCs w:val="21"/>
                    </w:rPr>
                  </w:pPr>
                  <w:r>
                    <w:rPr>
                      <w:bCs/>
                      <w:szCs w:val="21"/>
                    </w:rPr>
                    <w:t>84°</w:t>
                  </w:r>
                  <w:r>
                    <w:rPr>
                      <w:rFonts w:hint="eastAsia"/>
                      <w:bCs/>
                      <w:szCs w:val="21"/>
                    </w:rPr>
                    <w:t>53</w:t>
                  </w:r>
                  <w:r>
                    <w:rPr>
                      <w:bCs/>
                      <w:szCs w:val="21"/>
                    </w:rPr>
                    <w:t>′</w:t>
                  </w:r>
                  <w:r>
                    <w:rPr>
                      <w:rFonts w:hint="eastAsia"/>
                      <w:bCs/>
                      <w:szCs w:val="21"/>
                    </w:rPr>
                    <w:t>28.165</w:t>
                  </w:r>
                  <w:r>
                    <w:rPr>
                      <w:bCs/>
                      <w:szCs w:val="21"/>
                    </w:rPr>
                    <w:t>″</w:t>
                  </w:r>
                </w:p>
              </w:tc>
              <w:tc>
                <w:tcPr>
                  <w:tcW w:w="772" w:type="pct"/>
                  <w:tcBorders>
                    <w:tl2br w:val="nil"/>
                    <w:tr2bl w:val="nil"/>
                  </w:tcBorders>
                  <w:vAlign w:val="center"/>
                </w:tcPr>
                <w:p w14:paraId="614A4EA6">
                  <w:pPr>
                    <w:jc w:val="center"/>
                    <w:rPr>
                      <w:szCs w:val="21"/>
                    </w:rPr>
                  </w:pPr>
                  <w:r>
                    <w:rPr>
                      <w:szCs w:val="21"/>
                    </w:rPr>
                    <w:t>纬度</w:t>
                  </w:r>
                </w:p>
              </w:tc>
              <w:tc>
                <w:tcPr>
                  <w:tcW w:w="1303" w:type="pct"/>
                  <w:tcBorders>
                    <w:tl2br w:val="nil"/>
                    <w:tr2bl w:val="nil"/>
                  </w:tcBorders>
                  <w:vAlign w:val="center"/>
                </w:tcPr>
                <w:p w14:paraId="30793162">
                  <w:pPr>
                    <w:jc w:val="center"/>
                    <w:rPr>
                      <w:szCs w:val="21"/>
                    </w:rPr>
                  </w:pPr>
                  <w:r>
                    <w:rPr>
                      <w:bCs/>
                      <w:szCs w:val="21"/>
                    </w:rPr>
                    <w:t>44°</w:t>
                  </w:r>
                  <w:r>
                    <w:rPr>
                      <w:rFonts w:hint="eastAsia"/>
                      <w:bCs/>
                      <w:szCs w:val="21"/>
                    </w:rPr>
                    <w:t>38</w:t>
                  </w:r>
                  <w:r>
                    <w:rPr>
                      <w:bCs/>
                      <w:szCs w:val="21"/>
                    </w:rPr>
                    <w:t>′</w:t>
                  </w:r>
                  <w:r>
                    <w:rPr>
                      <w:rFonts w:hint="eastAsia"/>
                      <w:bCs/>
                      <w:szCs w:val="21"/>
                    </w:rPr>
                    <w:t>5.511</w:t>
                  </w:r>
                  <w:r>
                    <w:rPr>
                      <w:bCs/>
                      <w:szCs w:val="21"/>
                    </w:rPr>
                    <w:t>″</w:t>
                  </w:r>
                </w:p>
              </w:tc>
            </w:tr>
            <w:tr w14:paraId="72A2F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8" w:type="pct"/>
                  <w:tcBorders>
                    <w:tl2br w:val="nil"/>
                    <w:tr2bl w:val="nil"/>
                  </w:tcBorders>
                  <w:vAlign w:val="center"/>
                </w:tcPr>
                <w:p w14:paraId="260EADE1">
                  <w:pPr>
                    <w:jc w:val="center"/>
                    <w:rPr>
                      <w:szCs w:val="21"/>
                    </w:rPr>
                  </w:pPr>
                  <w:r>
                    <w:rPr>
                      <w:szCs w:val="21"/>
                    </w:rPr>
                    <w:t>主要危险物质及分布</w:t>
                  </w:r>
                </w:p>
              </w:tc>
              <w:tc>
                <w:tcPr>
                  <w:tcW w:w="4351" w:type="pct"/>
                  <w:gridSpan w:val="4"/>
                  <w:tcBorders>
                    <w:tl2br w:val="nil"/>
                    <w:tr2bl w:val="nil"/>
                  </w:tcBorders>
                  <w:vAlign w:val="center"/>
                </w:tcPr>
                <w:p w14:paraId="192FB726">
                  <w:pPr>
                    <w:jc w:val="center"/>
                    <w:rPr>
                      <w:szCs w:val="21"/>
                    </w:rPr>
                  </w:pPr>
                  <w:r>
                    <w:rPr>
                      <w:szCs w:val="21"/>
                    </w:rPr>
                    <w:t>主要危险物质：</w:t>
                  </w:r>
                  <w:r>
                    <w:rPr>
                      <w:rFonts w:hint="eastAsia"/>
                      <w:szCs w:val="21"/>
                    </w:rPr>
                    <w:t>天然气</w:t>
                  </w:r>
                </w:p>
              </w:tc>
            </w:tr>
            <w:tr w14:paraId="0194C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8" w:type="pct"/>
                  <w:tcBorders>
                    <w:tl2br w:val="nil"/>
                    <w:tr2bl w:val="nil"/>
                  </w:tcBorders>
                  <w:vAlign w:val="center"/>
                </w:tcPr>
                <w:p w14:paraId="1EBF01ED">
                  <w:pPr>
                    <w:jc w:val="center"/>
                    <w:rPr>
                      <w:szCs w:val="21"/>
                    </w:rPr>
                  </w:pPr>
                  <w:r>
                    <w:rPr>
                      <w:szCs w:val="21"/>
                    </w:rPr>
                    <w:t>环境影响途径及危害后果</w:t>
                  </w:r>
                </w:p>
              </w:tc>
              <w:tc>
                <w:tcPr>
                  <w:tcW w:w="4351" w:type="pct"/>
                  <w:gridSpan w:val="4"/>
                  <w:tcBorders>
                    <w:tl2br w:val="nil"/>
                    <w:tr2bl w:val="nil"/>
                  </w:tcBorders>
                  <w:vAlign w:val="center"/>
                </w:tcPr>
                <w:p w14:paraId="759DA529">
                  <w:pPr>
                    <w:jc w:val="center"/>
                    <w:rPr>
                      <w:szCs w:val="21"/>
                    </w:rPr>
                  </w:pPr>
                  <w:r>
                    <w:rPr>
                      <w:szCs w:val="21"/>
                    </w:rPr>
                    <w:t>一旦泄漏、火灾引发的次生污染，将会给附近地下水、大气、土壤带来一定污染，短时间难以得到修复；废气处理设施事故排放则污染周围空气环境。</w:t>
                  </w:r>
                </w:p>
              </w:tc>
            </w:tr>
            <w:tr w14:paraId="097BF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8" w:type="pct"/>
                  <w:tcBorders>
                    <w:tl2br w:val="nil"/>
                    <w:tr2bl w:val="nil"/>
                  </w:tcBorders>
                  <w:vAlign w:val="center"/>
                </w:tcPr>
                <w:p w14:paraId="4F8F4CCD">
                  <w:pPr>
                    <w:jc w:val="center"/>
                    <w:rPr>
                      <w:szCs w:val="21"/>
                    </w:rPr>
                  </w:pPr>
                  <w:r>
                    <w:rPr>
                      <w:szCs w:val="21"/>
                    </w:rPr>
                    <w:t>风险防范措施要求</w:t>
                  </w:r>
                </w:p>
              </w:tc>
              <w:tc>
                <w:tcPr>
                  <w:tcW w:w="4351" w:type="pct"/>
                  <w:gridSpan w:val="4"/>
                  <w:tcBorders>
                    <w:tl2br w:val="nil"/>
                    <w:tr2bl w:val="nil"/>
                  </w:tcBorders>
                  <w:vAlign w:val="center"/>
                </w:tcPr>
                <w:p w14:paraId="714CA465">
                  <w:pPr>
                    <w:jc w:val="center"/>
                    <w:rPr>
                      <w:szCs w:val="21"/>
                    </w:rPr>
                  </w:pPr>
                  <w:r>
                    <w:rPr>
                      <w:szCs w:val="21"/>
                    </w:rPr>
                    <w:t>加强管理和设备的维护，并设立完善的预防措施和预警系统，并配备必要的救护设备设施，制定严格的安全操作规程和维修维护措施，环境风险一旦发生，按照制定的发生事故时的应急预案进行。</w:t>
                  </w:r>
                </w:p>
              </w:tc>
            </w:tr>
            <w:tr w14:paraId="72E43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8" w:type="pct"/>
                  <w:tcBorders>
                    <w:tl2br w:val="nil"/>
                    <w:tr2bl w:val="nil"/>
                  </w:tcBorders>
                  <w:vAlign w:val="center"/>
                </w:tcPr>
                <w:p w14:paraId="6E8E9657">
                  <w:pPr>
                    <w:jc w:val="center"/>
                    <w:rPr>
                      <w:szCs w:val="21"/>
                    </w:rPr>
                  </w:pPr>
                  <w:r>
                    <w:rPr>
                      <w:szCs w:val="21"/>
                    </w:rPr>
                    <w:t>填表说明</w:t>
                  </w:r>
                </w:p>
              </w:tc>
              <w:tc>
                <w:tcPr>
                  <w:tcW w:w="4351" w:type="pct"/>
                  <w:gridSpan w:val="4"/>
                  <w:tcBorders>
                    <w:tl2br w:val="nil"/>
                    <w:tr2bl w:val="nil"/>
                  </w:tcBorders>
                  <w:vAlign w:val="center"/>
                </w:tcPr>
                <w:p w14:paraId="4B93AEAA">
                  <w:pPr>
                    <w:jc w:val="center"/>
                    <w:rPr>
                      <w:szCs w:val="21"/>
                    </w:rPr>
                  </w:pPr>
                  <w:r>
                    <w:rPr>
                      <w:szCs w:val="21"/>
                    </w:rPr>
                    <w:t>本项目主要是涉及到的危险物质泄露可能性小，所涉及工艺较成熟，危险性较低，环境敏感度较低。并且项目风险潜势为I，可开展简单分析。</w:t>
                  </w:r>
                </w:p>
              </w:tc>
            </w:tr>
          </w:tbl>
          <w:p w14:paraId="532B4681">
            <w:pPr>
              <w:spacing w:line="360" w:lineRule="auto"/>
              <w:ind w:firstLine="420" w:firstLineChars="200"/>
              <w:rPr>
                <w:szCs w:val="21"/>
              </w:rPr>
            </w:pPr>
            <w:r>
              <w:rPr>
                <w:szCs w:val="21"/>
              </w:rPr>
              <w:t>因此，本项目严格采取上述措施以后，运营期间发生环境风险概率较小，所以本项目的事故风险水平是可以接受的。</w:t>
            </w:r>
            <w:bookmarkEnd w:id="5"/>
          </w:p>
          <w:p w14:paraId="0DE4DAA9">
            <w:pPr>
              <w:pStyle w:val="71"/>
              <w:spacing w:line="360" w:lineRule="auto"/>
              <w:rPr>
                <w:rFonts w:ascii="Times New Roman" w:hAnsi="Times New Roman" w:eastAsia="Times New Roman" w:cs="Times New Roman"/>
                <w:b/>
                <w:bCs/>
                <w:kern w:val="0"/>
                <w:szCs w:val="21"/>
              </w:rPr>
            </w:pPr>
            <w:r>
              <w:rPr>
                <w:rFonts w:hint="eastAsia" w:ascii="Times New Roman" w:hAnsi="Times New Roman" w:eastAsia="Times New Roman" w:cs="Times New Roman"/>
                <w:b/>
                <w:bCs/>
                <w:kern w:val="0"/>
                <w:szCs w:val="21"/>
              </w:rPr>
              <w:t>4.9环境管理</w:t>
            </w:r>
          </w:p>
          <w:p w14:paraId="78FEF0CA">
            <w:pPr>
              <w:pStyle w:val="14"/>
              <w:spacing w:line="360" w:lineRule="auto"/>
              <w:rPr>
                <w:rFonts w:ascii="Times New Roman" w:hAnsi="Times New Roman"/>
                <w:b/>
                <w:bCs/>
                <w:kern w:val="0"/>
              </w:rPr>
            </w:pPr>
            <w:r>
              <w:rPr>
                <w:rFonts w:hint="eastAsia" w:ascii="Times New Roman" w:hAnsi="Times New Roman"/>
                <w:b/>
                <w:bCs/>
                <w:kern w:val="0"/>
              </w:rPr>
              <w:t>4.9.1</w:t>
            </w:r>
            <w:r>
              <w:rPr>
                <w:rFonts w:ascii="Times New Roman" w:hAnsi="Times New Roman"/>
                <w:b/>
                <w:bCs/>
                <w:kern w:val="0"/>
              </w:rPr>
              <w:t>环境管理制度</w:t>
            </w:r>
          </w:p>
          <w:p w14:paraId="70608638">
            <w:pPr>
              <w:pStyle w:val="14"/>
              <w:spacing w:line="360" w:lineRule="auto"/>
              <w:ind w:firstLine="420" w:firstLineChars="200"/>
              <w:rPr>
                <w:rFonts w:ascii="Times New Roman" w:hAnsi="Times New Roman"/>
                <w:kern w:val="0"/>
              </w:rPr>
            </w:pPr>
            <w:r>
              <w:rPr>
                <w:rFonts w:ascii="Times New Roman" w:hAnsi="Times New Roman"/>
                <w:kern w:val="0"/>
              </w:rPr>
              <w:t>环境管理是协调发展经济与保护环境之间关系的重要手段，也是实现经济战略发展的重要环节之一，对环境保护工作起主导作用。企业环境管理是“全过程污染控制”的重要措施，它不仅是我国有关法规的规定，也是清洁生产的要求。</w:t>
            </w:r>
          </w:p>
          <w:p w14:paraId="6E3E286F">
            <w:pPr>
              <w:pStyle w:val="14"/>
              <w:spacing w:line="360" w:lineRule="auto"/>
              <w:ind w:firstLine="420" w:firstLineChars="200"/>
              <w:rPr>
                <w:rFonts w:ascii="Times New Roman" w:hAnsi="Times New Roman"/>
                <w:kern w:val="0"/>
              </w:rPr>
            </w:pPr>
            <w:r>
              <w:rPr>
                <w:rFonts w:ascii="Times New Roman" w:hAnsi="Times New Roman"/>
                <w:kern w:val="0"/>
              </w:rPr>
              <w:t>本工程的生产过程中伴有一定的废气、噪声、废水和固废的产生，因此，涉及到生产管理水平中的环境管理与监测就显得格外重要。环保治理设施运转正常与否将直接影响到“</w:t>
            </w:r>
            <w:r>
              <w:rPr>
                <w:rFonts w:hint="eastAsia" w:ascii="Times New Roman" w:hAnsi="Times New Roman"/>
                <w:kern w:val="0"/>
              </w:rPr>
              <w:t>三废”处理效果。为适应目前的环境形势，做好清洁生产、文明生产、实现增产减污和污染物浓度、总量的达标排放，企业内部应建立独立的环保机构，负责管理和控制“三废”排放和治污设施的正常运行。同时通过对厂区污染源及污染治理设施的适时监测，及时掌握各生产环节产污和排污情况，并反馈于生产和治污当中，以提高企业污染监控的效能。</w:t>
            </w:r>
          </w:p>
          <w:p w14:paraId="211FB7AE">
            <w:pPr>
              <w:pStyle w:val="14"/>
              <w:spacing w:line="360" w:lineRule="auto"/>
              <w:ind w:firstLine="420" w:firstLineChars="200"/>
              <w:rPr>
                <w:rFonts w:ascii="Times New Roman" w:hAnsi="Times New Roman"/>
                <w:kern w:val="0"/>
              </w:rPr>
            </w:pPr>
            <w:r>
              <w:rPr>
                <w:rFonts w:ascii="Times New Roman" w:hAnsi="Times New Roman"/>
                <w:kern w:val="0"/>
              </w:rPr>
              <w:t>（1）企业应根据《建设项目环境保护设计规定》，在企业内部设置环境保护管理机构，配备专职人员1-2人，实行主要领导负贵制，由分管生产的领导直接负责，配合有资质环境监测部门定期对该厂区周围的大气、水体、噪声等进行常规监测，利用监测数据定期汇报污染物排放与治理情况表，与当地生态环境部门通力协作，共同搞好厂区环保工作；</w:t>
            </w:r>
          </w:p>
          <w:p w14:paraId="6D4A7CA4">
            <w:pPr>
              <w:adjustRightInd w:val="0"/>
              <w:snapToGrid w:val="0"/>
              <w:spacing w:line="360" w:lineRule="auto"/>
              <w:ind w:firstLine="420" w:firstLineChars="200"/>
              <w:rPr>
                <w:kern w:val="0"/>
                <w:szCs w:val="21"/>
              </w:rPr>
            </w:pPr>
            <w:r>
              <w:rPr>
                <w:kern w:val="0"/>
                <w:szCs w:val="21"/>
              </w:rPr>
              <w:t>（2）制定环境保护管理制度，制度上墙；</w:t>
            </w:r>
          </w:p>
          <w:p w14:paraId="4190350D">
            <w:pPr>
              <w:adjustRightInd w:val="0"/>
              <w:snapToGrid w:val="0"/>
              <w:spacing w:line="360" w:lineRule="auto"/>
              <w:ind w:firstLine="420" w:firstLineChars="200"/>
              <w:rPr>
                <w:kern w:val="0"/>
                <w:szCs w:val="21"/>
              </w:rPr>
            </w:pPr>
            <w:r>
              <w:rPr>
                <w:kern w:val="0"/>
                <w:szCs w:val="21"/>
              </w:rPr>
              <w:t>（3）贯彻执行国家和地方各项环保方针、政策和法规，制定全厂环境保护制度和细则，组织开展职工环保教育，提高职工的环保意识：</w:t>
            </w:r>
          </w:p>
          <w:p w14:paraId="39DA4291">
            <w:pPr>
              <w:adjustRightInd w:val="0"/>
              <w:snapToGrid w:val="0"/>
              <w:spacing w:line="360" w:lineRule="auto"/>
              <w:ind w:firstLine="420" w:firstLineChars="200"/>
              <w:rPr>
                <w:kern w:val="0"/>
                <w:szCs w:val="21"/>
              </w:rPr>
            </w:pPr>
            <w:r>
              <w:rPr>
                <w:kern w:val="0"/>
                <w:szCs w:val="21"/>
              </w:rPr>
              <w:t>（3）完成上级部门交给及当地环保部门下达的有关环保任务，配合当地环保部门及环境监测部门的工作；</w:t>
            </w:r>
          </w:p>
          <w:p w14:paraId="4E36C5AB">
            <w:pPr>
              <w:adjustRightInd w:val="0"/>
              <w:snapToGrid w:val="0"/>
              <w:spacing w:line="360" w:lineRule="auto"/>
              <w:ind w:firstLine="420" w:firstLineChars="200"/>
              <w:rPr>
                <w:kern w:val="0"/>
                <w:szCs w:val="21"/>
              </w:rPr>
            </w:pPr>
            <w:r>
              <w:rPr>
                <w:kern w:val="0"/>
                <w:szCs w:val="21"/>
              </w:rPr>
              <w:t>（4）建立健全环境保护管理制度，做好有关环保工作的资料收集、整理、记录、建档、宣传等工作，定时编制并提交项目环境管理工作报告；进行全厂的环保及环境监测数据的统计、分析，并建立相应的环保资料档案。</w:t>
            </w:r>
          </w:p>
          <w:p w14:paraId="69A7EFFC">
            <w:pPr>
              <w:pStyle w:val="14"/>
              <w:spacing w:line="360" w:lineRule="auto"/>
              <w:ind w:firstLine="420" w:firstLineChars="200"/>
              <w:rPr>
                <w:rFonts w:ascii="Times New Roman" w:hAnsi="Times New Roman"/>
              </w:rPr>
            </w:pPr>
            <w:r>
              <w:rPr>
                <w:rFonts w:ascii="Times New Roman" w:hAnsi="Times New Roman"/>
              </w:rPr>
              <w:t>（5）制定并加强项目各污染治理设施操作规范和操作规程学习，建立各污染源监测制度，按环境监测部门的要求，制定各项化（检）验技术规程，按规定定期对各污染源排放点进行监测，保证处理效果达到设计要求，各污染源达标排放；</w:t>
            </w:r>
          </w:p>
          <w:p w14:paraId="44ADA276">
            <w:pPr>
              <w:pStyle w:val="14"/>
              <w:spacing w:line="360" w:lineRule="auto"/>
              <w:ind w:firstLine="420" w:firstLineChars="200"/>
            </w:pPr>
            <w:r>
              <w:rPr>
                <w:rFonts w:ascii="Times New Roman" w:hAnsi="Times New Roman"/>
              </w:rPr>
              <w:t>（6）负责检查</w:t>
            </w:r>
            <w:r>
              <w:t>各污染治理设施运行情况，发现问题及时，上报、及时处理：并负责调查出现环境问题的缘由，协助有关部门]解决问题，处理好由环境问题带来的纠纷等。</w:t>
            </w:r>
          </w:p>
          <w:p w14:paraId="65FB2B34">
            <w:pPr>
              <w:adjustRightInd w:val="0"/>
              <w:snapToGrid w:val="0"/>
              <w:spacing w:line="360" w:lineRule="auto"/>
              <w:rPr>
                <w:b/>
                <w:bCs/>
                <w:kern w:val="0"/>
                <w:szCs w:val="21"/>
              </w:rPr>
            </w:pPr>
            <w:r>
              <w:rPr>
                <w:rFonts w:hint="eastAsia"/>
                <w:b/>
                <w:bCs/>
                <w:kern w:val="0"/>
                <w:szCs w:val="21"/>
              </w:rPr>
              <w:t>4.9.2 环境监控计划</w:t>
            </w:r>
          </w:p>
          <w:p w14:paraId="0FE4AC2E">
            <w:pPr>
              <w:adjustRightInd w:val="0"/>
              <w:snapToGrid w:val="0"/>
              <w:spacing w:line="360" w:lineRule="auto"/>
              <w:ind w:firstLine="420" w:firstLineChars="200"/>
              <w:rPr>
                <w:kern w:val="0"/>
                <w:szCs w:val="21"/>
              </w:rPr>
            </w:pPr>
            <w:r>
              <w:rPr>
                <w:rFonts w:hint="eastAsia"/>
                <w:kern w:val="0"/>
                <w:szCs w:val="21"/>
              </w:rPr>
              <w:t>环境监测是环境管理的基础，并为企业制定污染防治对策和规划提供依据。根据项目污染物排放的实际情况和就近方便的原则，该项目具体监测工作建议委托有资质的环境监测机构完成。主要任务如下：</w:t>
            </w:r>
          </w:p>
          <w:p w14:paraId="0D904042">
            <w:pPr>
              <w:adjustRightInd w:val="0"/>
              <w:snapToGrid w:val="0"/>
              <w:spacing w:line="360" w:lineRule="auto"/>
              <w:ind w:firstLine="420" w:firstLineChars="200"/>
              <w:rPr>
                <w:kern w:val="0"/>
                <w:szCs w:val="21"/>
              </w:rPr>
            </w:pPr>
            <w:r>
              <w:rPr>
                <w:kern w:val="0"/>
                <w:szCs w:val="21"/>
              </w:rPr>
              <w:t>①定期监测建设项日排放的污染物是否符合国家所规定的排放标准；.</w:t>
            </w:r>
          </w:p>
          <w:p w14:paraId="1EA468F7">
            <w:pPr>
              <w:adjustRightInd w:val="0"/>
              <w:snapToGrid w:val="0"/>
              <w:spacing w:line="360" w:lineRule="auto"/>
              <w:ind w:firstLine="420" w:firstLineChars="200"/>
              <w:rPr>
                <w:kern w:val="0"/>
                <w:szCs w:val="21"/>
              </w:rPr>
            </w:pPr>
            <w:r>
              <w:rPr>
                <w:kern w:val="0"/>
                <w:szCs w:val="21"/>
              </w:rPr>
              <w:t>②分析所排污染物的变化规律，为制定污染控制措施提供依据；</w:t>
            </w:r>
          </w:p>
          <w:p w14:paraId="65A517D2">
            <w:pPr>
              <w:adjustRightInd w:val="0"/>
              <w:snapToGrid w:val="0"/>
              <w:spacing w:line="360" w:lineRule="auto"/>
              <w:ind w:firstLine="420" w:firstLineChars="200"/>
              <w:rPr>
                <w:kern w:val="0"/>
                <w:szCs w:val="21"/>
              </w:rPr>
            </w:pPr>
            <w:r>
              <w:rPr>
                <w:kern w:val="0"/>
                <w:szCs w:val="21"/>
              </w:rPr>
              <w:t>③负责污染事故的监测及报告；</w:t>
            </w:r>
          </w:p>
          <w:p w14:paraId="07E1FC26">
            <w:pPr>
              <w:adjustRightInd w:val="0"/>
              <w:snapToGrid w:val="0"/>
              <w:spacing w:line="360" w:lineRule="auto"/>
              <w:ind w:firstLine="420" w:firstLineChars="200"/>
              <w:rPr>
                <w:kern w:val="0"/>
                <w:szCs w:val="21"/>
              </w:rPr>
            </w:pPr>
            <w:r>
              <w:rPr>
                <w:kern w:val="0"/>
                <w:szCs w:val="21"/>
              </w:rPr>
              <w:t>④环境监测对象主要有两个方面，即污染源监测和企业环境质量监测。</w:t>
            </w:r>
          </w:p>
          <w:p w14:paraId="7E815BA9">
            <w:pPr>
              <w:tabs>
                <w:tab w:val="left" w:pos="438"/>
              </w:tabs>
              <w:jc w:val="center"/>
              <w:rPr>
                <w:szCs w:val="21"/>
              </w:rPr>
            </w:pPr>
            <w:r>
              <w:rPr>
                <w:b/>
                <w:szCs w:val="21"/>
              </w:rPr>
              <w:t>表4-</w:t>
            </w:r>
            <w:r>
              <w:rPr>
                <w:rFonts w:hint="eastAsia"/>
                <w:b/>
                <w:szCs w:val="21"/>
                <w:lang w:val="en-US" w:eastAsia="zh-CN"/>
              </w:rPr>
              <w:t>19</w:t>
            </w:r>
            <w:r>
              <w:rPr>
                <w:rFonts w:hint="eastAsia"/>
                <w:b/>
                <w:szCs w:val="21"/>
              </w:rPr>
              <w:t xml:space="preserve">  运营期监测计划表</w:t>
            </w:r>
          </w:p>
          <w:tbl>
            <w:tblPr>
              <w:tblStyle w:val="31"/>
              <w:tblW w:w="81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398"/>
              <w:gridCol w:w="1745"/>
              <w:gridCol w:w="1151"/>
              <w:gridCol w:w="3167"/>
            </w:tblGrid>
            <w:tr w14:paraId="46DA8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735" w:type="dxa"/>
                  <w:vAlign w:val="center"/>
                </w:tcPr>
                <w:p w14:paraId="569675D0">
                  <w:pPr>
                    <w:adjustRightInd w:val="0"/>
                    <w:jc w:val="center"/>
                    <w:textAlignment w:val="baseline"/>
                    <w:rPr>
                      <w:b/>
                      <w:bCs/>
                      <w:szCs w:val="21"/>
                    </w:rPr>
                  </w:pPr>
                  <w:r>
                    <w:rPr>
                      <w:rFonts w:hint="eastAsia"/>
                      <w:b/>
                      <w:bCs/>
                      <w:szCs w:val="21"/>
                    </w:rPr>
                    <w:t>污染物</w:t>
                  </w:r>
                </w:p>
              </w:tc>
              <w:tc>
                <w:tcPr>
                  <w:tcW w:w="1398" w:type="dxa"/>
                  <w:vAlign w:val="center"/>
                </w:tcPr>
                <w:p w14:paraId="765CCB12">
                  <w:pPr>
                    <w:adjustRightInd w:val="0"/>
                    <w:jc w:val="center"/>
                    <w:textAlignment w:val="baseline"/>
                    <w:rPr>
                      <w:b/>
                      <w:bCs/>
                    </w:rPr>
                  </w:pPr>
                  <w:r>
                    <w:rPr>
                      <w:b/>
                      <w:bCs/>
                      <w:szCs w:val="21"/>
                    </w:rPr>
                    <w:t>监测点位</w:t>
                  </w:r>
                </w:p>
              </w:tc>
              <w:tc>
                <w:tcPr>
                  <w:tcW w:w="1745" w:type="dxa"/>
                  <w:vAlign w:val="center"/>
                </w:tcPr>
                <w:p w14:paraId="296F6A44">
                  <w:pPr>
                    <w:adjustRightInd w:val="0"/>
                    <w:jc w:val="center"/>
                    <w:textAlignment w:val="baseline"/>
                    <w:rPr>
                      <w:b/>
                      <w:bCs/>
                    </w:rPr>
                  </w:pPr>
                  <w:r>
                    <w:rPr>
                      <w:b/>
                      <w:bCs/>
                      <w:szCs w:val="21"/>
                    </w:rPr>
                    <w:t>监测指标</w:t>
                  </w:r>
                </w:p>
              </w:tc>
              <w:tc>
                <w:tcPr>
                  <w:tcW w:w="1151" w:type="dxa"/>
                  <w:vAlign w:val="center"/>
                </w:tcPr>
                <w:p w14:paraId="3DDD88BA">
                  <w:pPr>
                    <w:adjustRightInd w:val="0"/>
                    <w:jc w:val="center"/>
                    <w:textAlignment w:val="baseline"/>
                    <w:rPr>
                      <w:b/>
                      <w:bCs/>
                    </w:rPr>
                  </w:pPr>
                  <w:r>
                    <w:rPr>
                      <w:b/>
                      <w:bCs/>
                      <w:szCs w:val="21"/>
                    </w:rPr>
                    <w:t>监测频次</w:t>
                  </w:r>
                </w:p>
              </w:tc>
              <w:tc>
                <w:tcPr>
                  <w:tcW w:w="3167" w:type="dxa"/>
                  <w:vAlign w:val="center"/>
                </w:tcPr>
                <w:p w14:paraId="16C13FA6">
                  <w:pPr>
                    <w:adjustRightInd w:val="0"/>
                    <w:jc w:val="center"/>
                    <w:textAlignment w:val="baseline"/>
                    <w:rPr>
                      <w:b/>
                      <w:bCs/>
                    </w:rPr>
                  </w:pPr>
                  <w:r>
                    <w:rPr>
                      <w:b/>
                      <w:bCs/>
                      <w:szCs w:val="21"/>
                    </w:rPr>
                    <w:t>执行排放标准</w:t>
                  </w:r>
                </w:p>
              </w:tc>
            </w:tr>
            <w:tr w14:paraId="38945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735" w:type="dxa"/>
                  <w:vMerge w:val="restart"/>
                  <w:vAlign w:val="center"/>
                </w:tcPr>
                <w:p w14:paraId="61DFCCE4">
                  <w:pPr>
                    <w:widowControl/>
                    <w:jc w:val="center"/>
                  </w:pPr>
                  <w:r>
                    <w:rPr>
                      <w:rFonts w:hint="eastAsia"/>
                    </w:rPr>
                    <w:t>废气</w:t>
                  </w:r>
                </w:p>
              </w:tc>
              <w:tc>
                <w:tcPr>
                  <w:tcW w:w="1398" w:type="dxa"/>
                  <w:vAlign w:val="center"/>
                </w:tcPr>
                <w:p w14:paraId="108740A2">
                  <w:pPr>
                    <w:widowControl/>
                    <w:jc w:val="center"/>
                  </w:pPr>
                  <w:r>
                    <w:rPr>
                      <w:rFonts w:hint="eastAsia"/>
                    </w:rPr>
                    <w:t>DA001</w:t>
                  </w:r>
                </w:p>
              </w:tc>
              <w:tc>
                <w:tcPr>
                  <w:tcW w:w="1745" w:type="dxa"/>
                  <w:vAlign w:val="center"/>
                </w:tcPr>
                <w:p w14:paraId="679F2936">
                  <w:pPr>
                    <w:widowControl/>
                    <w:jc w:val="center"/>
                  </w:pPr>
                  <w:r>
                    <w:rPr>
                      <w:rFonts w:hint="eastAsia"/>
                    </w:rPr>
                    <w:t>颗粒物</w:t>
                  </w:r>
                </w:p>
              </w:tc>
              <w:tc>
                <w:tcPr>
                  <w:tcW w:w="1151" w:type="dxa"/>
                  <w:vAlign w:val="center"/>
                </w:tcPr>
                <w:p w14:paraId="6310C1A7">
                  <w:pPr>
                    <w:widowControl/>
                    <w:jc w:val="center"/>
                  </w:pPr>
                  <w:r>
                    <w:rPr>
                      <w:szCs w:val="21"/>
                    </w:rPr>
                    <w:t>1次/年</w:t>
                  </w:r>
                </w:p>
              </w:tc>
              <w:tc>
                <w:tcPr>
                  <w:tcW w:w="3167" w:type="dxa"/>
                  <w:vAlign w:val="center"/>
                </w:tcPr>
                <w:p w14:paraId="07C4E5A2">
                  <w:pPr>
                    <w:widowControl/>
                    <w:jc w:val="center"/>
                  </w:pPr>
                  <w:r>
                    <w:rPr>
                      <w:szCs w:val="21"/>
                    </w:rPr>
                    <w:t>《大气污染物综合排放标准》（</w:t>
                  </w:r>
                  <w:r>
                    <w:rPr>
                      <w:rFonts w:hint="eastAsia"/>
                      <w:szCs w:val="21"/>
                    </w:rPr>
                    <w:t xml:space="preserve">GB </w:t>
                  </w:r>
                  <w:r>
                    <w:rPr>
                      <w:szCs w:val="21"/>
                    </w:rPr>
                    <w:t>16297-1996）表2中二级标准</w:t>
                  </w:r>
                </w:p>
              </w:tc>
            </w:tr>
            <w:tr w14:paraId="4D64D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735" w:type="dxa"/>
                  <w:vMerge w:val="continue"/>
                  <w:vAlign w:val="center"/>
                </w:tcPr>
                <w:p w14:paraId="786D4621">
                  <w:pPr>
                    <w:widowControl/>
                    <w:jc w:val="center"/>
                  </w:pPr>
                </w:p>
              </w:tc>
              <w:tc>
                <w:tcPr>
                  <w:tcW w:w="1398" w:type="dxa"/>
                  <w:vMerge w:val="restart"/>
                  <w:vAlign w:val="center"/>
                </w:tcPr>
                <w:p w14:paraId="15D567A4">
                  <w:pPr>
                    <w:widowControl/>
                    <w:jc w:val="center"/>
                    <w:rPr>
                      <w:color w:val="auto"/>
                    </w:rPr>
                  </w:pPr>
                  <w:r>
                    <w:rPr>
                      <w:rFonts w:hint="eastAsia"/>
                      <w:color w:val="auto"/>
                    </w:rPr>
                    <w:t>DA002</w:t>
                  </w:r>
                </w:p>
              </w:tc>
              <w:tc>
                <w:tcPr>
                  <w:tcW w:w="1745" w:type="dxa"/>
                  <w:vAlign w:val="center"/>
                </w:tcPr>
                <w:p w14:paraId="177D78F3">
                  <w:pPr>
                    <w:widowControl/>
                    <w:jc w:val="center"/>
                    <w:rPr>
                      <w:color w:val="auto"/>
                    </w:rPr>
                  </w:pPr>
                  <w:r>
                    <w:rPr>
                      <w:rFonts w:hint="eastAsia"/>
                      <w:color w:val="auto"/>
                    </w:rPr>
                    <w:t>颗粒物</w:t>
                  </w:r>
                </w:p>
              </w:tc>
              <w:tc>
                <w:tcPr>
                  <w:tcW w:w="1151" w:type="dxa"/>
                  <w:vMerge w:val="restart"/>
                  <w:vAlign w:val="center"/>
                </w:tcPr>
                <w:p w14:paraId="66306DF1">
                  <w:pPr>
                    <w:widowControl/>
                    <w:jc w:val="center"/>
                    <w:rPr>
                      <w:color w:val="auto"/>
                    </w:rPr>
                  </w:pPr>
                  <w:r>
                    <w:rPr>
                      <w:rFonts w:hint="eastAsia"/>
                      <w:color w:val="auto"/>
                      <w:szCs w:val="21"/>
                    </w:rPr>
                    <w:t>1次</w:t>
                  </w:r>
                  <w:r>
                    <w:rPr>
                      <w:color w:val="auto"/>
                      <w:szCs w:val="21"/>
                    </w:rPr>
                    <w:t>/</w:t>
                  </w:r>
                  <w:r>
                    <w:rPr>
                      <w:rFonts w:hint="eastAsia"/>
                      <w:color w:val="auto"/>
                      <w:szCs w:val="21"/>
                    </w:rPr>
                    <w:t>半</w:t>
                  </w:r>
                  <w:r>
                    <w:rPr>
                      <w:color w:val="auto"/>
                      <w:szCs w:val="21"/>
                    </w:rPr>
                    <w:t>年</w:t>
                  </w:r>
                </w:p>
              </w:tc>
              <w:tc>
                <w:tcPr>
                  <w:tcW w:w="3167" w:type="dxa"/>
                  <w:vMerge w:val="restart"/>
                  <w:vAlign w:val="center"/>
                </w:tcPr>
                <w:p w14:paraId="08288335">
                  <w:pPr>
                    <w:widowControl/>
                    <w:jc w:val="center"/>
                    <w:rPr>
                      <w:color w:val="auto"/>
                    </w:rPr>
                  </w:pPr>
                  <w:r>
                    <w:rPr>
                      <w:rFonts w:hint="eastAsia"/>
                      <w:color w:val="auto"/>
                      <w:szCs w:val="21"/>
                    </w:rPr>
                    <w:t>《兵团工业炉窑大气污染综合治理实施方案》中重点区域排放标准</w:t>
                  </w:r>
                </w:p>
              </w:tc>
            </w:tr>
            <w:tr w14:paraId="718D5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735" w:type="dxa"/>
                  <w:vMerge w:val="continue"/>
                  <w:vAlign w:val="center"/>
                </w:tcPr>
                <w:p w14:paraId="52206ED1">
                  <w:pPr>
                    <w:widowControl/>
                    <w:jc w:val="center"/>
                  </w:pPr>
                </w:p>
              </w:tc>
              <w:tc>
                <w:tcPr>
                  <w:tcW w:w="1398" w:type="dxa"/>
                  <w:vMerge w:val="continue"/>
                  <w:vAlign w:val="center"/>
                </w:tcPr>
                <w:p w14:paraId="3226A014">
                  <w:pPr>
                    <w:widowControl/>
                    <w:jc w:val="center"/>
                    <w:rPr>
                      <w:color w:val="auto"/>
                    </w:rPr>
                  </w:pPr>
                </w:p>
              </w:tc>
              <w:tc>
                <w:tcPr>
                  <w:tcW w:w="1745" w:type="dxa"/>
                  <w:vAlign w:val="center"/>
                </w:tcPr>
                <w:p w14:paraId="22A569CC">
                  <w:pPr>
                    <w:widowControl/>
                    <w:jc w:val="center"/>
                    <w:rPr>
                      <w:color w:val="auto"/>
                    </w:rPr>
                  </w:pPr>
                  <w:r>
                    <w:rPr>
                      <w:rFonts w:hint="eastAsia"/>
                      <w:color w:val="auto"/>
                    </w:rPr>
                    <w:t>二氧化硫</w:t>
                  </w:r>
                </w:p>
              </w:tc>
              <w:tc>
                <w:tcPr>
                  <w:tcW w:w="1151" w:type="dxa"/>
                  <w:vMerge w:val="continue"/>
                  <w:vAlign w:val="center"/>
                </w:tcPr>
                <w:p w14:paraId="214D39ED">
                  <w:pPr>
                    <w:widowControl/>
                    <w:jc w:val="center"/>
                    <w:rPr>
                      <w:color w:val="auto"/>
                    </w:rPr>
                  </w:pPr>
                </w:p>
              </w:tc>
              <w:tc>
                <w:tcPr>
                  <w:tcW w:w="3167" w:type="dxa"/>
                  <w:vMerge w:val="continue"/>
                  <w:vAlign w:val="center"/>
                </w:tcPr>
                <w:p w14:paraId="5546BE59">
                  <w:pPr>
                    <w:widowControl/>
                    <w:jc w:val="center"/>
                    <w:rPr>
                      <w:color w:val="auto"/>
                    </w:rPr>
                  </w:pPr>
                </w:p>
              </w:tc>
            </w:tr>
            <w:tr w14:paraId="7A836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735" w:type="dxa"/>
                  <w:vMerge w:val="continue"/>
                  <w:vAlign w:val="center"/>
                </w:tcPr>
                <w:p w14:paraId="48F73033">
                  <w:pPr>
                    <w:widowControl/>
                    <w:jc w:val="center"/>
                  </w:pPr>
                </w:p>
              </w:tc>
              <w:tc>
                <w:tcPr>
                  <w:tcW w:w="1398" w:type="dxa"/>
                  <w:vMerge w:val="continue"/>
                  <w:vAlign w:val="center"/>
                </w:tcPr>
                <w:p w14:paraId="74B412CD">
                  <w:pPr>
                    <w:widowControl/>
                    <w:jc w:val="center"/>
                    <w:rPr>
                      <w:color w:val="auto"/>
                    </w:rPr>
                  </w:pPr>
                </w:p>
              </w:tc>
              <w:tc>
                <w:tcPr>
                  <w:tcW w:w="1745" w:type="dxa"/>
                  <w:vAlign w:val="center"/>
                </w:tcPr>
                <w:p w14:paraId="41FD4060">
                  <w:pPr>
                    <w:widowControl/>
                    <w:jc w:val="center"/>
                    <w:rPr>
                      <w:color w:val="auto"/>
                    </w:rPr>
                  </w:pPr>
                  <w:r>
                    <w:rPr>
                      <w:rFonts w:hint="eastAsia"/>
                      <w:color w:val="auto"/>
                    </w:rPr>
                    <w:t>氮氧化物</w:t>
                  </w:r>
                </w:p>
              </w:tc>
              <w:tc>
                <w:tcPr>
                  <w:tcW w:w="1151" w:type="dxa"/>
                  <w:vMerge w:val="continue"/>
                  <w:vAlign w:val="center"/>
                </w:tcPr>
                <w:p w14:paraId="435E0303">
                  <w:pPr>
                    <w:widowControl/>
                    <w:jc w:val="center"/>
                    <w:rPr>
                      <w:color w:val="auto"/>
                    </w:rPr>
                  </w:pPr>
                </w:p>
              </w:tc>
              <w:tc>
                <w:tcPr>
                  <w:tcW w:w="3167" w:type="dxa"/>
                  <w:vMerge w:val="continue"/>
                  <w:vAlign w:val="center"/>
                </w:tcPr>
                <w:p w14:paraId="3BABF28D">
                  <w:pPr>
                    <w:widowControl/>
                    <w:jc w:val="center"/>
                    <w:rPr>
                      <w:color w:val="auto"/>
                    </w:rPr>
                  </w:pPr>
                </w:p>
              </w:tc>
            </w:tr>
            <w:tr w14:paraId="51B29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735" w:type="dxa"/>
                  <w:vMerge w:val="continue"/>
                  <w:vAlign w:val="center"/>
                </w:tcPr>
                <w:p w14:paraId="2A9D26E1">
                  <w:pPr>
                    <w:widowControl/>
                    <w:jc w:val="center"/>
                  </w:pPr>
                </w:p>
              </w:tc>
              <w:tc>
                <w:tcPr>
                  <w:tcW w:w="1398" w:type="dxa"/>
                  <w:vMerge w:val="continue"/>
                  <w:vAlign w:val="center"/>
                </w:tcPr>
                <w:p w14:paraId="76484C86">
                  <w:pPr>
                    <w:widowControl/>
                    <w:jc w:val="center"/>
                    <w:rPr>
                      <w:color w:val="auto"/>
                    </w:rPr>
                  </w:pPr>
                </w:p>
              </w:tc>
              <w:tc>
                <w:tcPr>
                  <w:tcW w:w="1745" w:type="dxa"/>
                  <w:vAlign w:val="center"/>
                </w:tcPr>
                <w:p w14:paraId="46FF1A20">
                  <w:pPr>
                    <w:widowControl/>
                    <w:jc w:val="center"/>
                    <w:rPr>
                      <w:color w:val="auto"/>
                    </w:rPr>
                  </w:pPr>
                  <w:r>
                    <w:rPr>
                      <w:color w:val="auto"/>
                    </w:rPr>
                    <w:t>苯并[a]芘</w:t>
                  </w:r>
                </w:p>
              </w:tc>
              <w:tc>
                <w:tcPr>
                  <w:tcW w:w="1151" w:type="dxa"/>
                  <w:vMerge w:val="restart"/>
                  <w:vAlign w:val="center"/>
                </w:tcPr>
                <w:p w14:paraId="2C10D91F">
                  <w:pPr>
                    <w:widowControl/>
                    <w:jc w:val="center"/>
                    <w:rPr>
                      <w:color w:val="auto"/>
                    </w:rPr>
                  </w:pPr>
                  <w:r>
                    <w:rPr>
                      <w:rFonts w:hint="eastAsia"/>
                      <w:color w:val="auto"/>
                      <w:szCs w:val="21"/>
                    </w:rPr>
                    <w:t>1次</w:t>
                  </w:r>
                  <w:r>
                    <w:rPr>
                      <w:color w:val="auto"/>
                      <w:szCs w:val="21"/>
                    </w:rPr>
                    <w:t>/</w:t>
                  </w:r>
                  <w:r>
                    <w:rPr>
                      <w:rFonts w:hint="eastAsia"/>
                      <w:color w:val="auto"/>
                      <w:szCs w:val="21"/>
                    </w:rPr>
                    <w:t>半</w:t>
                  </w:r>
                  <w:r>
                    <w:rPr>
                      <w:color w:val="auto"/>
                      <w:szCs w:val="21"/>
                    </w:rPr>
                    <w:t>年</w:t>
                  </w:r>
                </w:p>
              </w:tc>
              <w:tc>
                <w:tcPr>
                  <w:tcW w:w="3167" w:type="dxa"/>
                  <w:vMerge w:val="restart"/>
                  <w:vAlign w:val="center"/>
                </w:tcPr>
                <w:p w14:paraId="1B1C9603">
                  <w:pPr>
                    <w:widowControl/>
                    <w:jc w:val="center"/>
                    <w:rPr>
                      <w:color w:val="auto"/>
                    </w:rPr>
                  </w:pPr>
                  <w:r>
                    <w:rPr>
                      <w:color w:val="auto"/>
                      <w:szCs w:val="21"/>
                    </w:rPr>
                    <w:t>《大气污染物综合排放标准》（</w:t>
                  </w:r>
                  <w:r>
                    <w:rPr>
                      <w:rFonts w:hint="eastAsia"/>
                      <w:color w:val="auto"/>
                      <w:szCs w:val="21"/>
                    </w:rPr>
                    <w:t xml:space="preserve">GB </w:t>
                  </w:r>
                  <w:r>
                    <w:rPr>
                      <w:color w:val="auto"/>
                      <w:szCs w:val="21"/>
                    </w:rPr>
                    <w:t>16297-1996）表2中二级标准</w:t>
                  </w:r>
                </w:p>
              </w:tc>
            </w:tr>
            <w:tr w14:paraId="317BF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735" w:type="dxa"/>
                  <w:vMerge w:val="continue"/>
                  <w:vAlign w:val="center"/>
                </w:tcPr>
                <w:p w14:paraId="0FEE373E">
                  <w:pPr>
                    <w:widowControl/>
                    <w:jc w:val="center"/>
                  </w:pPr>
                </w:p>
              </w:tc>
              <w:tc>
                <w:tcPr>
                  <w:tcW w:w="1398" w:type="dxa"/>
                  <w:vMerge w:val="continue"/>
                  <w:vAlign w:val="center"/>
                </w:tcPr>
                <w:p w14:paraId="6177FB08">
                  <w:pPr>
                    <w:widowControl/>
                    <w:jc w:val="center"/>
                  </w:pPr>
                </w:p>
              </w:tc>
              <w:tc>
                <w:tcPr>
                  <w:tcW w:w="1745" w:type="dxa"/>
                  <w:vAlign w:val="center"/>
                </w:tcPr>
                <w:p w14:paraId="2485D4F0">
                  <w:pPr>
                    <w:widowControl/>
                    <w:jc w:val="center"/>
                  </w:pPr>
                  <w:r>
                    <w:t>沥青烟</w:t>
                  </w:r>
                </w:p>
              </w:tc>
              <w:tc>
                <w:tcPr>
                  <w:tcW w:w="1151" w:type="dxa"/>
                  <w:vMerge w:val="continue"/>
                  <w:vAlign w:val="center"/>
                </w:tcPr>
                <w:p w14:paraId="067DEAEE">
                  <w:pPr>
                    <w:widowControl/>
                    <w:jc w:val="center"/>
                  </w:pPr>
                </w:p>
              </w:tc>
              <w:tc>
                <w:tcPr>
                  <w:tcW w:w="3167" w:type="dxa"/>
                  <w:vMerge w:val="continue"/>
                  <w:vAlign w:val="center"/>
                </w:tcPr>
                <w:p w14:paraId="324A0B18">
                  <w:pPr>
                    <w:widowControl/>
                    <w:jc w:val="center"/>
                  </w:pPr>
                </w:p>
              </w:tc>
            </w:tr>
            <w:tr w14:paraId="6B6E6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35" w:type="dxa"/>
                  <w:vMerge w:val="continue"/>
                  <w:vAlign w:val="center"/>
                </w:tcPr>
                <w:p w14:paraId="097406F7">
                  <w:pPr>
                    <w:widowControl/>
                    <w:jc w:val="center"/>
                  </w:pPr>
                </w:p>
              </w:tc>
              <w:tc>
                <w:tcPr>
                  <w:tcW w:w="1398" w:type="dxa"/>
                  <w:vMerge w:val="continue"/>
                  <w:vAlign w:val="center"/>
                </w:tcPr>
                <w:p w14:paraId="3757639B">
                  <w:pPr>
                    <w:widowControl/>
                    <w:jc w:val="center"/>
                  </w:pPr>
                </w:p>
              </w:tc>
              <w:tc>
                <w:tcPr>
                  <w:tcW w:w="1745" w:type="dxa"/>
                  <w:vAlign w:val="center"/>
                </w:tcPr>
                <w:p w14:paraId="4D3F20B5">
                  <w:pPr>
                    <w:widowControl/>
                    <w:jc w:val="center"/>
                  </w:pPr>
                  <w:r>
                    <w:rPr>
                      <w:rFonts w:hint="eastAsia"/>
                    </w:rPr>
                    <w:t>VOC</w:t>
                  </w:r>
                  <w:r>
                    <w:rPr>
                      <w:rFonts w:hint="eastAsia"/>
                      <w:vertAlign w:val="subscript"/>
                    </w:rPr>
                    <w:t>S</w:t>
                  </w:r>
                </w:p>
              </w:tc>
              <w:tc>
                <w:tcPr>
                  <w:tcW w:w="1151" w:type="dxa"/>
                  <w:vMerge w:val="continue"/>
                  <w:vAlign w:val="center"/>
                </w:tcPr>
                <w:p w14:paraId="7D486011">
                  <w:pPr>
                    <w:widowControl/>
                    <w:jc w:val="center"/>
                  </w:pPr>
                </w:p>
              </w:tc>
              <w:tc>
                <w:tcPr>
                  <w:tcW w:w="3167" w:type="dxa"/>
                  <w:vMerge w:val="continue"/>
                  <w:vAlign w:val="center"/>
                </w:tcPr>
                <w:p w14:paraId="21611ED1">
                  <w:pPr>
                    <w:widowControl/>
                    <w:jc w:val="center"/>
                  </w:pPr>
                </w:p>
              </w:tc>
            </w:tr>
            <w:tr w14:paraId="48CA6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735" w:type="dxa"/>
                  <w:vMerge w:val="continue"/>
                  <w:vAlign w:val="center"/>
                </w:tcPr>
                <w:p w14:paraId="717D0084">
                  <w:pPr>
                    <w:widowControl/>
                    <w:jc w:val="center"/>
                  </w:pPr>
                </w:p>
              </w:tc>
              <w:tc>
                <w:tcPr>
                  <w:tcW w:w="1398" w:type="dxa"/>
                  <w:vAlign w:val="center"/>
                </w:tcPr>
                <w:p w14:paraId="3CE74C5F">
                  <w:pPr>
                    <w:widowControl/>
                    <w:jc w:val="center"/>
                  </w:pPr>
                  <w:r>
                    <w:rPr>
                      <w:rFonts w:hint="eastAsia"/>
                    </w:rPr>
                    <w:t>DA003</w:t>
                  </w:r>
                </w:p>
              </w:tc>
              <w:tc>
                <w:tcPr>
                  <w:tcW w:w="1745" w:type="dxa"/>
                  <w:vAlign w:val="center"/>
                </w:tcPr>
                <w:p w14:paraId="7E9B8C2F">
                  <w:pPr>
                    <w:widowControl/>
                    <w:jc w:val="center"/>
                  </w:pPr>
                  <w:r>
                    <w:rPr>
                      <w:rFonts w:hint="eastAsia"/>
                    </w:rPr>
                    <w:t>颗粒物</w:t>
                  </w:r>
                </w:p>
              </w:tc>
              <w:tc>
                <w:tcPr>
                  <w:tcW w:w="1151" w:type="dxa"/>
                  <w:vAlign w:val="center"/>
                </w:tcPr>
                <w:p w14:paraId="05454D8D">
                  <w:pPr>
                    <w:widowControl/>
                    <w:jc w:val="center"/>
                  </w:pPr>
                  <w:r>
                    <w:rPr>
                      <w:rFonts w:hint="eastAsia"/>
                      <w:szCs w:val="21"/>
                    </w:rPr>
                    <w:t>1</w:t>
                  </w:r>
                  <w:r>
                    <w:rPr>
                      <w:szCs w:val="21"/>
                    </w:rPr>
                    <w:t>次/年</w:t>
                  </w:r>
                </w:p>
              </w:tc>
              <w:tc>
                <w:tcPr>
                  <w:tcW w:w="3167" w:type="dxa"/>
                  <w:vAlign w:val="center"/>
                </w:tcPr>
                <w:p w14:paraId="3C99AA7F">
                  <w:pPr>
                    <w:widowControl/>
                    <w:jc w:val="center"/>
                  </w:pPr>
                  <w:r>
                    <w:rPr>
                      <w:rFonts w:hint="eastAsia"/>
                      <w:szCs w:val="21"/>
                      <w:lang w:bidi="ar"/>
                    </w:rPr>
                    <w:t>《水泥工业大气污染物排放标准》（GB 4915-2013）中表2中相关标准</w:t>
                  </w:r>
                </w:p>
              </w:tc>
            </w:tr>
            <w:tr w14:paraId="4C7E2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735" w:type="dxa"/>
                  <w:vMerge w:val="continue"/>
                  <w:vAlign w:val="center"/>
                </w:tcPr>
                <w:p w14:paraId="70376468">
                  <w:pPr>
                    <w:widowControl/>
                    <w:jc w:val="center"/>
                  </w:pPr>
                </w:p>
              </w:tc>
              <w:tc>
                <w:tcPr>
                  <w:tcW w:w="1398" w:type="dxa"/>
                  <w:vAlign w:val="center"/>
                </w:tcPr>
                <w:p w14:paraId="19CE70C1">
                  <w:pPr>
                    <w:widowControl/>
                    <w:jc w:val="center"/>
                  </w:pPr>
                  <w:r>
                    <w:rPr>
                      <w:rFonts w:hint="eastAsia"/>
                    </w:rPr>
                    <w:t>食堂油烟净化器</w:t>
                  </w:r>
                </w:p>
              </w:tc>
              <w:tc>
                <w:tcPr>
                  <w:tcW w:w="1745" w:type="dxa"/>
                  <w:vAlign w:val="center"/>
                </w:tcPr>
                <w:p w14:paraId="717E9DF1">
                  <w:pPr>
                    <w:widowControl/>
                    <w:jc w:val="center"/>
                  </w:pPr>
                  <w:r>
                    <w:rPr>
                      <w:rFonts w:hint="eastAsia"/>
                    </w:rPr>
                    <w:t>食堂油烟</w:t>
                  </w:r>
                </w:p>
              </w:tc>
              <w:tc>
                <w:tcPr>
                  <w:tcW w:w="1151" w:type="dxa"/>
                  <w:vAlign w:val="center"/>
                </w:tcPr>
                <w:p w14:paraId="48CBC77F">
                  <w:pPr>
                    <w:widowControl/>
                    <w:jc w:val="center"/>
                  </w:pPr>
                  <w:r>
                    <w:rPr>
                      <w:rFonts w:hint="eastAsia"/>
                      <w:szCs w:val="21"/>
                    </w:rPr>
                    <w:t>1</w:t>
                  </w:r>
                  <w:r>
                    <w:rPr>
                      <w:szCs w:val="21"/>
                    </w:rPr>
                    <w:t>次/年</w:t>
                  </w:r>
                </w:p>
              </w:tc>
              <w:tc>
                <w:tcPr>
                  <w:tcW w:w="3167" w:type="dxa"/>
                  <w:vAlign w:val="center"/>
                </w:tcPr>
                <w:p w14:paraId="37527D00">
                  <w:pPr>
                    <w:widowControl/>
                    <w:jc w:val="center"/>
                  </w:pPr>
                  <w:r>
                    <w:rPr>
                      <w:rFonts w:hint="eastAsia"/>
                    </w:rPr>
                    <w:t>《饮食业油烟排放标准（试行）》（GB 18483-2001）标准</w:t>
                  </w:r>
                </w:p>
              </w:tc>
            </w:tr>
            <w:tr w14:paraId="2D809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735" w:type="dxa"/>
                  <w:vMerge w:val="continue"/>
                  <w:vAlign w:val="center"/>
                </w:tcPr>
                <w:p w14:paraId="7F62CA7C">
                  <w:pPr>
                    <w:adjustRightInd w:val="0"/>
                    <w:jc w:val="center"/>
                    <w:textAlignment w:val="baseline"/>
                    <w:rPr>
                      <w:szCs w:val="21"/>
                    </w:rPr>
                  </w:pPr>
                </w:p>
              </w:tc>
              <w:tc>
                <w:tcPr>
                  <w:tcW w:w="1398" w:type="dxa"/>
                  <w:vMerge w:val="restart"/>
                  <w:vAlign w:val="center"/>
                </w:tcPr>
                <w:p w14:paraId="30A3333A">
                  <w:pPr>
                    <w:adjustRightInd w:val="0"/>
                    <w:jc w:val="center"/>
                    <w:textAlignment w:val="baseline"/>
                  </w:pPr>
                  <w:r>
                    <w:rPr>
                      <w:szCs w:val="21"/>
                    </w:rPr>
                    <w:t>厂界</w:t>
                  </w:r>
                </w:p>
              </w:tc>
              <w:tc>
                <w:tcPr>
                  <w:tcW w:w="1745" w:type="dxa"/>
                  <w:vAlign w:val="center"/>
                </w:tcPr>
                <w:p w14:paraId="59E57520">
                  <w:pPr>
                    <w:adjustRightInd w:val="0"/>
                    <w:jc w:val="center"/>
                    <w:textAlignment w:val="baseline"/>
                  </w:pPr>
                  <w:r>
                    <w:rPr>
                      <w:szCs w:val="21"/>
                    </w:rPr>
                    <w:t>苯并[a]芘</w:t>
                  </w:r>
                </w:p>
              </w:tc>
              <w:tc>
                <w:tcPr>
                  <w:tcW w:w="1151" w:type="dxa"/>
                  <w:vMerge w:val="restart"/>
                  <w:vAlign w:val="center"/>
                </w:tcPr>
                <w:p w14:paraId="6C024C87">
                  <w:pPr>
                    <w:widowControl/>
                    <w:jc w:val="center"/>
                  </w:pPr>
                  <w:r>
                    <w:rPr>
                      <w:rFonts w:hint="eastAsia"/>
                      <w:szCs w:val="21"/>
                    </w:rPr>
                    <w:t>1</w:t>
                  </w:r>
                  <w:r>
                    <w:rPr>
                      <w:szCs w:val="21"/>
                    </w:rPr>
                    <w:t>次/年</w:t>
                  </w:r>
                </w:p>
              </w:tc>
              <w:tc>
                <w:tcPr>
                  <w:tcW w:w="3167" w:type="dxa"/>
                  <w:vMerge w:val="restart"/>
                  <w:vAlign w:val="center"/>
                </w:tcPr>
                <w:p w14:paraId="6D369D93">
                  <w:pPr>
                    <w:widowControl/>
                    <w:jc w:val="center"/>
                  </w:pPr>
                  <w:r>
                    <w:rPr>
                      <w:rFonts w:hint="eastAsia" w:eastAsia="宋体"/>
                      <w:color w:val="auto"/>
                      <w:lang w:eastAsia="zh-CN"/>
                    </w:rPr>
                    <w:t>《大气污染物综合排放标准》(GB16297-1996)无组织排放标准限值</w:t>
                  </w:r>
                </w:p>
              </w:tc>
            </w:tr>
            <w:tr w14:paraId="400F5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735" w:type="dxa"/>
                  <w:vMerge w:val="continue"/>
                  <w:vAlign w:val="center"/>
                </w:tcPr>
                <w:p w14:paraId="1F3C3262">
                  <w:pPr>
                    <w:adjustRightInd w:val="0"/>
                    <w:jc w:val="center"/>
                    <w:textAlignment w:val="baseline"/>
                  </w:pPr>
                </w:p>
              </w:tc>
              <w:tc>
                <w:tcPr>
                  <w:tcW w:w="1398" w:type="dxa"/>
                  <w:vMerge w:val="continue"/>
                  <w:vAlign w:val="center"/>
                </w:tcPr>
                <w:p w14:paraId="7E09D03B">
                  <w:pPr>
                    <w:adjustRightInd w:val="0"/>
                    <w:jc w:val="center"/>
                    <w:textAlignment w:val="baseline"/>
                  </w:pPr>
                </w:p>
              </w:tc>
              <w:tc>
                <w:tcPr>
                  <w:tcW w:w="1745" w:type="dxa"/>
                  <w:vAlign w:val="center"/>
                </w:tcPr>
                <w:p w14:paraId="77EADC78">
                  <w:pPr>
                    <w:adjustRightInd w:val="0"/>
                    <w:jc w:val="center"/>
                    <w:textAlignment w:val="baseline"/>
                    <w:rPr>
                      <w:szCs w:val="21"/>
                    </w:rPr>
                  </w:pPr>
                  <w:r>
                    <w:rPr>
                      <w:szCs w:val="21"/>
                    </w:rPr>
                    <w:t>沥青烟</w:t>
                  </w:r>
                </w:p>
              </w:tc>
              <w:tc>
                <w:tcPr>
                  <w:tcW w:w="1151" w:type="dxa"/>
                  <w:vMerge w:val="continue"/>
                  <w:vAlign w:val="center"/>
                </w:tcPr>
                <w:p w14:paraId="6535FE64">
                  <w:pPr>
                    <w:adjustRightInd w:val="0"/>
                    <w:jc w:val="center"/>
                    <w:textAlignment w:val="baseline"/>
                    <w:rPr>
                      <w:szCs w:val="21"/>
                    </w:rPr>
                  </w:pPr>
                </w:p>
              </w:tc>
              <w:tc>
                <w:tcPr>
                  <w:tcW w:w="3167" w:type="dxa"/>
                  <w:vMerge w:val="continue"/>
                  <w:vAlign w:val="center"/>
                </w:tcPr>
                <w:p w14:paraId="7FF62778">
                  <w:pPr>
                    <w:adjustRightInd w:val="0"/>
                    <w:jc w:val="center"/>
                    <w:textAlignment w:val="baseline"/>
                    <w:rPr>
                      <w:szCs w:val="21"/>
                    </w:rPr>
                  </w:pPr>
                </w:p>
              </w:tc>
            </w:tr>
            <w:tr w14:paraId="406B7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35" w:type="dxa"/>
                  <w:vMerge w:val="continue"/>
                  <w:vAlign w:val="center"/>
                </w:tcPr>
                <w:p w14:paraId="00AF614B">
                  <w:pPr>
                    <w:adjustRightInd w:val="0"/>
                    <w:jc w:val="center"/>
                    <w:textAlignment w:val="baseline"/>
                    <w:rPr>
                      <w:szCs w:val="21"/>
                    </w:rPr>
                  </w:pPr>
                </w:p>
              </w:tc>
              <w:tc>
                <w:tcPr>
                  <w:tcW w:w="1398" w:type="dxa"/>
                  <w:vMerge w:val="continue"/>
                  <w:vAlign w:val="center"/>
                </w:tcPr>
                <w:p w14:paraId="5E1697C0">
                  <w:pPr>
                    <w:adjustRightInd w:val="0"/>
                    <w:jc w:val="center"/>
                    <w:textAlignment w:val="baseline"/>
                    <w:rPr>
                      <w:szCs w:val="21"/>
                    </w:rPr>
                  </w:pPr>
                </w:p>
              </w:tc>
              <w:tc>
                <w:tcPr>
                  <w:tcW w:w="1745" w:type="dxa"/>
                  <w:vAlign w:val="center"/>
                </w:tcPr>
                <w:p w14:paraId="5324A664">
                  <w:pPr>
                    <w:adjustRightInd w:val="0"/>
                    <w:jc w:val="center"/>
                    <w:textAlignment w:val="baseline"/>
                    <w:rPr>
                      <w:szCs w:val="21"/>
                    </w:rPr>
                  </w:pPr>
                  <w:r>
                    <w:rPr>
                      <w:rFonts w:hint="eastAsia"/>
                      <w:szCs w:val="21"/>
                    </w:rPr>
                    <w:t>VOC</w:t>
                  </w:r>
                  <w:r>
                    <w:rPr>
                      <w:rFonts w:hint="eastAsia"/>
                      <w:szCs w:val="21"/>
                      <w:vertAlign w:val="subscript"/>
                    </w:rPr>
                    <w:t>S</w:t>
                  </w:r>
                </w:p>
              </w:tc>
              <w:tc>
                <w:tcPr>
                  <w:tcW w:w="1151" w:type="dxa"/>
                  <w:vMerge w:val="continue"/>
                  <w:vAlign w:val="center"/>
                </w:tcPr>
                <w:p w14:paraId="3089FCF3">
                  <w:pPr>
                    <w:adjustRightInd w:val="0"/>
                    <w:jc w:val="center"/>
                    <w:textAlignment w:val="baseline"/>
                    <w:rPr>
                      <w:szCs w:val="21"/>
                    </w:rPr>
                  </w:pPr>
                </w:p>
              </w:tc>
              <w:tc>
                <w:tcPr>
                  <w:tcW w:w="3167" w:type="dxa"/>
                  <w:vMerge w:val="continue"/>
                  <w:vAlign w:val="center"/>
                </w:tcPr>
                <w:p w14:paraId="343F75E4">
                  <w:pPr>
                    <w:adjustRightInd w:val="0"/>
                    <w:jc w:val="center"/>
                    <w:textAlignment w:val="baseline"/>
                    <w:rPr>
                      <w:szCs w:val="21"/>
                    </w:rPr>
                  </w:pPr>
                </w:p>
              </w:tc>
            </w:tr>
            <w:tr w14:paraId="37E6B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735" w:type="dxa"/>
                  <w:vMerge w:val="continue"/>
                  <w:vAlign w:val="center"/>
                </w:tcPr>
                <w:p w14:paraId="2A92C79A">
                  <w:pPr>
                    <w:adjustRightInd w:val="0"/>
                    <w:jc w:val="center"/>
                    <w:textAlignment w:val="baseline"/>
                    <w:rPr>
                      <w:szCs w:val="21"/>
                    </w:rPr>
                  </w:pPr>
                </w:p>
              </w:tc>
              <w:tc>
                <w:tcPr>
                  <w:tcW w:w="1398" w:type="dxa"/>
                  <w:vMerge w:val="continue"/>
                  <w:vAlign w:val="center"/>
                </w:tcPr>
                <w:p w14:paraId="1AE6922D">
                  <w:pPr>
                    <w:adjustRightInd w:val="0"/>
                    <w:jc w:val="center"/>
                    <w:textAlignment w:val="baseline"/>
                    <w:rPr>
                      <w:szCs w:val="21"/>
                    </w:rPr>
                  </w:pPr>
                </w:p>
              </w:tc>
              <w:tc>
                <w:tcPr>
                  <w:tcW w:w="1745" w:type="dxa"/>
                  <w:vAlign w:val="center"/>
                </w:tcPr>
                <w:p w14:paraId="257866A8">
                  <w:pPr>
                    <w:adjustRightInd w:val="0"/>
                    <w:jc w:val="center"/>
                    <w:textAlignment w:val="baseline"/>
                    <w:rPr>
                      <w:szCs w:val="21"/>
                    </w:rPr>
                  </w:pPr>
                  <w:r>
                    <w:rPr>
                      <w:rFonts w:hint="eastAsia"/>
                      <w:szCs w:val="21"/>
                    </w:rPr>
                    <w:t>颗粒物</w:t>
                  </w:r>
                </w:p>
              </w:tc>
              <w:tc>
                <w:tcPr>
                  <w:tcW w:w="1151" w:type="dxa"/>
                  <w:vMerge w:val="continue"/>
                  <w:vAlign w:val="center"/>
                </w:tcPr>
                <w:p w14:paraId="0C468468">
                  <w:pPr>
                    <w:adjustRightInd w:val="0"/>
                    <w:jc w:val="center"/>
                    <w:textAlignment w:val="baseline"/>
                    <w:rPr>
                      <w:szCs w:val="21"/>
                    </w:rPr>
                  </w:pPr>
                </w:p>
              </w:tc>
              <w:tc>
                <w:tcPr>
                  <w:tcW w:w="3167" w:type="dxa"/>
                  <w:vAlign w:val="center"/>
                </w:tcPr>
                <w:p w14:paraId="287E575A">
                  <w:pPr>
                    <w:adjustRightInd w:val="0"/>
                    <w:jc w:val="center"/>
                    <w:textAlignment w:val="baseline"/>
                    <w:rPr>
                      <w:szCs w:val="21"/>
                    </w:rPr>
                  </w:pPr>
                  <w:r>
                    <w:rPr>
                      <w:szCs w:val="21"/>
                    </w:rPr>
                    <w:t>《水泥工业大气污染物排放标准》（GB 4915-2013）表3中无组织排放标准限值0.5mg/m</w:t>
                  </w:r>
                  <w:r>
                    <w:rPr>
                      <w:szCs w:val="21"/>
                      <w:vertAlign w:val="superscript"/>
                    </w:rPr>
                    <w:t>3</w:t>
                  </w:r>
                </w:p>
              </w:tc>
            </w:tr>
            <w:tr w14:paraId="34378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735" w:type="dxa"/>
                  <w:vMerge w:val="continue"/>
                  <w:vAlign w:val="center"/>
                </w:tcPr>
                <w:p w14:paraId="22D2CC53">
                  <w:pPr>
                    <w:adjustRightInd w:val="0"/>
                    <w:jc w:val="center"/>
                    <w:textAlignment w:val="baseline"/>
                    <w:rPr>
                      <w:szCs w:val="21"/>
                    </w:rPr>
                  </w:pPr>
                </w:p>
              </w:tc>
              <w:tc>
                <w:tcPr>
                  <w:tcW w:w="1398" w:type="dxa"/>
                  <w:vAlign w:val="center"/>
                </w:tcPr>
                <w:p w14:paraId="680FB3D7">
                  <w:pPr>
                    <w:adjustRightInd w:val="0"/>
                    <w:jc w:val="center"/>
                    <w:textAlignment w:val="baseline"/>
                    <w:rPr>
                      <w:szCs w:val="21"/>
                    </w:rPr>
                  </w:pPr>
                  <w:r>
                    <w:rPr>
                      <w:rFonts w:hint="eastAsia"/>
                      <w:szCs w:val="21"/>
                    </w:rPr>
                    <w:t>厂区内，操作工位下风向1m，距离地面1.5以上位置</w:t>
                  </w:r>
                </w:p>
              </w:tc>
              <w:tc>
                <w:tcPr>
                  <w:tcW w:w="1745" w:type="dxa"/>
                  <w:vAlign w:val="center"/>
                </w:tcPr>
                <w:p w14:paraId="1DE31E59">
                  <w:pPr>
                    <w:adjustRightInd w:val="0"/>
                    <w:jc w:val="center"/>
                    <w:textAlignment w:val="baseline"/>
                    <w:rPr>
                      <w:szCs w:val="21"/>
                    </w:rPr>
                  </w:pPr>
                  <w:r>
                    <w:rPr>
                      <w:rFonts w:hint="eastAsia"/>
                      <w:szCs w:val="21"/>
                    </w:rPr>
                    <w:t>VOC</w:t>
                  </w:r>
                  <w:r>
                    <w:rPr>
                      <w:rFonts w:hint="eastAsia"/>
                      <w:szCs w:val="21"/>
                      <w:vertAlign w:val="subscript"/>
                    </w:rPr>
                    <w:t>S</w:t>
                  </w:r>
                </w:p>
              </w:tc>
              <w:tc>
                <w:tcPr>
                  <w:tcW w:w="1151" w:type="dxa"/>
                  <w:vAlign w:val="center"/>
                </w:tcPr>
                <w:p w14:paraId="14689BD8">
                  <w:pPr>
                    <w:widowControl/>
                    <w:jc w:val="center"/>
                  </w:pPr>
                  <w:r>
                    <w:rPr>
                      <w:rFonts w:hint="eastAsia"/>
                      <w:szCs w:val="21"/>
                    </w:rPr>
                    <w:t>1</w:t>
                  </w:r>
                  <w:r>
                    <w:rPr>
                      <w:szCs w:val="21"/>
                    </w:rPr>
                    <w:t>次/年</w:t>
                  </w:r>
                </w:p>
              </w:tc>
              <w:tc>
                <w:tcPr>
                  <w:tcW w:w="3167" w:type="dxa"/>
                  <w:vAlign w:val="center"/>
                </w:tcPr>
                <w:p w14:paraId="0C4A736F">
                  <w:pPr>
                    <w:widowControl/>
                    <w:jc w:val="center"/>
                  </w:pPr>
                  <w:r>
                    <w:rPr>
                      <w:szCs w:val="21"/>
                    </w:rPr>
                    <w:t>《挥发性有机物无组织排放控制标准》（</w:t>
                  </w:r>
                  <w:r>
                    <w:rPr>
                      <w:rFonts w:hint="eastAsia"/>
                      <w:szCs w:val="21"/>
                    </w:rPr>
                    <w:t>GB 37822</w:t>
                  </w:r>
                  <w:r>
                    <w:rPr>
                      <w:szCs w:val="21"/>
                    </w:rPr>
                    <w:t>-</w:t>
                  </w:r>
                  <w:r>
                    <w:rPr>
                      <w:rFonts w:hint="eastAsia"/>
                      <w:szCs w:val="21"/>
                    </w:rPr>
                    <w:t>2019</w:t>
                  </w:r>
                  <w:r>
                    <w:rPr>
                      <w:szCs w:val="21"/>
                    </w:rPr>
                    <w:t>）</w:t>
                  </w:r>
                  <w:r>
                    <w:rPr>
                      <w:rFonts w:hint="eastAsia"/>
                      <w:szCs w:val="21"/>
                    </w:rPr>
                    <w:t>A.1排放标准</w:t>
                  </w:r>
                </w:p>
              </w:tc>
            </w:tr>
            <w:tr w14:paraId="4BDD4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35" w:type="dxa"/>
                  <w:vAlign w:val="center"/>
                </w:tcPr>
                <w:p w14:paraId="33913F6B">
                  <w:pPr>
                    <w:adjustRightInd w:val="0"/>
                    <w:jc w:val="center"/>
                    <w:textAlignment w:val="baseline"/>
                    <w:rPr>
                      <w:szCs w:val="21"/>
                    </w:rPr>
                  </w:pPr>
                  <w:r>
                    <w:rPr>
                      <w:rFonts w:hint="eastAsia"/>
                      <w:szCs w:val="21"/>
                    </w:rPr>
                    <w:t>噪声</w:t>
                  </w:r>
                </w:p>
              </w:tc>
              <w:tc>
                <w:tcPr>
                  <w:tcW w:w="1398" w:type="dxa"/>
                  <w:vAlign w:val="center"/>
                </w:tcPr>
                <w:p w14:paraId="5442A0ED">
                  <w:pPr>
                    <w:snapToGrid w:val="0"/>
                    <w:contextualSpacing/>
                    <w:jc w:val="center"/>
                    <w:rPr>
                      <w:szCs w:val="21"/>
                    </w:rPr>
                  </w:pPr>
                  <w:r>
                    <w:rPr>
                      <w:rFonts w:hint="eastAsia"/>
                    </w:rPr>
                    <w:t>企业</w:t>
                  </w:r>
                  <w:r>
                    <w:t>厂界</w:t>
                  </w:r>
                  <w:r>
                    <w:rPr>
                      <w:rFonts w:hint="eastAsia"/>
                    </w:rPr>
                    <w:t>四周</w:t>
                  </w:r>
                </w:p>
              </w:tc>
              <w:tc>
                <w:tcPr>
                  <w:tcW w:w="1745" w:type="dxa"/>
                  <w:vAlign w:val="center"/>
                </w:tcPr>
                <w:p w14:paraId="453C845C">
                  <w:pPr>
                    <w:snapToGrid w:val="0"/>
                    <w:contextualSpacing/>
                    <w:jc w:val="center"/>
                    <w:rPr>
                      <w:szCs w:val="21"/>
                    </w:rPr>
                  </w:pPr>
                  <w:r>
                    <w:rPr>
                      <w:rFonts w:hint="eastAsia"/>
                      <w:szCs w:val="21"/>
                    </w:rPr>
                    <w:t>厂界噪声</w:t>
                  </w:r>
                </w:p>
              </w:tc>
              <w:tc>
                <w:tcPr>
                  <w:tcW w:w="1151" w:type="dxa"/>
                  <w:vAlign w:val="center"/>
                </w:tcPr>
                <w:p w14:paraId="6D91BCDE">
                  <w:pPr>
                    <w:snapToGrid w:val="0"/>
                    <w:contextualSpacing/>
                    <w:jc w:val="center"/>
                    <w:rPr>
                      <w:szCs w:val="21"/>
                    </w:rPr>
                  </w:pPr>
                  <w:r>
                    <w:t>每季度一次</w:t>
                  </w:r>
                </w:p>
              </w:tc>
              <w:tc>
                <w:tcPr>
                  <w:tcW w:w="3167" w:type="dxa"/>
                  <w:vAlign w:val="center"/>
                </w:tcPr>
                <w:p w14:paraId="7C3F4E3A">
                  <w:pPr>
                    <w:snapToGrid w:val="0"/>
                    <w:contextualSpacing/>
                    <w:jc w:val="center"/>
                    <w:rPr>
                      <w:szCs w:val="21"/>
                    </w:rPr>
                  </w:pPr>
                  <w:r>
                    <w:t>《工业企业厂界环境噪声排放标准》（</w:t>
                  </w:r>
                  <w:r>
                    <w:rPr>
                      <w:rFonts w:hint="eastAsia"/>
                    </w:rPr>
                    <w:t xml:space="preserve">GB </w:t>
                  </w:r>
                  <w:r>
                    <w:t>12348-2008）</w:t>
                  </w:r>
                  <w:r>
                    <w:rPr>
                      <w:rFonts w:hint="eastAsia"/>
                    </w:rPr>
                    <w:t>2</w:t>
                  </w:r>
                  <w:r>
                    <w:t>类标准限</w:t>
                  </w:r>
                </w:p>
              </w:tc>
            </w:tr>
          </w:tbl>
          <w:p w14:paraId="4D8ABE61">
            <w:pPr>
              <w:adjustRightInd w:val="0"/>
              <w:snapToGrid w:val="0"/>
              <w:spacing w:line="360" w:lineRule="auto"/>
              <w:rPr>
                <w:b/>
                <w:bCs/>
                <w:kern w:val="0"/>
                <w:szCs w:val="21"/>
              </w:rPr>
            </w:pPr>
            <w:r>
              <w:rPr>
                <w:rFonts w:hint="eastAsia"/>
                <w:b/>
                <w:bCs/>
                <w:kern w:val="0"/>
                <w:szCs w:val="21"/>
              </w:rPr>
              <w:t>4.9.3排污口规范化要求</w:t>
            </w:r>
          </w:p>
          <w:p w14:paraId="04AC5987">
            <w:pPr>
              <w:adjustRightInd w:val="0"/>
              <w:snapToGrid w:val="0"/>
              <w:spacing w:line="360" w:lineRule="auto"/>
              <w:ind w:firstLine="420" w:firstLineChars="200"/>
              <w:rPr>
                <w:kern w:val="0"/>
                <w:szCs w:val="21"/>
              </w:rPr>
            </w:pPr>
            <w:r>
              <w:rPr>
                <w:rFonts w:hint="eastAsia"/>
                <w:kern w:val="0"/>
                <w:szCs w:val="21"/>
              </w:rPr>
              <w:t>（1）根据《大气污染物综合排放标准》（GB16297-1996）及《固定污染源排气中颗粒物测定与气态污染物采样方法》（GB/T16157-1996）要求，在废气治理设施前、后分别预留监测孔，设置明显标志，环保图形标志牌应设在排气筒附近地面醒目处。</w:t>
            </w:r>
          </w:p>
          <w:p w14:paraId="1062F3E6">
            <w:pPr>
              <w:adjustRightInd w:val="0"/>
              <w:snapToGrid w:val="0"/>
              <w:spacing w:line="360" w:lineRule="auto"/>
              <w:ind w:firstLine="420" w:firstLineChars="200"/>
              <w:rPr>
                <w:kern w:val="0"/>
                <w:szCs w:val="21"/>
              </w:rPr>
            </w:pPr>
            <w:r>
              <w:rPr>
                <w:rFonts w:hint="eastAsia"/>
                <w:kern w:val="0"/>
                <w:szCs w:val="21"/>
              </w:rPr>
              <w:t>（2）根据《环境保护图形标志一排放口（源）》（GB15562.1-1995）标准要求，分别在废气排放口、噪声排放源设置环境保护图形标志，便于污染源的监督管理和常规监测工作的进行。在厂区“三废”及噪声排放点，设置明显标志，标志的设置应执行《环境保护图形标志排放口》（15562.1-1995）、《环境保护图形标志固体废物贮存（处置）场》（15562.2-1995）中有关规定，见下图。</w:t>
            </w:r>
          </w:p>
          <w:p w14:paraId="18B9D080">
            <w:pPr>
              <w:adjustRightInd w:val="0"/>
              <w:snapToGrid w:val="0"/>
              <w:spacing w:line="360" w:lineRule="auto"/>
              <w:ind w:firstLine="420" w:firstLineChars="200"/>
              <w:rPr>
                <w:kern w:val="0"/>
                <w:szCs w:val="21"/>
              </w:rPr>
            </w:pPr>
            <w:r>
              <w:rPr>
                <w:rFonts w:hint="eastAsia"/>
                <w:kern w:val="0"/>
                <w:szCs w:val="21"/>
              </w:rPr>
              <w:t>①废气排放口废气排放口必须符合规定的高度和按《污染源监测技术规范》便于采样、监测的要求，设置采样口，如无法满足要求的，其采样口与环境监测部门共同确认。</w:t>
            </w:r>
          </w:p>
          <w:p w14:paraId="3418F1BE">
            <w:pPr>
              <w:adjustRightInd w:val="0"/>
              <w:snapToGrid w:val="0"/>
              <w:spacing w:line="360" w:lineRule="auto"/>
              <w:ind w:firstLine="420" w:firstLineChars="200"/>
            </w:pPr>
            <w:r>
              <w:rPr>
                <w:rFonts w:hint="eastAsia"/>
                <w:kern w:val="0"/>
                <w:szCs w:val="21"/>
              </w:rPr>
              <w:t>②设置标志牌环境保护图形标志牌由国家环保总局统一定点制作，并由市环境监察部门根据企业排污情况统一向国家环保总局订购。企业排污口分布图由市环境监察部门统一绘制。标志牌设置位置在排污口（采样点）附近醒目处，高度为标志牌上边缘离地面2m。排污口附近1m范围内有建筑物的，设现面式标志牌，无建筑物的设立式标志牌。规范排污口的有关设置（如图形标专牌、计量装置等）均属于环保设施，排污单位必须负责日常的维护保养，任何单位和个人不得擅自拆除，如需要变更的须报环境监察部门同意并变更手续。</w:t>
            </w:r>
          </w:p>
          <w:p w14:paraId="6450C184">
            <w:pPr>
              <w:adjustRightInd w:val="0"/>
              <w:snapToGrid w:val="0"/>
              <w:spacing w:line="360" w:lineRule="auto"/>
              <w:ind w:firstLine="420" w:firstLineChars="200"/>
              <w:jc w:val="center"/>
            </w:pPr>
            <w:r>
              <w:drawing>
                <wp:inline distT="0" distB="0" distL="114300" distR="114300">
                  <wp:extent cx="3947160" cy="1613535"/>
                  <wp:effectExtent l="0" t="0" r="15240" b="5715"/>
                  <wp:docPr id="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
                          <pic:cNvPicPr>
                            <a:picLocks noChangeAspect="1"/>
                          </pic:cNvPicPr>
                        </pic:nvPicPr>
                        <pic:blipFill>
                          <a:blip r:embed="rId26"/>
                          <a:stretch>
                            <a:fillRect/>
                          </a:stretch>
                        </pic:blipFill>
                        <pic:spPr>
                          <a:xfrm>
                            <a:off x="0" y="0"/>
                            <a:ext cx="3947160" cy="1613535"/>
                          </a:xfrm>
                          <a:prstGeom prst="rect">
                            <a:avLst/>
                          </a:prstGeom>
                          <a:noFill/>
                          <a:ln>
                            <a:noFill/>
                          </a:ln>
                        </pic:spPr>
                      </pic:pic>
                    </a:graphicData>
                  </a:graphic>
                </wp:inline>
              </w:drawing>
            </w:r>
          </w:p>
          <w:p w14:paraId="55B8E654">
            <w:pPr>
              <w:adjustRightInd w:val="0"/>
              <w:snapToGrid w:val="0"/>
              <w:spacing w:line="360" w:lineRule="auto"/>
              <w:ind w:firstLine="420" w:firstLineChars="200"/>
              <w:jc w:val="center"/>
            </w:pPr>
            <w:r>
              <w:rPr>
                <w:rFonts w:hint="eastAsia"/>
              </w:rPr>
              <w:t>图4-2  排放口图形标志</w:t>
            </w:r>
          </w:p>
          <w:p w14:paraId="5ED1A32E">
            <w:pPr>
              <w:adjustRightInd w:val="0"/>
              <w:snapToGrid w:val="0"/>
              <w:spacing w:line="360" w:lineRule="auto"/>
              <w:ind w:firstLine="420" w:firstLineChars="200"/>
              <w:rPr>
                <w:kern w:val="0"/>
                <w:szCs w:val="21"/>
              </w:rPr>
            </w:pPr>
            <w:r>
              <w:rPr>
                <w:rFonts w:hint="eastAsia"/>
                <w:kern w:val="0"/>
                <w:szCs w:val="21"/>
              </w:rPr>
              <w:t>（3）对有破损、漏风的排气筒（烟囱）必须及时修复。</w:t>
            </w:r>
          </w:p>
          <w:p w14:paraId="162F60ED">
            <w:pPr>
              <w:pStyle w:val="71"/>
              <w:spacing w:line="360" w:lineRule="auto"/>
              <w:ind w:firstLine="420" w:firstLineChars="200"/>
              <w:rPr>
                <w:rFonts w:ascii="Times New Roman" w:hAnsi="Times New Roman" w:cs="Times New Roman"/>
                <w:kern w:val="0"/>
                <w:szCs w:val="21"/>
              </w:rPr>
            </w:pPr>
            <w:r>
              <w:rPr>
                <w:rFonts w:hint="eastAsia" w:ascii="Times New Roman" w:hAnsi="Times New Roman" w:cs="Times New Roman"/>
                <w:kern w:val="0"/>
                <w:szCs w:val="21"/>
              </w:rPr>
              <w:t>（4）各种固体废物处理措施、堆放场所，必须有防火、防流失、防渗漏或者其他防止污染环境的措施。</w:t>
            </w:r>
          </w:p>
          <w:p w14:paraId="408DE0CC">
            <w:pPr>
              <w:pStyle w:val="71"/>
              <w:spacing w:line="360" w:lineRule="auto"/>
              <w:rPr>
                <w:rFonts w:ascii="Times New Roman" w:hAnsi="Times New Roman" w:eastAsia="Times New Roman" w:cs="Times New Roman"/>
                <w:b/>
                <w:bCs/>
                <w:kern w:val="0"/>
                <w:szCs w:val="21"/>
              </w:rPr>
            </w:pPr>
            <w:r>
              <w:rPr>
                <w:rFonts w:hint="eastAsia" w:ascii="Times New Roman" w:hAnsi="Times New Roman" w:eastAsia="Times New Roman" w:cs="Times New Roman"/>
                <w:b/>
                <w:bCs/>
                <w:kern w:val="0"/>
                <w:szCs w:val="21"/>
              </w:rPr>
              <w:t>4.9.4环境管理建议</w:t>
            </w:r>
          </w:p>
          <w:p w14:paraId="1B65CFA5">
            <w:pPr>
              <w:spacing w:line="360" w:lineRule="auto"/>
              <w:ind w:firstLine="420" w:firstLineChars="200"/>
              <w:rPr>
                <w:rFonts w:eastAsia="Times New Roman"/>
                <w:kern w:val="0"/>
                <w:szCs w:val="21"/>
              </w:rPr>
            </w:pPr>
            <w:r>
              <w:rPr>
                <w:rFonts w:hint="eastAsia" w:eastAsia="Times New Roman"/>
                <w:kern w:val="0"/>
                <w:szCs w:val="21"/>
              </w:rPr>
              <w:t>（1）加强运营期管理，加强环保宣传教育。</w:t>
            </w:r>
          </w:p>
          <w:p w14:paraId="2C56DEE7">
            <w:pPr>
              <w:spacing w:line="360" w:lineRule="auto"/>
              <w:ind w:firstLine="420" w:firstLineChars="200"/>
              <w:rPr>
                <w:rFonts w:eastAsia="Times New Roman"/>
                <w:kern w:val="0"/>
                <w:szCs w:val="21"/>
              </w:rPr>
            </w:pPr>
            <w:r>
              <w:rPr>
                <w:rFonts w:hint="eastAsia" w:eastAsia="Times New Roman"/>
                <w:kern w:val="0"/>
                <w:szCs w:val="21"/>
              </w:rPr>
              <w:t>（2）严格执行各项环境管理制度，确保本项目的正常运行。</w:t>
            </w:r>
          </w:p>
          <w:p w14:paraId="1066C578">
            <w:pPr>
              <w:spacing w:line="360" w:lineRule="auto"/>
              <w:ind w:firstLine="420" w:firstLineChars="200"/>
              <w:rPr>
                <w:rFonts w:eastAsia="Times New Roman"/>
                <w:kern w:val="0"/>
                <w:szCs w:val="21"/>
              </w:rPr>
            </w:pPr>
            <w:r>
              <w:rPr>
                <w:rFonts w:hint="eastAsia" w:eastAsia="Times New Roman"/>
                <w:kern w:val="0"/>
                <w:szCs w:val="21"/>
              </w:rPr>
              <w:t>（3）对各项环保设施操作、维护定量考核，建立环保设施运行档案。</w:t>
            </w:r>
          </w:p>
          <w:p w14:paraId="76685BCD">
            <w:pPr>
              <w:spacing w:line="360" w:lineRule="auto"/>
              <w:ind w:firstLine="420" w:firstLineChars="200"/>
              <w:rPr>
                <w:rFonts w:eastAsia="Times New Roman"/>
                <w:kern w:val="0"/>
                <w:szCs w:val="21"/>
              </w:rPr>
            </w:pPr>
            <w:r>
              <w:rPr>
                <w:rFonts w:hint="eastAsia" w:eastAsia="Times New Roman"/>
                <w:kern w:val="0"/>
                <w:szCs w:val="21"/>
              </w:rPr>
              <w:t>（4）提高员工环保意识，提高企业环境管理水平。</w:t>
            </w:r>
          </w:p>
          <w:p w14:paraId="63380CB9">
            <w:pPr>
              <w:spacing w:line="360" w:lineRule="auto"/>
              <w:ind w:firstLine="420" w:firstLineChars="200"/>
              <w:rPr>
                <w:rFonts w:eastAsia="Times New Roman"/>
                <w:kern w:val="0"/>
                <w:szCs w:val="21"/>
              </w:rPr>
            </w:pPr>
            <w:r>
              <w:rPr>
                <w:rFonts w:hint="eastAsia" w:eastAsia="Times New Roman"/>
                <w:kern w:val="0"/>
                <w:szCs w:val="21"/>
              </w:rPr>
              <w:t>（5）积极配合环保部门的检查、验收。</w:t>
            </w:r>
          </w:p>
          <w:p w14:paraId="5255755A">
            <w:pPr>
              <w:pStyle w:val="71"/>
              <w:spacing w:line="360" w:lineRule="auto"/>
              <w:rPr>
                <w:rFonts w:ascii="Times New Roman" w:hAnsi="Times New Roman" w:eastAsia="Times New Roman" w:cs="Times New Roman"/>
                <w:b/>
                <w:bCs/>
                <w:kern w:val="0"/>
                <w:szCs w:val="21"/>
              </w:rPr>
            </w:pPr>
            <w:r>
              <w:rPr>
                <w:rFonts w:hint="eastAsia" w:ascii="Times New Roman" w:hAnsi="Times New Roman" w:eastAsia="Times New Roman" w:cs="Times New Roman"/>
                <w:b/>
                <w:bCs/>
                <w:kern w:val="0"/>
                <w:szCs w:val="21"/>
              </w:rPr>
              <w:t>4.10环保投资</w:t>
            </w:r>
          </w:p>
          <w:p w14:paraId="64BC20B5">
            <w:pPr>
              <w:pStyle w:val="92"/>
              <w:ind w:firstLine="420"/>
              <w:rPr>
                <w:rFonts w:cs="Times New Roman"/>
                <w:b/>
                <w:bCs/>
                <w:sz w:val="21"/>
                <w:szCs w:val="21"/>
              </w:rPr>
            </w:pPr>
            <w:r>
              <w:rPr>
                <w:rFonts w:hint="eastAsia" w:cs="Times New Roman"/>
                <w:sz w:val="21"/>
                <w:szCs w:val="21"/>
              </w:rPr>
              <w:t>本项目总投资</w:t>
            </w:r>
            <w:r>
              <w:rPr>
                <w:rFonts w:eastAsia="宋体" w:cs="Times New Roman"/>
                <w:sz w:val="21"/>
                <w:szCs w:val="21"/>
              </w:rPr>
              <w:t>1</w:t>
            </w:r>
            <w:r>
              <w:rPr>
                <w:rFonts w:hint="eastAsia" w:eastAsia="宋体" w:cs="Times New Roman"/>
                <w:sz w:val="21"/>
                <w:szCs w:val="21"/>
              </w:rPr>
              <w:t>0354.61</w:t>
            </w:r>
            <w:r>
              <w:rPr>
                <w:rFonts w:hint="eastAsia" w:cs="Times New Roman"/>
                <w:sz w:val="21"/>
                <w:szCs w:val="21"/>
              </w:rPr>
              <w:t>万元，其中环保投资约为</w:t>
            </w:r>
            <w:r>
              <w:rPr>
                <w:rFonts w:hint="eastAsia" w:cs="Times New Roman"/>
                <w:snapToGrid w:val="0"/>
                <w:sz w:val="21"/>
                <w:szCs w:val="21"/>
              </w:rPr>
              <w:t>130.5</w:t>
            </w:r>
            <w:r>
              <w:rPr>
                <w:rFonts w:hint="eastAsia" w:cs="Times New Roman"/>
                <w:sz w:val="21"/>
                <w:szCs w:val="21"/>
              </w:rPr>
              <w:t>万元，占总投资的</w:t>
            </w:r>
            <w:r>
              <w:rPr>
                <w:rFonts w:hint="eastAsia" w:eastAsia="宋体" w:cs="Times New Roman"/>
                <w:snapToGrid w:val="0"/>
                <w:sz w:val="21"/>
                <w:szCs w:val="21"/>
              </w:rPr>
              <w:t>1.2%</w:t>
            </w:r>
            <w:r>
              <w:rPr>
                <w:rFonts w:hint="eastAsia" w:cs="Times New Roman"/>
                <w:sz w:val="21"/>
                <w:szCs w:val="21"/>
              </w:rPr>
              <w:t>，具体环保投资情况见下表4-2</w:t>
            </w:r>
            <w:r>
              <w:rPr>
                <w:rFonts w:hint="eastAsia" w:eastAsia="宋体" w:cs="Times New Roman"/>
                <w:sz w:val="21"/>
                <w:szCs w:val="21"/>
                <w:lang w:val="en-US" w:eastAsia="zh-CN"/>
              </w:rPr>
              <w:t>0</w:t>
            </w:r>
            <w:r>
              <w:rPr>
                <w:rFonts w:hint="eastAsia" w:cs="Times New Roman"/>
                <w:sz w:val="21"/>
                <w:szCs w:val="21"/>
              </w:rPr>
              <w:t>。</w:t>
            </w:r>
          </w:p>
          <w:p w14:paraId="0CF75915">
            <w:pPr>
              <w:topLinePunct/>
              <w:jc w:val="center"/>
              <w:rPr>
                <w:b/>
                <w:snapToGrid w:val="0"/>
                <w:kern w:val="0"/>
                <w:szCs w:val="21"/>
              </w:rPr>
            </w:pPr>
            <w:r>
              <w:rPr>
                <w:b/>
                <w:snapToGrid w:val="0"/>
                <w:kern w:val="0"/>
                <w:szCs w:val="21"/>
              </w:rPr>
              <w:t>表</w:t>
            </w:r>
            <w:r>
              <w:rPr>
                <w:rFonts w:hint="eastAsia"/>
                <w:b/>
                <w:snapToGrid w:val="0"/>
                <w:kern w:val="0"/>
                <w:szCs w:val="21"/>
              </w:rPr>
              <w:t>4-2</w:t>
            </w:r>
            <w:r>
              <w:rPr>
                <w:rFonts w:hint="eastAsia"/>
                <w:b/>
                <w:snapToGrid w:val="0"/>
                <w:kern w:val="0"/>
                <w:szCs w:val="21"/>
                <w:lang w:val="en-US" w:eastAsia="zh-CN"/>
              </w:rPr>
              <w:t xml:space="preserve">0  </w:t>
            </w:r>
            <w:r>
              <w:rPr>
                <w:b/>
                <w:snapToGrid w:val="0"/>
                <w:kern w:val="0"/>
                <w:szCs w:val="21"/>
              </w:rPr>
              <w:t>环保投资一览表</w:t>
            </w:r>
          </w:p>
          <w:tbl>
            <w:tblPr>
              <w:tblStyle w:val="30"/>
              <w:tblW w:w="49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912"/>
              <w:gridCol w:w="2821"/>
              <w:gridCol w:w="2028"/>
              <w:gridCol w:w="1367"/>
            </w:tblGrid>
            <w:tr w14:paraId="5B176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41" w:type="pct"/>
                  <w:tcBorders>
                    <w:tl2br w:val="nil"/>
                    <w:tr2bl w:val="nil"/>
                  </w:tcBorders>
                  <w:vAlign w:val="center"/>
                </w:tcPr>
                <w:p w14:paraId="452A9053">
                  <w:pPr>
                    <w:topLinePunct/>
                    <w:jc w:val="center"/>
                    <w:rPr>
                      <w:b/>
                      <w:bCs/>
                      <w:snapToGrid w:val="0"/>
                      <w:kern w:val="0"/>
                      <w:szCs w:val="21"/>
                    </w:rPr>
                  </w:pPr>
                  <w:r>
                    <w:rPr>
                      <w:b/>
                      <w:bCs/>
                      <w:snapToGrid w:val="0"/>
                      <w:kern w:val="0"/>
                      <w:szCs w:val="21"/>
                    </w:rPr>
                    <w:t>项目</w:t>
                  </w:r>
                </w:p>
              </w:tc>
              <w:tc>
                <w:tcPr>
                  <w:tcW w:w="2282" w:type="pct"/>
                  <w:gridSpan w:val="2"/>
                  <w:tcBorders>
                    <w:tl2br w:val="nil"/>
                    <w:tr2bl w:val="nil"/>
                  </w:tcBorders>
                  <w:vAlign w:val="center"/>
                </w:tcPr>
                <w:p w14:paraId="1D3B7C13">
                  <w:pPr>
                    <w:topLinePunct/>
                    <w:jc w:val="center"/>
                    <w:rPr>
                      <w:b/>
                      <w:bCs/>
                      <w:snapToGrid w:val="0"/>
                      <w:kern w:val="0"/>
                      <w:szCs w:val="21"/>
                    </w:rPr>
                  </w:pPr>
                  <w:r>
                    <w:rPr>
                      <w:b/>
                      <w:bCs/>
                      <w:snapToGrid w:val="0"/>
                      <w:kern w:val="0"/>
                      <w:szCs w:val="21"/>
                    </w:rPr>
                    <w:t>环保措施</w:t>
                  </w:r>
                </w:p>
              </w:tc>
              <w:tc>
                <w:tcPr>
                  <w:tcW w:w="1238" w:type="pct"/>
                  <w:tcBorders>
                    <w:tl2br w:val="nil"/>
                    <w:tr2bl w:val="nil"/>
                  </w:tcBorders>
                  <w:vAlign w:val="center"/>
                </w:tcPr>
                <w:p w14:paraId="0E7CD3F8">
                  <w:pPr>
                    <w:topLinePunct/>
                    <w:jc w:val="center"/>
                    <w:rPr>
                      <w:b/>
                      <w:bCs/>
                      <w:snapToGrid w:val="0"/>
                      <w:kern w:val="0"/>
                      <w:szCs w:val="21"/>
                    </w:rPr>
                  </w:pPr>
                  <w:r>
                    <w:rPr>
                      <w:b/>
                      <w:bCs/>
                      <w:snapToGrid w:val="0"/>
                      <w:kern w:val="0"/>
                      <w:szCs w:val="21"/>
                    </w:rPr>
                    <w:t>治理对象</w:t>
                  </w:r>
                </w:p>
              </w:tc>
              <w:tc>
                <w:tcPr>
                  <w:tcW w:w="836" w:type="pct"/>
                  <w:tcBorders>
                    <w:tl2br w:val="nil"/>
                    <w:tr2bl w:val="nil"/>
                  </w:tcBorders>
                  <w:vAlign w:val="center"/>
                </w:tcPr>
                <w:p w14:paraId="2DF3FCD7">
                  <w:pPr>
                    <w:topLinePunct/>
                    <w:jc w:val="center"/>
                    <w:rPr>
                      <w:b/>
                      <w:bCs/>
                      <w:snapToGrid w:val="0"/>
                      <w:kern w:val="0"/>
                      <w:szCs w:val="21"/>
                    </w:rPr>
                  </w:pPr>
                  <w:r>
                    <w:rPr>
                      <w:b/>
                      <w:bCs/>
                      <w:snapToGrid w:val="0"/>
                      <w:kern w:val="0"/>
                      <w:szCs w:val="21"/>
                    </w:rPr>
                    <w:t>投资（万元）</w:t>
                  </w:r>
                </w:p>
              </w:tc>
            </w:tr>
            <w:tr w14:paraId="7DC65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641" w:type="pct"/>
                  <w:vMerge w:val="restart"/>
                  <w:tcBorders>
                    <w:tl2br w:val="nil"/>
                    <w:tr2bl w:val="nil"/>
                  </w:tcBorders>
                  <w:vAlign w:val="center"/>
                </w:tcPr>
                <w:p w14:paraId="1484123D">
                  <w:pPr>
                    <w:topLinePunct/>
                    <w:jc w:val="center"/>
                    <w:rPr>
                      <w:snapToGrid w:val="0"/>
                      <w:kern w:val="0"/>
                      <w:szCs w:val="21"/>
                    </w:rPr>
                  </w:pPr>
                  <w:r>
                    <w:rPr>
                      <w:snapToGrid w:val="0"/>
                      <w:kern w:val="0"/>
                      <w:szCs w:val="21"/>
                    </w:rPr>
                    <w:t>废气</w:t>
                  </w:r>
                </w:p>
              </w:tc>
              <w:tc>
                <w:tcPr>
                  <w:tcW w:w="557" w:type="pct"/>
                  <w:vMerge w:val="restart"/>
                  <w:tcBorders>
                    <w:tl2br w:val="nil"/>
                    <w:tr2bl w:val="nil"/>
                  </w:tcBorders>
                  <w:vAlign w:val="center"/>
                </w:tcPr>
                <w:p w14:paraId="0713F9C1">
                  <w:pPr>
                    <w:topLinePunct/>
                    <w:rPr>
                      <w:snapToGrid w:val="0"/>
                      <w:kern w:val="0"/>
                      <w:szCs w:val="21"/>
                    </w:rPr>
                  </w:pPr>
                  <w:r>
                    <w:rPr>
                      <w:rFonts w:hint="eastAsia"/>
                      <w:snapToGrid w:val="0"/>
                      <w:kern w:val="0"/>
                      <w:szCs w:val="21"/>
                    </w:rPr>
                    <w:t>沥青砼生产线</w:t>
                  </w:r>
                </w:p>
              </w:tc>
              <w:tc>
                <w:tcPr>
                  <w:tcW w:w="1725" w:type="pct"/>
                  <w:tcBorders>
                    <w:tl2br w:val="nil"/>
                    <w:tr2bl w:val="nil"/>
                  </w:tcBorders>
                  <w:vAlign w:val="center"/>
                </w:tcPr>
                <w:p w14:paraId="2F400032">
                  <w:pPr>
                    <w:topLinePunct/>
                    <w:jc w:val="center"/>
                    <w:rPr>
                      <w:szCs w:val="21"/>
                    </w:rPr>
                  </w:pPr>
                  <w:r>
                    <w:rPr>
                      <w:rFonts w:hint="eastAsia"/>
                      <w:szCs w:val="21"/>
                    </w:rPr>
                    <w:t>布袋除尘器、15m高排气筒（DA001）</w:t>
                  </w:r>
                </w:p>
              </w:tc>
              <w:tc>
                <w:tcPr>
                  <w:tcW w:w="1238" w:type="pct"/>
                  <w:tcBorders>
                    <w:tl2br w:val="nil"/>
                    <w:tr2bl w:val="nil"/>
                  </w:tcBorders>
                  <w:vAlign w:val="center"/>
                </w:tcPr>
                <w:p w14:paraId="11FE7A5B">
                  <w:pPr>
                    <w:topLinePunct/>
                    <w:jc w:val="center"/>
                    <w:rPr>
                      <w:snapToGrid w:val="0"/>
                      <w:kern w:val="0"/>
                      <w:szCs w:val="21"/>
                    </w:rPr>
                  </w:pPr>
                  <w:r>
                    <w:rPr>
                      <w:rFonts w:hint="eastAsia"/>
                      <w:snapToGrid w:val="0"/>
                      <w:kern w:val="0"/>
                      <w:szCs w:val="21"/>
                    </w:rPr>
                    <w:t>粉尘</w:t>
                  </w:r>
                </w:p>
              </w:tc>
              <w:tc>
                <w:tcPr>
                  <w:tcW w:w="836" w:type="pct"/>
                  <w:tcBorders>
                    <w:tl2br w:val="nil"/>
                    <w:tr2bl w:val="nil"/>
                  </w:tcBorders>
                  <w:vAlign w:val="center"/>
                </w:tcPr>
                <w:p w14:paraId="6B925A6A">
                  <w:pPr>
                    <w:topLinePunct/>
                    <w:jc w:val="center"/>
                    <w:rPr>
                      <w:snapToGrid w:val="0"/>
                      <w:kern w:val="0"/>
                      <w:szCs w:val="21"/>
                    </w:rPr>
                  </w:pPr>
                  <w:r>
                    <w:rPr>
                      <w:rFonts w:hint="eastAsia"/>
                      <w:snapToGrid w:val="0"/>
                      <w:kern w:val="0"/>
                      <w:szCs w:val="21"/>
                    </w:rPr>
                    <w:t>20</w:t>
                  </w:r>
                </w:p>
              </w:tc>
            </w:tr>
            <w:tr w14:paraId="1183B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jc w:val="center"/>
              </w:trPr>
              <w:tc>
                <w:tcPr>
                  <w:tcW w:w="641" w:type="pct"/>
                  <w:vMerge w:val="continue"/>
                  <w:tcBorders>
                    <w:tl2br w:val="nil"/>
                    <w:tr2bl w:val="nil"/>
                  </w:tcBorders>
                  <w:vAlign w:val="center"/>
                </w:tcPr>
                <w:p w14:paraId="1D51E7B8">
                  <w:pPr>
                    <w:topLinePunct/>
                    <w:jc w:val="center"/>
                  </w:pPr>
                </w:p>
              </w:tc>
              <w:tc>
                <w:tcPr>
                  <w:tcW w:w="557" w:type="pct"/>
                  <w:vMerge w:val="continue"/>
                  <w:tcBorders>
                    <w:tl2br w:val="nil"/>
                    <w:tr2bl w:val="nil"/>
                  </w:tcBorders>
                  <w:vAlign w:val="center"/>
                </w:tcPr>
                <w:p w14:paraId="7E8EC672">
                  <w:pPr>
                    <w:topLinePunct/>
                    <w:jc w:val="center"/>
                  </w:pPr>
                </w:p>
              </w:tc>
              <w:tc>
                <w:tcPr>
                  <w:tcW w:w="1725" w:type="pct"/>
                  <w:tcBorders>
                    <w:tl2br w:val="nil"/>
                    <w:tr2bl w:val="nil"/>
                  </w:tcBorders>
                  <w:vAlign w:val="center"/>
                </w:tcPr>
                <w:p w14:paraId="3BDC1C99">
                  <w:pPr>
                    <w:topLinePunct/>
                    <w:jc w:val="center"/>
                    <w:rPr>
                      <w:szCs w:val="21"/>
                    </w:rPr>
                  </w:pPr>
                  <w:r>
                    <w:rPr>
                      <w:rFonts w:hint="eastAsia"/>
                      <w:szCs w:val="21"/>
                    </w:rPr>
                    <w:t>负压风机、布袋除</w:t>
                  </w:r>
                  <w:r>
                    <w:rPr>
                      <w:rFonts w:hint="eastAsia"/>
                      <w:color w:val="auto"/>
                      <w:szCs w:val="21"/>
                    </w:rPr>
                    <w:t>尘器、</w:t>
                  </w:r>
                  <w:r>
                    <w:rPr>
                      <w:rFonts w:hint="eastAsia"/>
                      <w:color w:val="auto"/>
                      <w:szCs w:val="21"/>
                      <w:lang w:val="en-US" w:eastAsia="zh-CN"/>
                    </w:rPr>
                    <w:t>二级</w:t>
                  </w:r>
                  <w:r>
                    <w:rPr>
                      <w:color w:val="auto"/>
                      <w:szCs w:val="21"/>
                    </w:rPr>
                    <w:t>活性炭吸附装置</w:t>
                  </w:r>
                  <w:r>
                    <w:rPr>
                      <w:rFonts w:hint="eastAsia"/>
                      <w:color w:val="auto"/>
                      <w:szCs w:val="21"/>
                    </w:rPr>
                    <w:t>1</w:t>
                  </w:r>
                  <w:r>
                    <w:rPr>
                      <w:rFonts w:hint="eastAsia"/>
                      <w:szCs w:val="21"/>
                    </w:rPr>
                    <w:t>5m高排气筒（DA002）</w:t>
                  </w:r>
                </w:p>
              </w:tc>
              <w:tc>
                <w:tcPr>
                  <w:tcW w:w="1238" w:type="pct"/>
                  <w:tcBorders>
                    <w:tl2br w:val="nil"/>
                    <w:tr2bl w:val="nil"/>
                  </w:tcBorders>
                  <w:vAlign w:val="center"/>
                </w:tcPr>
                <w:p w14:paraId="3812CA61">
                  <w:pPr>
                    <w:topLinePunct/>
                    <w:jc w:val="center"/>
                    <w:rPr>
                      <w:color w:val="auto"/>
                      <w:szCs w:val="21"/>
                    </w:rPr>
                  </w:pPr>
                  <w:r>
                    <w:rPr>
                      <w:rFonts w:hint="eastAsia"/>
                      <w:snapToGrid w:val="0"/>
                      <w:color w:val="auto"/>
                      <w:kern w:val="0"/>
                      <w:szCs w:val="21"/>
                    </w:rPr>
                    <w:t>粉尘、沥青烟、苯并芘、VOC</w:t>
                  </w:r>
                  <w:r>
                    <w:rPr>
                      <w:rFonts w:hint="eastAsia"/>
                      <w:snapToGrid w:val="0"/>
                      <w:color w:val="auto"/>
                      <w:kern w:val="0"/>
                      <w:szCs w:val="21"/>
                      <w:vertAlign w:val="subscript"/>
                    </w:rPr>
                    <w:t>S</w:t>
                  </w:r>
                  <w:r>
                    <w:rPr>
                      <w:rFonts w:hint="eastAsia"/>
                      <w:snapToGrid w:val="0"/>
                      <w:color w:val="auto"/>
                      <w:kern w:val="0"/>
                      <w:szCs w:val="21"/>
                    </w:rPr>
                    <w:t>、</w:t>
                  </w:r>
                  <w:r>
                    <w:rPr>
                      <w:rFonts w:hint="eastAsia"/>
                      <w:snapToGrid w:val="0"/>
                      <w:color w:val="auto"/>
                      <w:kern w:val="0"/>
                      <w:szCs w:val="21"/>
                      <w:lang w:val="en-US" w:eastAsia="zh-CN"/>
                    </w:rPr>
                    <w:t>烟尘、</w:t>
                  </w:r>
                  <w:r>
                    <w:rPr>
                      <w:rFonts w:hint="eastAsia"/>
                      <w:snapToGrid w:val="0"/>
                      <w:color w:val="auto"/>
                      <w:kern w:val="0"/>
                      <w:szCs w:val="21"/>
                    </w:rPr>
                    <w:t>二氧化硫、氮氧化物</w:t>
                  </w:r>
                </w:p>
              </w:tc>
              <w:tc>
                <w:tcPr>
                  <w:tcW w:w="836" w:type="pct"/>
                  <w:tcBorders>
                    <w:tl2br w:val="nil"/>
                    <w:tr2bl w:val="nil"/>
                  </w:tcBorders>
                  <w:vAlign w:val="center"/>
                </w:tcPr>
                <w:p w14:paraId="0067001B">
                  <w:pPr>
                    <w:topLinePunct/>
                    <w:jc w:val="center"/>
                    <w:rPr>
                      <w:szCs w:val="21"/>
                    </w:rPr>
                  </w:pPr>
                  <w:r>
                    <w:rPr>
                      <w:rFonts w:hint="eastAsia"/>
                      <w:szCs w:val="21"/>
                    </w:rPr>
                    <w:t>25</w:t>
                  </w:r>
                </w:p>
              </w:tc>
            </w:tr>
            <w:tr w14:paraId="6B190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641" w:type="pct"/>
                  <w:vMerge w:val="continue"/>
                  <w:tcBorders>
                    <w:tl2br w:val="nil"/>
                    <w:tr2bl w:val="nil"/>
                  </w:tcBorders>
                  <w:vAlign w:val="center"/>
                </w:tcPr>
                <w:p w14:paraId="2C8B448E">
                  <w:pPr>
                    <w:topLinePunct/>
                    <w:jc w:val="center"/>
                    <w:rPr>
                      <w:snapToGrid w:val="0"/>
                      <w:kern w:val="0"/>
                      <w:szCs w:val="21"/>
                    </w:rPr>
                  </w:pPr>
                </w:p>
              </w:tc>
              <w:tc>
                <w:tcPr>
                  <w:tcW w:w="557" w:type="pct"/>
                  <w:tcBorders>
                    <w:tl2br w:val="nil"/>
                    <w:tr2bl w:val="nil"/>
                  </w:tcBorders>
                  <w:vAlign w:val="center"/>
                </w:tcPr>
                <w:p w14:paraId="169C452E">
                  <w:pPr>
                    <w:topLinePunct/>
                    <w:jc w:val="center"/>
                    <w:rPr>
                      <w:szCs w:val="21"/>
                    </w:rPr>
                  </w:pPr>
                  <w:r>
                    <w:rPr>
                      <w:rFonts w:hint="eastAsia"/>
                      <w:szCs w:val="21"/>
                    </w:rPr>
                    <w:t>水稳砼生产线</w:t>
                  </w:r>
                </w:p>
              </w:tc>
              <w:tc>
                <w:tcPr>
                  <w:tcW w:w="1725" w:type="pct"/>
                  <w:tcBorders>
                    <w:tl2br w:val="nil"/>
                    <w:tr2bl w:val="nil"/>
                  </w:tcBorders>
                  <w:vAlign w:val="center"/>
                </w:tcPr>
                <w:p w14:paraId="27662147">
                  <w:pPr>
                    <w:topLinePunct/>
                    <w:jc w:val="center"/>
                    <w:rPr>
                      <w:szCs w:val="21"/>
                    </w:rPr>
                  </w:pPr>
                  <w:r>
                    <w:rPr>
                      <w:rFonts w:hint="eastAsia"/>
                      <w:szCs w:val="21"/>
                    </w:rPr>
                    <w:t>布袋除尘器、15m高排气筒（DA003）</w:t>
                  </w:r>
                </w:p>
              </w:tc>
              <w:tc>
                <w:tcPr>
                  <w:tcW w:w="1238" w:type="pct"/>
                  <w:tcBorders>
                    <w:tl2br w:val="nil"/>
                    <w:tr2bl w:val="nil"/>
                  </w:tcBorders>
                  <w:vAlign w:val="center"/>
                </w:tcPr>
                <w:p w14:paraId="0F080929">
                  <w:pPr>
                    <w:topLinePunct/>
                    <w:jc w:val="center"/>
                    <w:rPr>
                      <w:snapToGrid w:val="0"/>
                      <w:color w:val="auto"/>
                      <w:kern w:val="0"/>
                      <w:szCs w:val="21"/>
                    </w:rPr>
                  </w:pPr>
                  <w:r>
                    <w:rPr>
                      <w:rFonts w:hint="eastAsia"/>
                      <w:snapToGrid w:val="0"/>
                      <w:color w:val="auto"/>
                      <w:kern w:val="0"/>
                      <w:szCs w:val="21"/>
                    </w:rPr>
                    <w:t>粉尘</w:t>
                  </w:r>
                </w:p>
              </w:tc>
              <w:tc>
                <w:tcPr>
                  <w:tcW w:w="836" w:type="pct"/>
                  <w:tcBorders>
                    <w:tl2br w:val="nil"/>
                    <w:tr2bl w:val="nil"/>
                  </w:tcBorders>
                  <w:vAlign w:val="center"/>
                </w:tcPr>
                <w:p w14:paraId="54D79558">
                  <w:pPr>
                    <w:topLinePunct/>
                    <w:jc w:val="center"/>
                    <w:rPr>
                      <w:snapToGrid w:val="0"/>
                      <w:kern w:val="0"/>
                      <w:szCs w:val="21"/>
                    </w:rPr>
                  </w:pPr>
                  <w:r>
                    <w:rPr>
                      <w:rFonts w:hint="eastAsia"/>
                      <w:snapToGrid w:val="0"/>
                      <w:kern w:val="0"/>
                      <w:szCs w:val="21"/>
                    </w:rPr>
                    <w:t>20</w:t>
                  </w:r>
                </w:p>
              </w:tc>
            </w:tr>
            <w:tr w14:paraId="3F255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641" w:type="pct"/>
                  <w:vMerge w:val="continue"/>
                  <w:tcBorders>
                    <w:tl2br w:val="nil"/>
                    <w:tr2bl w:val="nil"/>
                  </w:tcBorders>
                  <w:vAlign w:val="center"/>
                </w:tcPr>
                <w:p w14:paraId="52005679">
                  <w:pPr>
                    <w:topLinePunct/>
                    <w:jc w:val="center"/>
                    <w:rPr>
                      <w:snapToGrid w:val="0"/>
                      <w:kern w:val="0"/>
                      <w:szCs w:val="21"/>
                    </w:rPr>
                  </w:pPr>
                </w:p>
              </w:tc>
              <w:tc>
                <w:tcPr>
                  <w:tcW w:w="557" w:type="pct"/>
                  <w:tcBorders>
                    <w:tl2br w:val="nil"/>
                    <w:tr2bl w:val="nil"/>
                  </w:tcBorders>
                  <w:vAlign w:val="center"/>
                </w:tcPr>
                <w:p w14:paraId="532A2CDF">
                  <w:pPr>
                    <w:topLinePunct/>
                    <w:jc w:val="center"/>
                    <w:rPr>
                      <w:szCs w:val="21"/>
                    </w:rPr>
                  </w:pPr>
                  <w:r>
                    <w:rPr>
                      <w:rFonts w:hint="eastAsia"/>
                      <w:szCs w:val="21"/>
                    </w:rPr>
                    <w:t>食堂废气</w:t>
                  </w:r>
                </w:p>
              </w:tc>
              <w:tc>
                <w:tcPr>
                  <w:tcW w:w="1725" w:type="pct"/>
                  <w:tcBorders>
                    <w:tl2br w:val="nil"/>
                    <w:tr2bl w:val="nil"/>
                  </w:tcBorders>
                  <w:vAlign w:val="center"/>
                </w:tcPr>
                <w:p w14:paraId="6EC0DE99">
                  <w:pPr>
                    <w:topLinePunct/>
                    <w:jc w:val="center"/>
                    <w:rPr>
                      <w:szCs w:val="21"/>
                    </w:rPr>
                  </w:pPr>
                  <w:r>
                    <w:rPr>
                      <w:rFonts w:hint="eastAsia"/>
                      <w:szCs w:val="21"/>
                    </w:rPr>
                    <w:t>油烟净化器</w:t>
                  </w:r>
                </w:p>
              </w:tc>
              <w:tc>
                <w:tcPr>
                  <w:tcW w:w="1238" w:type="pct"/>
                  <w:tcBorders>
                    <w:tl2br w:val="nil"/>
                    <w:tr2bl w:val="nil"/>
                  </w:tcBorders>
                  <w:vAlign w:val="center"/>
                </w:tcPr>
                <w:p w14:paraId="4D91EFE3">
                  <w:pPr>
                    <w:topLinePunct/>
                    <w:jc w:val="center"/>
                    <w:rPr>
                      <w:snapToGrid w:val="0"/>
                      <w:color w:val="auto"/>
                      <w:kern w:val="0"/>
                      <w:szCs w:val="21"/>
                    </w:rPr>
                  </w:pPr>
                  <w:r>
                    <w:rPr>
                      <w:rFonts w:hint="eastAsia"/>
                      <w:snapToGrid w:val="0"/>
                      <w:color w:val="auto"/>
                      <w:kern w:val="0"/>
                      <w:szCs w:val="21"/>
                    </w:rPr>
                    <w:t>食堂油烟</w:t>
                  </w:r>
                </w:p>
              </w:tc>
              <w:tc>
                <w:tcPr>
                  <w:tcW w:w="836" w:type="pct"/>
                  <w:tcBorders>
                    <w:tl2br w:val="nil"/>
                    <w:tr2bl w:val="nil"/>
                  </w:tcBorders>
                  <w:vAlign w:val="center"/>
                </w:tcPr>
                <w:p w14:paraId="78BADDE1">
                  <w:pPr>
                    <w:topLinePunct/>
                    <w:jc w:val="center"/>
                    <w:rPr>
                      <w:snapToGrid w:val="0"/>
                      <w:kern w:val="0"/>
                      <w:szCs w:val="21"/>
                    </w:rPr>
                  </w:pPr>
                  <w:r>
                    <w:rPr>
                      <w:rFonts w:hint="eastAsia"/>
                      <w:snapToGrid w:val="0"/>
                      <w:kern w:val="0"/>
                      <w:szCs w:val="21"/>
                    </w:rPr>
                    <w:t>0.5</w:t>
                  </w:r>
                </w:p>
              </w:tc>
            </w:tr>
            <w:tr w14:paraId="40DA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41" w:type="pct"/>
                  <w:vMerge w:val="continue"/>
                  <w:tcBorders>
                    <w:tl2br w:val="nil"/>
                    <w:tr2bl w:val="nil"/>
                  </w:tcBorders>
                  <w:vAlign w:val="center"/>
                </w:tcPr>
                <w:p w14:paraId="1360C0C7">
                  <w:pPr>
                    <w:topLinePunct/>
                    <w:jc w:val="center"/>
                    <w:rPr>
                      <w:snapToGrid w:val="0"/>
                      <w:kern w:val="0"/>
                      <w:szCs w:val="21"/>
                    </w:rPr>
                  </w:pPr>
                </w:p>
              </w:tc>
              <w:tc>
                <w:tcPr>
                  <w:tcW w:w="557" w:type="pct"/>
                  <w:tcBorders>
                    <w:tl2br w:val="nil"/>
                    <w:tr2bl w:val="nil"/>
                  </w:tcBorders>
                  <w:vAlign w:val="center"/>
                </w:tcPr>
                <w:p w14:paraId="167BFFED">
                  <w:pPr>
                    <w:topLinePunct/>
                    <w:jc w:val="center"/>
                    <w:rPr>
                      <w:szCs w:val="21"/>
                    </w:rPr>
                  </w:pPr>
                  <w:r>
                    <w:rPr>
                      <w:rFonts w:hint="eastAsia"/>
                      <w:szCs w:val="21"/>
                    </w:rPr>
                    <w:t>无组织</w:t>
                  </w:r>
                </w:p>
              </w:tc>
              <w:tc>
                <w:tcPr>
                  <w:tcW w:w="1725" w:type="pct"/>
                  <w:tcBorders>
                    <w:tl2br w:val="nil"/>
                    <w:tr2bl w:val="nil"/>
                  </w:tcBorders>
                  <w:vAlign w:val="center"/>
                </w:tcPr>
                <w:p w14:paraId="2E6E139D">
                  <w:pPr>
                    <w:topLinePunct/>
                    <w:jc w:val="center"/>
                    <w:rPr>
                      <w:szCs w:val="21"/>
                    </w:rPr>
                  </w:pPr>
                  <w:r>
                    <w:rPr>
                      <w:rFonts w:hint="eastAsia"/>
                      <w:szCs w:val="21"/>
                    </w:rPr>
                    <w:t>洒水设备、</w:t>
                  </w:r>
                  <w:r>
                    <w:rPr>
                      <w:rFonts w:hint="eastAsia"/>
                      <w:snapToGrid w:val="0"/>
                      <w:kern w:val="0"/>
                      <w:szCs w:val="21"/>
                    </w:rPr>
                    <w:t>洗车槽</w:t>
                  </w:r>
                </w:p>
              </w:tc>
              <w:tc>
                <w:tcPr>
                  <w:tcW w:w="1238" w:type="pct"/>
                  <w:tcBorders>
                    <w:tl2br w:val="nil"/>
                    <w:tr2bl w:val="nil"/>
                  </w:tcBorders>
                  <w:vAlign w:val="center"/>
                </w:tcPr>
                <w:p w14:paraId="4D7F5174">
                  <w:pPr>
                    <w:topLinePunct/>
                    <w:jc w:val="center"/>
                    <w:rPr>
                      <w:snapToGrid w:val="0"/>
                      <w:kern w:val="0"/>
                      <w:szCs w:val="21"/>
                    </w:rPr>
                  </w:pPr>
                  <w:r>
                    <w:rPr>
                      <w:rFonts w:hint="eastAsia"/>
                      <w:snapToGrid w:val="0"/>
                      <w:kern w:val="0"/>
                      <w:szCs w:val="21"/>
                    </w:rPr>
                    <w:t>粉尘</w:t>
                  </w:r>
                </w:p>
              </w:tc>
              <w:tc>
                <w:tcPr>
                  <w:tcW w:w="836" w:type="pct"/>
                  <w:tcBorders>
                    <w:tl2br w:val="nil"/>
                    <w:tr2bl w:val="nil"/>
                  </w:tcBorders>
                  <w:vAlign w:val="center"/>
                </w:tcPr>
                <w:p w14:paraId="35727577">
                  <w:pPr>
                    <w:topLinePunct/>
                    <w:jc w:val="center"/>
                    <w:rPr>
                      <w:snapToGrid w:val="0"/>
                      <w:kern w:val="0"/>
                      <w:szCs w:val="21"/>
                    </w:rPr>
                  </w:pPr>
                  <w:r>
                    <w:rPr>
                      <w:rFonts w:hint="eastAsia"/>
                      <w:snapToGrid w:val="0"/>
                      <w:kern w:val="0"/>
                      <w:szCs w:val="21"/>
                    </w:rPr>
                    <w:t>20</w:t>
                  </w:r>
                </w:p>
              </w:tc>
            </w:tr>
            <w:tr w14:paraId="0AB19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41" w:type="pct"/>
                  <w:tcBorders>
                    <w:tl2br w:val="nil"/>
                    <w:tr2bl w:val="nil"/>
                  </w:tcBorders>
                  <w:vAlign w:val="center"/>
                </w:tcPr>
                <w:p w14:paraId="7970C74E">
                  <w:pPr>
                    <w:topLinePunct/>
                    <w:jc w:val="center"/>
                    <w:rPr>
                      <w:snapToGrid w:val="0"/>
                      <w:kern w:val="0"/>
                      <w:szCs w:val="21"/>
                    </w:rPr>
                  </w:pPr>
                  <w:r>
                    <w:rPr>
                      <w:snapToGrid w:val="0"/>
                      <w:kern w:val="0"/>
                      <w:szCs w:val="21"/>
                    </w:rPr>
                    <w:t>废水</w:t>
                  </w:r>
                </w:p>
              </w:tc>
              <w:tc>
                <w:tcPr>
                  <w:tcW w:w="2282" w:type="pct"/>
                  <w:gridSpan w:val="2"/>
                  <w:tcBorders>
                    <w:tl2br w:val="nil"/>
                    <w:tr2bl w:val="nil"/>
                  </w:tcBorders>
                  <w:vAlign w:val="center"/>
                </w:tcPr>
                <w:p w14:paraId="02346644">
                  <w:pPr>
                    <w:topLinePunct/>
                    <w:jc w:val="center"/>
                    <w:rPr>
                      <w:snapToGrid w:val="0"/>
                      <w:kern w:val="0"/>
                      <w:szCs w:val="21"/>
                    </w:rPr>
                  </w:pPr>
                  <w:r>
                    <w:rPr>
                      <w:rFonts w:hint="eastAsia"/>
                      <w:snapToGrid w:val="0"/>
                      <w:kern w:val="0"/>
                      <w:szCs w:val="21"/>
                    </w:rPr>
                    <w:t>隔油池、化粪池（50m</w:t>
                  </w:r>
                  <w:r>
                    <w:rPr>
                      <w:rFonts w:hint="eastAsia"/>
                      <w:snapToGrid w:val="0"/>
                      <w:kern w:val="0"/>
                      <w:szCs w:val="21"/>
                      <w:vertAlign w:val="superscript"/>
                    </w:rPr>
                    <w:t>3</w:t>
                  </w:r>
                  <w:r>
                    <w:rPr>
                      <w:rFonts w:hint="eastAsia"/>
                      <w:snapToGrid w:val="0"/>
                      <w:kern w:val="0"/>
                      <w:szCs w:val="21"/>
                    </w:rPr>
                    <w:t>）</w:t>
                  </w:r>
                </w:p>
              </w:tc>
              <w:tc>
                <w:tcPr>
                  <w:tcW w:w="1238" w:type="pct"/>
                  <w:tcBorders>
                    <w:tl2br w:val="nil"/>
                    <w:tr2bl w:val="nil"/>
                  </w:tcBorders>
                  <w:vAlign w:val="center"/>
                </w:tcPr>
                <w:p w14:paraId="5D9CFF5E">
                  <w:pPr>
                    <w:topLinePunct/>
                    <w:jc w:val="center"/>
                    <w:rPr>
                      <w:snapToGrid w:val="0"/>
                      <w:kern w:val="0"/>
                      <w:szCs w:val="21"/>
                    </w:rPr>
                  </w:pPr>
                  <w:r>
                    <w:rPr>
                      <w:rFonts w:hint="eastAsia"/>
                      <w:snapToGrid w:val="0"/>
                      <w:kern w:val="0"/>
                      <w:szCs w:val="21"/>
                    </w:rPr>
                    <w:t>生活污水</w:t>
                  </w:r>
                </w:p>
              </w:tc>
              <w:tc>
                <w:tcPr>
                  <w:tcW w:w="836" w:type="pct"/>
                  <w:tcBorders>
                    <w:tl2br w:val="nil"/>
                    <w:tr2bl w:val="nil"/>
                  </w:tcBorders>
                  <w:vAlign w:val="center"/>
                </w:tcPr>
                <w:p w14:paraId="72099069">
                  <w:pPr>
                    <w:topLinePunct/>
                    <w:jc w:val="center"/>
                    <w:rPr>
                      <w:snapToGrid w:val="0"/>
                      <w:kern w:val="0"/>
                      <w:szCs w:val="21"/>
                    </w:rPr>
                  </w:pPr>
                  <w:r>
                    <w:rPr>
                      <w:rFonts w:hint="eastAsia"/>
                      <w:snapToGrid w:val="0"/>
                      <w:kern w:val="0"/>
                      <w:szCs w:val="21"/>
                    </w:rPr>
                    <w:t>10</w:t>
                  </w:r>
                </w:p>
              </w:tc>
            </w:tr>
            <w:tr w14:paraId="69C82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41" w:type="pct"/>
                  <w:tcBorders>
                    <w:tl2br w:val="nil"/>
                    <w:tr2bl w:val="nil"/>
                  </w:tcBorders>
                  <w:vAlign w:val="center"/>
                </w:tcPr>
                <w:p w14:paraId="0D85EABF">
                  <w:pPr>
                    <w:topLinePunct/>
                    <w:jc w:val="center"/>
                    <w:rPr>
                      <w:snapToGrid w:val="0"/>
                      <w:kern w:val="0"/>
                      <w:szCs w:val="21"/>
                    </w:rPr>
                  </w:pPr>
                  <w:r>
                    <w:rPr>
                      <w:snapToGrid w:val="0"/>
                      <w:kern w:val="0"/>
                      <w:szCs w:val="21"/>
                    </w:rPr>
                    <w:t>噪声</w:t>
                  </w:r>
                </w:p>
              </w:tc>
              <w:tc>
                <w:tcPr>
                  <w:tcW w:w="2282" w:type="pct"/>
                  <w:gridSpan w:val="2"/>
                  <w:tcBorders>
                    <w:tl2br w:val="nil"/>
                    <w:tr2bl w:val="nil"/>
                  </w:tcBorders>
                  <w:vAlign w:val="center"/>
                </w:tcPr>
                <w:p w14:paraId="229A1AB8">
                  <w:pPr>
                    <w:topLinePunct/>
                    <w:jc w:val="center"/>
                    <w:rPr>
                      <w:snapToGrid w:val="0"/>
                      <w:kern w:val="0"/>
                      <w:szCs w:val="21"/>
                    </w:rPr>
                  </w:pPr>
                  <w:r>
                    <w:rPr>
                      <w:rFonts w:hint="eastAsia"/>
                      <w:szCs w:val="21"/>
                    </w:rPr>
                    <w:t>选用</w:t>
                  </w:r>
                  <w:r>
                    <w:rPr>
                      <w:szCs w:val="21"/>
                    </w:rPr>
                    <w:t>低噪声设备，基础减震、厂房隔声</w:t>
                  </w:r>
                </w:p>
              </w:tc>
              <w:tc>
                <w:tcPr>
                  <w:tcW w:w="1238" w:type="pct"/>
                  <w:tcBorders>
                    <w:tl2br w:val="nil"/>
                    <w:tr2bl w:val="nil"/>
                  </w:tcBorders>
                  <w:vAlign w:val="center"/>
                </w:tcPr>
                <w:p w14:paraId="202DD9E1">
                  <w:pPr>
                    <w:topLinePunct/>
                    <w:jc w:val="center"/>
                    <w:rPr>
                      <w:snapToGrid w:val="0"/>
                      <w:kern w:val="0"/>
                      <w:szCs w:val="21"/>
                    </w:rPr>
                  </w:pPr>
                  <w:r>
                    <w:rPr>
                      <w:snapToGrid w:val="0"/>
                      <w:kern w:val="0"/>
                      <w:szCs w:val="21"/>
                    </w:rPr>
                    <w:t>设备噪声</w:t>
                  </w:r>
                </w:p>
              </w:tc>
              <w:tc>
                <w:tcPr>
                  <w:tcW w:w="836" w:type="pct"/>
                  <w:tcBorders>
                    <w:tl2br w:val="nil"/>
                    <w:tr2bl w:val="nil"/>
                  </w:tcBorders>
                  <w:vAlign w:val="center"/>
                </w:tcPr>
                <w:p w14:paraId="14E17ABC">
                  <w:pPr>
                    <w:topLinePunct/>
                    <w:jc w:val="center"/>
                    <w:rPr>
                      <w:snapToGrid w:val="0"/>
                      <w:kern w:val="0"/>
                      <w:szCs w:val="21"/>
                    </w:rPr>
                  </w:pPr>
                  <w:r>
                    <w:rPr>
                      <w:rFonts w:hint="eastAsia"/>
                      <w:snapToGrid w:val="0"/>
                      <w:kern w:val="0"/>
                      <w:szCs w:val="21"/>
                    </w:rPr>
                    <w:t>5</w:t>
                  </w:r>
                </w:p>
              </w:tc>
            </w:tr>
            <w:tr w14:paraId="38F51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641" w:type="pct"/>
                  <w:vMerge w:val="restart"/>
                  <w:tcBorders>
                    <w:tl2br w:val="nil"/>
                    <w:tr2bl w:val="nil"/>
                  </w:tcBorders>
                  <w:vAlign w:val="center"/>
                </w:tcPr>
                <w:p w14:paraId="1DF3F4F1">
                  <w:pPr>
                    <w:jc w:val="center"/>
                    <w:rPr>
                      <w:szCs w:val="21"/>
                    </w:rPr>
                  </w:pPr>
                  <w:r>
                    <w:rPr>
                      <w:snapToGrid w:val="0"/>
                      <w:kern w:val="0"/>
                      <w:szCs w:val="21"/>
                    </w:rPr>
                    <w:t>固废</w:t>
                  </w:r>
                </w:p>
              </w:tc>
              <w:tc>
                <w:tcPr>
                  <w:tcW w:w="2282" w:type="pct"/>
                  <w:gridSpan w:val="2"/>
                  <w:tcBorders>
                    <w:tl2br w:val="nil"/>
                    <w:tr2bl w:val="nil"/>
                  </w:tcBorders>
                  <w:vAlign w:val="center"/>
                </w:tcPr>
                <w:p w14:paraId="324D06D0">
                  <w:pPr>
                    <w:jc w:val="center"/>
                    <w:rPr>
                      <w:szCs w:val="21"/>
                    </w:rPr>
                  </w:pPr>
                  <w:r>
                    <w:rPr>
                      <w:szCs w:val="21"/>
                    </w:rPr>
                    <w:t>垃圾箱</w:t>
                  </w:r>
                  <w:r>
                    <w:rPr>
                      <w:rFonts w:hint="eastAsia"/>
                      <w:szCs w:val="21"/>
                    </w:rPr>
                    <w:t>、垃圾桶</w:t>
                  </w:r>
                </w:p>
              </w:tc>
              <w:tc>
                <w:tcPr>
                  <w:tcW w:w="1238" w:type="pct"/>
                  <w:tcBorders>
                    <w:tl2br w:val="nil"/>
                    <w:tr2bl w:val="nil"/>
                  </w:tcBorders>
                  <w:vAlign w:val="center"/>
                </w:tcPr>
                <w:p w14:paraId="35F7550D">
                  <w:pPr>
                    <w:jc w:val="center"/>
                    <w:rPr>
                      <w:szCs w:val="21"/>
                    </w:rPr>
                  </w:pPr>
                  <w:r>
                    <w:rPr>
                      <w:szCs w:val="21"/>
                    </w:rPr>
                    <w:t>生活垃圾</w:t>
                  </w:r>
                </w:p>
              </w:tc>
              <w:tc>
                <w:tcPr>
                  <w:tcW w:w="836" w:type="pct"/>
                  <w:tcBorders>
                    <w:tl2br w:val="nil"/>
                    <w:tr2bl w:val="nil"/>
                  </w:tcBorders>
                  <w:vAlign w:val="center"/>
                </w:tcPr>
                <w:p w14:paraId="207E6F68">
                  <w:pPr>
                    <w:jc w:val="center"/>
                    <w:rPr>
                      <w:szCs w:val="21"/>
                    </w:rPr>
                  </w:pPr>
                  <w:r>
                    <w:rPr>
                      <w:rFonts w:hint="eastAsia"/>
                      <w:szCs w:val="21"/>
                    </w:rPr>
                    <w:t>15</w:t>
                  </w:r>
                </w:p>
              </w:tc>
            </w:tr>
            <w:tr w14:paraId="4DAEC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641" w:type="pct"/>
                  <w:vMerge w:val="continue"/>
                  <w:tcBorders>
                    <w:tl2br w:val="nil"/>
                    <w:tr2bl w:val="nil"/>
                  </w:tcBorders>
                  <w:vAlign w:val="center"/>
                </w:tcPr>
                <w:p w14:paraId="49D83E2E">
                  <w:pPr>
                    <w:jc w:val="center"/>
                  </w:pPr>
                </w:p>
              </w:tc>
              <w:tc>
                <w:tcPr>
                  <w:tcW w:w="2282" w:type="pct"/>
                  <w:gridSpan w:val="2"/>
                  <w:tcBorders>
                    <w:tl2br w:val="nil"/>
                    <w:tr2bl w:val="nil"/>
                  </w:tcBorders>
                  <w:vAlign w:val="center"/>
                </w:tcPr>
                <w:p w14:paraId="2FB1D1EA">
                  <w:pPr>
                    <w:jc w:val="center"/>
                    <w:rPr>
                      <w:szCs w:val="21"/>
                    </w:rPr>
                  </w:pPr>
                  <w:r>
                    <w:rPr>
                      <w:rFonts w:hint="eastAsia"/>
                      <w:szCs w:val="21"/>
                    </w:rPr>
                    <w:t>危废暂存间</w:t>
                  </w:r>
                </w:p>
              </w:tc>
              <w:tc>
                <w:tcPr>
                  <w:tcW w:w="1238" w:type="pct"/>
                  <w:tcBorders>
                    <w:tl2br w:val="nil"/>
                    <w:tr2bl w:val="nil"/>
                  </w:tcBorders>
                  <w:vAlign w:val="center"/>
                </w:tcPr>
                <w:p w14:paraId="5057E4F3">
                  <w:pPr>
                    <w:jc w:val="center"/>
                    <w:rPr>
                      <w:szCs w:val="21"/>
                    </w:rPr>
                  </w:pPr>
                  <w:r>
                    <w:rPr>
                      <w:rFonts w:hint="eastAsia"/>
                      <w:szCs w:val="21"/>
                    </w:rPr>
                    <w:t>危险废物</w:t>
                  </w:r>
                </w:p>
              </w:tc>
              <w:tc>
                <w:tcPr>
                  <w:tcW w:w="836" w:type="pct"/>
                  <w:tcBorders>
                    <w:tl2br w:val="nil"/>
                    <w:tr2bl w:val="nil"/>
                  </w:tcBorders>
                  <w:vAlign w:val="center"/>
                </w:tcPr>
                <w:p w14:paraId="09B0999F">
                  <w:pPr>
                    <w:jc w:val="center"/>
                    <w:rPr>
                      <w:szCs w:val="21"/>
                    </w:rPr>
                  </w:pPr>
                  <w:r>
                    <w:rPr>
                      <w:rFonts w:hint="eastAsia"/>
                      <w:szCs w:val="21"/>
                    </w:rPr>
                    <w:t>10</w:t>
                  </w:r>
                </w:p>
              </w:tc>
            </w:tr>
            <w:tr w14:paraId="58118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0" w:type="dxa"/>
                  <w:tcBorders>
                    <w:tl2br w:val="nil"/>
                    <w:tr2bl w:val="nil"/>
                  </w:tcBorders>
                  <w:vAlign w:val="center"/>
                </w:tcPr>
                <w:p w14:paraId="5681F595">
                  <w:pPr>
                    <w:jc w:val="center"/>
                    <w:rPr>
                      <w:rFonts w:hint="eastAsia" w:eastAsia="宋体"/>
                      <w:color w:val="auto"/>
                      <w:szCs w:val="21"/>
                      <w:lang w:val="en-US" w:eastAsia="zh-CN"/>
                    </w:rPr>
                  </w:pPr>
                  <w:r>
                    <w:rPr>
                      <w:rFonts w:hint="eastAsia"/>
                      <w:color w:val="auto"/>
                      <w:szCs w:val="21"/>
                      <w:lang w:val="en-US" w:eastAsia="zh-CN"/>
                    </w:rPr>
                    <w:t>风险</w:t>
                  </w:r>
                </w:p>
              </w:tc>
              <w:tc>
                <w:tcPr>
                  <w:tcW w:w="3734" w:type="dxa"/>
                  <w:gridSpan w:val="2"/>
                  <w:tcBorders>
                    <w:tl2br w:val="nil"/>
                    <w:tr2bl w:val="nil"/>
                  </w:tcBorders>
                  <w:vAlign w:val="center"/>
                </w:tcPr>
                <w:p w14:paraId="7CDA7C4B">
                  <w:pPr>
                    <w:jc w:val="center"/>
                    <w:rPr>
                      <w:rFonts w:hint="eastAsia" w:eastAsia="宋体"/>
                      <w:color w:val="auto"/>
                      <w:szCs w:val="21"/>
                      <w:lang w:val="en-US" w:eastAsia="zh-CN"/>
                    </w:rPr>
                  </w:pPr>
                  <w:r>
                    <w:rPr>
                      <w:rFonts w:hint="eastAsia"/>
                      <w:color w:val="auto"/>
                      <w:szCs w:val="21"/>
                      <w:lang w:val="en-US" w:eastAsia="zh-CN"/>
                    </w:rPr>
                    <w:t>消防水池</w:t>
                  </w:r>
                </w:p>
              </w:tc>
              <w:tc>
                <w:tcPr>
                  <w:tcW w:w="2026" w:type="dxa"/>
                  <w:tcBorders>
                    <w:tl2br w:val="nil"/>
                    <w:tr2bl w:val="nil"/>
                  </w:tcBorders>
                  <w:vAlign w:val="center"/>
                </w:tcPr>
                <w:p w14:paraId="6EB2532E">
                  <w:pPr>
                    <w:jc w:val="center"/>
                    <w:rPr>
                      <w:rFonts w:hint="default" w:eastAsia="宋体"/>
                      <w:color w:val="auto"/>
                      <w:szCs w:val="21"/>
                      <w:lang w:val="en-US" w:eastAsia="zh-CN"/>
                    </w:rPr>
                  </w:pPr>
                  <w:r>
                    <w:rPr>
                      <w:rFonts w:hint="eastAsia"/>
                      <w:color w:val="auto"/>
                      <w:szCs w:val="21"/>
                      <w:lang w:val="en-US" w:eastAsia="zh-CN"/>
                    </w:rPr>
                    <w:t>环境风险</w:t>
                  </w:r>
                </w:p>
              </w:tc>
              <w:tc>
                <w:tcPr>
                  <w:tcW w:w="1368" w:type="dxa"/>
                  <w:tcBorders>
                    <w:tl2br w:val="nil"/>
                    <w:tr2bl w:val="nil"/>
                  </w:tcBorders>
                  <w:vAlign w:val="center"/>
                </w:tcPr>
                <w:p w14:paraId="7DB4AA42">
                  <w:pPr>
                    <w:topLinePunct/>
                    <w:jc w:val="center"/>
                    <w:rPr>
                      <w:rFonts w:hint="eastAsia" w:eastAsia="宋体"/>
                      <w:snapToGrid w:val="0"/>
                      <w:color w:val="C0504D" w:themeColor="accent2"/>
                      <w:kern w:val="0"/>
                      <w:szCs w:val="21"/>
                      <w:lang w:val="en-US" w:eastAsia="zh-CN"/>
                      <w14:textFill>
                        <w14:solidFill>
                          <w14:schemeClr w14:val="accent2"/>
                        </w14:solidFill>
                      </w14:textFill>
                    </w:rPr>
                  </w:pPr>
                  <w:r>
                    <w:rPr>
                      <w:rFonts w:hint="eastAsia"/>
                      <w:snapToGrid w:val="0"/>
                      <w:color w:val="C0504D" w:themeColor="accent2"/>
                      <w:kern w:val="0"/>
                      <w:szCs w:val="21"/>
                      <w:lang w:val="en-US" w:eastAsia="zh-CN"/>
                      <w14:textFill>
                        <w14:solidFill>
                          <w14:schemeClr w14:val="accent2"/>
                        </w14:solidFill>
                      </w14:textFill>
                    </w:rPr>
                    <w:t>1</w:t>
                  </w:r>
                </w:p>
              </w:tc>
            </w:tr>
            <w:tr w14:paraId="1FFD9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0" w:type="dxa"/>
                  <w:tcBorders>
                    <w:tl2br w:val="nil"/>
                    <w:tr2bl w:val="nil"/>
                  </w:tcBorders>
                  <w:vAlign w:val="center"/>
                </w:tcPr>
                <w:p w14:paraId="1CDBAF65">
                  <w:pPr>
                    <w:jc w:val="center"/>
                    <w:rPr>
                      <w:szCs w:val="21"/>
                    </w:rPr>
                  </w:pPr>
                  <w:r>
                    <w:rPr>
                      <w:rFonts w:hint="eastAsia"/>
                      <w:szCs w:val="21"/>
                    </w:rPr>
                    <w:t>环境</w:t>
                  </w:r>
                </w:p>
              </w:tc>
              <w:tc>
                <w:tcPr>
                  <w:tcW w:w="3734" w:type="dxa"/>
                  <w:gridSpan w:val="2"/>
                  <w:tcBorders>
                    <w:tl2br w:val="nil"/>
                    <w:tr2bl w:val="nil"/>
                  </w:tcBorders>
                  <w:vAlign w:val="center"/>
                </w:tcPr>
                <w:p w14:paraId="0335A153">
                  <w:pPr>
                    <w:jc w:val="center"/>
                    <w:rPr>
                      <w:rFonts w:hint="eastAsia" w:eastAsia="宋体"/>
                      <w:szCs w:val="21"/>
                      <w:lang w:eastAsia="zh-CN"/>
                    </w:rPr>
                  </w:pPr>
                  <w:r>
                    <w:rPr>
                      <w:rFonts w:hint="eastAsia"/>
                      <w:szCs w:val="21"/>
                    </w:rPr>
                    <w:t>防渗、绿化</w:t>
                  </w:r>
                </w:p>
              </w:tc>
              <w:tc>
                <w:tcPr>
                  <w:tcW w:w="2026" w:type="dxa"/>
                  <w:tcBorders>
                    <w:tl2br w:val="nil"/>
                    <w:tr2bl w:val="nil"/>
                  </w:tcBorders>
                  <w:vAlign w:val="center"/>
                </w:tcPr>
                <w:p w14:paraId="6D1F945A">
                  <w:pPr>
                    <w:jc w:val="center"/>
                    <w:rPr>
                      <w:szCs w:val="21"/>
                    </w:rPr>
                  </w:pPr>
                  <w:r>
                    <w:rPr>
                      <w:rFonts w:hint="eastAsia"/>
                      <w:szCs w:val="21"/>
                    </w:rPr>
                    <w:t>生态</w:t>
                  </w:r>
                </w:p>
              </w:tc>
              <w:tc>
                <w:tcPr>
                  <w:tcW w:w="1368" w:type="dxa"/>
                  <w:tcBorders>
                    <w:tl2br w:val="nil"/>
                    <w:tr2bl w:val="nil"/>
                  </w:tcBorders>
                  <w:vAlign w:val="center"/>
                </w:tcPr>
                <w:p w14:paraId="7411A30D">
                  <w:pPr>
                    <w:topLinePunct/>
                    <w:jc w:val="center"/>
                    <w:rPr>
                      <w:rFonts w:hint="eastAsia" w:eastAsia="宋体"/>
                      <w:snapToGrid w:val="0"/>
                      <w:kern w:val="0"/>
                      <w:szCs w:val="21"/>
                      <w:lang w:eastAsia="zh-CN"/>
                    </w:rPr>
                  </w:pPr>
                  <w:r>
                    <w:rPr>
                      <w:rFonts w:hint="eastAsia"/>
                      <w:snapToGrid w:val="0"/>
                      <w:kern w:val="0"/>
                      <w:szCs w:val="21"/>
                      <w:lang w:val="en-US" w:eastAsia="zh-CN"/>
                    </w:rPr>
                    <w:t>4</w:t>
                  </w:r>
                </w:p>
              </w:tc>
            </w:tr>
            <w:tr w14:paraId="7F222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163" w:type="pct"/>
                  <w:gridSpan w:val="4"/>
                  <w:tcBorders>
                    <w:tl2br w:val="nil"/>
                    <w:tr2bl w:val="nil"/>
                  </w:tcBorders>
                  <w:vAlign w:val="center"/>
                </w:tcPr>
                <w:p w14:paraId="34609AEB">
                  <w:pPr>
                    <w:topLinePunct/>
                    <w:jc w:val="center"/>
                    <w:rPr>
                      <w:snapToGrid w:val="0"/>
                      <w:kern w:val="0"/>
                      <w:szCs w:val="21"/>
                    </w:rPr>
                  </w:pPr>
                  <w:r>
                    <w:rPr>
                      <w:snapToGrid w:val="0"/>
                      <w:kern w:val="0"/>
                      <w:szCs w:val="21"/>
                    </w:rPr>
                    <w:t>合计</w:t>
                  </w:r>
                </w:p>
              </w:tc>
              <w:tc>
                <w:tcPr>
                  <w:tcW w:w="836" w:type="pct"/>
                  <w:tcBorders>
                    <w:tl2br w:val="nil"/>
                    <w:tr2bl w:val="nil"/>
                  </w:tcBorders>
                  <w:vAlign w:val="center"/>
                </w:tcPr>
                <w:p w14:paraId="14EF6ECD">
                  <w:pPr>
                    <w:topLinePunct/>
                    <w:jc w:val="center"/>
                    <w:rPr>
                      <w:snapToGrid w:val="0"/>
                      <w:kern w:val="0"/>
                      <w:szCs w:val="21"/>
                    </w:rPr>
                  </w:pPr>
                  <w:r>
                    <w:rPr>
                      <w:rFonts w:hint="eastAsia"/>
                      <w:snapToGrid w:val="0"/>
                      <w:kern w:val="0"/>
                      <w:szCs w:val="21"/>
                    </w:rPr>
                    <w:t>130.5</w:t>
                  </w:r>
                </w:p>
              </w:tc>
            </w:tr>
            <w:tr w14:paraId="13341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163" w:type="pct"/>
                  <w:gridSpan w:val="4"/>
                  <w:tcBorders>
                    <w:tl2br w:val="nil"/>
                    <w:tr2bl w:val="nil"/>
                  </w:tcBorders>
                  <w:vAlign w:val="center"/>
                </w:tcPr>
                <w:p w14:paraId="78F76EC1">
                  <w:pPr>
                    <w:topLinePunct/>
                    <w:jc w:val="center"/>
                    <w:rPr>
                      <w:snapToGrid w:val="0"/>
                      <w:kern w:val="0"/>
                      <w:szCs w:val="21"/>
                    </w:rPr>
                  </w:pPr>
                  <w:r>
                    <w:rPr>
                      <w:snapToGrid w:val="0"/>
                      <w:kern w:val="0"/>
                      <w:szCs w:val="21"/>
                    </w:rPr>
                    <w:t>项目总投资</w:t>
                  </w:r>
                </w:p>
              </w:tc>
              <w:tc>
                <w:tcPr>
                  <w:tcW w:w="836" w:type="pct"/>
                  <w:tcBorders>
                    <w:tl2br w:val="nil"/>
                    <w:tr2bl w:val="nil"/>
                  </w:tcBorders>
                  <w:vAlign w:val="center"/>
                </w:tcPr>
                <w:p w14:paraId="17C6E601">
                  <w:pPr>
                    <w:topLinePunct/>
                    <w:jc w:val="center"/>
                    <w:rPr>
                      <w:snapToGrid w:val="0"/>
                      <w:kern w:val="0"/>
                      <w:szCs w:val="21"/>
                    </w:rPr>
                  </w:pPr>
                  <w:r>
                    <w:rPr>
                      <w:szCs w:val="21"/>
                    </w:rPr>
                    <w:t>1</w:t>
                  </w:r>
                  <w:r>
                    <w:rPr>
                      <w:rFonts w:hint="eastAsia"/>
                      <w:szCs w:val="21"/>
                    </w:rPr>
                    <w:t>0354.61</w:t>
                  </w:r>
                </w:p>
              </w:tc>
            </w:tr>
            <w:tr w14:paraId="6EE27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3" w:type="pct"/>
                  <w:gridSpan w:val="4"/>
                  <w:tcBorders>
                    <w:tl2br w:val="nil"/>
                    <w:tr2bl w:val="nil"/>
                  </w:tcBorders>
                  <w:vAlign w:val="center"/>
                </w:tcPr>
                <w:p w14:paraId="113A1BC4">
                  <w:pPr>
                    <w:topLinePunct/>
                    <w:jc w:val="center"/>
                    <w:rPr>
                      <w:snapToGrid w:val="0"/>
                      <w:kern w:val="0"/>
                      <w:szCs w:val="21"/>
                    </w:rPr>
                  </w:pPr>
                  <w:r>
                    <w:rPr>
                      <w:snapToGrid w:val="0"/>
                      <w:kern w:val="0"/>
                      <w:szCs w:val="21"/>
                    </w:rPr>
                    <w:t>占总投资百分比（%）</w:t>
                  </w:r>
                </w:p>
              </w:tc>
              <w:tc>
                <w:tcPr>
                  <w:tcW w:w="836" w:type="pct"/>
                  <w:tcBorders>
                    <w:tl2br w:val="nil"/>
                    <w:tr2bl w:val="nil"/>
                  </w:tcBorders>
                  <w:vAlign w:val="center"/>
                </w:tcPr>
                <w:p w14:paraId="19B4D4B8">
                  <w:pPr>
                    <w:topLinePunct/>
                    <w:jc w:val="center"/>
                    <w:rPr>
                      <w:snapToGrid w:val="0"/>
                      <w:kern w:val="0"/>
                      <w:szCs w:val="21"/>
                    </w:rPr>
                  </w:pPr>
                  <w:r>
                    <w:rPr>
                      <w:rFonts w:hint="eastAsia"/>
                      <w:snapToGrid w:val="0"/>
                      <w:kern w:val="0"/>
                      <w:szCs w:val="21"/>
                    </w:rPr>
                    <w:t>1.2%</w:t>
                  </w:r>
                </w:p>
              </w:tc>
            </w:tr>
          </w:tbl>
          <w:p w14:paraId="170A5013">
            <w:pPr>
              <w:pStyle w:val="71"/>
              <w:spacing w:line="360" w:lineRule="auto"/>
              <w:rPr>
                <w:rFonts w:ascii="Times New Roman" w:hAnsi="Times New Roman" w:eastAsia="Times New Roman" w:cs="Times New Roman"/>
                <w:kern w:val="0"/>
              </w:rPr>
            </w:pPr>
          </w:p>
        </w:tc>
      </w:tr>
    </w:tbl>
    <w:p w14:paraId="49ECA14A">
      <w:pPr>
        <w:adjustRightInd w:val="0"/>
        <w:snapToGrid w:val="0"/>
        <w:jc w:val="center"/>
      </w:pPr>
      <w:r>
        <w:rPr>
          <w:sz w:val="21"/>
        </w:rPr>
        <mc:AlternateContent>
          <mc:Choice Requires="wps">
            <w:drawing>
              <wp:anchor distT="0" distB="0" distL="114300" distR="114300" simplePos="0" relativeHeight="251718656" behindDoc="0" locked="0" layoutInCell="1" allowOverlap="1">
                <wp:simplePos x="0" y="0"/>
                <wp:positionH relativeFrom="column">
                  <wp:posOffset>1503045</wp:posOffset>
                </wp:positionH>
                <wp:positionV relativeFrom="paragraph">
                  <wp:posOffset>5601970</wp:posOffset>
                </wp:positionV>
                <wp:extent cx="742950" cy="676275"/>
                <wp:effectExtent l="0" t="0" r="0" b="0"/>
                <wp:wrapNone/>
                <wp:docPr id="94" name="文本框 94"/>
                <wp:cNvGraphicFramePr/>
                <a:graphic xmlns:a="http://schemas.openxmlformats.org/drawingml/2006/main">
                  <a:graphicData uri="http://schemas.microsoft.com/office/word/2010/wordprocessingShape">
                    <wps:wsp>
                      <wps:cNvSpPr txBox="1"/>
                      <wps:spPr>
                        <a:xfrm>
                          <a:off x="2408555" y="6624955"/>
                          <a:ext cx="742950" cy="676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5C9F9D">
                            <w:pPr>
                              <w:rPr>
                                <w:rFonts w:hint="eastAsia"/>
                                <w:b w:val="0"/>
                                <w:bCs w:val="0"/>
                                <w:lang w:val="en-US" w:eastAsia="zh-CN"/>
                              </w:rPr>
                            </w:pPr>
                            <w:r>
                              <w:rPr>
                                <w:rFonts w:hint="eastAsia"/>
                                <w:b w:val="0"/>
                                <w:bCs w:val="0"/>
                                <w:lang w:val="en-US" w:eastAsia="zh-CN"/>
                              </w:rPr>
                              <w:t>消防</w:t>
                            </w:r>
                          </w:p>
                          <w:p w14:paraId="3B9160B9">
                            <w:pPr>
                              <w:rPr>
                                <w:rFonts w:hint="eastAsia" w:eastAsia="宋体"/>
                                <w:b w:val="0"/>
                                <w:bCs w:val="0"/>
                                <w:lang w:val="en-US" w:eastAsia="zh-CN"/>
                              </w:rPr>
                            </w:pPr>
                            <w:r>
                              <w:rPr>
                                <w:rFonts w:hint="eastAsia"/>
                                <w:b w:val="0"/>
                                <w:bCs w:val="0"/>
                                <w:lang w:val="en-US" w:eastAsia="zh-CN"/>
                              </w:rPr>
                              <w:t>水池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35pt;margin-top:441.1pt;height:53.25pt;width:58.5pt;z-index:251718656;mso-width-relative:page;mso-height-relative:page;" filled="f" stroked="f" coordsize="21600,21600" o:gfxdata="UEsDBAoAAAAAAIdO4kAAAAAAAAAAAAAAAAAEAAAAZHJzL1BLAwQUAAAACACHTuJAlTvQeNwAAAAL&#10;AQAADwAAAGRycy9kb3ducmV2LnhtbE2Py07DMBBF90j8gzVI7KhTR21NiFOhSBUSgkVLN+wmsZtE&#10;2OMQuw/4eswKljNzdOfccn1xlp3MFAZPCuazDJih1uuBOgX7t82dBBYikkbrySj4MgHW1fVViYX2&#10;Z9qa0y52LIVQKFBBH+NYcB7a3jgMMz8aSreDnxzGNE4d1xOeU7izXGTZkjscKH3ocTR1b9qP3dEp&#10;eK43r7hthJPftn56OTyOn/v3hVK3N/PsAVg0l/gHw69+UocqOTX+SDowq0Dky1VCFUgpBLBE5Is8&#10;bRoF91KugFcl/9+h+gFQSwMEFAAAAAgAh07iQMfX2PZGAgAAcwQAAA4AAABkcnMvZTJvRG9jLnht&#10;bK1UzW4TMRC+I/EOlu90k2WTNFE3VWhUhFTRSgVxdrze7kr+w3a6Wx4A3oATF+48V5+Dz96kDYVD&#10;D1ycsWf2m/m+mcnJaa8kuRXOt0aXdHw0okRobqpW35T044fzV8eU+MB0xaTRoqR3wtPT5csXJ51d&#10;iNw0RlbCEYBov+hsSZsQ7CLLPG+EYv7IWKHhrI1TLODqbrLKsQ7oSmb5aDTNOuMq6wwX3uN1PTjp&#10;DtE9B9DUdcvF2vCtEjoMqE5IFkDJN631dJmqrWvBw2VdexGILCmYhnQiCexNPLPlCVvcOGablu9K&#10;YM8p4QknxVqNpA9QaxYY2br2LyjVcme8qcMRNyobiCRFwGI8eqLNdcOsSFwgtbcPovv/B8vf3145&#10;0lYlnReUaKbQ8fvv3+5//Lr/+ZXgDQJ11i8Qd20RGfo3psfY7N89HiPvvnYq/oIRgT8vRseTyYSS&#10;u5JOp3kxh52kFn0gHAGzIp9P0AQeA2bTfJb82SOQdT68FUaRaJTUoZNJYHZ74QOgELoPiXm1OW+l&#10;TCmkJh1AXwP+Dw++kBofRjpD2dEK/abfcdyY6g4UnRmmxFt+3iL5BfPhijmMBerF4oRLHLU0SGJ2&#10;FiWNcV/+9R7j0S14KekwZiX1n7fMCUrkO40+zsdFEecyXYrJLMfFHXo2hx69VWcGkzzGilqezBgf&#10;5N6snVGfsF+rmBUupjlylzTszbMwDD/2k4vVKgVhEi0LF/ra8gg9iLbaBlO3Seko06DNTj3MYmrA&#10;bm/isB/eU9Tjf8Xy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U70HjcAAAACwEAAA8AAAAAAAAA&#10;AQAgAAAAIgAAAGRycy9kb3ducmV2LnhtbFBLAQIUABQAAAAIAIdO4kDH19j2RgIAAHMEAAAOAAAA&#10;AAAAAAEAIAAAACsBAABkcnMvZTJvRG9jLnhtbFBLBQYAAAAABgAGAFkBAADjBQAAAAA=&#10;">
                <v:fill on="f" focussize="0,0"/>
                <v:stroke on="f" weight="0.5pt"/>
                <v:imagedata o:title=""/>
                <o:lock v:ext="edit" aspectratio="f"/>
                <v:textbox>
                  <w:txbxContent>
                    <w:p w14:paraId="015C9F9D">
                      <w:pPr>
                        <w:rPr>
                          <w:rFonts w:hint="eastAsia"/>
                          <w:b w:val="0"/>
                          <w:bCs w:val="0"/>
                          <w:lang w:val="en-US" w:eastAsia="zh-CN"/>
                        </w:rPr>
                      </w:pPr>
                      <w:r>
                        <w:rPr>
                          <w:rFonts w:hint="eastAsia"/>
                          <w:b w:val="0"/>
                          <w:bCs w:val="0"/>
                          <w:lang w:val="en-US" w:eastAsia="zh-CN"/>
                        </w:rPr>
                        <w:t>消防</w:t>
                      </w:r>
                    </w:p>
                    <w:p w14:paraId="3B9160B9">
                      <w:pPr>
                        <w:rPr>
                          <w:rFonts w:hint="eastAsia" w:eastAsia="宋体"/>
                          <w:b w:val="0"/>
                          <w:bCs w:val="0"/>
                          <w:lang w:val="en-US" w:eastAsia="zh-CN"/>
                        </w:rPr>
                      </w:pPr>
                      <w:r>
                        <w:rPr>
                          <w:rFonts w:hint="eastAsia"/>
                          <w:b w:val="0"/>
                          <w:bCs w:val="0"/>
                          <w:lang w:val="en-US" w:eastAsia="zh-CN"/>
                        </w:rPr>
                        <w:t>水池</w:t>
                      </w:r>
                    </w:p>
                  </w:txbxContent>
                </v:textbox>
              </v:shape>
            </w:pict>
          </mc:Fallback>
        </mc:AlternateContent>
      </w:r>
      <w:r>
        <w:rPr>
          <w:sz w:val="21"/>
        </w:rPr>
        <mc:AlternateContent>
          <mc:Choice Requires="wps">
            <w:drawing>
              <wp:anchor distT="0" distB="0" distL="114300" distR="114300" simplePos="0" relativeHeight="251717632" behindDoc="0" locked="0" layoutInCell="1" allowOverlap="1">
                <wp:simplePos x="0" y="0"/>
                <wp:positionH relativeFrom="column">
                  <wp:posOffset>1522095</wp:posOffset>
                </wp:positionH>
                <wp:positionV relativeFrom="paragraph">
                  <wp:posOffset>5630545</wp:posOffset>
                </wp:positionV>
                <wp:extent cx="457200" cy="400050"/>
                <wp:effectExtent l="13970" t="13970" r="24130" b="24130"/>
                <wp:wrapNone/>
                <wp:docPr id="87" name="矩形 87"/>
                <wp:cNvGraphicFramePr/>
                <a:graphic xmlns:a="http://schemas.openxmlformats.org/drawingml/2006/main">
                  <a:graphicData uri="http://schemas.microsoft.com/office/word/2010/wordprocessingShape">
                    <wps:wsp>
                      <wps:cNvSpPr/>
                      <wps:spPr>
                        <a:xfrm>
                          <a:off x="2532380" y="6710680"/>
                          <a:ext cx="457200" cy="400050"/>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85pt;margin-top:443.35pt;height:31.5pt;width:36pt;z-index:251717632;v-text-anchor:middle;mso-width-relative:page;mso-height-relative:page;" filled="f" stroked="t" coordsize="21600,21600" o:gfxdata="UEsDBAoAAAAAAIdO4kAAAAAAAAAAAAAAAAAEAAAAZHJzL1BLAwQUAAAACACHTuJASuYZpdcAAAAL&#10;AQAADwAAAGRycy9kb3ducmV2LnhtbE2PwU7DMBBE70j8g7VI3KjjFqVJiNMDUi8cEC1wd2ITR2TX&#10;Uew2ha9nOcFtVvM0O1PvLjiKs5vjEEiDWmUgHHXBDtRreHvd3xUgYjJkzRjIafhyEXbN9VVtKhsW&#10;OrjzMfWCQyhWRoNPaaqkjJ13aOIqTI7Y+wgzmsTn3Es7m4XDcZTrLMslmoH4gzeTe/Su+zyeUMMe&#10;t57e7XJQS9E+I34/lfiSa317o7IHEMld0h8Mv/W5OjTcqQ0nslGMGtabcsuohqLIWTCxUYpFq6G8&#10;Z0s2tfy/ofkBUEsDBBQAAAAIAIdO4kADvEndawIAAMEEAAAOAAAAZHJzL2Uyb0RvYy54bWytVEuO&#10;EzEQ3SNxB8t70p1MMgnRdEYhURDSiIk0INaO251uyT9sJ53hMkjsOATHQVyDZ3fPh4HFLNg45a7n&#10;V1WvqnJxeVKSHIXzjdEFHQ5ySoTmpmz0vqAfP2xezSjxgemSSaNFQW+Fp5eLly8uWjsXI1MbWQpH&#10;QKL9vLUFrUOw8yzzvBaK+YGxQsNZGadYwNXts9KxFuxKZqM8P89a40rrDBfe4+u6c9Ke0T2H0FRV&#10;w8Xa8IMSOnSsTkgWUJKvG+vpImVbVYKH66ryIhBZUFQa0okgsHfxzBYXbL53zNYN71Ngz0nhSU2K&#10;NRpB76nWLDBycM1fVKrhznhThQE3KusKSYqgimH+RJubmlmRaoHU3t6L7v8fLX9/3DrSlAWdTSnR&#10;TKHjv75+//njG8EHqNNaPwfoxm5df/MwY6mnyqn4iyLIqaCjydnobAZdbwt6Ph3m57CTuuIUCAdg&#10;PJmi/5RwAMZ5nk+SP3sgss6Ht8IoEo2COjQvacqOVz6ACtA7SIyrzaaRMoWQmrTIYDaZTsDPMJUV&#10;pgGmsqjM6z0lTO4x7jy4ROmNbMr4PBJ5t9+tpCNHhiEZb2bDN+uYOcL9AYux18zXHS65epjUQEeh&#10;OmmitTPlLYR1pps4b/mmwfsr5sOWOYwYhMAShmsclTTI3vQWJbVxX/71PeLReXgpaTGyqOzzgTlB&#10;iXynMROvh+MxaEO6JLUpcY89u8cefVArg4KHWHfLk4nHLsg7s3JGfcKuLmNUuJjmiN1p2F9WoVsl&#10;bDsXy2WCYa4tC1f6xvJI3nVqeQimalITH9TpRcNkJ7H7LYyr8/ieUA//P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SuYZpdcAAAALAQAADwAAAAAAAAABACAAAAAiAAAAZHJzL2Rvd25yZXYueG1s&#10;UEsBAhQAFAAAAAgAh07iQAO8Sd1rAgAAwQQAAA4AAAAAAAAAAQAgAAAAJgEAAGRycy9lMm9Eb2Mu&#10;eG1sUEsFBgAAAAAGAAYAWQEAAAMGAAAAAA==&#10;">
                <v:fill on="f" focussize="0,0"/>
                <v:stroke weight="2.25pt" color="#4F81BD [3204]" joinstyle="round"/>
                <v:imagedata o:title=""/>
                <o:lock v:ext="edit" aspectratio="f"/>
              </v:rect>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937895</wp:posOffset>
                </wp:positionH>
                <wp:positionV relativeFrom="paragraph">
                  <wp:posOffset>5910580</wp:posOffset>
                </wp:positionV>
                <wp:extent cx="839470" cy="1082675"/>
                <wp:effectExtent l="0" t="0" r="0" b="0"/>
                <wp:wrapNone/>
                <wp:docPr id="75" name="文本框 75"/>
                <wp:cNvGraphicFramePr/>
                <a:graphic xmlns:a="http://schemas.openxmlformats.org/drawingml/2006/main">
                  <a:graphicData uri="http://schemas.microsoft.com/office/word/2010/wordprocessingShape">
                    <wps:wsp>
                      <wps:cNvSpPr txBox="1"/>
                      <wps:spPr>
                        <a:xfrm>
                          <a:off x="1840865" y="6739890"/>
                          <a:ext cx="839470" cy="10826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CF061A">
                            <w:pPr>
                              <w:rPr>
                                <w:b w:val="0"/>
                                <w:bCs w:val="0"/>
                              </w:rPr>
                            </w:pPr>
                            <w:r>
                              <w:rPr>
                                <w:rFonts w:hint="eastAsia"/>
                                <w:b w:val="0"/>
                                <w:bCs w:val="0"/>
                              </w:rPr>
                              <w:t>天然气</w:t>
                            </w:r>
                          </w:p>
                          <w:p w14:paraId="20D7F0CE">
                            <w:pPr>
                              <w:rPr>
                                <w:b w:val="0"/>
                                <w:bCs w:val="0"/>
                              </w:rPr>
                            </w:pPr>
                            <w:r>
                              <w:rPr>
                                <w:rFonts w:hint="eastAsia"/>
                                <w:b w:val="0"/>
                                <w:bCs w:val="0"/>
                              </w:rPr>
                              <w:t>撬装站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85pt;margin-top:465.4pt;height:85.25pt;width:66.1pt;z-index:251712512;mso-width-relative:page;mso-height-relative:page;" filled="f" stroked="f" coordsize="21600,21600" o:gfxdata="UEsDBAoAAAAAAIdO4kAAAAAAAAAAAAAAAAAEAAAAZHJzL1BLAwQUAAAACACHTuJAXv86hdwAAAAM&#10;AQAADwAAAGRycy9kb3ducmV2LnhtbE2PzU7DMBCE70i8g7WVuFE7KZAmxKlQpAoJwaGlF25O7CZR&#10;7XWI3R94epYTHEczmvmmXF2cZSczhcGjhGQugBlsvR6wk7B7X98ugYWoUCvr0Uj4MgFW1fVVqQrt&#10;z7gxp23sGJVgKJSEPsax4Dy0vXEqzP1okLy9n5yKJKeO60mdqdxZngrxwJ0akBZ6NZq6N+1he3QS&#10;Xur1m9o0qVt+2/r5df80fu4+7qW8mSXiEVg0l/gXhl98QoeKmBp/RB2YJX2XZRSVkC8EfaBEmuU5&#10;sIasRCQL4FXJ/5+ofgBQSwMEFAAAAAgAh07iQGgLPfBIAgAAdAQAAA4AAABkcnMvZTJvRG9jLnht&#10;bK1US27bMBDdF+gdCO4byY7jHyIHboIUBYImQFp0TVOUJYC/knSk9ADtDbrqpvueK+foIyUnRtpF&#10;Ft1QQ87wzbw3Q52edUqSO+F8Y3RBR0c5JUJzUzZ6W9BPHy/fzCnxgemSSaNFQe+Fp2er169OW7sU&#10;Y1MbWQpHAKL9srUFrUOwyyzzvBaK+SNjhYazMk6xgK3bZqVjLdCVzMZ5Ps1a40rrDBfe4/Sid9IB&#10;0b0E0FRVw8WF4TsldOhRnZAsgJKvG+vpKlVbVYKH66ryIhBZUDANaUUS2Ju4ZqtTttw6ZuuGDyWw&#10;l5TwjJNijUbSR6gLFhjZueYvKNVwZ7ypwhE3KuuJJEXAYpQ/0+a2ZlYkLpDa20fR/f+D5R/ubhxp&#10;yoLOTijRTKHjDz++P/z8/fDrG8EZBGqtXyLu1iIydG9Nh7HZn3scRt5d5VT8ghGJ/vkkn0+BeF/Q&#10;6ex4MV8MUosuEI6A+fFiMkMTOAJG+Xw87VNlT0jW+fBOGEWiUVCHViaF2d2VD6gKofuQmFiby0bK&#10;1E6pSYu0xyd5uvDowQ2pcTHy6euOVug23UByY8p7cHSmHxNv+WWD5FfMhxvmMBcoGC8nXGOppEES&#10;M1iU1MZ9/dd5jEe74KWkxZwV1H/ZMScoke81GrkYTSZxMNNmcjIbY+MOPZtDj96pc4NRHuGNWp7M&#10;GB/k3qycUZ/xwNYxK1xMc+QuaNib56GffjxQLtbrFIRRtCxc6VvLI3Qv53oXTNUkpaNMvTaDehjG&#10;1IDh4cRpP9ynqKefxeo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Xv86hdwAAAAMAQAADwAAAAAA&#10;AAABACAAAAAiAAAAZHJzL2Rvd25yZXYueG1sUEsBAhQAFAAAAAgAh07iQGgLPfBIAgAAdAQAAA4A&#10;AAAAAAAAAQAgAAAAKwEAAGRycy9lMm9Eb2MueG1sUEsFBgAAAAAGAAYAWQEAAOUFAAAAAA==&#10;">
                <v:fill on="f" focussize="0,0"/>
                <v:stroke on="f" weight="0.5pt"/>
                <v:imagedata o:title=""/>
                <o:lock v:ext="edit" aspectratio="f"/>
                <v:textbox>
                  <w:txbxContent>
                    <w:p w14:paraId="0FCF061A">
                      <w:pPr>
                        <w:rPr>
                          <w:b w:val="0"/>
                          <w:bCs w:val="0"/>
                        </w:rPr>
                      </w:pPr>
                      <w:r>
                        <w:rPr>
                          <w:rFonts w:hint="eastAsia"/>
                          <w:b w:val="0"/>
                          <w:bCs w:val="0"/>
                        </w:rPr>
                        <w:t>天然气</w:t>
                      </w:r>
                    </w:p>
                    <w:p w14:paraId="20D7F0CE">
                      <w:pPr>
                        <w:rPr>
                          <w:b w:val="0"/>
                          <w:bCs w:val="0"/>
                        </w:rPr>
                      </w:pPr>
                      <w:r>
                        <w:rPr>
                          <w:rFonts w:hint="eastAsia"/>
                          <w:b w:val="0"/>
                          <w:bCs w:val="0"/>
                        </w:rPr>
                        <w:t>撬装站</w:t>
                      </w:r>
                    </w:p>
                  </w:txbxContent>
                </v:textbox>
              </v:shape>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981075</wp:posOffset>
                </wp:positionH>
                <wp:positionV relativeFrom="paragraph">
                  <wp:posOffset>5781040</wp:posOffset>
                </wp:positionV>
                <wp:extent cx="467360" cy="866140"/>
                <wp:effectExtent l="12700" t="12700" r="15240" b="16510"/>
                <wp:wrapNone/>
                <wp:docPr id="72" name="矩形 72"/>
                <wp:cNvGraphicFramePr/>
                <a:graphic xmlns:a="http://schemas.openxmlformats.org/drawingml/2006/main">
                  <a:graphicData uri="http://schemas.microsoft.com/office/word/2010/wordprocessingShape">
                    <wps:wsp>
                      <wps:cNvSpPr/>
                      <wps:spPr>
                        <a:xfrm>
                          <a:off x="1953260" y="6861175"/>
                          <a:ext cx="467360" cy="866140"/>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7.25pt;margin-top:455.2pt;height:68.2pt;width:36.8pt;z-index:251711488;v-text-anchor:middle;mso-width-relative:page;mso-height-relative:page;" filled="f" stroked="t" coordsize="21600,21600" o:gfxdata="UEsDBAoAAAAAAIdO4kAAAAAAAAAAAAAAAAAEAAAAZHJzL1BLAwQUAAAACACHTuJAdoi5itgAAAAM&#10;AQAADwAAAGRycy9kb3ducmV2LnhtbE2Py07DMBBF90j8gzVI7KidyC0hxKkQjw+gBcHSTYYkqj2O&#10;YrdN/55hRZdX9+jOmWo9eyeOOMUhkIFsoUAgNaEdqDPwsX27K0DEZKm1LhAaOGOEdX19VdmyDSd6&#10;x+MmdYJHKJbWQJ/SWEoZmx69jYswInH3EyZvE8epk+1kTzzuncyVWklvB+ILvR3xucdmvzl4A1JF&#10;/frVvej77fnpM7hhdt/72Zjbm0w9gkg4p38Y/vRZHWp22oUDtVE4zku9ZNTAQ6Y0CCbyvMhA7LhS&#10;elWArCt5+UT9C1BLAwQUAAAACACHTuJAJYsOtm0CAADBBAAADgAAAGRycy9lMm9Eb2MueG1srVRL&#10;btswEN0X6B0I7htZii0nRuTAiJGiQNAESIuuaYqyBPBXkracXqZAdz1Ej1P0Gn2klE/TLrLohprR&#10;jN7Me5zR2flBSbIXzndGVzQ/mlAiNDd1p7cV/fjh8s0JJT4wXTNptKjonfD0fPn61VlvF6IwrZG1&#10;cAQg2i96W9E2BLvIMs9boZg/MlZoBBvjFAtw3TarHeuBrmRWTCZl1htXW2e48B5v10OQjojuJYCm&#10;aTou1obvlNBhQHVCsgBKvu2sp8vUbdMIHq6bxotAZEXBNKQTRWBv4pktz9hi65htOz62wF7SwjNO&#10;inUaRR+g1iwwsnPdX1Cq485404QjblQ2EEmKgEU+eabNbcusSFwgtbcPovv/B8vf728c6eqKzgtK&#10;NFO48V9fv//88Y3gBdTprV8g6dbeuNHzMCPVQ+NUfIIEOWCSTmfHRQld7ypanpR5Pp8N6opDIBwJ&#10;03J+HOMcCSdlmU+T+tkjkHU+vBVGkWhU1OHykqZsf+UDiiP1PiXW1eaykzJdoNSkr2gxm04iPsNU&#10;NpgGmMqCmddbSpjcYtx5cAnSG9nV8fMI5N12cyEd2TMMyWmxnszuO/sjLdZeM98OeSkUCaIrqfGI&#10;Qg3SRGtj6jsI68wwcd7yyw7fXzEfbpjDiKFRLGG4xtFIg+7NaFHSGvflX+9jPm4eUUp6jCyYfd4x&#10;JyiR7zRm4jSfQlMSkjOdzQs47mlk8zSid+rCgHCOdbc8mTE/yHuzcUZ9wq6uYlWEmOaoPWg4Ohdh&#10;WCVsOxerVUrDXFsWrvSt5RF8uKnVLpimS5f4qM4oGiY7qThuYVydp37KevzzL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doi5itgAAAAMAQAADwAAAAAAAAABACAAAAAiAAAAZHJzL2Rvd25yZXYu&#10;eG1sUEsBAhQAFAAAAAgAh07iQCWLDrZtAgAAwQQAAA4AAAAAAAAAAQAgAAAAJwEAAGRycy9lMm9E&#10;b2MueG1sUEsFBgAAAAAGAAYAWQEAAAYGAAAAAA==&#10;">
                <v:fill on="f" focussize="0,0"/>
                <v:stroke weight="2pt" color="#92D050 [3204]" joinstyle="round"/>
                <v:imagedata o:title=""/>
                <o:lock v:ext="edit" aspectratio="f"/>
              </v:rect>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3136900</wp:posOffset>
                </wp:positionH>
                <wp:positionV relativeFrom="paragraph">
                  <wp:posOffset>3313430</wp:posOffset>
                </wp:positionV>
                <wp:extent cx="1030605" cy="848360"/>
                <wp:effectExtent l="0" t="0" r="17145" b="8890"/>
                <wp:wrapNone/>
                <wp:docPr id="47" name="矩形 47"/>
                <wp:cNvGraphicFramePr/>
                <a:graphic xmlns:a="http://schemas.openxmlformats.org/drawingml/2006/main">
                  <a:graphicData uri="http://schemas.microsoft.com/office/word/2010/wordprocessingShape">
                    <wps:wsp>
                      <wps:cNvSpPr/>
                      <wps:spPr>
                        <a:xfrm>
                          <a:off x="4109085" y="4393565"/>
                          <a:ext cx="1030605" cy="8483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7pt;margin-top:260.9pt;height:66.8pt;width:81.15pt;z-index:251710464;v-text-anchor:middle;mso-width-relative:page;mso-height-relative:page;" fillcolor="#FFFFFF [3212]" filled="t" stroked="f" coordsize="21600,21600" o:gfxdata="UEsDBAoAAAAAAIdO4kAAAAAAAAAAAAAAAAAEAAAAZHJzL1BLAwQUAAAACACHTuJANE7LCdYAAAAL&#10;AQAADwAAAGRycy9kb3ducmV2LnhtbE2PwW6DMAyG75P2DpEn7bYGKKCOESpt0rTz2qpnQ1xAJQ5K&#10;0pa9/dLTdrPlX7+/r94uZhJXcn60rCBdJSCIO6tH7hUc9p8vGxA+IGucLJOCH/KwbR4faqy0vfE3&#10;XXehF7GEfYUKhhDmSkrfDWTQr+xMHG8n6wyGuLpeaoe3WG4mmSVJKQ2OHD8MONPHQN15dzEKZPii&#10;837JjrxOcmzf3elwnKVSz09p8gYi0BL+wnDHj+jQRKbWXlh7MSnIX/PoEhQUWRodYqIsyjWI9j4U&#10;Ocimlv8dml9QSwMEFAAAAAgAh07iQAm8fuxrAgAAwgQAAA4AAABkcnMvZTJvRG9jLnhtbK1US27b&#10;MBDdF+gdCO4byd84huXAsOGiQNAESIuuaYqyBPBXkracXqZAdz1Ej1P0Gn2klE/TLrKoF/SMZvQe&#10;582MFpcnJclRON8YXdDBWU6J0NyUjd4X9OOH7ZsZJT4wXTJptCjonfD0cvn61aK1czE0tZGlcAQg&#10;2s9bW9A6BDvPMs9roZg/M1ZoBCvjFAtw3T4rHWuBrmQ2zPNp1hpXWme48B5PN12Q9ojuJYCmqhou&#10;NoYflNChQ3VCsoCSfN1YT5fptlUleLiuKi8CkQVFpSGdIIG9i2e2XLD53jFbN7y/AnvJFZ7VpFij&#10;QfoAtWGBkYNr/oJSDXfGmyqccaOyrpCkCKoY5M+0ua2ZFakWSO3tg+j+/8Hy98cbR5qyoONzSjRT&#10;6Pivr99//vhG8ADqtNbPkXRrb1zveZix1FPlVPxHEeSE9wf5RT6bUHIHe3QxmkwnnbriFAhHwiAf&#10;5dMcCRwZs/FsNE3yZ49I1vnwVhhFolFQh+4lUdnxygewI/U+JRJ7I5ty20iZHLffraUjR4ZOb9Mv&#10;0uOVP9KkJm1Bh5NxjgngDPNbYW5gKgsNvN5TwuQei8GDS9zaRAYgddwb5uuOI8H2FFKDKSrVaROt&#10;nSnvoKwz3ch5y7cNqrpiPtwwhxkDP7YwXOOopMGlTG9RUhv35V/PYz5ajyglLWYWF/58YE5QIt9p&#10;DMXFYDyOQ56c8eR8CMc9jeyeRvRBrQ3EGmDfLU9mzA/y3qycUZ+wrKvIihDTHNydNL2zDt0uYd25&#10;WK1SGgbbsnClby2P4FE5bVaHYKomNfFRnV40jHZqVL+GcXee+inr8dOz/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0TssJ1gAAAAsBAAAPAAAAAAAAAAEAIAAAACIAAABkcnMvZG93bnJldi54bWxQ&#10;SwECFAAUAAAACACHTuJACbx+7GsCAADCBAAADgAAAAAAAAABACAAAAAlAQAAZHJzL2Uyb0RvYy54&#10;bWxQSwUGAAAAAAYABgBZAQAAAgYAAAAA&#10;">
                <v:fill on="t" focussize="0,0"/>
                <v:stroke on="f" weight="2pt"/>
                <v:imagedata o:title=""/>
                <o:lock v:ext="edit" aspectratio="f"/>
              </v:rect>
            </w:pict>
          </mc:Fallback>
        </mc:AlternateContent>
      </w:r>
      <w:r>
        <w:drawing>
          <wp:inline distT="0" distB="0" distL="114300" distR="114300">
            <wp:extent cx="4686300" cy="7143750"/>
            <wp:effectExtent l="0" t="0" r="0" b="0"/>
            <wp:docPr id="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
                    <pic:cNvPicPr>
                      <a:picLocks noChangeAspect="1"/>
                    </pic:cNvPicPr>
                  </pic:nvPicPr>
                  <pic:blipFill>
                    <a:blip r:embed="rId27"/>
                    <a:stretch>
                      <a:fillRect/>
                    </a:stretch>
                  </pic:blipFill>
                  <pic:spPr>
                    <a:xfrm>
                      <a:off x="0" y="0"/>
                      <a:ext cx="4686300" cy="7143750"/>
                    </a:xfrm>
                    <a:prstGeom prst="rect">
                      <a:avLst/>
                    </a:prstGeom>
                    <a:noFill/>
                    <a:ln>
                      <a:noFill/>
                    </a:ln>
                  </pic:spPr>
                </pic:pic>
              </a:graphicData>
            </a:graphic>
          </wp:inline>
        </w:drawing>
      </w:r>
    </w:p>
    <w:p w14:paraId="036683F8">
      <w:pPr>
        <w:pStyle w:val="7"/>
      </w:pPr>
    </w:p>
    <w:p w14:paraId="7F97225B">
      <w:pPr>
        <w:pStyle w:val="8"/>
        <w:jc w:val="center"/>
        <w:rPr>
          <w:rFonts w:ascii="Times New Roman" w:hAnsi="Times New Roman"/>
          <w:color w:val="auto"/>
        </w:rPr>
        <w:sectPr>
          <w:pgSz w:w="11907" w:h="16840"/>
          <w:pgMar w:top="1701" w:right="1531" w:bottom="2127" w:left="1531" w:header="851" w:footer="851" w:gutter="0"/>
          <w:cols w:space="720" w:num="1"/>
          <w:docGrid w:linePitch="312" w:charSpace="0"/>
        </w:sectPr>
      </w:pPr>
      <w:r>
        <w:rPr>
          <w:rFonts w:ascii="Times New Roman" w:hAnsi="Times New Roman"/>
          <w:color w:val="auto"/>
        </w:rPr>
        <w:t>图4-1  分区防渗图</w:t>
      </w:r>
    </w:p>
    <w:p w14:paraId="42BA7D06">
      <w:pPr>
        <w:pStyle w:val="25"/>
        <w:numPr>
          <w:ilvl w:val="0"/>
          <w:numId w:val="3"/>
        </w:numPr>
        <w:jc w:val="center"/>
        <w:outlineLvl w:val="0"/>
        <w:rPr>
          <w:rFonts w:ascii="黑体" w:hAnsi="黑体" w:eastAsia="黑体"/>
          <w:snapToGrid w:val="0"/>
          <w:sz w:val="30"/>
          <w:szCs w:val="30"/>
        </w:rPr>
      </w:pPr>
      <w:bookmarkStart w:id="11" w:name="_Hlk54167917"/>
      <w:r>
        <w:rPr>
          <w:rFonts w:hint="eastAsia" w:ascii="黑体" w:hAnsi="黑体" w:eastAsia="黑体"/>
          <w:snapToGrid w:val="0"/>
          <w:sz w:val="30"/>
          <w:szCs w:val="30"/>
        </w:rPr>
        <w:t>环境保护措施监督检查清单</w:t>
      </w:r>
      <w:bookmarkEnd w:id="11"/>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19"/>
        <w:gridCol w:w="1483"/>
        <w:gridCol w:w="1394"/>
        <w:gridCol w:w="2058"/>
        <w:gridCol w:w="2346"/>
      </w:tblGrid>
      <w:tr w14:paraId="36A83A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19" w:type="dxa"/>
            <w:tcBorders>
              <w:tl2br w:val="single" w:color="auto" w:sz="4" w:space="0"/>
            </w:tcBorders>
          </w:tcPr>
          <w:p w14:paraId="4BB0095B">
            <w:pPr>
              <w:adjustRightInd w:val="0"/>
              <w:snapToGrid w:val="0"/>
              <w:ind w:firstLine="840"/>
              <w:rPr>
                <w:szCs w:val="21"/>
              </w:rPr>
            </w:pPr>
            <w:r>
              <w:rPr>
                <w:szCs w:val="21"/>
              </w:rPr>
              <w:t>内容</w:t>
            </w:r>
          </w:p>
          <w:p w14:paraId="724A6BAF">
            <w:pPr>
              <w:adjustRightInd w:val="0"/>
              <w:snapToGrid w:val="0"/>
              <w:rPr>
                <w:szCs w:val="21"/>
              </w:rPr>
            </w:pPr>
            <w:r>
              <w:rPr>
                <w:szCs w:val="21"/>
              </w:rPr>
              <w:t>要素</w:t>
            </w:r>
          </w:p>
        </w:tc>
        <w:tc>
          <w:tcPr>
            <w:tcW w:w="1483" w:type="dxa"/>
            <w:vAlign w:val="center"/>
          </w:tcPr>
          <w:p w14:paraId="4DB3CD3C">
            <w:pPr>
              <w:adjustRightInd w:val="0"/>
              <w:snapToGrid w:val="0"/>
              <w:jc w:val="center"/>
              <w:rPr>
                <w:szCs w:val="21"/>
              </w:rPr>
            </w:pPr>
            <w:r>
              <w:rPr>
                <w:szCs w:val="21"/>
              </w:rPr>
              <w:t>排放口</w:t>
            </w:r>
            <w:r>
              <w:rPr>
                <w:rFonts w:hint="eastAsia"/>
                <w:szCs w:val="21"/>
              </w:rPr>
              <w:t>（</w:t>
            </w:r>
            <w:r>
              <w:rPr>
                <w:szCs w:val="21"/>
              </w:rPr>
              <w:t>编号、</w:t>
            </w:r>
          </w:p>
          <w:p w14:paraId="0E527945">
            <w:pPr>
              <w:adjustRightInd w:val="0"/>
              <w:snapToGrid w:val="0"/>
              <w:jc w:val="center"/>
              <w:rPr>
                <w:szCs w:val="21"/>
              </w:rPr>
            </w:pPr>
            <w:r>
              <w:rPr>
                <w:szCs w:val="21"/>
              </w:rPr>
              <w:t>名称</w:t>
            </w:r>
            <w:r>
              <w:rPr>
                <w:rFonts w:hint="eastAsia"/>
                <w:szCs w:val="21"/>
              </w:rPr>
              <w:t>）</w:t>
            </w:r>
            <w:r>
              <w:rPr>
                <w:szCs w:val="21"/>
              </w:rPr>
              <w:t>/污染源</w:t>
            </w:r>
          </w:p>
        </w:tc>
        <w:tc>
          <w:tcPr>
            <w:tcW w:w="1394" w:type="dxa"/>
            <w:vAlign w:val="center"/>
          </w:tcPr>
          <w:p w14:paraId="14CF04F3">
            <w:pPr>
              <w:adjustRightInd w:val="0"/>
              <w:snapToGrid w:val="0"/>
              <w:jc w:val="center"/>
              <w:rPr>
                <w:szCs w:val="21"/>
              </w:rPr>
            </w:pPr>
            <w:r>
              <w:rPr>
                <w:szCs w:val="21"/>
              </w:rPr>
              <w:t>污染物项目</w:t>
            </w:r>
          </w:p>
        </w:tc>
        <w:tc>
          <w:tcPr>
            <w:tcW w:w="2058" w:type="dxa"/>
            <w:vAlign w:val="center"/>
          </w:tcPr>
          <w:p w14:paraId="56605B62">
            <w:pPr>
              <w:adjustRightInd w:val="0"/>
              <w:snapToGrid w:val="0"/>
              <w:jc w:val="center"/>
              <w:rPr>
                <w:szCs w:val="21"/>
              </w:rPr>
            </w:pPr>
            <w:r>
              <w:rPr>
                <w:szCs w:val="21"/>
              </w:rPr>
              <w:t>环境保护措施</w:t>
            </w:r>
          </w:p>
        </w:tc>
        <w:tc>
          <w:tcPr>
            <w:tcW w:w="2346" w:type="dxa"/>
            <w:vAlign w:val="center"/>
          </w:tcPr>
          <w:p w14:paraId="1E63A3DC">
            <w:pPr>
              <w:adjustRightInd w:val="0"/>
              <w:snapToGrid w:val="0"/>
              <w:jc w:val="center"/>
              <w:rPr>
                <w:szCs w:val="21"/>
              </w:rPr>
            </w:pPr>
            <w:r>
              <w:rPr>
                <w:szCs w:val="21"/>
              </w:rPr>
              <w:t>执行标准</w:t>
            </w:r>
          </w:p>
        </w:tc>
      </w:tr>
      <w:tr w14:paraId="7E5153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19" w:type="dxa"/>
            <w:vMerge w:val="restart"/>
            <w:vAlign w:val="center"/>
          </w:tcPr>
          <w:p w14:paraId="66078CCD">
            <w:pPr>
              <w:adjustRightInd w:val="0"/>
              <w:snapToGrid w:val="0"/>
              <w:jc w:val="center"/>
              <w:rPr>
                <w:szCs w:val="21"/>
              </w:rPr>
            </w:pPr>
            <w:r>
              <w:rPr>
                <w:szCs w:val="21"/>
              </w:rPr>
              <w:t>大气环境</w:t>
            </w:r>
          </w:p>
        </w:tc>
        <w:tc>
          <w:tcPr>
            <w:tcW w:w="1483" w:type="dxa"/>
            <w:vAlign w:val="center"/>
          </w:tcPr>
          <w:p w14:paraId="13479167">
            <w:pPr>
              <w:adjustRightInd w:val="0"/>
              <w:snapToGrid w:val="0"/>
              <w:jc w:val="center"/>
              <w:rPr>
                <w:szCs w:val="21"/>
              </w:rPr>
            </w:pPr>
            <w:r>
              <w:rPr>
                <w:szCs w:val="21"/>
              </w:rPr>
              <w:t>DA001排气筒</w:t>
            </w:r>
          </w:p>
        </w:tc>
        <w:tc>
          <w:tcPr>
            <w:tcW w:w="1394" w:type="dxa"/>
            <w:vAlign w:val="center"/>
          </w:tcPr>
          <w:p w14:paraId="20221A48">
            <w:pPr>
              <w:adjustRightInd w:val="0"/>
              <w:snapToGrid w:val="0"/>
              <w:jc w:val="center"/>
              <w:rPr>
                <w:szCs w:val="21"/>
              </w:rPr>
            </w:pPr>
            <w:r>
              <w:rPr>
                <w:rFonts w:hint="eastAsia"/>
                <w:snapToGrid w:val="0"/>
                <w:kern w:val="0"/>
                <w:szCs w:val="21"/>
              </w:rPr>
              <w:t>粉尘</w:t>
            </w:r>
          </w:p>
        </w:tc>
        <w:tc>
          <w:tcPr>
            <w:tcW w:w="2058" w:type="dxa"/>
            <w:vAlign w:val="center"/>
          </w:tcPr>
          <w:p w14:paraId="0E5424ED">
            <w:pPr>
              <w:adjustRightInd w:val="0"/>
              <w:snapToGrid w:val="0"/>
              <w:rPr>
                <w:szCs w:val="21"/>
              </w:rPr>
            </w:pPr>
            <w:r>
              <w:rPr>
                <w:rFonts w:hint="eastAsia"/>
                <w:szCs w:val="21"/>
              </w:rPr>
              <w:t>布袋除尘器+15m高排气筒排放</w:t>
            </w:r>
          </w:p>
        </w:tc>
        <w:tc>
          <w:tcPr>
            <w:tcW w:w="2346" w:type="dxa"/>
            <w:vAlign w:val="center"/>
          </w:tcPr>
          <w:p w14:paraId="647EC32B">
            <w:pPr>
              <w:pStyle w:val="92"/>
              <w:ind w:firstLine="0" w:firstLineChars="0"/>
              <w:jc w:val="center"/>
              <w:rPr>
                <w:rFonts w:eastAsia="宋体" w:cs="Times New Roman"/>
                <w:sz w:val="21"/>
                <w:szCs w:val="21"/>
              </w:rPr>
            </w:pPr>
            <w:r>
              <w:rPr>
                <w:rFonts w:eastAsia="宋体" w:cs="Times New Roman"/>
                <w:sz w:val="21"/>
                <w:szCs w:val="21"/>
              </w:rPr>
              <w:t>《大气污染物综合排放标准》（</w:t>
            </w:r>
            <w:r>
              <w:rPr>
                <w:rFonts w:hint="eastAsia" w:eastAsia="宋体" w:cs="Times New Roman"/>
                <w:sz w:val="21"/>
                <w:szCs w:val="21"/>
              </w:rPr>
              <w:t xml:space="preserve">GB </w:t>
            </w:r>
            <w:r>
              <w:rPr>
                <w:rFonts w:eastAsia="宋体" w:cs="Times New Roman"/>
                <w:sz w:val="21"/>
                <w:szCs w:val="21"/>
              </w:rPr>
              <w:t>16297-1996）中二级标准</w:t>
            </w:r>
          </w:p>
        </w:tc>
      </w:tr>
      <w:tr w14:paraId="7EBB78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19" w:type="dxa"/>
            <w:vMerge w:val="continue"/>
            <w:vAlign w:val="center"/>
          </w:tcPr>
          <w:p w14:paraId="05EA15B0">
            <w:pPr>
              <w:adjustRightInd w:val="0"/>
              <w:snapToGrid w:val="0"/>
              <w:jc w:val="center"/>
              <w:rPr>
                <w:szCs w:val="21"/>
              </w:rPr>
            </w:pPr>
          </w:p>
        </w:tc>
        <w:tc>
          <w:tcPr>
            <w:tcW w:w="1483" w:type="dxa"/>
            <w:vMerge w:val="restart"/>
            <w:vAlign w:val="center"/>
          </w:tcPr>
          <w:p w14:paraId="76021AC3">
            <w:pPr>
              <w:adjustRightInd w:val="0"/>
              <w:snapToGrid w:val="0"/>
              <w:jc w:val="center"/>
              <w:rPr>
                <w:color w:val="auto"/>
                <w:szCs w:val="21"/>
              </w:rPr>
            </w:pPr>
            <w:r>
              <w:rPr>
                <w:color w:val="auto"/>
                <w:szCs w:val="21"/>
              </w:rPr>
              <w:t>DA00</w:t>
            </w:r>
            <w:r>
              <w:rPr>
                <w:rFonts w:hint="eastAsia"/>
                <w:color w:val="auto"/>
                <w:szCs w:val="21"/>
              </w:rPr>
              <w:t>2</w:t>
            </w:r>
            <w:r>
              <w:rPr>
                <w:color w:val="auto"/>
                <w:szCs w:val="21"/>
              </w:rPr>
              <w:t>排气筒</w:t>
            </w:r>
          </w:p>
        </w:tc>
        <w:tc>
          <w:tcPr>
            <w:tcW w:w="1394" w:type="dxa"/>
            <w:vAlign w:val="center"/>
          </w:tcPr>
          <w:p w14:paraId="5E829633">
            <w:pPr>
              <w:adjustRightInd w:val="0"/>
              <w:snapToGrid w:val="0"/>
              <w:jc w:val="center"/>
              <w:rPr>
                <w:snapToGrid w:val="0"/>
                <w:color w:val="auto"/>
                <w:kern w:val="0"/>
                <w:szCs w:val="21"/>
              </w:rPr>
            </w:pPr>
            <w:r>
              <w:rPr>
                <w:rFonts w:hint="eastAsia"/>
                <w:snapToGrid w:val="0"/>
                <w:color w:val="auto"/>
                <w:kern w:val="0"/>
                <w:szCs w:val="21"/>
              </w:rPr>
              <w:t>颗粒物</w:t>
            </w:r>
          </w:p>
        </w:tc>
        <w:tc>
          <w:tcPr>
            <w:tcW w:w="2058" w:type="dxa"/>
            <w:vMerge w:val="restart"/>
            <w:vAlign w:val="center"/>
          </w:tcPr>
          <w:p w14:paraId="5AC96248">
            <w:pPr>
              <w:adjustRightInd w:val="0"/>
              <w:snapToGrid w:val="0"/>
              <w:rPr>
                <w:color w:val="auto"/>
                <w:szCs w:val="21"/>
              </w:rPr>
            </w:pPr>
            <w:r>
              <w:rPr>
                <w:rFonts w:hint="eastAsia"/>
                <w:color w:val="auto"/>
                <w:szCs w:val="21"/>
              </w:rPr>
              <w:t>袋式除尘处理后由15m高排气筒排放</w:t>
            </w:r>
          </w:p>
        </w:tc>
        <w:tc>
          <w:tcPr>
            <w:tcW w:w="2346" w:type="dxa"/>
            <w:vMerge w:val="restart"/>
            <w:vAlign w:val="center"/>
          </w:tcPr>
          <w:p w14:paraId="5B70B41A">
            <w:pPr>
              <w:pStyle w:val="92"/>
              <w:ind w:firstLine="0" w:firstLineChars="0"/>
              <w:jc w:val="center"/>
              <w:rPr>
                <w:rFonts w:eastAsia="宋体" w:cs="Times New Roman"/>
                <w:sz w:val="21"/>
                <w:szCs w:val="21"/>
              </w:rPr>
            </w:pPr>
            <w:r>
              <w:rPr>
                <w:rFonts w:hint="eastAsia"/>
                <w:sz w:val="21"/>
                <w:szCs w:val="21"/>
              </w:rPr>
              <w:t>《兵团工业炉窑大气污染综合治理实施方案》中重点区域排放标准</w:t>
            </w:r>
          </w:p>
        </w:tc>
      </w:tr>
      <w:tr w14:paraId="3F7801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19" w:type="dxa"/>
            <w:vMerge w:val="continue"/>
            <w:vAlign w:val="center"/>
          </w:tcPr>
          <w:p w14:paraId="47EB4B10">
            <w:pPr>
              <w:adjustRightInd w:val="0"/>
              <w:snapToGrid w:val="0"/>
              <w:jc w:val="center"/>
              <w:rPr>
                <w:szCs w:val="21"/>
              </w:rPr>
            </w:pPr>
          </w:p>
        </w:tc>
        <w:tc>
          <w:tcPr>
            <w:tcW w:w="1483" w:type="dxa"/>
            <w:vMerge w:val="continue"/>
            <w:vAlign w:val="center"/>
          </w:tcPr>
          <w:p w14:paraId="4D36C3C8">
            <w:pPr>
              <w:adjustRightInd w:val="0"/>
              <w:snapToGrid w:val="0"/>
              <w:jc w:val="center"/>
              <w:rPr>
                <w:color w:val="auto"/>
                <w:szCs w:val="21"/>
              </w:rPr>
            </w:pPr>
          </w:p>
        </w:tc>
        <w:tc>
          <w:tcPr>
            <w:tcW w:w="1394" w:type="dxa"/>
            <w:vAlign w:val="center"/>
          </w:tcPr>
          <w:p w14:paraId="7C314D0D">
            <w:pPr>
              <w:adjustRightInd w:val="0"/>
              <w:snapToGrid w:val="0"/>
              <w:jc w:val="center"/>
              <w:rPr>
                <w:snapToGrid w:val="0"/>
                <w:color w:val="auto"/>
                <w:kern w:val="0"/>
                <w:szCs w:val="21"/>
              </w:rPr>
            </w:pPr>
            <w:r>
              <w:rPr>
                <w:rFonts w:hint="eastAsia"/>
                <w:snapToGrid w:val="0"/>
                <w:color w:val="auto"/>
                <w:kern w:val="0"/>
                <w:szCs w:val="21"/>
              </w:rPr>
              <w:t>二氧化硫</w:t>
            </w:r>
          </w:p>
        </w:tc>
        <w:tc>
          <w:tcPr>
            <w:tcW w:w="2058" w:type="dxa"/>
            <w:vMerge w:val="continue"/>
            <w:vAlign w:val="center"/>
          </w:tcPr>
          <w:p w14:paraId="7AA2AC2A">
            <w:pPr>
              <w:adjustRightInd w:val="0"/>
              <w:snapToGrid w:val="0"/>
              <w:rPr>
                <w:color w:val="auto"/>
                <w:szCs w:val="21"/>
              </w:rPr>
            </w:pPr>
          </w:p>
        </w:tc>
        <w:tc>
          <w:tcPr>
            <w:tcW w:w="2346" w:type="dxa"/>
            <w:vMerge w:val="continue"/>
            <w:vAlign w:val="center"/>
          </w:tcPr>
          <w:p w14:paraId="365A751A">
            <w:pPr>
              <w:pStyle w:val="92"/>
              <w:ind w:firstLine="0" w:firstLineChars="0"/>
              <w:jc w:val="center"/>
              <w:rPr>
                <w:rFonts w:eastAsia="宋体" w:cs="Times New Roman"/>
                <w:sz w:val="21"/>
                <w:szCs w:val="21"/>
              </w:rPr>
            </w:pPr>
          </w:p>
        </w:tc>
      </w:tr>
      <w:tr w14:paraId="149FAE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519" w:type="dxa"/>
            <w:vMerge w:val="continue"/>
            <w:vAlign w:val="center"/>
          </w:tcPr>
          <w:p w14:paraId="782CF526">
            <w:pPr>
              <w:adjustRightInd w:val="0"/>
              <w:snapToGrid w:val="0"/>
              <w:jc w:val="center"/>
              <w:rPr>
                <w:szCs w:val="21"/>
              </w:rPr>
            </w:pPr>
          </w:p>
        </w:tc>
        <w:tc>
          <w:tcPr>
            <w:tcW w:w="1483" w:type="dxa"/>
            <w:vMerge w:val="continue"/>
            <w:vAlign w:val="center"/>
          </w:tcPr>
          <w:p w14:paraId="0DCA5B25">
            <w:pPr>
              <w:adjustRightInd w:val="0"/>
              <w:snapToGrid w:val="0"/>
              <w:jc w:val="center"/>
              <w:rPr>
                <w:color w:val="auto"/>
                <w:szCs w:val="21"/>
              </w:rPr>
            </w:pPr>
          </w:p>
        </w:tc>
        <w:tc>
          <w:tcPr>
            <w:tcW w:w="1394" w:type="dxa"/>
            <w:vAlign w:val="center"/>
          </w:tcPr>
          <w:p w14:paraId="64B4336E">
            <w:pPr>
              <w:adjustRightInd w:val="0"/>
              <w:snapToGrid w:val="0"/>
              <w:jc w:val="center"/>
              <w:rPr>
                <w:snapToGrid w:val="0"/>
                <w:color w:val="auto"/>
                <w:kern w:val="0"/>
                <w:szCs w:val="21"/>
              </w:rPr>
            </w:pPr>
            <w:r>
              <w:rPr>
                <w:rFonts w:hint="eastAsia"/>
                <w:snapToGrid w:val="0"/>
                <w:color w:val="auto"/>
                <w:kern w:val="0"/>
                <w:szCs w:val="21"/>
              </w:rPr>
              <w:t>氮氧化物</w:t>
            </w:r>
          </w:p>
        </w:tc>
        <w:tc>
          <w:tcPr>
            <w:tcW w:w="2058" w:type="dxa"/>
            <w:vMerge w:val="continue"/>
            <w:vAlign w:val="center"/>
          </w:tcPr>
          <w:p w14:paraId="4449D651">
            <w:pPr>
              <w:adjustRightInd w:val="0"/>
              <w:snapToGrid w:val="0"/>
              <w:rPr>
                <w:color w:val="auto"/>
                <w:szCs w:val="21"/>
              </w:rPr>
            </w:pPr>
          </w:p>
        </w:tc>
        <w:tc>
          <w:tcPr>
            <w:tcW w:w="2346" w:type="dxa"/>
            <w:vMerge w:val="continue"/>
            <w:vAlign w:val="center"/>
          </w:tcPr>
          <w:p w14:paraId="36BCE2A3">
            <w:pPr>
              <w:pStyle w:val="92"/>
              <w:ind w:firstLine="0" w:firstLineChars="0"/>
              <w:jc w:val="center"/>
              <w:rPr>
                <w:rFonts w:eastAsia="宋体" w:cs="Times New Roman"/>
                <w:sz w:val="21"/>
                <w:szCs w:val="21"/>
              </w:rPr>
            </w:pPr>
          </w:p>
        </w:tc>
      </w:tr>
      <w:tr w14:paraId="46CCE2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519" w:type="dxa"/>
            <w:vMerge w:val="continue"/>
            <w:vAlign w:val="center"/>
          </w:tcPr>
          <w:p w14:paraId="16E9CF47">
            <w:pPr>
              <w:adjustRightInd w:val="0"/>
              <w:snapToGrid w:val="0"/>
              <w:jc w:val="center"/>
              <w:rPr>
                <w:szCs w:val="21"/>
              </w:rPr>
            </w:pPr>
          </w:p>
        </w:tc>
        <w:tc>
          <w:tcPr>
            <w:tcW w:w="1483" w:type="dxa"/>
            <w:vMerge w:val="continue"/>
            <w:vAlign w:val="center"/>
          </w:tcPr>
          <w:p w14:paraId="6A46EB82">
            <w:pPr>
              <w:adjustRightInd w:val="0"/>
              <w:snapToGrid w:val="0"/>
              <w:jc w:val="center"/>
              <w:rPr>
                <w:color w:val="auto"/>
                <w:szCs w:val="21"/>
              </w:rPr>
            </w:pPr>
          </w:p>
        </w:tc>
        <w:tc>
          <w:tcPr>
            <w:tcW w:w="1394" w:type="dxa"/>
            <w:vAlign w:val="center"/>
          </w:tcPr>
          <w:p w14:paraId="28E5CAE0">
            <w:pPr>
              <w:adjustRightInd w:val="0"/>
              <w:snapToGrid w:val="0"/>
              <w:jc w:val="center"/>
              <w:rPr>
                <w:snapToGrid w:val="0"/>
                <w:color w:val="auto"/>
                <w:kern w:val="0"/>
                <w:szCs w:val="21"/>
              </w:rPr>
            </w:pPr>
            <w:r>
              <w:rPr>
                <w:rFonts w:hint="eastAsia"/>
                <w:snapToGrid w:val="0"/>
                <w:color w:val="auto"/>
                <w:kern w:val="0"/>
                <w:szCs w:val="21"/>
              </w:rPr>
              <w:t>沥青烟</w:t>
            </w:r>
          </w:p>
        </w:tc>
        <w:tc>
          <w:tcPr>
            <w:tcW w:w="2058" w:type="dxa"/>
            <w:vMerge w:val="restart"/>
            <w:vAlign w:val="center"/>
          </w:tcPr>
          <w:p w14:paraId="08F7DEB3">
            <w:pPr>
              <w:adjustRightInd w:val="0"/>
              <w:snapToGrid w:val="0"/>
              <w:rPr>
                <w:color w:val="auto"/>
                <w:szCs w:val="21"/>
              </w:rPr>
            </w:pPr>
            <w:r>
              <w:rPr>
                <w:rFonts w:hint="eastAsia" w:eastAsia="Times New Roman"/>
                <w:color w:val="auto"/>
                <w:kern w:val="0"/>
              </w:rPr>
              <w:t>焚烧法</w:t>
            </w:r>
            <w:r>
              <w:rPr>
                <w:rFonts w:hint="eastAsia"/>
                <w:color w:val="auto"/>
                <w:szCs w:val="21"/>
              </w:rPr>
              <w:t>+布袋除尘器+</w:t>
            </w:r>
            <w:r>
              <w:rPr>
                <w:rFonts w:hint="eastAsia"/>
                <w:color w:val="auto"/>
                <w:szCs w:val="21"/>
                <w:lang w:val="en-US" w:eastAsia="zh-CN"/>
              </w:rPr>
              <w:t>二级</w:t>
            </w:r>
            <w:r>
              <w:rPr>
                <w:color w:val="auto"/>
                <w:szCs w:val="21"/>
              </w:rPr>
              <w:t>活性炭吸附装置</w:t>
            </w:r>
            <w:r>
              <w:rPr>
                <w:rFonts w:hint="eastAsia"/>
                <w:color w:val="auto"/>
                <w:szCs w:val="21"/>
              </w:rPr>
              <w:t>+15m高排气筒排放</w:t>
            </w:r>
          </w:p>
        </w:tc>
        <w:tc>
          <w:tcPr>
            <w:tcW w:w="2346" w:type="dxa"/>
            <w:vMerge w:val="restart"/>
            <w:vAlign w:val="center"/>
          </w:tcPr>
          <w:p w14:paraId="5F0902C2">
            <w:pPr>
              <w:pStyle w:val="92"/>
              <w:ind w:firstLine="0" w:firstLineChars="0"/>
              <w:rPr>
                <w:rFonts w:eastAsia="宋体" w:cs="Times New Roman"/>
                <w:sz w:val="21"/>
                <w:szCs w:val="21"/>
              </w:rPr>
            </w:pPr>
            <w:r>
              <w:rPr>
                <w:rFonts w:eastAsia="宋体" w:cs="Times New Roman"/>
                <w:sz w:val="21"/>
                <w:szCs w:val="21"/>
              </w:rPr>
              <w:t>《大气污染物综合排放标准》（</w:t>
            </w:r>
            <w:r>
              <w:rPr>
                <w:rFonts w:hint="eastAsia" w:eastAsia="宋体" w:cs="Times New Roman"/>
                <w:sz w:val="21"/>
                <w:szCs w:val="21"/>
              </w:rPr>
              <w:t xml:space="preserve">GB </w:t>
            </w:r>
            <w:r>
              <w:rPr>
                <w:rFonts w:eastAsia="宋体" w:cs="Times New Roman"/>
                <w:sz w:val="21"/>
                <w:szCs w:val="21"/>
              </w:rPr>
              <w:t>16297-1996）表2中二级标准</w:t>
            </w:r>
          </w:p>
        </w:tc>
      </w:tr>
      <w:tr w14:paraId="320E2A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519" w:type="dxa"/>
            <w:vMerge w:val="continue"/>
            <w:vAlign w:val="center"/>
          </w:tcPr>
          <w:p w14:paraId="344921E8">
            <w:pPr>
              <w:adjustRightInd w:val="0"/>
              <w:snapToGrid w:val="0"/>
              <w:jc w:val="center"/>
              <w:rPr>
                <w:szCs w:val="21"/>
              </w:rPr>
            </w:pPr>
          </w:p>
        </w:tc>
        <w:tc>
          <w:tcPr>
            <w:tcW w:w="1483" w:type="dxa"/>
            <w:vMerge w:val="continue"/>
            <w:vAlign w:val="center"/>
          </w:tcPr>
          <w:p w14:paraId="21285E06">
            <w:pPr>
              <w:adjustRightInd w:val="0"/>
              <w:snapToGrid w:val="0"/>
              <w:jc w:val="center"/>
              <w:rPr>
                <w:szCs w:val="21"/>
              </w:rPr>
            </w:pPr>
          </w:p>
        </w:tc>
        <w:tc>
          <w:tcPr>
            <w:tcW w:w="1394" w:type="dxa"/>
            <w:vAlign w:val="center"/>
          </w:tcPr>
          <w:p w14:paraId="0913C7BC">
            <w:pPr>
              <w:adjustRightInd w:val="0"/>
              <w:snapToGrid w:val="0"/>
              <w:jc w:val="center"/>
              <w:rPr>
                <w:snapToGrid w:val="0"/>
                <w:kern w:val="0"/>
                <w:szCs w:val="21"/>
              </w:rPr>
            </w:pPr>
            <w:r>
              <w:rPr>
                <w:rFonts w:hint="eastAsia"/>
                <w:snapToGrid w:val="0"/>
                <w:kern w:val="0"/>
                <w:szCs w:val="21"/>
              </w:rPr>
              <w:t>苯并芘</w:t>
            </w:r>
          </w:p>
        </w:tc>
        <w:tc>
          <w:tcPr>
            <w:tcW w:w="2058" w:type="dxa"/>
            <w:vMerge w:val="continue"/>
            <w:vAlign w:val="center"/>
          </w:tcPr>
          <w:p w14:paraId="50E57B49">
            <w:pPr>
              <w:adjustRightInd w:val="0"/>
              <w:snapToGrid w:val="0"/>
              <w:rPr>
                <w:rFonts w:eastAsia="Times New Roman"/>
                <w:kern w:val="0"/>
              </w:rPr>
            </w:pPr>
          </w:p>
        </w:tc>
        <w:tc>
          <w:tcPr>
            <w:tcW w:w="2346" w:type="dxa"/>
            <w:vMerge w:val="continue"/>
            <w:vAlign w:val="center"/>
          </w:tcPr>
          <w:p w14:paraId="754E42BA">
            <w:pPr>
              <w:pStyle w:val="92"/>
              <w:ind w:firstLine="0" w:firstLineChars="0"/>
              <w:jc w:val="center"/>
              <w:rPr>
                <w:rFonts w:eastAsia="宋体" w:cs="Times New Roman"/>
                <w:sz w:val="21"/>
                <w:szCs w:val="21"/>
              </w:rPr>
            </w:pPr>
          </w:p>
        </w:tc>
      </w:tr>
      <w:tr w14:paraId="14A525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19" w:type="dxa"/>
            <w:vMerge w:val="continue"/>
            <w:vAlign w:val="center"/>
          </w:tcPr>
          <w:p w14:paraId="674A3502">
            <w:pPr>
              <w:adjustRightInd w:val="0"/>
              <w:snapToGrid w:val="0"/>
              <w:jc w:val="center"/>
              <w:rPr>
                <w:szCs w:val="21"/>
              </w:rPr>
            </w:pPr>
          </w:p>
        </w:tc>
        <w:tc>
          <w:tcPr>
            <w:tcW w:w="1483" w:type="dxa"/>
            <w:vMerge w:val="continue"/>
            <w:vAlign w:val="center"/>
          </w:tcPr>
          <w:p w14:paraId="21233B15">
            <w:pPr>
              <w:adjustRightInd w:val="0"/>
              <w:snapToGrid w:val="0"/>
              <w:jc w:val="center"/>
              <w:rPr>
                <w:szCs w:val="21"/>
              </w:rPr>
            </w:pPr>
          </w:p>
        </w:tc>
        <w:tc>
          <w:tcPr>
            <w:tcW w:w="1394" w:type="dxa"/>
            <w:vAlign w:val="center"/>
          </w:tcPr>
          <w:p w14:paraId="38B5542E">
            <w:pPr>
              <w:adjustRightInd w:val="0"/>
              <w:snapToGrid w:val="0"/>
              <w:jc w:val="center"/>
              <w:rPr>
                <w:snapToGrid w:val="0"/>
                <w:kern w:val="0"/>
                <w:szCs w:val="21"/>
              </w:rPr>
            </w:pPr>
            <w:r>
              <w:rPr>
                <w:rFonts w:hint="eastAsia"/>
              </w:rPr>
              <w:t>非甲烷总烃</w:t>
            </w:r>
          </w:p>
        </w:tc>
        <w:tc>
          <w:tcPr>
            <w:tcW w:w="2058" w:type="dxa"/>
            <w:vMerge w:val="continue"/>
            <w:vAlign w:val="center"/>
          </w:tcPr>
          <w:p w14:paraId="378834E5">
            <w:pPr>
              <w:adjustRightInd w:val="0"/>
              <w:snapToGrid w:val="0"/>
              <w:rPr>
                <w:rFonts w:eastAsia="Times New Roman"/>
                <w:kern w:val="0"/>
              </w:rPr>
            </w:pPr>
          </w:p>
        </w:tc>
        <w:tc>
          <w:tcPr>
            <w:tcW w:w="2346" w:type="dxa"/>
            <w:vMerge w:val="continue"/>
            <w:vAlign w:val="center"/>
          </w:tcPr>
          <w:p w14:paraId="1BA03F01">
            <w:pPr>
              <w:pStyle w:val="92"/>
              <w:ind w:firstLine="0" w:firstLineChars="0"/>
              <w:jc w:val="center"/>
              <w:rPr>
                <w:rFonts w:eastAsia="宋体" w:cs="Times New Roman"/>
                <w:sz w:val="21"/>
                <w:szCs w:val="21"/>
              </w:rPr>
            </w:pPr>
          </w:p>
        </w:tc>
      </w:tr>
      <w:tr w14:paraId="560B1A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19" w:type="dxa"/>
            <w:vMerge w:val="continue"/>
            <w:vAlign w:val="center"/>
          </w:tcPr>
          <w:p w14:paraId="0654EACB">
            <w:pPr>
              <w:adjustRightInd w:val="0"/>
              <w:snapToGrid w:val="0"/>
              <w:jc w:val="center"/>
              <w:rPr>
                <w:szCs w:val="21"/>
              </w:rPr>
            </w:pPr>
          </w:p>
        </w:tc>
        <w:tc>
          <w:tcPr>
            <w:tcW w:w="1483" w:type="dxa"/>
            <w:vAlign w:val="center"/>
          </w:tcPr>
          <w:p w14:paraId="77FB4A43">
            <w:pPr>
              <w:adjustRightInd w:val="0"/>
              <w:snapToGrid w:val="0"/>
              <w:jc w:val="center"/>
              <w:rPr>
                <w:szCs w:val="21"/>
              </w:rPr>
            </w:pPr>
            <w:r>
              <w:rPr>
                <w:szCs w:val="21"/>
              </w:rPr>
              <w:t>DA00</w:t>
            </w:r>
            <w:r>
              <w:rPr>
                <w:rFonts w:hint="eastAsia"/>
                <w:szCs w:val="21"/>
              </w:rPr>
              <w:t>3</w:t>
            </w:r>
            <w:r>
              <w:rPr>
                <w:szCs w:val="21"/>
              </w:rPr>
              <w:t>排气筒</w:t>
            </w:r>
          </w:p>
        </w:tc>
        <w:tc>
          <w:tcPr>
            <w:tcW w:w="1394" w:type="dxa"/>
            <w:vAlign w:val="center"/>
          </w:tcPr>
          <w:p w14:paraId="21569A8D">
            <w:pPr>
              <w:adjustRightInd w:val="0"/>
              <w:snapToGrid w:val="0"/>
              <w:jc w:val="center"/>
              <w:rPr>
                <w:szCs w:val="21"/>
              </w:rPr>
            </w:pPr>
            <w:r>
              <w:rPr>
                <w:rFonts w:hint="eastAsia"/>
                <w:snapToGrid w:val="0"/>
                <w:kern w:val="0"/>
                <w:szCs w:val="21"/>
              </w:rPr>
              <w:t>粉尘</w:t>
            </w:r>
          </w:p>
        </w:tc>
        <w:tc>
          <w:tcPr>
            <w:tcW w:w="2058" w:type="dxa"/>
            <w:vAlign w:val="center"/>
          </w:tcPr>
          <w:p w14:paraId="0BA6B7E7">
            <w:pPr>
              <w:adjustRightInd w:val="0"/>
              <w:snapToGrid w:val="0"/>
              <w:rPr>
                <w:szCs w:val="21"/>
              </w:rPr>
            </w:pPr>
            <w:r>
              <w:rPr>
                <w:rFonts w:hint="eastAsia"/>
                <w:szCs w:val="21"/>
              </w:rPr>
              <w:t>布袋除尘器</w:t>
            </w:r>
            <w:r>
              <w:rPr>
                <w:rFonts w:hint="eastAsia"/>
                <w:color w:val="000000"/>
                <w:szCs w:val="21"/>
              </w:rPr>
              <w:t>+</w:t>
            </w:r>
            <w:r>
              <w:rPr>
                <w:rFonts w:hint="eastAsia"/>
                <w:szCs w:val="21"/>
              </w:rPr>
              <w:t>15m高排气筒排放</w:t>
            </w:r>
          </w:p>
        </w:tc>
        <w:tc>
          <w:tcPr>
            <w:tcW w:w="2346" w:type="dxa"/>
            <w:vAlign w:val="center"/>
          </w:tcPr>
          <w:p w14:paraId="408199C6">
            <w:pPr>
              <w:pStyle w:val="92"/>
              <w:ind w:firstLine="0" w:firstLineChars="0"/>
              <w:jc w:val="center"/>
              <w:rPr>
                <w:rFonts w:eastAsia="宋体" w:cs="Times New Roman"/>
                <w:sz w:val="21"/>
                <w:szCs w:val="21"/>
              </w:rPr>
            </w:pPr>
            <w:r>
              <w:rPr>
                <w:rFonts w:eastAsia="宋体" w:cs="Times New Roman"/>
                <w:kern w:val="2"/>
                <w:sz w:val="21"/>
                <w:szCs w:val="21"/>
              </w:rPr>
              <w:t>《水泥工业大气污染物排放标准》（GB 4915-2013）表</w:t>
            </w:r>
            <w:r>
              <w:rPr>
                <w:rFonts w:hint="eastAsia" w:eastAsia="宋体" w:cs="Times New Roman"/>
                <w:kern w:val="2"/>
                <w:sz w:val="21"/>
                <w:szCs w:val="21"/>
              </w:rPr>
              <w:t>2</w:t>
            </w:r>
            <w:r>
              <w:rPr>
                <w:rFonts w:eastAsia="宋体" w:cs="Times New Roman"/>
                <w:kern w:val="2"/>
                <w:sz w:val="21"/>
                <w:szCs w:val="21"/>
              </w:rPr>
              <w:t>中放标准限值</w:t>
            </w:r>
          </w:p>
        </w:tc>
      </w:tr>
      <w:tr w14:paraId="7882D0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19" w:type="dxa"/>
            <w:vMerge w:val="continue"/>
            <w:vAlign w:val="center"/>
          </w:tcPr>
          <w:p w14:paraId="57D9C25F">
            <w:pPr>
              <w:adjustRightInd w:val="0"/>
              <w:snapToGrid w:val="0"/>
              <w:jc w:val="center"/>
              <w:rPr>
                <w:szCs w:val="21"/>
              </w:rPr>
            </w:pPr>
          </w:p>
        </w:tc>
        <w:tc>
          <w:tcPr>
            <w:tcW w:w="1483" w:type="dxa"/>
            <w:vAlign w:val="center"/>
          </w:tcPr>
          <w:p w14:paraId="035D1E30">
            <w:pPr>
              <w:adjustRightInd w:val="0"/>
              <w:snapToGrid w:val="0"/>
              <w:jc w:val="center"/>
              <w:rPr>
                <w:szCs w:val="21"/>
              </w:rPr>
            </w:pPr>
            <w:r>
              <w:rPr>
                <w:rFonts w:hint="eastAsia"/>
                <w:szCs w:val="21"/>
              </w:rPr>
              <w:t>食堂油烟</w:t>
            </w:r>
          </w:p>
        </w:tc>
        <w:tc>
          <w:tcPr>
            <w:tcW w:w="1394" w:type="dxa"/>
            <w:vAlign w:val="center"/>
          </w:tcPr>
          <w:p w14:paraId="15A4FA76">
            <w:pPr>
              <w:adjustRightInd w:val="0"/>
              <w:snapToGrid w:val="0"/>
              <w:jc w:val="center"/>
              <w:rPr>
                <w:szCs w:val="21"/>
              </w:rPr>
            </w:pPr>
            <w:r>
              <w:rPr>
                <w:rFonts w:hint="eastAsia"/>
                <w:szCs w:val="21"/>
              </w:rPr>
              <w:t>油烟</w:t>
            </w:r>
          </w:p>
        </w:tc>
        <w:tc>
          <w:tcPr>
            <w:tcW w:w="2058" w:type="dxa"/>
            <w:vAlign w:val="center"/>
          </w:tcPr>
          <w:p w14:paraId="05738504">
            <w:pPr>
              <w:adjustRightInd w:val="0"/>
              <w:snapToGrid w:val="0"/>
              <w:jc w:val="center"/>
              <w:rPr>
                <w:szCs w:val="21"/>
              </w:rPr>
            </w:pPr>
            <w:r>
              <w:rPr>
                <w:rFonts w:hint="eastAsia"/>
                <w:szCs w:val="21"/>
              </w:rPr>
              <w:t>油烟净化系统</w:t>
            </w:r>
          </w:p>
        </w:tc>
        <w:tc>
          <w:tcPr>
            <w:tcW w:w="2346" w:type="dxa"/>
            <w:vAlign w:val="center"/>
          </w:tcPr>
          <w:p w14:paraId="1B37EACA">
            <w:pPr>
              <w:pStyle w:val="92"/>
              <w:ind w:firstLine="0" w:firstLineChars="0"/>
              <w:jc w:val="center"/>
              <w:rPr>
                <w:rFonts w:eastAsia="宋体" w:cs="Times New Roman"/>
                <w:sz w:val="21"/>
                <w:szCs w:val="21"/>
              </w:rPr>
            </w:pPr>
            <w:r>
              <w:rPr>
                <w:rFonts w:eastAsia="宋体" w:cs="Times New Roman"/>
                <w:sz w:val="21"/>
                <w:szCs w:val="21"/>
              </w:rPr>
              <w:t>《饮食业油烟排放标准（试行）》（</w:t>
            </w:r>
            <w:r>
              <w:rPr>
                <w:rFonts w:hint="eastAsia" w:eastAsia="宋体" w:cs="Times New Roman"/>
                <w:sz w:val="21"/>
                <w:szCs w:val="21"/>
              </w:rPr>
              <w:t xml:space="preserve">GB </w:t>
            </w:r>
            <w:r>
              <w:rPr>
                <w:rFonts w:eastAsia="宋体" w:cs="Times New Roman"/>
                <w:sz w:val="21"/>
                <w:szCs w:val="21"/>
              </w:rPr>
              <w:t>18483-2001）</w:t>
            </w:r>
          </w:p>
        </w:tc>
      </w:tr>
      <w:tr w14:paraId="73EACF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519" w:type="dxa"/>
            <w:vMerge w:val="continue"/>
            <w:vAlign w:val="center"/>
          </w:tcPr>
          <w:p w14:paraId="32E44A76">
            <w:pPr>
              <w:adjustRightInd w:val="0"/>
              <w:snapToGrid w:val="0"/>
              <w:jc w:val="center"/>
              <w:rPr>
                <w:szCs w:val="21"/>
              </w:rPr>
            </w:pPr>
          </w:p>
        </w:tc>
        <w:tc>
          <w:tcPr>
            <w:tcW w:w="1483" w:type="dxa"/>
            <w:vMerge w:val="restart"/>
            <w:vAlign w:val="center"/>
          </w:tcPr>
          <w:p w14:paraId="3972B860">
            <w:pPr>
              <w:adjustRightInd w:val="0"/>
              <w:snapToGrid w:val="0"/>
              <w:jc w:val="center"/>
              <w:rPr>
                <w:szCs w:val="21"/>
              </w:rPr>
            </w:pPr>
            <w:r>
              <w:rPr>
                <w:rFonts w:hint="eastAsia"/>
                <w:szCs w:val="21"/>
              </w:rPr>
              <w:t>无组织</w:t>
            </w:r>
          </w:p>
        </w:tc>
        <w:tc>
          <w:tcPr>
            <w:tcW w:w="1394" w:type="dxa"/>
            <w:vAlign w:val="center"/>
          </w:tcPr>
          <w:p w14:paraId="0C97B15A">
            <w:pPr>
              <w:adjustRightInd w:val="0"/>
              <w:snapToGrid w:val="0"/>
              <w:jc w:val="center"/>
              <w:rPr>
                <w:szCs w:val="21"/>
              </w:rPr>
            </w:pPr>
            <w:r>
              <w:rPr>
                <w:rFonts w:hint="eastAsia"/>
                <w:szCs w:val="21"/>
              </w:rPr>
              <w:t>颗粒物</w:t>
            </w:r>
          </w:p>
        </w:tc>
        <w:tc>
          <w:tcPr>
            <w:tcW w:w="2058" w:type="dxa"/>
            <w:vAlign w:val="center"/>
          </w:tcPr>
          <w:p w14:paraId="5BF85C14">
            <w:pPr>
              <w:adjustRightInd w:val="0"/>
              <w:snapToGrid w:val="0"/>
              <w:jc w:val="center"/>
              <w:rPr>
                <w:szCs w:val="21"/>
              </w:rPr>
            </w:pPr>
            <w:r>
              <w:rPr>
                <w:rFonts w:hint="eastAsia"/>
                <w:szCs w:val="21"/>
              </w:rPr>
              <w:t>洒水抑尘</w:t>
            </w:r>
          </w:p>
        </w:tc>
        <w:tc>
          <w:tcPr>
            <w:tcW w:w="2346" w:type="dxa"/>
            <w:vAlign w:val="center"/>
          </w:tcPr>
          <w:p w14:paraId="504BDB2B">
            <w:pPr>
              <w:pStyle w:val="92"/>
              <w:ind w:firstLine="0" w:firstLineChars="0"/>
              <w:jc w:val="center"/>
              <w:rPr>
                <w:rFonts w:eastAsia="宋体" w:cs="Times New Roman"/>
                <w:sz w:val="21"/>
                <w:szCs w:val="21"/>
              </w:rPr>
            </w:pPr>
            <w:r>
              <w:rPr>
                <w:rFonts w:eastAsia="宋体" w:cs="Times New Roman"/>
                <w:kern w:val="2"/>
                <w:sz w:val="21"/>
                <w:szCs w:val="21"/>
              </w:rPr>
              <w:t>《水泥工业大气污染物排放标准》（GB 4915-2013）表3中无组织排放标准限值0.5mg/m</w:t>
            </w:r>
            <w:r>
              <w:rPr>
                <w:rFonts w:eastAsia="宋体" w:cs="Times New Roman"/>
                <w:kern w:val="2"/>
                <w:sz w:val="21"/>
                <w:szCs w:val="21"/>
                <w:vertAlign w:val="superscript"/>
              </w:rPr>
              <w:t>3</w:t>
            </w:r>
          </w:p>
        </w:tc>
      </w:tr>
      <w:tr w14:paraId="0261A1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19" w:type="dxa"/>
            <w:vMerge w:val="continue"/>
            <w:vAlign w:val="center"/>
          </w:tcPr>
          <w:p w14:paraId="543533B0">
            <w:pPr>
              <w:adjustRightInd w:val="0"/>
              <w:snapToGrid w:val="0"/>
              <w:jc w:val="center"/>
              <w:rPr>
                <w:szCs w:val="21"/>
              </w:rPr>
            </w:pPr>
          </w:p>
        </w:tc>
        <w:tc>
          <w:tcPr>
            <w:tcW w:w="1483" w:type="dxa"/>
            <w:vMerge w:val="continue"/>
            <w:vAlign w:val="center"/>
          </w:tcPr>
          <w:p w14:paraId="05AB4D9C">
            <w:pPr>
              <w:adjustRightInd w:val="0"/>
              <w:snapToGrid w:val="0"/>
              <w:jc w:val="center"/>
              <w:rPr>
                <w:szCs w:val="21"/>
              </w:rPr>
            </w:pPr>
          </w:p>
        </w:tc>
        <w:tc>
          <w:tcPr>
            <w:tcW w:w="1394" w:type="dxa"/>
            <w:vAlign w:val="center"/>
          </w:tcPr>
          <w:p w14:paraId="13458475">
            <w:pPr>
              <w:adjustRightInd w:val="0"/>
              <w:snapToGrid w:val="0"/>
              <w:jc w:val="center"/>
              <w:rPr>
                <w:szCs w:val="21"/>
              </w:rPr>
            </w:pPr>
            <w:r>
              <w:rPr>
                <w:rFonts w:hint="eastAsia"/>
                <w:szCs w:val="21"/>
              </w:rPr>
              <w:t>苯并芘</w:t>
            </w:r>
          </w:p>
        </w:tc>
        <w:tc>
          <w:tcPr>
            <w:tcW w:w="2058" w:type="dxa"/>
            <w:vAlign w:val="center"/>
          </w:tcPr>
          <w:p w14:paraId="2B306655">
            <w:pPr>
              <w:adjustRightInd w:val="0"/>
              <w:snapToGrid w:val="0"/>
              <w:jc w:val="center"/>
              <w:rPr>
                <w:szCs w:val="21"/>
              </w:rPr>
            </w:pPr>
            <w:r>
              <w:rPr>
                <w:rFonts w:hint="eastAsia"/>
                <w:szCs w:val="21"/>
              </w:rPr>
              <w:t>洒水抑尘</w:t>
            </w:r>
          </w:p>
        </w:tc>
        <w:tc>
          <w:tcPr>
            <w:tcW w:w="2346" w:type="dxa"/>
            <w:vMerge w:val="restart"/>
            <w:vAlign w:val="center"/>
          </w:tcPr>
          <w:p w14:paraId="1689C8F1">
            <w:pPr>
              <w:spacing w:line="360" w:lineRule="auto"/>
              <w:rPr>
                <w:szCs w:val="21"/>
              </w:rPr>
            </w:pPr>
            <w:r>
              <w:rPr>
                <w:rFonts w:hint="eastAsia" w:eastAsia="宋体"/>
                <w:color w:val="auto"/>
                <w:lang w:eastAsia="zh-CN"/>
              </w:rPr>
              <w:t>《大气污染物综合排放标准》(GB16297-1996)无组织排放标准限值</w:t>
            </w:r>
          </w:p>
        </w:tc>
      </w:tr>
      <w:tr w14:paraId="3987C3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519" w:type="dxa"/>
            <w:vMerge w:val="continue"/>
            <w:vAlign w:val="center"/>
          </w:tcPr>
          <w:p w14:paraId="374AC583">
            <w:pPr>
              <w:adjustRightInd w:val="0"/>
              <w:snapToGrid w:val="0"/>
              <w:jc w:val="center"/>
              <w:rPr>
                <w:szCs w:val="21"/>
              </w:rPr>
            </w:pPr>
          </w:p>
        </w:tc>
        <w:tc>
          <w:tcPr>
            <w:tcW w:w="1483" w:type="dxa"/>
            <w:vMerge w:val="continue"/>
            <w:vAlign w:val="center"/>
          </w:tcPr>
          <w:p w14:paraId="7CF6EF23">
            <w:pPr>
              <w:adjustRightInd w:val="0"/>
              <w:snapToGrid w:val="0"/>
              <w:jc w:val="center"/>
              <w:rPr>
                <w:szCs w:val="21"/>
              </w:rPr>
            </w:pPr>
          </w:p>
        </w:tc>
        <w:tc>
          <w:tcPr>
            <w:tcW w:w="1394" w:type="dxa"/>
            <w:vAlign w:val="center"/>
          </w:tcPr>
          <w:p w14:paraId="4E09CD72">
            <w:pPr>
              <w:adjustRightInd w:val="0"/>
              <w:snapToGrid w:val="0"/>
              <w:jc w:val="center"/>
              <w:rPr>
                <w:szCs w:val="21"/>
              </w:rPr>
            </w:pPr>
            <w:r>
              <w:rPr>
                <w:rFonts w:hint="eastAsia"/>
                <w:szCs w:val="21"/>
              </w:rPr>
              <w:t>非甲烷总烃</w:t>
            </w:r>
          </w:p>
        </w:tc>
        <w:tc>
          <w:tcPr>
            <w:tcW w:w="2058" w:type="dxa"/>
            <w:vAlign w:val="center"/>
          </w:tcPr>
          <w:p w14:paraId="0143A30C">
            <w:pPr>
              <w:adjustRightInd w:val="0"/>
              <w:snapToGrid w:val="0"/>
              <w:jc w:val="center"/>
              <w:rPr>
                <w:szCs w:val="21"/>
              </w:rPr>
            </w:pPr>
            <w:r>
              <w:rPr>
                <w:rFonts w:hint="eastAsia"/>
                <w:szCs w:val="21"/>
              </w:rPr>
              <w:t>加强通风；提高有组织排放收集效率</w:t>
            </w:r>
          </w:p>
        </w:tc>
        <w:tc>
          <w:tcPr>
            <w:tcW w:w="2346" w:type="dxa"/>
            <w:vMerge w:val="continue"/>
            <w:vAlign w:val="center"/>
          </w:tcPr>
          <w:p w14:paraId="057FB6C1">
            <w:pPr>
              <w:spacing w:line="360" w:lineRule="auto"/>
              <w:rPr>
                <w:szCs w:val="21"/>
              </w:rPr>
            </w:pPr>
          </w:p>
        </w:tc>
      </w:tr>
      <w:tr w14:paraId="0FF5B0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9" w:type="dxa"/>
            <w:vAlign w:val="center"/>
          </w:tcPr>
          <w:p w14:paraId="276BCB01">
            <w:pPr>
              <w:adjustRightInd w:val="0"/>
              <w:snapToGrid w:val="0"/>
              <w:jc w:val="center"/>
              <w:rPr>
                <w:szCs w:val="21"/>
              </w:rPr>
            </w:pPr>
            <w:r>
              <w:rPr>
                <w:szCs w:val="21"/>
              </w:rPr>
              <w:t>水环境</w:t>
            </w:r>
          </w:p>
        </w:tc>
        <w:tc>
          <w:tcPr>
            <w:tcW w:w="1483" w:type="dxa"/>
            <w:vAlign w:val="center"/>
          </w:tcPr>
          <w:p w14:paraId="1489D179">
            <w:pPr>
              <w:adjustRightInd w:val="0"/>
              <w:snapToGrid w:val="0"/>
              <w:jc w:val="center"/>
              <w:rPr>
                <w:szCs w:val="21"/>
              </w:rPr>
            </w:pPr>
            <w:r>
              <w:rPr>
                <w:rFonts w:hint="eastAsia"/>
                <w:szCs w:val="21"/>
              </w:rPr>
              <w:t>生活污水</w:t>
            </w:r>
          </w:p>
        </w:tc>
        <w:tc>
          <w:tcPr>
            <w:tcW w:w="1394" w:type="dxa"/>
            <w:vAlign w:val="center"/>
          </w:tcPr>
          <w:p w14:paraId="6A383742">
            <w:pPr>
              <w:snapToGrid w:val="0"/>
              <w:contextualSpacing/>
              <w:jc w:val="center"/>
              <w:rPr>
                <w:szCs w:val="21"/>
              </w:rPr>
            </w:pPr>
            <w:r>
              <w:rPr>
                <w:rFonts w:hint="eastAsia"/>
                <w:szCs w:val="21"/>
              </w:rPr>
              <w:t>COD、BOD</w:t>
            </w:r>
            <w:r>
              <w:rPr>
                <w:rFonts w:hint="eastAsia"/>
                <w:szCs w:val="21"/>
                <w:vertAlign w:val="subscript"/>
              </w:rPr>
              <w:t>5</w:t>
            </w:r>
            <w:r>
              <w:rPr>
                <w:rFonts w:hint="eastAsia"/>
                <w:szCs w:val="21"/>
              </w:rPr>
              <w:t>、SS、氨氮</w:t>
            </w:r>
          </w:p>
        </w:tc>
        <w:tc>
          <w:tcPr>
            <w:tcW w:w="2058" w:type="dxa"/>
            <w:vAlign w:val="center"/>
          </w:tcPr>
          <w:p w14:paraId="6856E84D">
            <w:pPr>
              <w:adjustRightInd w:val="0"/>
              <w:snapToGrid w:val="0"/>
              <w:jc w:val="center"/>
              <w:rPr>
                <w:szCs w:val="21"/>
              </w:rPr>
            </w:pPr>
            <w:r>
              <w:rPr>
                <w:rFonts w:hint="eastAsia"/>
                <w:szCs w:val="21"/>
              </w:rPr>
              <w:t>食堂废水经隔油池预处理后同生活污水一同</w:t>
            </w:r>
            <w:r>
              <w:rPr>
                <w:szCs w:val="21"/>
              </w:rPr>
              <w:t>排入</w:t>
            </w:r>
            <w:r>
              <w:rPr>
                <w:rFonts w:hint="eastAsia"/>
                <w:szCs w:val="21"/>
              </w:rPr>
              <w:t>厂区</w:t>
            </w:r>
            <w:r>
              <w:rPr>
                <w:szCs w:val="21"/>
              </w:rPr>
              <w:t>内</w:t>
            </w:r>
            <w:r>
              <w:rPr>
                <w:rFonts w:hint="eastAsia"/>
                <w:szCs w:val="21"/>
              </w:rPr>
              <w:t>50m</w:t>
            </w:r>
            <w:r>
              <w:rPr>
                <w:rFonts w:hint="eastAsia"/>
                <w:szCs w:val="21"/>
                <w:vertAlign w:val="superscript"/>
              </w:rPr>
              <w:t>3</w:t>
            </w:r>
            <w:r>
              <w:rPr>
                <w:rFonts w:hint="eastAsia"/>
                <w:szCs w:val="21"/>
              </w:rPr>
              <w:t>化粪池，定期由吸污车清运至胡杨河经济技术开发区（北区）污水处理厂</w:t>
            </w:r>
            <w:r>
              <w:rPr>
                <w:rFonts w:hint="eastAsia"/>
              </w:rPr>
              <w:t>。</w:t>
            </w:r>
          </w:p>
        </w:tc>
        <w:tc>
          <w:tcPr>
            <w:tcW w:w="2346" w:type="dxa"/>
            <w:vAlign w:val="center"/>
          </w:tcPr>
          <w:p w14:paraId="3605B829">
            <w:pPr>
              <w:jc w:val="center"/>
              <w:rPr>
                <w:szCs w:val="21"/>
              </w:rPr>
            </w:pPr>
            <w:r>
              <w:rPr>
                <w:rFonts w:hint="eastAsia"/>
                <w:szCs w:val="21"/>
              </w:rPr>
              <w:t>/</w:t>
            </w:r>
          </w:p>
        </w:tc>
      </w:tr>
      <w:tr w14:paraId="249700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19" w:type="dxa"/>
            <w:vAlign w:val="center"/>
          </w:tcPr>
          <w:p w14:paraId="4BD3A839">
            <w:pPr>
              <w:adjustRightInd w:val="0"/>
              <w:snapToGrid w:val="0"/>
              <w:jc w:val="center"/>
              <w:rPr>
                <w:szCs w:val="21"/>
              </w:rPr>
            </w:pPr>
            <w:r>
              <w:rPr>
                <w:szCs w:val="21"/>
              </w:rPr>
              <w:t>声环境</w:t>
            </w:r>
          </w:p>
        </w:tc>
        <w:tc>
          <w:tcPr>
            <w:tcW w:w="1483" w:type="dxa"/>
            <w:vAlign w:val="center"/>
          </w:tcPr>
          <w:p w14:paraId="16A838FB">
            <w:pPr>
              <w:adjustRightInd w:val="0"/>
              <w:snapToGrid w:val="0"/>
              <w:jc w:val="center"/>
              <w:rPr>
                <w:szCs w:val="21"/>
              </w:rPr>
            </w:pPr>
            <w:r>
              <w:rPr>
                <w:szCs w:val="21"/>
              </w:rPr>
              <w:t>生产</w:t>
            </w:r>
            <w:r>
              <w:rPr>
                <w:rFonts w:hint="eastAsia"/>
                <w:szCs w:val="21"/>
              </w:rPr>
              <w:t>设备</w:t>
            </w:r>
          </w:p>
        </w:tc>
        <w:tc>
          <w:tcPr>
            <w:tcW w:w="1394" w:type="dxa"/>
            <w:vAlign w:val="center"/>
          </w:tcPr>
          <w:p w14:paraId="2D0DBC2D">
            <w:pPr>
              <w:adjustRightInd w:val="0"/>
              <w:snapToGrid w:val="0"/>
              <w:jc w:val="center"/>
              <w:rPr>
                <w:szCs w:val="21"/>
              </w:rPr>
            </w:pPr>
            <w:r>
              <w:rPr>
                <w:szCs w:val="21"/>
              </w:rPr>
              <w:t>等效A声级</w:t>
            </w:r>
          </w:p>
        </w:tc>
        <w:tc>
          <w:tcPr>
            <w:tcW w:w="2058" w:type="dxa"/>
            <w:vAlign w:val="center"/>
          </w:tcPr>
          <w:p w14:paraId="1A9E0B96">
            <w:pPr>
              <w:adjustRightInd w:val="0"/>
              <w:snapToGrid w:val="0"/>
              <w:jc w:val="center"/>
              <w:rPr>
                <w:szCs w:val="21"/>
              </w:rPr>
            </w:pPr>
            <w:r>
              <w:rPr>
                <w:rFonts w:hint="eastAsia"/>
                <w:szCs w:val="21"/>
              </w:rPr>
              <w:t>选用</w:t>
            </w:r>
            <w:r>
              <w:rPr>
                <w:szCs w:val="21"/>
              </w:rPr>
              <w:t>低噪声设备，基础减震、厂房隔声等措施</w:t>
            </w:r>
          </w:p>
        </w:tc>
        <w:tc>
          <w:tcPr>
            <w:tcW w:w="2346" w:type="dxa"/>
            <w:vAlign w:val="center"/>
          </w:tcPr>
          <w:p w14:paraId="0B6EBE9D">
            <w:pPr>
              <w:adjustRightInd w:val="0"/>
              <w:snapToGrid w:val="0"/>
              <w:jc w:val="center"/>
              <w:rPr>
                <w:szCs w:val="21"/>
              </w:rPr>
            </w:pPr>
            <w:r>
              <w:rPr>
                <w:szCs w:val="21"/>
              </w:rPr>
              <w:t>《工业企业厂界环境噪声排放标准》</w:t>
            </w:r>
          </w:p>
          <w:p w14:paraId="086B7F55">
            <w:pPr>
              <w:adjustRightInd w:val="0"/>
              <w:snapToGrid w:val="0"/>
              <w:jc w:val="center"/>
              <w:rPr>
                <w:szCs w:val="21"/>
              </w:rPr>
            </w:pPr>
            <w:r>
              <w:rPr>
                <w:szCs w:val="21"/>
              </w:rPr>
              <w:t>（</w:t>
            </w:r>
            <w:r>
              <w:rPr>
                <w:rFonts w:hint="eastAsia"/>
                <w:szCs w:val="21"/>
              </w:rPr>
              <w:t xml:space="preserve">GB </w:t>
            </w:r>
            <w:r>
              <w:rPr>
                <w:szCs w:val="21"/>
              </w:rPr>
              <w:t>12348-2008）中</w:t>
            </w:r>
            <w:r>
              <w:rPr>
                <w:rFonts w:hint="eastAsia"/>
                <w:szCs w:val="21"/>
              </w:rPr>
              <w:t>2</w:t>
            </w:r>
            <w:r>
              <w:rPr>
                <w:szCs w:val="21"/>
              </w:rPr>
              <w:t>类标准限值</w:t>
            </w:r>
          </w:p>
        </w:tc>
      </w:tr>
      <w:tr w14:paraId="5E2119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519" w:type="dxa"/>
            <w:vAlign w:val="center"/>
          </w:tcPr>
          <w:p w14:paraId="073438BC">
            <w:pPr>
              <w:adjustRightInd w:val="0"/>
              <w:snapToGrid w:val="0"/>
              <w:jc w:val="center"/>
              <w:rPr>
                <w:szCs w:val="21"/>
              </w:rPr>
            </w:pPr>
            <w:r>
              <w:rPr>
                <w:szCs w:val="21"/>
              </w:rPr>
              <w:t>固体废物</w:t>
            </w:r>
          </w:p>
        </w:tc>
        <w:tc>
          <w:tcPr>
            <w:tcW w:w="7281" w:type="dxa"/>
            <w:gridSpan w:val="4"/>
            <w:vAlign w:val="center"/>
          </w:tcPr>
          <w:p w14:paraId="035530EA">
            <w:pPr>
              <w:widowControl/>
              <w:spacing w:line="360" w:lineRule="auto"/>
              <w:ind w:firstLine="420" w:firstLineChars="200"/>
            </w:pPr>
            <w:r>
              <w:rPr>
                <w:rFonts w:hint="eastAsia"/>
                <w:szCs w:val="21"/>
              </w:rPr>
              <w:t>一般固废：袋除尘器收集的粉尘（302-001-66）收集后回用于生产，</w:t>
            </w:r>
            <w:r>
              <w:rPr>
                <w:rFonts w:hint="eastAsia"/>
              </w:rPr>
              <w:t>车辆经</w:t>
            </w:r>
            <w:r>
              <w:rPr>
                <w:rFonts w:hint="eastAsia"/>
                <w:color w:val="auto"/>
              </w:rPr>
              <w:t>过洗车槽时沉淀的少量原料收集后回用于生产，</w:t>
            </w:r>
            <w:r>
              <w:rPr>
                <w:rFonts w:hint="eastAsia"/>
                <w:color w:val="auto"/>
                <w:szCs w:val="21"/>
              </w:rPr>
              <w:t>滴漏沥青（302-999-99）经收集后回用于搅拌工序，生活垃圾（900-999-99）由环卫部门定期</w:t>
            </w:r>
            <w:r>
              <w:rPr>
                <w:color w:val="auto"/>
                <w:highlight w:val="none"/>
              </w:rPr>
              <w:t>清运</w:t>
            </w:r>
            <w:r>
              <w:rPr>
                <w:rFonts w:hint="eastAsia"/>
                <w:color w:val="auto"/>
                <w:szCs w:val="21"/>
                <w:highlight w:val="none"/>
              </w:rPr>
              <w:t>至</w:t>
            </w:r>
            <w:r>
              <w:rPr>
                <w:rFonts w:hint="eastAsia"/>
                <w:color w:val="auto"/>
                <w:lang w:val="en-US" w:eastAsia="zh-CN"/>
              </w:rPr>
              <w:t>运距约为5km的</w:t>
            </w:r>
            <w:r>
              <w:rPr>
                <w:rFonts w:hint="eastAsia"/>
                <w:color w:val="auto"/>
                <w:szCs w:val="21"/>
                <w:lang w:val="en-US" w:eastAsia="zh-CN"/>
              </w:rPr>
              <w:t>胡杨河市第七师130团11连</w:t>
            </w:r>
            <w:r>
              <w:rPr>
                <w:rFonts w:hint="eastAsia"/>
                <w:color w:val="auto"/>
                <w:highlight w:val="none"/>
              </w:rPr>
              <w:t>垃圾填埋场</w:t>
            </w:r>
            <w:r>
              <w:rPr>
                <w:rFonts w:hint="eastAsia"/>
                <w:color w:val="auto"/>
                <w:highlight w:val="none"/>
                <w:lang w:val="en-US" w:eastAsia="zh-CN"/>
              </w:rPr>
              <w:t>处理</w:t>
            </w:r>
            <w:r>
              <w:rPr>
                <w:rFonts w:hint="eastAsia"/>
                <w:color w:val="auto"/>
                <w:szCs w:val="21"/>
              </w:rPr>
              <w:t>；</w:t>
            </w:r>
            <w:r>
              <w:rPr>
                <w:color w:val="auto"/>
                <w:szCs w:val="21"/>
              </w:rPr>
              <w:t>危险废物：一旦产生</w:t>
            </w:r>
            <w:r>
              <w:rPr>
                <w:rFonts w:hint="eastAsia"/>
                <w:color w:val="auto"/>
                <w:szCs w:val="21"/>
              </w:rPr>
              <w:t>废导热油（900-249-08）</w:t>
            </w:r>
            <w:r>
              <w:rPr>
                <w:color w:val="auto"/>
                <w:szCs w:val="21"/>
              </w:rPr>
              <w:t>、</w:t>
            </w:r>
            <w:r>
              <w:rPr>
                <w:rFonts w:hint="eastAsia"/>
                <w:color w:val="auto"/>
                <w:szCs w:val="21"/>
              </w:rPr>
              <w:t>废机油</w:t>
            </w:r>
            <w:r>
              <w:rPr>
                <w:rFonts w:hint="eastAsia"/>
                <w:bCs/>
                <w:color w:val="auto"/>
                <w:szCs w:val="21"/>
              </w:rPr>
              <w:t>（</w:t>
            </w:r>
            <w:r>
              <w:rPr>
                <w:color w:val="auto"/>
                <w:szCs w:val="21"/>
              </w:rPr>
              <w:t>900-249-08</w:t>
            </w:r>
            <w:r>
              <w:rPr>
                <w:rFonts w:hint="eastAsia"/>
                <w:bCs/>
                <w:color w:val="auto"/>
                <w:szCs w:val="21"/>
              </w:rPr>
              <w:t>）</w:t>
            </w:r>
            <w:r>
              <w:rPr>
                <w:color w:val="auto"/>
                <w:szCs w:val="21"/>
              </w:rPr>
              <w:t>、</w:t>
            </w:r>
            <w:r>
              <w:rPr>
                <w:rFonts w:hint="eastAsia"/>
                <w:szCs w:val="21"/>
              </w:rPr>
              <w:t>废活性炭（900-039-49），设置危废暂存间，</w:t>
            </w:r>
            <w:r>
              <w:rPr>
                <w:rFonts w:hint="eastAsia"/>
              </w:rPr>
              <w:t>危险废物分区</w:t>
            </w:r>
            <w:r>
              <w:t>暂存于危废暂存间，</w:t>
            </w:r>
            <w:r>
              <w:rPr>
                <w:rFonts w:hint="eastAsia"/>
              </w:rPr>
              <w:t>委托</w:t>
            </w:r>
            <w:r>
              <w:t>具有危废处置资质的单位处置</w:t>
            </w:r>
            <w:r>
              <w:rPr>
                <w:szCs w:val="21"/>
              </w:rPr>
              <w:t>。</w:t>
            </w:r>
          </w:p>
        </w:tc>
      </w:tr>
      <w:tr w14:paraId="144E34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1519" w:type="dxa"/>
            <w:vAlign w:val="center"/>
          </w:tcPr>
          <w:p w14:paraId="66BB5414">
            <w:pPr>
              <w:adjustRightInd w:val="0"/>
              <w:snapToGrid w:val="0"/>
              <w:jc w:val="center"/>
              <w:rPr>
                <w:szCs w:val="21"/>
              </w:rPr>
            </w:pPr>
            <w:r>
              <w:rPr>
                <w:szCs w:val="21"/>
              </w:rPr>
              <w:t>土壤及地下水</w:t>
            </w:r>
          </w:p>
          <w:p w14:paraId="013F6CE2">
            <w:pPr>
              <w:adjustRightInd w:val="0"/>
              <w:snapToGrid w:val="0"/>
              <w:jc w:val="center"/>
              <w:rPr>
                <w:szCs w:val="21"/>
              </w:rPr>
            </w:pPr>
            <w:r>
              <w:rPr>
                <w:szCs w:val="21"/>
              </w:rPr>
              <w:t>污染防治措施</w:t>
            </w:r>
          </w:p>
        </w:tc>
        <w:tc>
          <w:tcPr>
            <w:tcW w:w="7281" w:type="dxa"/>
            <w:gridSpan w:val="4"/>
            <w:vAlign w:val="center"/>
          </w:tcPr>
          <w:p w14:paraId="217B6C40">
            <w:pPr>
              <w:widowControl/>
              <w:spacing w:line="360" w:lineRule="auto"/>
              <w:ind w:firstLine="420" w:firstLineChars="200"/>
              <w:rPr>
                <w:szCs w:val="21"/>
              </w:rPr>
            </w:pPr>
            <w:r>
              <w:rPr>
                <w:rFonts w:hint="eastAsia" w:eastAsia="Times New Roman"/>
                <w:kern w:val="0"/>
              </w:rPr>
              <w:t>项目区地面经过硬化、防渗，固体废物做到防渗漏、防流失、防扬散，项目废水、固废采取有效措施后不会对土壤、地下水造成不良影响。</w:t>
            </w:r>
          </w:p>
        </w:tc>
      </w:tr>
      <w:tr w14:paraId="797909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519" w:type="dxa"/>
            <w:vAlign w:val="center"/>
          </w:tcPr>
          <w:p w14:paraId="3B7F114E">
            <w:pPr>
              <w:adjustRightInd w:val="0"/>
              <w:snapToGrid w:val="0"/>
              <w:jc w:val="center"/>
              <w:rPr>
                <w:szCs w:val="21"/>
              </w:rPr>
            </w:pPr>
            <w:r>
              <w:rPr>
                <w:szCs w:val="21"/>
              </w:rPr>
              <w:t>生态保护措施</w:t>
            </w:r>
          </w:p>
        </w:tc>
        <w:tc>
          <w:tcPr>
            <w:tcW w:w="7281" w:type="dxa"/>
            <w:gridSpan w:val="4"/>
            <w:vAlign w:val="center"/>
          </w:tcPr>
          <w:p w14:paraId="7A904B7E">
            <w:pPr>
              <w:adjustRightInd w:val="0"/>
              <w:snapToGrid w:val="0"/>
              <w:spacing w:line="360" w:lineRule="auto"/>
              <w:ind w:firstLine="420" w:firstLineChars="200"/>
              <w:rPr>
                <w:szCs w:val="21"/>
              </w:rPr>
            </w:pPr>
            <w:r>
              <w:rPr>
                <w:rFonts w:hint="eastAsia" w:eastAsia="Times New Roman"/>
                <w:kern w:val="0"/>
              </w:rPr>
              <w:t>项目区范围内无生态环境保护目标，无需生态保护措施。</w:t>
            </w:r>
          </w:p>
        </w:tc>
      </w:tr>
      <w:tr w14:paraId="1B0C2D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519" w:type="dxa"/>
            <w:vAlign w:val="center"/>
          </w:tcPr>
          <w:p w14:paraId="184B71E4">
            <w:pPr>
              <w:adjustRightInd w:val="0"/>
              <w:snapToGrid w:val="0"/>
              <w:jc w:val="center"/>
              <w:rPr>
                <w:spacing w:val="-8"/>
                <w:szCs w:val="21"/>
              </w:rPr>
            </w:pPr>
            <w:r>
              <w:rPr>
                <w:spacing w:val="-8"/>
                <w:szCs w:val="21"/>
              </w:rPr>
              <w:t>环境风险</w:t>
            </w:r>
          </w:p>
          <w:p w14:paraId="4B898E44">
            <w:pPr>
              <w:adjustRightInd w:val="0"/>
              <w:snapToGrid w:val="0"/>
              <w:jc w:val="center"/>
              <w:rPr>
                <w:spacing w:val="-8"/>
                <w:szCs w:val="21"/>
              </w:rPr>
            </w:pPr>
            <w:r>
              <w:rPr>
                <w:spacing w:val="-8"/>
                <w:szCs w:val="21"/>
              </w:rPr>
              <w:t>防范措施</w:t>
            </w:r>
          </w:p>
        </w:tc>
        <w:tc>
          <w:tcPr>
            <w:tcW w:w="7281" w:type="dxa"/>
            <w:gridSpan w:val="4"/>
            <w:vAlign w:val="center"/>
          </w:tcPr>
          <w:p w14:paraId="46D4388C">
            <w:pPr>
              <w:pStyle w:val="71"/>
              <w:spacing w:line="360" w:lineRule="auto"/>
              <w:ind w:firstLine="420" w:firstLineChars="200"/>
              <w:rPr>
                <w:color w:val="auto"/>
              </w:rPr>
            </w:pPr>
            <w:r>
              <w:rPr>
                <w:color w:val="auto"/>
              </w:rPr>
              <w:t>1、泄漏事故应急措施</w:t>
            </w:r>
          </w:p>
          <w:p w14:paraId="5DD2A819">
            <w:pPr>
              <w:pStyle w:val="71"/>
              <w:spacing w:line="360" w:lineRule="auto"/>
              <w:ind w:firstLine="420" w:firstLineChars="200"/>
              <w:rPr>
                <w:color w:val="auto"/>
              </w:rPr>
            </w:pPr>
            <w:r>
              <w:rPr>
                <w:color w:val="auto"/>
              </w:rPr>
              <w:t>①迅速查明泄漏点，立即关闭泄露点两端管线上的阀门和与该管线相接的每个储罐阀门，把气源切断。</w:t>
            </w:r>
          </w:p>
          <w:p w14:paraId="493B88FB">
            <w:pPr>
              <w:pStyle w:val="71"/>
              <w:spacing w:line="360" w:lineRule="auto"/>
              <w:ind w:firstLine="420" w:firstLineChars="200"/>
              <w:rPr>
                <w:color w:val="auto"/>
              </w:rPr>
            </w:pPr>
            <w:r>
              <w:rPr>
                <w:color w:val="auto"/>
              </w:rPr>
              <w:t>②杜绝附近一切火源，禁止一切车辆在附近行驶。同时派人员向负责人和安全消防人员报告发生泄露和具体情况及正在采取的措施。</w:t>
            </w:r>
          </w:p>
          <w:p w14:paraId="6CC64BF5">
            <w:pPr>
              <w:pStyle w:val="71"/>
              <w:spacing w:line="360" w:lineRule="auto"/>
              <w:ind w:firstLine="420" w:firstLineChars="200"/>
              <w:rPr>
                <w:color w:val="auto"/>
              </w:rPr>
            </w:pPr>
            <w:r>
              <w:rPr>
                <w:color w:val="auto"/>
              </w:rPr>
              <w:t>2、火灾事故应急措施</w:t>
            </w:r>
          </w:p>
          <w:p w14:paraId="18DCDF89">
            <w:pPr>
              <w:pStyle w:val="71"/>
              <w:spacing w:line="360" w:lineRule="auto"/>
              <w:ind w:firstLine="420" w:firstLineChars="200"/>
              <w:rPr>
                <w:color w:val="auto"/>
              </w:rPr>
            </w:pPr>
            <w:r>
              <w:rPr>
                <w:color w:val="auto"/>
              </w:rPr>
              <w:t>①立即发出警报，及时通知周围企业，及时疏散非应急人员；</w:t>
            </w:r>
          </w:p>
          <w:p w14:paraId="0FDE7D07">
            <w:pPr>
              <w:pStyle w:val="71"/>
              <w:spacing w:line="360" w:lineRule="auto"/>
              <w:ind w:firstLine="420" w:firstLineChars="200"/>
              <w:rPr>
                <w:color w:val="auto"/>
              </w:rPr>
            </w:pPr>
            <w:r>
              <w:rPr>
                <w:color w:val="auto"/>
              </w:rPr>
              <w:t>②及时向应急中心汇报事态发展情况，初步预测对周围人员、环境造成的危害；</w:t>
            </w:r>
          </w:p>
          <w:p w14:paraId="3177EEF9">
            <w:pPr>
              <w:pStyle w:val="71"/>
              <w:spacing w:line="360" w:lineRule="auto"/>
              <w:ind w:firstLine="420" w:firstLineChars="200"/>
              <w:rPr>
                <w:color w:val="auto"/>
              </w:rPr>
            </w:pPr>
            <w:r>
              <w:rPr>
                <w:color w:val="auto"/>
              </w:rPr>
              <w:t>③及时启动应急预案，按照预案开展应急救援工作；</w:t>
            </w:r>
          </w:p>
          <w:p w14:paraId="0767C6E6">
            <w:pPr>
              <w:adjustRightInd w:val="0"/>
              <w:snapToGrid w:val="0"/>
              <w:spacing w:line="360" w:lineRule="auto"/>
              <w:ind w:firstLine="420" w:firstLineChars="200"/>
              <w:rPr>
                <w:color w:val="auto"/>
              </w:rPr>
            </w:pPr>
            <w:r>
              <w:rPr>
                <w:color w:val="auto"/>
              </w:rPr>
              <w:t>④按照预案相关要求，开展环境监测工作。</w:t>
            </w:r>
          </w:p>
          <w:p w14:paraId="0DCF0640">
            <w:pPr>
              <w:pStyle w:val="5"/>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val="0"/>
                <w:color w:val="auto"/>
                <w:lang w:val="en-US" w:eastAsia="zh-CN"/>
              </w:rPr>
            </w:pPr>
            <w:r>
              <w:rPr>
                <w:rFonts w:hint="default"/>
                <w:b w:val="0"/>
                <w:bCs w:val="0"/>
                <w:color w:val="auto"/>
                <w:lang w:val="en-US" w:eastAsia="zh-CN"/>
              </w:rPr>
              <w:t>3、</w:t>
            </w:r>
            <w:r>
              <w:rPr>
                <w:rFonts w:hint="eastAsia"/>
                <w:b w:val="0"/>
                <w:bCs w:val="0"/>
                <w:color w:val="auto"/>
                <w:lang w:val="en-US" w:eastAsia="zh-CN"/>
              </w:rPr>
              <w:t>沥青储罐风险防范措施</w:t>
            </w:r>
          </w:p>
          <w:p w14:paraId="213FD9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①</w:t>
            </w:r>
            <w:r>
              <w:rPr>
                <w:rFonts w:hint="eastAsia" w:ascii="Times New Roman" w:hAnsi="Times New Roman" w:eastAsia="宋体" w:cs="Times New Roman"/>
                <w:color w:val="auto"/>
                <w:sz w:val="21"/>
                <w:szCs w:val="21"/>
                <w:lang w:val="en-US" w:eastAsia="zh-CN"/>
              </w:rPr>
              <w:t>建设单位应对储罐区地面硬底化防渗，在储罐与其他生产设备之间设置隔离槽，以免柴油泄漏时油品外溢下渗或遇明火造成火灾。</w:t>
            </w:r>
          </w:p>
          <w:p w14:paraId="0A2384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②</w:t>
            </w:r>
            <w:r>
              <w:rPr>
                <w:rFonts w:hint="eastAsia" w:ascii="Times New Roman" w:hAnsi="Times New Roman" w:eastAsia="宋体" w:cs="Times New Roman"/>
                <w:color w:val="auto"/>
                <w:sz w:val="21"/>
                <w:szCs w:val="21"/>
                <w:lang w:val="en-US" w:eastAsia="zh-CN"/>
              </w:rPr>
              <w:t>对于生产技术人员操作失误导致的少量泄漏，使用布料、海棉等物品吸收。</w:t>
            </w:r>
          </w:p>
          <w:p w14:paraId="36ABE2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③</w:t>
            </w:r>
            <w:r>
              <w:rPr>
                <w:rFonts w:hint="eastAsia" w:ascii="Times New Roman" w:hAnsi="Times New Roman" w:eastAsia="宋体" w:cs="Times New Roman"/>
                <w:color w:val="auto"/>
                <w:sz w:val="21"/>
                <w:szCs w:val="21"/>
                <w:lang w:val="en-US" w:eastAsia="zh-CN"/>
              </w:rPr>
              <w:t>生产线风机设备采用防爆防火设计，同时设置禁止火源警告牌。</w:t>
            </w:r>
          </w:p>
          <w:p w14:paraId="5CFDE2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④</w:t>
            </w:r>
            <w:r>
              <w:rPr>
                <w:rFonts w:hint="eastAsia" w:ascii="Times New Roman" w:hAnsi="Times New Roman" w:eastAsia="宋体" w:cs="Times New Roman"/>
                <w:color w:val="auto"/>
                <w:sz w:val="21"/>
                <w:szCs w:val="21"/>
                <w:lang w:val="en-US" w:eastAsia="zh-CN"/>
              </w:rPr>
              <w:t>建议建设单位应在储罐区设置遮阳设施，防止暴晒。</w:t>
            </w:r>
          </w:p>
          <w:p w14:paraId="501A93A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color w:val="auto"/>
                <w:lang w:val="en-US" w:eastAsia="zh-CN"/>
              </w:rPr>
            </w:pPr>
            <w:r>
              <w:rPr>
                <w:rFonts w:hint="eastAsia" w:cs="Times New Roman"/>
                <w:color w:val="auto"/>
                <w:sz w:val="21"/>
                <w:szCs w:val="21"/>
                <w:lang w:val="en-US" w:eastAsia="zh-CN"/>
              </w:rPr>
              <w:t>⑤</w:t>
            </w:r>
            <w:r>
              <w:rPr>
                <w:rFonts w:hint="eastAsia" w:ascii="Times New Roman" w:hAnsi="Times New Roman" w:eastAsia="宋体" w:cs="Times New Roman"/>
                <w:color w:val="auto"/>
                <w:sz w:val="21"/>
                <w:szCs w:val="21"/>
                <w:lang w:val="en-US" w:eastAsia="zh-CN"/>
              </w:rPr>
              <w:t>各类储罐应做好防雷工作。</w:t>
            </w:r>
          </w:p>
        </w:tc>
      </w:tr>
      <w:tr w14:paraId="34DBA6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19" w:type="dxa"/>
            <w:vAlign w:val="center"/>
          </w:tcPr>
          <w:p w14:paraId="2E0BEE9E">
            <w:pPr>
              <w:adjustRightInd w:val="0"/>
              <w:snapToGrid w:val="0"/>
              <w:jc w:val="center"/>
              <w:rPr>
                <w:color w:val="auto"/>
                <w:spacing w:val="-8"/>
                <w:szCs w:val="21"/>
              </w:rPr>
            </w:pPr>
            <w:r>
              <w:rPr>
                <w:color w:val="auto"/>
                <w:spacing w:val="-8"/>
                <w:szCs w:val="21"/>
              </w:rPr>
              <w:t>其他环境</w:t>
            </w:r>
          </w:p>
          <w:p w14:paraId="0FF9D6B8">
            <w:pPr>
              <w:adjustRightInd w:val="0"/>
              <w:snapToGrid w:val="0"/>
              <w:jc w:val="center"/>
              <w:rPr>
                <w:color w:val="C0504D" w:themeColor="accent2"/>
                <w:spacing w:val="-8"/>
                <w:szCs w:val="21"/>
                <w14:textFill>
                  <w14:solidFill>
                    <w14:schemeClr w14:val="accent2"/>
                  </w14:solidFill>
                </w14:textFill>
              </w:rPr>
            </w:pPr>
            <w:r>
              <w:rPr>
                <w:color w:val="auto"/>
                <w:spacing w:val="-8"/>
                <w:szCs w:val="21"/>
              </w:rPr>
              <w:t>管理要求</w:t>
            </w:r>
          </w:p>
        </w:tc>
        <w:tc>
          <w:tcPr>
            <w:tcW w:w="7281" w:type="dxa"/>
            <w:gridSpan w:val="4"/>
            <w:vAlign w:val="center"/>
          </w:tcPr>
          <w:p w14:paraId="1878CB3F">
            <w:pPr>
              <w:pStyle w:val="12"/>
              <w:spacing w:before="0" w:after="0" w:line="360" w:lineRule="auto"/>
              <w:ind w:right="0"/>
              <w:jc w:val="left"/>
              <w:rPr>
                <w:color w:val="auto"/>
                <w:sz w:val="21"/>
                <w:szCs w:val="21"/>
              </w:rPr>
            </w:pPr>
            <w:r>
              <w:rPr>
                <w:rFonts w:hint="eastAsia"/>
                <w:color w:val="auto"/>
                <w:sz w:val="21"/>
                <w:szCs w:val="21"/>
              </w:rPr>
              <w:t>根据《固定污染源排污许可分类管理名录》（部令 第11号），本项目属于二十五、非金属矿物制品业中</w:t>
            </w:r>
            <w:r>
              <w:rPr>
                <w:color w:val="auto"/>
                <w:sz w:val="21"/>
                <w:szCs w:val="21"/>
              </w:rPr>
              <w:t>3021水泥制品制造</w:t>
            </w:r>
            <w:r>
              <w:rPr>
                <w:rFonts w:hint="eastAsia"/>
                <w:color w:val="auto"/>
                <w:sz w:val="21"/>
                <w:szCs w:val="21"/>
              </w:rPr>
              <w:t>，属于登记管理。故本项目不需要申请取得排污许可证，应当在全国排污许可证管理信息平台填报排污登记表。</w:t>
            </w:r>
          </w:p>
        </w:tc>
      </w:tr>
    </w:tbl>
    <w:p w14:paraId="24BBBF8A">
      <w:pPr>
        <w:pStyle w:val="25"/>
        <w:jc w:val="center"/>
        <w:outlineLvl w:val="0"/>
        <w:rPr>
          <w:rFonts w:ascii="黑体" w:hAnsi="黑体" w:eastAsia="黑体"/>
          <w:snapToGrid w:val="0"/>
          <w:sz w:val="30"/>
          <w:szCs w:val="30"/>
        </w:rPr>
      </w:pPr>
      <w:r>
        <w:rPr>
          <w:snapToGrid w:val="0"/>
        </w:rPr>
        <w:br w:type="page"/>
      </w:r>
      <w:r>
        <w:rPr>
          <w:rFonts w:hint="eastAsia" w:ascii="黑体" w:hAnsi="黑体" w:eastAsia="黑体"/>
          <w:snapToGrid w:val="0"/>
          <w:sz w:val="30"/>
          <w:szCs w:val="30"/>
        </w:rPr>
        <w:t>六、结论</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1051F1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14C58CC1">
            <w:pPr>
              <w:spacing w:line="360" w:lineRule="auto"/>
              <w:ind w:firstLine="440" w:firstLineChars="200"/>
              <w:jc w:val="left"/>
              <w:rPr>
                <w:sz w:val="22"/>
              </w:rPr>
            </w:pPr>
            <w:r>
              <w:rPr>
                <w:rFonts w:hint="eastAsia"/>
                <w:sz w:val="22"/>
              </w:rPr>
              <w:t>本项目符合国家、地方产业政策，项目产生的废水、废气、噪声和固体废物采取本报告中提出的防治措施治理后，能够达标排放，不会对项目周围的水、大气、声及生态环境造成明显不良影响。建设单位应严格执行环保“三同时”制度，落实本报告中的各项环保措施，且相应的环保措施必须经自主验收合格后方可投入使用，并确保有关环保治理设施能够正常运行，则从环境保护角度分析，本项目建设是可行的。</w:t>
            </w:r>
          </w:p>
          <w:p w14:paraId="45A52346">
            <w:pPr>
              <w:widowControl/>
              <w:spacing w:line="360" w:lineRule="auto"/>
              <w:ind w:firstLine="420" w:firstLineChars="200"/>
              <w:rPr>
                <w:rFonts w:eastAsia="Times New Roman"/>
                <w:kern w:val="0"/>
              </w:rPr>
            </w:pPr>
          </w:p>
          <w:p w14:paraId="49DA80DA">
            <w:pPr>
              <w:widowControl/>
              <w:spacing w:line="360" w:lineRule="auto"/>
              <w:ind w:firstLine="420" w:firstLineChars="200"/>
            </w:pPr>
          </w:p>
          <w:p w14:paraId="46183034">
            <w:pPr>
              <w:widowControl/>
              <w:spacing w:line="360" w:lineRule="auto"/>
              <w:ind w:firstLine="420" w:firstLineChars="200"/>
            </w:pPr>
          </w:p>
        </w:tc>
      </w:tr>
    </w:tbl>
    <w:p w14:paraId="457E3FE6">
      <w:pPr>
        <w:rPr>
          <w:rFonts w:ascii="宋体"/>
        </w:rPr>
        <w:sectPr>
          <w:pgSz w:w="11906" w:h="16838"/>
          <w:pgMar w:top="1701" w:right="1531" w:bottom="1701" w:left="1531" w:header="851" w:footer="851" w:gutter="0"/>
          <w:cols w:space="720" w:num="1"/>
          <w:docGrid w:linePitch="312" w:charSpace="0"/>
        </w:sectPr>
      </w:pPr>
    </w:p>
    <w:p w14:paraId="69D0277A">
      <w:r>
        <w:rPr>
          <w:rFonts w:hint="eastAsia"/>
        </w:rPr>
        <w:t>附表</w:t>
      </w:r>
    </w:p>
    <w:p w14:paraId="4FFCD7A2">
      <w:pPr>
        <w:widowControl/>
        <w:jc w:val="center"/>
        <w:outlineLvl w:val="0"/>
        <w:rPr>
          <w:rFonts w:ascii="方正小标宋_GBK" w:hAnsi="黑体" w:eastAsia="方正小标宋_GBK"/>
          <w:snapToGrid w:val="0"/>
          <w:kern w:val="0"/>
          <w:sz w:val="38"/>
          <w:szCs w:val="38"/>
        </w:rPr>
      </w:pPr>
      <w:r>
        <w:rPr>
          <w:rFonts w:hint="eastAsia" w:ascii="方正小标宋_GBK" w:hAnsi="黑体" w:eastAsia="方正小标宋_GBK"/>
          <w:snapToGrid w:val="0"/>
          <w:kern w:val="0"/>
          <w:sz w:val="38"/>
          <w:szCs w:val="38"/>
        </w:rPr>
        <w:t>建设项目污染物排放量汇总表</w:t>
      </w:r>
    </w:p>
    <w:tbl>
      <w:tblPr>
        <w:tblStyle w:val="30"/>
        <w:tblW w:w="4985"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57"/>
        <w:gridCol w:w="2580"/>
        <w:gridCol w:w="1360"/>
        <w:gridCol w:w="1091"/>
        <w:gridCol w:w="1360"/>
        <w:gridCol w:w="1360"/>
        <w:gridCol w:w="1495"/>
        <w:gridCol w:w="1562"/>
        <w:gridCol w:w="1387"/>
      </w:tblGrid>
      <w:tr w14:paraId="499422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467" w:type="pct"/>
            <w:tcBorders>
              <w:tl2br w:val="single" w:color="auto" w:sz="4" w:space="0"/>
            </w:tcBorders>
            <w:tcMar>
              <w:left w:w="28" w:type="dxa"/>
              <w:right w:w="28" w:type="dxa"/>
            </w:tcMar>
            <w:vAlign w:val="center"/>
          </w:tcPr>
          <w:p w14:paraId="4A4318F8">
            <w:pPr>
              <w:spacing w:line="276" w:lineRule="auto"/>
              <w:jc w:val="right"/>
              <w:rPr>
                <w:snapToGrid w:val="0"/>
                <w:spacing w:val="-6"/>
                <w:kern w:val="21"/>
                <w:szCs w:val="21"/>
              </w:rPr>
            </w:pPr>
            <w:r>
              <w:rPr>
                <w:rFonts w:hAnsi="宋体"/>
                <w:snapToGrid w:val="0"/>
                <w:spacing w:val="-6"/>
                <w:kern w:val="21"/>
                <w:szCs w:val="21"/>
              </w:rPr>
              <w:t>项目</w:t>
            </w:r>
          </w:p>
          <w:p w14:paraId="6BB9B74A">
            <w:pPr>
              <w:spacing w:line="276" w:lineRule="auto"/>
              <w:jc w:val="left"/>
              <w:rPr>
                <w:snapToGrid w:val="0"/>
                <w:spacing w:val="-6"/>
                <w:kern w:val="21"/>
                <w:szCs w:val="21"/>
              </w:rPr>
            </w:pPr>
            <w:r>
              <w:rPr>
                <w:rFonts w:hAnsi="宋体"/>
                <w:snapToGrid w:val="0"/>
                <w:spacing w:val="-6"/>
                <w:kern w:val="21"/>
                <w:szCs w:val="21"/>
              </w:rPr>
              <w:t>分类</w:t>
            </w:r>
          </w:p>
        </w:tc>
        <w:tc>
          <w:tcPr>
            <w:tcW w:w="958" w:type="pct"/>
            <w:tcMar>
              <w:left w:w="28" w:type="dxa"/>
              <w:right w:w="28" w:type="dxa"/>
            </w:tcMar>
            <w:vAlign w:val="center"/>
          </w:tcPr>
          <w:p w14:paraId="448BB06E">
            <w:pPr>
              <w:spacing w:line="276" w:lineRule="auto"/>
              <w:jc w:val="center"/>
              <w:rPr>
                <w:snapToGrid w:val="0"/>
                <w:spacing w:val="-6"/>
                <w:kern w:val="21"/>
                <w:szCs w:val="21"/>
              </w:rPr>
            </w:pPr>
            <w:r>
              <w:rPr>
                <w:rFonts w:hAnsi="宋体"/>
                <w:snapToGrid w:val="0"/>
                <w:spacing w:val="-6"/>
                <w:kern w:val="21"/>
                <w:szCs w:val="21"/>
              </w:rPr>
              <w:t>污染物名称</w:t>
            </w:r>
          </w:p>
        </w:tc>
        <w:tc>
          <w:tcPr>
            <w:tcW w:w="505" w:type="pct"/>
            <w:tcMar>
              <w:left w:w="28" w:type="dxa"/>
              <w:right w:w="28" w:type="dxa"/>
            </w:tcMar>
            <w:vAlign w:val="center"/>
          </w:tcPr>
          <w:p w14:paraId="16330954">
            <w:pPr>
              <w:spacing w:line="276" w:lineRule="auto"/>
              <w:jc w:val="center"/>
              <w:rPr>
                <w:snapToGrid w:val="0"/>
                <w:spacing w:val="-6"/>
                <w:kern w:val="21"/>
                <w:szCs w:val="21"/>
              </w:rPr>
            </w:pPr>
            <w:r>
              <w:rPr>
                <w:rFonts w:hAnsi="宋体"/>
                <w:snapToGrid w:val="0"/>
                <w:spacing w:val="-6"/>
                <w:kern w:val="21"/>
                <w:szCs w:val="21"/>
              </w:rPr>
              <w:t>现有工程</w:t>
            </w:r>
          </w:p>
          <w:p w14:paraId="7F38E19D">
            <w:pPr>
              <w:spacing w:line="276" w:lineRule="auto"/>
              <w:jc w:val="center"/>
              <w:rPr>
                <w:snapToGrid w:val="0"/>
                <w:spacing w:val="-6"/>
                <w:kern w:val="21"/>
                <w:szCs w:val="21"/>
              </w:rPr>
            </w:pPr>
            <w:r>
              <w:rPr>
                <w:rFonts w:hAnsi="宋体"/>
                <w:snapToGrid w:val="0"/>
                <w:spacing w:val="-6"/>
                <w:kern w:val="21"/>
                <w:szCs w:val="21"/>
              </w:rPr>
              <w:t>排放量（固体废物产生量）</w:t>
            </w:r>
            <w:r>
              <w:rPr>
                <w:snapToGrid w:val="0"/>
                <w:spacing w:val="-6"/>
                <w:kern w:val="21"/>
                <w:szCs w:val="21"/>
              </w:rPr>
              <w:fldChar w:fldCharType="begin"/>
            </w:r>
            <w:r>
              <w:rPr>
                <w:snapToGrid w:val="0"/>
                <w:spacing w:val="-6"/>
                <w:kern w:val="21"/>
                <w:szCs w:val="21"/>
              </w:rPr>
              <w:instrText xml:space="preserve"> = 1 \* GB3 \* MERGEFORMAT </w:instrText>
            </w:r>
            <w:r>
              <w:rPr>
                <w:snapToGrid w:val="0"/>
                <w:spacing w:val="-6"/>
                <w:kern w:val="21"/>
                <w:szCs w:val="21"/>
              </w:rPr>
              <w:fldChar w:fldCharType="separate"/>
            </w:r>
            <w:r>
              <w:rPr>
                <w:rFonts w:hAnsi="宋体"/>
                <w:szCs w:val="21"/>
              </w:rPr>
              <w:t>①</w:t>
            </w:r>
            <w:r>
              <w:rPr>
                <w:snapToGrid w:val="0"/>
                <w:spacing w:val="-6"/>
                <w:kern w:val="21"/>
                <w:szCs w:val="21"/>
              </w:rPr>
              <w:fldChar w:fldCharType="end"/>
            </w:r>
          </w:p>
        </w:tc>
        <w:tc>
          <w:tcPr>
            <w:tcW w:w="405" w:type="pct"/>
            <w:tcMar>
              <w:left w:w="28" w:type="dxa"/>
              <w:right w:w="28" w:type="dxa"/>
            </w:tcMar>
            <w:vAlign w:val="center"/>
          </w:tcPr>
          <w:p w14:paraId="2C9054BA">
            <w:pPr>
              <w:spacing w:line="276" w:lineRule="auto"/>
              <w:jc w:val="center"/>
              <w:rPr>
                <w:snapToGrid w:val="0"/>
                <w:spacing w:val="-6"/>
                <w:kern w:val="21"/>
                <w:szCs w:val="21"/>
              </w:rPr>
            </w:pPr>
            <w:r>
              <w:rPr>
                <w:rFonts w:hAnsi="宋体"/>
                <w:snapToGrid w:val="0"/>
                <w:spacing w:val="-6"/>
                <w:kern w:val="21"/>
                <w:szCs w:val="21"/>
              </w:rPr>
              <w:t>现有工程</w:t>
            </w:r>
          </w:p>
          <w:p w14:paraId="350C6BBD">
            <w:pPr>
              <w:spacing w:line="276" w:lineRule="auto"/>
              <w:jc w:val="center"/>
              <w:rPr>
                <w:snapToGrid w:val="0"/>
                <w:spacing w:val="-6"/>
                <w:kern w:val="21"/>
                <w:szCs w:val="21"/>
              </w:rPr>
            </w:pPr>
            <w:r>
              <w:rPr>
                <w:rFonts w:hAnsi="宋体"/>
                <w:snapToGrid w:val="0"/>
                <w:spacing w:val="-6"/>
                <w:kern w:val="21"/>
                <w:szCs w:val="21"/>
              </w:rPr>
              <w:t>许可排放量</w:t>
            </w:r>
            <w:r>
              <w:rPr>
                <w:snapToGrid w:val="0"/>
                <w:spacing w:val="-6"/>
                <w:kern w:val="21"/>
                <w:szCs w:val="21"/>
              </w:rPr>
              <w:fldChar w:fldCharType="begin"/>
            </w:r>
            <w:r>
              <w:rPr>
                <w:snapToGrid w:val="0"/>
                <w:spacing w:val="-6"/>
                <w:kern w:val="21"/>
                <w:szCs w:val="21"/>
              </w:rPr>
              <w:instrText xml:space="preserve"> = 2 \* GB3 \* MERGEFORMAT </w:instrText>
            </w:r>
            <w:r>
              <w:rPr>
                <w:snapToGrid w:val="0"/>
                <w:spacing w:val="-6"/>
                <w:kern w:val="21"/>
                <w:szCs w:val="21"/>
              </w:rPr>
              <w:fldChar w:fldCharType="separate"/>
            </w:r>
            <w:r>
              <w:rPr>
                <w:rFonts w:hAnsi="宋体"/>
                <w:snapToGrid w:val="0"/>
                <w:spacing w:val="-6"/>
                <w:kern w:val="21"/>
                <w:szCs w:val="21"/>
              </w:rPr>
              <w:t>②</w:t>
            </w:r>
            <w:r>
              <w:rPr>
                <w:snapToGrid w:val="0"/>
                <w:spacing w:val="-6"/>
                <w:kern w:val="21"/>
                <w:szCs w:val="21"/>
              </w:rPr>
              <w:fldChar w:fldCharType="end"/>
            </w:r>
          </w:p>
        </w:tc>
        <w:tc>
          <w:tcPr>
            <w:tcW w:w="505" w:type="pct"/>
            <w:tcMar>
              <w:left w:w="28" w:type="dxa"/>
              <w:right w:w="28" w:type="dxa"/>
            </w:tcMar>
            <w:vAlign w:val="center"/>
          </w:tcPr>
          <w:p w14:paraId="425CC3CA">
            <w:pPr>
              <w:spacing w:line="276" w:lineRule="auto"/>
              <w:jc w:val="center"/>
              <w:rPr>
                <w:snapToGrid w:val="0"/>
                <w:spacing w:val="-6"/>
                <w:kern w:val="21"/>
                <w:szCs w:val="21"/>
              </w:rPr>
            </w:pPr>
            <w:r>
              <w:rPr>
                <w:rFonts w:hAnsi="宋体"/>
                <w:snapToGrid w:val="0"/>
                <w:spacing w:val="-6"/>
                <w:kern w:val="21"/>
                <w:szCs w:val="21"/>
              </w:rPr>
              <w:t>在建工程</w:t>
            </w:r>
          </w:p>
          <w:p w14:paraId="205B06B2">
            <w:pPr>
              <w:spacing w:line="276" w:lineRule="auto"/>
              <w:jc w:val="center"/>
              <w:rPr>
                <w:snapToGrid w:val="0"/>
                <w:spacing w:val="-6"/>
                <w:kern w:val="21"/>
                <w:szCs w:val="21"/>
              </w:rPr>
            </w:pPr>
            <w:r>
              <w:rPr>
                <w:rFonts w:hAnsi="宋体"/>
                <w:snapToGrid w:val="0"/>
                <w:spacing w:val="-6"/>
                <w:kern w:val="21"/>
                <w:szCs w:val="21"/>
              </w:rPr>
              <w:t>排放量（固体废物产生量）</w:t>
            </w:r>
            <w:r>
              <w:rPr>
                <w:snapToGrid w:val="0"/>
                <w:spacing w:val="-6"/>
                <w:kern w:val="21"/>
                <w:szCs w:val="21"/>
              </w:rPr>
              <w:fldChar w:fldCharType="begin"/>
            </w:r>
            <w:r>
              <w:rPr>
                <w:snapToGrid w:val="0"/>
                <w:spacing w:val="-6"/>
                <w:kern w:val="21"/>
                <w:szCs w:val="21"/>
              </w:rPr>
              <w:instrText xml:space="preserve"> = 3 \* GB3 \* MERGEFORMAT </w:instrText>
            </w:r>
            <w:r>
              <w:rPr>
                <w:snapToGrid w:val="0"/>
                <w:spacing w:val="-6"/>
                <w:kern w:val="21"/>
                <w:szCs w:val="21"/>
              </w:rPr>
              <w:fldChar w:fldCharType="separate"/>
            </w:r>
            <w:r>
              <w:rPr>
                <w:rFonts w:hAnsi="宋体"/>
                <w:szCs w:val="21"/>
              </w:rPr>
              <w:t>③</w:t>
            </w:r>
            <w:r>
              <w:rPr>
                <w:snapToGrid w:val="0"/>
                <w:spacing w:val="-6"/>
                <w:kern w:val="21"/>
                <w:szCs w:val="21"/>
              </w:rPr>
              <w:fldChar w:fldCharType="end"/>
            </w:r>
          </w:p>
        </w:tc>
        <w:tc>
          <w:tcPr>
            <w:tcW w:w="505" w:type="pct"/>
            <w:tcMar>
              <w:left w:w="28" w:type="dxa"/>
              <w:right w:w="28" w:type="dxa"/>
            </w:tcMar>
            <w:vAlign w:val="center"/>
          </w:tcPr>
          <w:p w14:paraId="4C672E53">
            <w:pPr>
              <w:spacing w:line="276" w:lineRule="auto"/>
              <w:jc w:val="center"/>
              <w:rPr>
                <w:snapToGrid w:val="0"/>
                <w:spacing w:val="-6"/>
                <w:kern w:val="21"/>
                <w:szCs w:val="21"/>
              </w:rPr>
            </w:pPr>
            <w:r>
              <w:rPr>
                <w:rFonts w:hAnsi="宋体"/>
                <w:snapToGrid w:val="0"/>
                <w:spacing w:val="-6"/>
                <w:kern w:val="21"/>
                <w:szCs w:val="21"/>
              </w:rPr>
              <w:t>本项目</w:t>
            </w:r>
          </w:p>
          <w:p w14:paraId="1F6734FC">
            <w:pPr>
              <w:spacing w:line="276" w:lineRule="auto"/>
              <w:jc w:val="center"/>
              <w:rPr>
                <w:snapToGrid w:val="0"/>
                <w:spacing w:val="-6"/>
                <w:kern w:val="21"/>
                <w:szCs w:val="21"/>
              </w:rPr>
            </w:pPr>
            <w:r>
              <w:rPr>
                <w:rFonts w:hAnsi="宋体"/>
                <w:snapToGrid w:val="0"/>
                <w:spacing w:val="-6"/>
                <w:kern w:val="21"/>
                <w:szCs w:val="21"/>
              </w:rPr>
              <w:t>排放量（固体废物产生量）</w:t>
            </w:r>
            <w:r>
              <w:rPr>
                <w:snapToGrid w:val="0"/>
                <w:spacing w:val="-6"/>
                <w:kern w:val="21"/>
                <w:szCs w:val="21"/>
              </w:rPr>
              <w:fldChar w:fldCharType="begin"/>
            </w:r>
            <w:r>
              <w:rPr>
                <w:snapToGrid w:val="0"/>
                <w:spacing w:val="-6"/>
                <w:kern w:val="21"/>
                <w:szCs w:val="21"/>
              </w:rPr>
              <w:instrText xml:space="preserve"> = 4 \* GB3 \* MERGEFORMAT </w:instrText>
            </w:r>
            <w:r>
              <w:rPr>
                <w:snapToGrid w:val="0"/>
                <w:spacing w:val="-6"/>
                <w:kern w:val="21"/>
                <w:szCs w:val="21"/>
              </w:rPr>
              <w:fldChar w:fldCharType="separate"/>
            </w:r>
            <w:r>
              <w:rPr>
                <w:rFonts w:hAnsi="宋体"/>
                <w:szCs w:val="21"/>
              </w:rPr>
              <w:t>④</w:t>
            </w:r>
            <w:r>
              <w:rPr>
                <w:snapToGrid w:val="0"/>
                <w:spacing w:val="-6"/>
                <w:kern w:val="21"/>
                <w:szCs w:val="21"/>
              </w:rPr>
              <w:fldChar w:fldCharType="end"/>
            </w:r>
          </w:p>
        </w:tc>
        <w:tc>
          <w:tcPr>
            <w:tcW w:w="555" w:type="pct"/>
            <w:tcMar>
              <w:left w:w="28" w:type="dxa"/>
              <w:right w:w="28" w:type="dxa"/>
            </w:tcMar>
            <w:vAlign w:val="center"/>
          </w:tcPr>
          <w:p w14:paraId="1F57673E">
            <w:pPr>
              <w:spacing w:line="276" w:lineRule="auto"/>
              <w:jc w:val="center"/>
              <w:rPr>
                <w:snapToGrid w:val="0"/>
                <w:spacing w:val="-16"/>
                <w:kern w:val="21"/>
                <w:szCs w:val="21"/>
              </w:rPr>
            </w:pPr>
            <w:r>
              <w:rPr>
                <w:rFonts w:hAnsi="宋体"/>
                <w:snapToGrid w:val="0"/>
                <w:spacing w:val="-16"/>
                <w:kern w:val="21"/>
                <w:szCs w:val="21"/>
              </w:rPr>
              <w:t>以新带老削减量</w:t>
            </w:r>
          </w:p>
          <w:p w14:paraId="25ECD09C">
            <w:pPr>
              <w:spacing w:line="276" w:lineRule="auto"/>
              <w:jc w:val="center"/>
              <w:rPr>
                <w:snapToGrid w:val="0"/>
                <w:spacing w:val="-16"/>
                <w:kern w:val="21"/>
                <w:szCs w:val="21"/>
              </w:rPr>
            </w:pPr>
            <w:r>
              <w:rPr>
                <w:rFonts w:hAnsi="宋体"/>
                <w:snapToGrid w:val="0"/>
                <w:spacing w:val="-16"/>
                <w:kern w:val="21"/>
                <w:szCs w:val="21"/>
              </w:rPr>
              <w:t>（新建项目不填）</w:t>
            </w:r>
            <w:r>
              <w:rPr>
                <w:snapToGrid w:val="0"/>
                <w:spacing w:val="-16"/>
                <w:kern w:val="21"/>
                <w:szCs w:val="21"/>
              </w:rPr>
              <w:fldChar w:fldCharType="begin"/>
            </w:r>
            <w:r>
              <w:rPr>
                <w:snapToGrid w:val="0"/>
                <w:spacing w:val="-16"/>
                <w:kern w:val="21"/>
                <w:szCs w:val="21"/>
              </w:rPr>
              <w:instrText xml:space="preserve"> = 5 \* GB3 \* MERGEFORMAT </w:instrText>
            </w:r>
            <w:r>
              <w:rPr>
                <w:snapToGrid w:val="0"/>
                <w:spacing w:val="-16"/>
                <w:kern w:val="21"/>
                <w:szCs w:val="21"/>
              </w:rPr>
              <w:fldChar w:fldCharType="separate"/>
            </w:r>
            <w:r>
              <w:rPr>
                <w:rFonts w:hAnsi="宋体"/>
                <w:szCs w:val="21"/>
              </w:rPr>
              <w:t>⑤</w:t>
            </w:r>
            <w:r>
              <w:rPr>
                <w:snapToGrid w:val="0"/>
                <w:spacing w:val="-16"/>
                <w:kern w:val="21"/>
                <w:szCs w:val="21"/>
              </w:rPr>
              <w:fldChar w:fldCharType="end"/>
            </w:r>
          </w:p>
        </w:tc>
        <w:tc>
          <w:tcPr>
            <w:tcW w:w="580" w:type="pct"/>
            <w:tcMar>
              <w:left w:w="28" w:type="dxa"/>
              <w:right w:w="28" w:type="dxa"/>
            </w:tcMar>
            <w:vAlign w:val="center"/>
          </w:tcPr>
          <w:p w14:paraId="6DD363D3">
            <w:pPr>
              <w:spacing w:line="276" w:lineRule="auto"/>
              <w:jc w:val="center"/>
              <w:rPr>
                <w:snapToGrid w:val="0"/>
                <w:spacing w:val="-16"/>
                <w:kern w:val="21"/>
                <w:szCs w:val="21"/>
              </w:rPr>
            </w:pPr>
            <w:r>
              <w:rPr>
                <w:rFonts w:hAnsi="宋体"/>
                <w:snapToGrid w:val="0"/>
                <w:spacing w:val="-16"/>
                <w:kern w:val="21"/>
                <w:szCs w:val="21"/>
              </w:rPr>
              <w:t>本项目建成后</w:t>
            </w:r>
          </w:p>
          <w:p w14:paraId="7DF68B4A">
            <w:pPr>
              <w:spacing w:line="276" w:lineRule="auto"/>
              <w:jc w:val="center"/>
              <w:rPr>
                <w:snapToGrid w:val="0"/>
                <w:spacing w:val="-16"/>
                <w:kern w:val="21"/>
                <w:szCs w:val="21"/>
              </w:rPr>
            </w:pPr>
            <w:r>
              <w:rPr>
                <w:rFonts w:hAnsi="宋体"/>
                <w:snapToGrid w:val="0"/>
                <w:spacing w:val="-16"/>
                <w:kern w:val="21"/>
                <w:szCs w:val="21"/>
              </w:rPr>
              <w:t>全厂排放量（固体废物产生量）</w:t>
            </w:r>
            <w:r>
              <w:rPr>
                <w:snapToGrid w:val="0"/>
                <w:spacing w:val="-16"/>
                <w:kern w:val="21"/>
                <w:szCs w:val="21"/>
              </w:rPr>
              <w:fldChar w:fldCharType="begin"/>
            </w:r>
            <w:r>
              <w:rPr>
                <w:snapToGrid w:val="0"/>
                <w:spacing w:val="-16"/>
                <w:kern w:val="21"/>
                <w:szCs w:val="21"/>
              </w:rPr>
              <w:instrText xml:space="preserve"> = 6 \* GB3 \* MERGEFORMAT </w:instrText>
            </w:r>
            <w:r>
              <w:rPr>
                <w:snapToGrid w:val="0"/>
                <w:spacing w:val="-16"/>
                <w:kern w:val="21"/>
                <w:szCs w:val="21"/>
              </w:rPr>
              <w:fldChar w:fldCharType="separate"/>
            </w:r>
            <w:r>
              <w:rPr>
                <w:rFonts w:hAnsi="宋体"/>
                <w:szCs w:val="21"/>
              </w:rPr>
              <w:t>⑥</w:t>
            </w:r>
            <w:r>
              <w:rPr>
                <w:snapToGrid w:val="0"/>
                <w:spacing w:val="-16"/>
                <w:kern w:val="21"/>
                <w:szCs w:val="21"/>
              </w:rPr>
              <w:fldChar w:fldCharType="end"/>
            </w:r>
          </w:p>
        </w:tc>
        <w:tc>
          <w:tcPr>
            <w:tcW w:w="515" w:type="pct"/>
            <w:tcMar>
              <w:left w:w="28" w:type="dxa"/>
              <w:right w:w="28" w:type="dxa"/>
            </w:tcMar>
            <w:vAlign w:val="center"/>
          </w:tcPr>
          <w:p w14:paraId="35D7EFBC">
            <w:pPr>
              <w:spacing w:line="276" w:lineRule="auto"/>
              <w:jc w:val="center"/>
              <w:rPr>
                <w:snapToGrid w:val="0"/>
                <w:spacing w:val="-6"/>
                <w:kern w:val="21"/>
                <w:szCs w:val="21"/>
              </w:rPr>
            </w:pPr>
            <w:r>
              <w:rPr>
                <w:rFonts w:hAnsi="宋体"/>
                <w:snapToGrid w:val="0"/>
                <w:spacing w:val="-6"/>
                <w:kern w:val="21"/>
                <w:szCs w:val="21"/>
              </w:rPr>
              <w:t>变化量</w:t>
            </w:r>
          </w:p>
          <w:p w14:paraId="31025B77">
            <w:pPr>
              <w:spacing w:line="276" w:lineRule="auto"/>
              <w:jc w:val="center"/>
              <w:rPr>
                <w:snapToGrid w:val="0"/>
                <w:spacing w:val="-6"/>
                <w:kern w:val="21"/>
                <w:szCs w:val="21"/>
              </w:rPr>
            </w:pPr>
            <w:r>
              <w:rPr>
                <w:snapToGrid w:val="0"/>
                <w:spacing w:val="-6"/>
                <w:kern w:val="21"/>
                <w:szCs w:val="21"/>
              </w:rPr>
              <w:fldChar w:fldCharType="begin"/>
            </w:r>
            <w:r>
              <w:rPr>
                <w:snapToGrid w:val="0"/>
                <w:spacing w:val="-6"/>
                <w:kern w:val="21"/>
                <w:szCs w:val="21"/>
              </w:rPr>
              <w:instrText xml:space="preserve"> = 7 \* GB3 \* MERGEFORMAT </w:instrText>
            </w:r>
            <w:r>
              <w:rPr>
                <w:snapToGrid w:val="0"/>
                <w:spacing w:val="-6"/>
                <w:kern w:val="21"/>
                <w:szCs w:val="21"/>
              </w:rPr>
              <w:fldChar w:fldCharType="separate"/>
            </w:r>
            <w:r>
              <w:rPr>
                <w:rFonts w:hAnsi="宋体"/>
                <w:szCs w:val="21"/>
              </w:rPr>
              <w:t>⑦</w:t>
            </w:r>
            <w:r>
              <w:rPr>
                <w:snapToGrid w:val="0"/>
                <w:spacing w:val="-6"/>
                <w:kern w:val="21"/>
                <w:szCs w:val="21"/>
              </w:rPr>
              <w:fldChar w:fldCharType="end"/>
            </w:r>
          </w:p>
        </w:tc>
      </w:tr>
      <w:tr w14:paraId="1B8233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67" w:type="pct"/>
            <w:vMerge w:val="restart"/>
            <w:vAlign w:val="center"/>
          </w:tcPr>
          <w:p w14:paraId="3312CBD7">
            <w:pPr>
              <w:spacing w:line="276" w:lineRule="auto"/>
              <w:jc w:val="center"/>
              <w:rPr>
                <w:snapToGrid w:val="0"/>
                <w:kern w:val="21"/>
                <w:szCs w:val="21"/>
              </w:rPr>
            </w:pPr>
            <w:r>
              <w:rPr>
                <w:rFonts w:hint="eastAsia"/>
                <w:snapToGrid w:val="0"/>
                <w:kern w:val="21"/>
                <w:szCs w:val="21"/>
              </w:rPr>
              <w:t>废气</w:t>
            </w:r>
          </w:p>
        </w:tc>
        <w:tc>
          <w:tcPr>
            <w:tcW w:w="958" w:type="pct"/>
            <w:vAlign w:val="center"/>
          </w:tcPr>
          <w:p w14:paraId="256B5E50">
            <w:pPr>
              <w:spacing w:line="276" w:lineRule="auto"/>
              <w:jc w:val="center"/>
              <w:rPr>
                <w:snapToGrid w:val="0"/>
                <w:kern w:val="21"/>
                <w:szCs w:val="21"/>
              </w:rPr>
            </w:pPr>
            <w:r>
              <w:rPr>
                <w:rFonts w:hint="eastAsia"/>
                <w:snapToGrid w:val="0"/>
                <w:kern w:val="21"/>
                <w:szCs w:val="21"/>
              </w:rPr>
              <w:t>颗粒物</w:t>
            </w:r>
          </w:p>
        </w:tc>
        <w:tc>
          <w:tcPr>
            <w:tcW w:w="505" w:type="pct"/>
            <w:vAlign w:val="center"/>
          </w:tcPr>
          <w:p w14:paraId="68934AE3">
            <w:pPr>
              <w:spacing w:line="276" w:lineRule="auto"/>
              <w:jc w:val="center"/>
              <w:rPr>
                <w:snapToGrid w:val="0"/>
                <w:kern w:val="21"/>
                <w:szCs w:val="21"/>
              </w:rPr>
            </w:pPr>
            <w:r>
              <w:rPr>
                <w:rFonts w:hint="eastAsia"/>
                <w:snapToGrid w:val="0"/>
                <w:kern w:val="21"/>
                <w:szCs w:val="21"/>
              </w:rPr>
              <w:t>0</w:t>
            </w:r>
          </w:p>
        </w:tc>
        <w:tc>
          <w:tcPr>
            <w:tcW w:w="405" w:type="pct"/>
            <w:vAlign w:val="center"/>
          </w:tcPr>
          <w:p w14:paraId="4666D430">
            <w:pPr>
              <w:spacing w:line="276" w:lineRule="auto"/>
              <w:jc w:val="center"/>
              <w:rPr>
                <w:snapToGrid w:val="0"/>
                <w:kern w:val="21"/>
                <w:szCs w:val="21"/>
              </w:rPr>
            </w:pPr>
            <w:r>
              <w:rPr>
                <w:rFonts w:hint="eastAsia"/>
                <w:snapToGrid w:val="0"/>
                <w:kern w:val="21"/>
                <w:szCs w:val="21"/>
              </w:rPr>
              <w:t>0</w:t>
            </w:r>
          </w:p>
        </w:tc>
        <w:tc>
          <w:tcPr>
            <w:tcW w:w="505" w:type="pct"/>
            <w:vAlign w:val="center"/>
          </w:tcPr>
          <w:p w14:paraId="0D98988F">
            <w:pPr>
              <w:spacing w:line="276" w:lineRule="auto"/>
              <w:jc w:val="center"/>
              <w:rPr>
                <w:snapToGrid w:val="0"/>
                <w:kern w:val="21"/>
                <w:szCs w:val="21"/>
              </w:rPr>
            </w:pPr>
            <w:r>
              <w:rPr>
                <w:rFonts w:hint="eastAsia"/>
                <w:snapToGrid w:val="0"/>
                <w:kern w:val="21"/>
                <w:szCs w:val="21"/>
              </w:rPr>
              <w:t>0</w:t>
            </w:r>
          </w:p>
        </w:tc>
        <w:tc>
          <w:tcPr>
            <w:tcW w:w="505" w:type="pct"/>
            <w:vAlign w:val="center"/>
          </w:tcPr>
          <w:p w14:paraId="77C71380">
            <w:pPr>
              <w:spacing w:line="276" w:lineRule="auto"/>
              <w:jc w:val="center"/>
              <w:rPr>
                <w:snapToGrid w:val="0"/>
                <w:kern w:val="21"/>
                <w:szCs w:val="21"/>
              </w:rPr>
            </w:pPr>
            <w:r>
              <w:rPr>
                <w:rFonts w:hint="eastAsia"/>
                <w:snapToGrid w:val="0"/>
                <w:kern w:val="21"/>
                <w:szCs w:val="21"/>
              </w:rPr>
              <w:t>0.188</w:t>
            </w:r>
            <w:r>
              <w:rPr>
                <w:snapToGrid w:val="0"/>
                <w:kern w:val="21"/>
                <w:szCs w:val="21"/>
              </w:rPr>
              <w:t>t/a</w:t>
            </w:r>
          </w:p>
        </w:tc>
        <w:tc>
          <w:tcPr>
            <w:tcW w:w="555" w:type="pct"/>
            <w:vAlign w:val="center"/>
          </w:tcPr>
          <w:p w14:paraId="79E18C87">
            <w:pPr>
              <w:spacing w:line="276" w:lineRule="auto"/>
              <w:jc w:val="center"/>
              <w:rPr>
                <w:snapToGrid w:val="0"/>
                <w:kern w:val="21"/>
                <w:szCs w:val="21"/>
              </w:rPr>
            </w:pPr>
            <w:r>
              <w:rPr>
                <w:rFonts w:hint="eastAsia" w:hAnsi="宋体"/>
                <w:snapToGrid w:val="0"/>
                <w:kern w:val="21"/>
                <w:szCs w:val="21"/>
              </w:rPr>
              <w:t>/</w:t>
            </w:r>
          </w:p>
        </w:tc>
        <w:tc>
          <w:tcPr>
            <w:tcW w:w="1562" w:type="dxa"/>
            <w:vAlign w:val="center"/>
          </w:tcPr>
          <w:p w14:paraId="6133BA41">
            <w:pPr>
              <w:spacing w:line="276" w:lineRule="auto"/>
              <w:jc w:val="center"/>
              <w:rPr>
                <w:snapToGrid w:val="0"/>
                <w:kern w:val="21"/>
                <w:szCs w:val="21"/>
              </w:rPr>
            </w:pPr>
            <w:r>
              <w:rPr>
                <w:rFonts w:hint="eastAsia"/>
                <w:snapToGrid w:val="0"/>
                <w:kern w:val="21"/>
                <w:szCs w:val="21"/>
              </w:rPr>
              <w:t>0.188</w:t>
            </w:r>
            <w:r>
              <w:rPr>
                <w:snapToGrid w:val="0"/>
                <w:kern w:val="21"/>
                <w:szCs w:val="21"/>
              </w:rPr>
              <w:t>t/a</w:t>
            </w:r>
          </w:p>
        </w:tc>
        <w:tc>
          <w:tcPr>
            <w:tcW w:w="1387" w:type="dxa"/>
            <w:vAlign w:val="center"/>
          </w:tcPr>
          <w:p w14:paraId="664995B9">
            <w:pPr>
              <w:spacing w:line="276" w:lineRule="auto"/>
              <w:jc w:val="center"/>
              <w:rPr>
                <w:snapToGrid w:val="0"/>
                <w:kern w:val="21"/>
                <w:szCs w:val="21"/>
              </w:rPr>
            </w:pPr>
            <w:r>
              <w:rPr>
                <w:rFonts w:hint="eastAsia"/>
                <w:snapToGrid w:val="0"/>
                <w:kern w:val="21"/>
                <w:szCs w:val="21"/>
              </w:rPr>
              <w:t>0.188</w:t>
            </w:r>
            <w:r>
              <w:rPr>
                <w:snapToGrid w:val="0"/>
                <w:kern w:val="21"/>
                <w:szCs w:val="21"/>
              </w:rPr>
              <w:t>t/a</w:t>
            </w:r>
          </w:p>
        </w:tc>
      </w:tr>
      <w:tr w14:paraId="1EE23D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67" w:type="pct"/>
            <w:vMerge w:val="continue"/>
            <w:vAlign w:val="center"/>
          </w:tcPr>
          <w:p w14:paraId="7CA4365A">
            <w:pPr>
              <w:spacing w:line="276" w:lineRule="auto"/>
              <w:jc w:val="center"/>
              <w:rPr>
                <w:snapToGrid w:val="0"/>
                <w:kern w:val="21"/>
                <w:szCs w:val="21"/>
              </w:rPr>
            </w:pPr>
          </w:p>
        </w:tc>
        <w:tc>
          <w:tcPr>
            <w:tcW w:w="958" w:type="pct"/>
            <w:vAlign w:val="center"/>
          </w:tcPr>
          <w:p w14:paraId="26F12E8C">
            <w:pPr>
              <w:spacing w:line="276" w:lineRule="auto"/>
              <w:jc w:val="center"/>
              <w:rPr>
                <w:snapToGrid w:val="0"/>
                <w:kern w:val="21"/>
                <w:szCs w:val="21"/>
              </w:rPr>
            </w:pPr>
            <w:r>
              <w:rPr>
                <w:rFonts w:hint="eastAsia"/>
                <w:snapToGrid w:val="0"/>
                <w:kern w:val="21"/>
                <w:szCs w:val="21"/>
              </w:rPr>
              <w:t>二氧化硫</w:t>
            </w:r>
          </w:p>
        </w:tc>
        <w:tc>
          <w:tcPr>
            <w:tcW w:w="505" w:type="pct"/>
            <w:vAlign w:val="center"/>
          </w:tcPr>
          <w:p w14:paraId="00EA4A3E">
            <w:pPr>
              <w:spacing w:line="276" w:lineRule="auto"/>
              <w:jc w:val="center"/>
              <w:rPr>
                <w:snapToGrid w:val="0"/>
                <w:kern w:val="21"/>
                <w:szCs w:val="21"/>
              </w:rPr>
            </w:pPr>
            <w:r>
              <w:rPr>
                <w:rFonts w:hint="eastAsia"/>
                <w:snapToGrid w:val="0"/>
                <w:kern w:val="21"/>
                <w:szCs w:val="21"/>
              </w:rPr>
              <w:t>0</w:t>
            </w:r>
          </w:p>
        </w:tc>
        <w:tc>
          <w:tcPr>
            <w:tcW w:w="405" w:type="pct"/>
            <w:vAlign w:val="center"/>
          </w:tcPr>
          <w:p w14:paraId="5117949A">
            <w:pPr>
              <w:spacing w:line="276" w:lineRule="auto"/>
              <w:jc w:val="center"/>
              <w:rPr>
                <w:snapToGrid w:val="0"/>
                <w:kern w:val="21"/>
                <w:szCs w:val="21"/>
              </w:rPr>
            </w:pPr>
            <w:r>
              <w:rPr>
                <w:rFonts w:hint="eastAsia"/>
                <w:snapToGrid w:val="0"/>
                <w:kern w:val="21"/>
                <w:szCs w:val="21"/>
              </w:rPr>
              <w:t>0</w:t>
            </w:r>
          </w:p>
        </w:tc>
        <w:tc>
          <w:tcPr>
            <w:tcW w:w="505" w:type="pct"/>
            <w:vAlign w:val="center"/>
          </w:tcPr>
          <w:p w14:paraId="47A25E55">
            <w:pPr>
              <w:spacing w:line="276" w:lineRule="auto"/>
              <w:jc w:val="center"/>
              <w:rPr>
                <w:snapToGrid w:val="0"/>
                <w:kern w:val="21"/>
                <w:szCs w:val="21"/>
              </w:rPr>
            </w:pPr>
            <w:r>
              <w:rPr>
                <w:rFonts w:hint="eastAsia"/>
                <w:snapToGrid w:val="0"/>
                <w:kern w:val="21"/>
                <w:szCs w:val="21"/>
              </w:rPr>
              <w:t>0</w:t>
            </w:r>
          </w:p>
        </w:tc>
        <w:tc>
          <w:tcPr>
            <w:tcW w:w="505" w:type="pct"/>
            <w:vAlign w:val="center"/>
          </w:tcPr>
          <w:p w14:paraId="5756B3E5">
            <w:pPr>
              <w:spacing w:line="276" w:lineRule="auto"/>
              <w:jc w:val="center"/>
              <w:rPr>
                <w:szCs w:val="21"/>
              </w:rPr>
            </w:pPr>
            <w:r>
              <w:rPr>
                <w:rFonts w:hint="eastAsia" w:eastAsia="仿宋"/>
                <w:szCs w:val="21"/>
              </w:rPr>
              <w:t>0.065</w:t>
            </w:r>
            <w:r>
              <w:rPr>
                <w:snapToGrid w:val="0"/>
                <w:kern w:val="21"/>
                <w:szCs w:val="21"/>
              </w:rPr>
              <w:t>/a</w:t>
            </w:r>
          </w:p>
        </w:tc>
        <w:tc>
          <w:tcPr>
            <w:tcW w:w="555" w:type="pct"/>
            <w:vAlign w:val="center"/>
          </w:tcPr>
          <w:p w14:paraId="3F8F66F8">
            <w:pPr>
              <w:spacing w:line="276" w:lineRule="auto"/>
              <w:jc w:val="center"/>
              <w:rPr>
                <w:snapToGrid w:val="0"/>
                <w:kern w:val="21"/>
                <w:szCs w:val="21"/>
              </w:rPr>
            </w:pPr>
            <w:r>
              <w:rPr>
                <w:rFonts w:hint="eastAsia"/>
                <w:snapToGrid w:val="0"/>
                <w:kern w:val="21"/>
                <w:szCs w:val="21"/>
              </w:rPr>
              <w:t>/</w:t>
            </w:r>
          </w:p>
        </w:tc>
        <w:tc>
          <w:tcPr>
            <w:tcW w:w="1562" w:type="dxa"/>
            <w:vAlign w:val="center"/>
          </w:tcPr>
          <w:p w14:paraId="3057468F">
            <w:pPr>
              <w:spacing w:line="276" w:lineRule="auto"/>
              <w:jc w:val="center"/>
              <w:rPr>
                <w:szCs w:val="21"/>
              </w:rPr>
            </w:pPr>
            <w:r>
              <w:rPr>
                <w:rFonts w:hint="eastAsia" w:eastAsia="仿宋"/>
                <w:szCs w:val="21"/>
              </w:rPr>
              <w:t>0.065</w:t>
            </w:r>
            <w:r>
              <w:rPr>
                <w:snapToGrid w:val="0"/>
                <w:kern w:val="21"/>
                <w:szCs w:val="21"/>
              </w:rPr>
              <w:t>/a</w:t>
            </w:r>
          </w:p>
        </w:tc>
        <w:tc>
          <w:tcPr>
            <w:tcW w:w="1387" w:type="dxa"/>
            <w:vAlign w:val="center"/>
          </w:tcPr>
          <w:p w14:paraId="1453B3A4">
            <w:pPr>
              <w:spacing w:line="276" w:lineRule="auto"/>
              <w:jc w:val="center"/>
              <w:rPr>
                <w:szCs w:val="21"/>
              </w:rPr>
            </w:pPr>
            <w:r>
              <w:rPr>
                <w:rFonts w:hint="eastAsia" w:eastAsia="仿宋"/>
                <w:szCs w:val="21"/>
              </w:rPr>
              <w:t>0.065</w:t>
            </w:r>
            <w:r>
              <w:rPr>
                <w:snapToGrid w:val="0"/>
                <w:kern w:val="21"/>
                <w:szCs w:val="21"/>
              </w:rPr>
              <w:t>/a</w:t>
            </w:r>
          </w:p>
        </w:tc>
      </w:tr>
      <w:tr w14:paraId="49CBB4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67" w:type="pct"/>
            <w:vMerge w:val="continue"/>
            <w:vAlign w:val="center"/>
          </w:tcPr>
          <w:p w14:paraId="316EBA5E">
            <w:pPr>
              <w:spacing w:line="276" w:lineRule="auto"/>
              <w:jc w:val="center"/>
              <w:rPr>
                <w:snapToGrid w:val="0"/>
                <w:kern w:val="21"/>
                <w:szCs w:val="21"/>
              </w:rPr>
            </w:pPr>
          </w:p>
        </w:tc>
        <w:tc>
          <w:tcPr>
            <w:tcW w:w="958" w:type="pct"/>
            <w:vAlign w:val="center"/>
          </w:tcPr>
          <w:p w14:paraId="2D6FAA6E">
            <w:pPr>
              <w:spacing w:line="276" w:lineRule="auto"/>
              <w:jc w:val="center"/>
              <w:rPr>
                <w:snapToGrid w:val="0"/>
                <w:kern w:val="21"/>
                <w:szCs w:val="21"/>
              </w:rPr>
            </w:pPr>
            <w:r>
              <w:rPr>
                <w:rFonts w:hint="eastAsia"/>
                <w:snapToGrid w:val="0"/>
                <w:kern w:val="21"/>
                <w:szCs w:val="21"/>
              </w:rPr>
              <w:t>氮氧化物</w:t>
            </w:r>
          </w:p>
        </w:tc>
        <w:tc>
          <w:tcPr>
            <w:tcW w:w="505" w:type="pct"/>
            <w:vAlign w:val="center"/>
          </w:tcPr>
          <w:p w14:paraId="69994463">
            <w:pPr>
              <w:spacing w:line="276" w:lineRule="auto"/>
              <w:jc w:val="center"/>
              <w:rPr>
                <w:snapToGrid w:val="0"/>
                <w:kern w:val="21"/>
                <w:szCs w:val="21"/>
              </w:rPr>
            </w:pPr>
            <w:r>
              <w:rPr>
                <w:rFonts w:hint="eastAsia"/>
                <w:snapToGrid w:val="0"/>
                <w:kern w:val="21"/>
                <w:szCs w:val="21"/>
              </w:rPr>
              <w:t>0</w:t>
            </w:r>
          </w:p>
        </w:tc>
        <w:tc>
          <w:tcPr>
            <w:tcW w:w="405" w:type="pct"/>
            <w:vAlign w:val="center"/>
          </w:tcPr>
          <w:p w14:paraId="43DC0B24">
            <w:pPr>
              <w:spacing w:line="276" w:lineRule="auto"/>
              <w:jc w:val="center"/>
              <w:rPr>
                <w:snapToGrid w:val="0"/>
                <w:kern w:val="21"/>
                <w:szCs w:val="21"/>
              </w:rPr>
            </w:pPr>
            <w:r>
              <w:rPr>
                <w:rFonts w:hint="eastAsia"/>
                <w:snapToGrid w:val="0"/>
                <w:kern w:val="21"/>
                <w:szCs w:val="21"/>
              </w:rPr>
              <w:t>0</w:t>
            </w:r>
          </w:p>
        </w:tc>
        <w:tc>
          <w:tcPr>
            <w:tcW w:w="505" w:type="pct"/>
            <w:vAlign w:val="center"/>
          </w:tcPr>
          <w:p w14:paraId="7910DFAE">
            <w:pPr>
              <w:spacing w:line="276" w:lineRule="auto"/>
              <w:jc w:val="center"/>
              <w:rPr>
                <w:snapToGrid w:val="0"/>
                <w:kern w:val="21"/>
                <w:szCs w:val="21"/>
              </w:rPr>
            </w:pPr>
            <w:r>
              <w:rPr>
                <w:rFonts w:hint="eastAsia"/>
                <w:snapToGrid w:val="0"/>
                <w:kern w:val="21"/>
                <w:szCs w:val="21"/>
              </w:rPr>
              <w:t>0</w:t>
            </w:r>
          </w:p>
        </w:tc>
        <w:tc>
          <w:tcPr>
            <w:tcW w:w="505" w:type="pct"/>
            <w:vAlign w:val="center"/>
          </w:tcPr>
          <w:p w14:paraId="141180DF">
            <w:pPr>
              <w:spacing w:line="276" w:lineRule="auto"/>
              <w:jc w:val="center"/>
              <w:rPr>
                <w:szCs w:val="21"/>
              </w:rPr>
            </w:pPr>
            <w:r>
              <w:rPr>
                <w:rFonts w:hint="eastAsia" w:eastAsia="仿宋"/>
                <w:szCs w:val="21"/>
              </w:rPr>
              <w:t>0.049</w:t>
            </w:r>
            <w:r>
              <w:rPr>
                <w:snapToGrid w:val="0"/>
                <w:kern w:val="21"/>
                <w:szCs w:val="21"/>
              </w:rPr>
              <w:t>t/a</w:t>
            </w:r>
          </w:p>
        </w:tc>
        <w:tc>
          <w:tcPr>
            <w:tcW w:w="555" w:type="pct"/>
            <w:vAlign w:val="center"/>
          </w:tcPr>
          <w:p w14:paraId="17E0B228">
            <w:pPr>
              <w:spacing w:line="276" w:lineRule="auto"/>
              <w:jc w:val="center"/>
              <w:rPr>
                <w:snapToGrid w:val="0"/>
                <w:kern w:val="21"/>
                <w:szCs w:val="21"/>
              </w:rPr>
            </w:pPr>
            <w:r>
              <w:rPr>
                <w:rFonts w:hint="eastAsia"/>
                <w:snapToGrid w:val="0"/>
                <w:kern w:val="21"/>
                <w:szCs w:val="21"/>
              </w:rPr>
              <w:t>/</w:t>
            </w:r>
          </w:p>
        </w:tc>
        <w:tc>
          <w:tcPr>
            <w:tcW w:w="1562" w:type="dxa"/>
            <w:vAlign w:val="center"/>
          </w:tcPr>
          <w:p w14:paraId="31E1C450">
            <w:pPr>
              <w:spacing w:line="276" w:lineRule="auto"/>
              <w:jc w:val="center"/>
              <w:rPr>
                <w:szCs w:val="21"/>
              </w:rPr>
            </w:pPr>
            <w:r>
              <w:rPr>
                <w:rFonts w:hint="eastAsia" w:eastAsia="仿宋"/>
                <w:szCs w:val="21"/>
              </w:rPr>
              <w:t>0.049</w:t>
            </w:r>
            <w:r>
              <w:rPr>
                <w:snapToGrid w:val="0"/>
                <w:kern w:val="21"/>
                <w:szCs w:val="21"/>
              </w:rPr>
              <w:t>t/a</w:t>
            </w:r>
          </w:p>
        </w:tc>
        <w:tc>
          <w:tcPr>
            <w:tcW w:w="1387" w:type="dxa"/>
            <w:vAlign w:val="center"/>
          </w:tcPr>
          <w:p w14:paraId="6037604A">
            <w:pPr>
              <w:spacing w:line="276" w:lineRule="auto"/>
              <w:jc w:val="center"/>
              <w:rPr>
                <w:szCs w:val="21"/>
              </w:rPr>
            </w:pPr>
            <w:r>
              <w:rPr>
                <w:rFonts w:hint="eastAsia" w:eastAsia="仿宋"/>
                <w:szCs w:val="21"/>
              </w:rPr>
              <w:t>0.049</w:t>
            </w:r>
            <w:r>
              <w:rPr>
                <w:snapToGrid w:val="0"/>
                <w:kern w:val="21"/>
                <w:szCs w:val="21"/>
              </w:rPr>
              <w:t>t/a</w:t>
            </w:r>
          </w:p>
        </w:tc>
      </w:tr>
      <w:tr w14:paraId="08DC79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67" w:type="pct"/>
            <w:vMerge w:val="continue"/>
            <w:vAlign w:val="center"/>
          </w:tcPr>
          <w:p w14:paraId="5D78F1C3">
            <w:pPr>
              <w:spacing w:line="276" w:lineRule="auto"/>
              <w:jc w:val="center"/>
              <w:rPr>
                <w:snapToGrid w:val="0"/>
                <w:kern w:val="21"/>
                <w:szCs w:val="21"/>
              </w:rPr>
            </w:pPr>
          </w:p>
        </w:tc>
        <w:tc>
          <w:tcPr>
            <w:tcW w:w="958" w:type="pct"/>
            <w:vAlign w:val="center"/>
          </w:tcPr>
          <w:p w14:paraId="7050098F">
            <w:pPr>
              <w:spacing w:line="276" w:lineRule="auto"/>
              <w:jc w:val="center"/>
              <w:rPr>
                <w:snapToGrid w:val="0"/>
                <w:kern w:val="21"/>
                <w:szCs w:val="21"/>
              </w:rPr>
            </w:pPr>
            <w:r>
              <w:rPr>
                <w:rFonts w:hint="eastAsia"/>
                <w:snapToGrid w:val="0"/>
                <w:kern w:val="21"/>
                <w:szCs w:val="21"/>
              </w:rPr>
              <w:t>沥青烟</w:t>
            </w:r>
          </w:p>
        </w:tc>
        <w:tc>
          <w:tcPr>
            <w:tcW w:w="505" w:type="pct"/>
            <w:vAlign w:val="center"/>
          </w:tcPr>
          <w:p w14:paraId="33988C23">
            <w:pPr>
              <w:spacing w:line="276" w:lineRule="auto"/>
              <w:jc w:val="center"/>
              <w:rPr>
                <w:snapToGrid w:val="0"/>
                <w:kern w:val="21"/>
                <w:szCs w:val="21"/>
              </w:rPr>
            </w:pPr>
            <w:r>
              <w:rPr>
                <w:rFonts w:hint="eastAsia"/>
                <w:snapToGrid w:val="0"/>
                <w:kern w:val="21"/>
                <w:szCs w:val="21"/>
              </w:rPr>
              <w:t>0</w:t>
            </w:r>
          </w:p>
        </w:tc>
        <w:tc>
          <w:tcPr>
            <w:tcW w:w="405" w:type="pct"/>
            <w:vAlign w:val="center"/>
          </w:tcPr>
          <w:p w14:paraId="57F3B4AA">
            <w:pPr>
              <w:spacing w:line="276" w:lineRule="auto"/>
              <w:jc w:val="center"/>
              <w:rPr>
                <w:snapToGrid w:val="0"/>
                <w:kern w:val="21"/>
                <w:szCs w:val="21"/>
              </w:rPr>
            </w:pPr>
            <w:r>
              <w:rPr>
                <w:rFonts w:hint="eastAsia"/>
                <w:snapToGrid w:val="0"/>
                <w:kern w:val="21"/>
                <w:szCs w:val="21"/>
              </w:rPr>
              <w:t>0</w:t>
            </w:r>
          </w:p>
        </w:tc>
        <w:tc>
          <w:tcPr>
            <w:tcW w:w="505" w:type="pct"/>
            <w:vAlign w:val="center"/>
          </w:tcPr>
          <w:p w14:paraId="48CD034B">
            <w:pPr>
              <w:spacing w:line="276" w:lineRule="auto"/>
              <w:jc w:val="center"/>
              <w:rPr>
                <w:snapToGrid w:val="0"/>
                <w:kern w:val="21"/>
                <w:szCs w:val="21"/>
              </w:rPr>
            </w:pPr>
            <w:r>
              <w:rPr>
                <w:rFonts w:hint="eastAsia"/>
                <w:snapToGrid w:val="0"/>
                <w:kern w:val="21"/>
                <w:szCs w:val="21"/>
              </w:rPr>
              <w:t>0</w:t>
            </w:r>
          </w:p>
        </w:tc>
        <w:tc>
          <w:tcPr>
            <w:tcW w:w="505" w:type="pct"/>
            <w:vAlign w:val="center"/>
          </w:tcPr>
          <w:p w14:paraId="0D6E0DB0">
            <w:pPr>
              <w:spacing w:line="276" w:lineRule="auto"/>
              <w:jc w:val="center"/>
              <w:rPr>
                <w:szCs w:val="21"/>
              </w:rPr>
            </w:pPr>
            <w:r>
              <w:rPr>
                <w:rFonts w:hint="eastAsia" w:eastAsia="仿宋"/>
                <w:szCs w:val="21"/>
                <w:lang w:val="en-US" w:eastAsia="zh-CN"/>
              </w:rPr>
              <w:t>0.0495</w:t>
            </w:r>
            <w:r>
              <w:rPr>
                <w:snapToGrid w:val="0"/>
                <w:kern w:val="21"/>
                <w:szCs w:val="21"/>
              </w:rPr>
              <w:t>t/a</w:t>
            </w:r>
          </w:p>
        </w:tc>
        <w:tc>
          <w:tcPr>
            <w:tcW w:w="555" w:type="pct"/>
            <w:vAlign w:val="center"/>
          </w:tcPr>
          <w:p w14:paraId="4471F7CE">
            <w:pPr>
              <w:spacing w:line="276" w:lineRule="auto"/>
              <w:jc w:val="center"/>
              <w:rPr>
                <w:snapToGrid w:val="0"/>
                <w:kern w:val="21"/>
                <w:szCs w:val="21"/>
              </w:rPr>
            </w:pPr>
            <w:r>
              <w:rPr>
                <w:rFonts w:hint="eastAsia"/>
                <w:snapToGrid w:val="0"/>
                <w:kern w:val="21"/>
                <w:szCs w:val="21"/>
              </w:rPr>
              <w:t>/</w:t>
            </w:r>
          </w:p>
        </w:tc>
        <w:tc>
          <w:tcPr>
            <w:tcW w:w="1562" w:type="dxa"/>
            <w:vAlign w:val="center"/>
          </w:tcPr>
          <w:p w14:paraId="5AE1E899">
            <w:pPr>
              <w:spacing w:line="276" w:lineRule="auto"/>
              <w:jc w:val="center"/>
              <w:rPr>
                <w:szCs w:val="21"/>
              </w:rPr>
            </w:pPr>
            <w:r>
              <w:rPr>
                <w:rFonts w:hint="eastAsia" w:eastAsia="仿宋"/>
                <w:szCs w:val="21"/>
                <w:lang w:val="en-US" w:eastAsia="zh-CN"/>
              </w:rPr>
              <w:t>0.0495</w:t>
            </w:r>
            <w:r>
              <w:rPr>
                <w:snapToGrid w:val="0"/>
                <w:kern w:val="21"/>
                <w:szCs w:val="21"/>
              </w:rPr>
              <w:t>t/a</w:t>
            </w:r>
          </w:p>
        </w:tc>
        <w:tc>
          <w:tcPr>
            <w:tcW w:w="1387" w:type="dxa"/>
            <w:vAlign w:val="center"/>
          </w:tcPr>
          <w:p w14:paraId="60A834E7">
            <w:pPr>
              <w:spacing w:line="276" w:lineRule="auto"/>
              <w:jc w:val="center"/>
              <w:rPr>
                <w:szCs w:val="21"/>
              </w:rPr>
            </w:pPr>
            <w:r>
              <w:rPr>
                <w:rFonts w:hint="eastAsia" w:eastAsia="仿宋"/>
                <w:szCs w:val="21"/>
                <w:lang w:val="en-US" w:eastAsia="zh-CN"/>
              </w:rPr>
              <w:t>0.0495</w:t>
            </w:r>
            <w:r>
              <w:rPr>
                <w:snapToGrid w:val="0"/>
                <w:kern w:val="21"/>
                <w:szCs w:val="21"/>
              </w:rPr>
              <w:t>t/a</w:t>
            </w:r>
          </w:p>
        </w:tc>
      </w:tr>
      <w:tr w14:paraId="297ECD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467" w:type="pct"/>
            <w:vMerge w:val="continue"/>
            <w:vAlign w:val="center"/>
          </w:tcPr>
          <w:p w14:paraId="740DB00F">
            <w:pPr>
              <w:spacing w:line="276" w:lineRule="auto"/>
              <w:jc w:val="center"/>
              <w:rPr>
                <w:snapToGrid w:val="0"/>
                <w:kern w:val="21"/>
                <w:szCs w:val="21"/>
              </w:rPr>
            </w:pPr>
          </w:p>
        </w:tc>
        <w:tc>
          <w:tcPr>
            <w:tcW w:w="958" w:type="pct"/>
            <w:vAlign w:val="center"/>
          </w:tcPr>
          <w:p w14:paraId="6C58FA15">
            <w:pPr>
              <w:spacing w:line="276" w:lineRule="auto"/>
              <w:jc w:val="center"/>
              <w:rPr>
                <w:snapToGrid w:val="0"/>
                <w:kern w:val="21"/>
                <w:szCs w:val="21"/>
              </w:rPr>
            </w:pPr>
            <w:r>
              <w:rPr>
                <w:rFonts w:hint="eastAsia"/>
                <w:snapToGrid w:val="0"/>
                <w:kern w:val="21"/>
                <w:szCs w:val="21"/>
              </w:rPr>
              <w:t>苯并芘</w:t>
            </w:r>
          </w:p>
        </w:tc>
        <w:tc>
          <w:tcPr>
            <w:tcW w:w="505" w:type="pct"/>
            <w:vAlign w:val="center"/>
          </w:tcPr>
          <w:p w14:paraId="70E2E4DB">
            <w:pPr>
              <w:spacing w:line="276" w:lineRule="auto"/>
              <w:jc w:val="center"/>
              <w:rPr>
                <w:snapToGrid w:val="0"/>
                <w:kern w:val="21"/>
                <w:szCs w:val="21"/>
              </w:rPr>
            </w:pPr>
            <w:r>
              <w:rPr>
                <w:rFonts w:hint="eastAsia"/>
                <w:snapToGrid w:val="0"/>
                <w:kern w:val="21"/>
                <w:szCs w:val="21"/>
              </w:rPr>
              <w:t>0</w:t>
            </w:r>
          </w:p>
        </w:tc>
        <w:tc>
          <w:tcPr>
            <w:tcW w:w="405" w:type="pct"/>
            <w:vAlign w:val="center"/>
          </w:tcPr>
          <w:p w14:paraId="23F0F0FA">
            <w:pPr>
              <w:spacing w:line="276" w:lineRule="auto"/>
              <w:jc w:val="center"/>
              <w:rPr>
                <w:snapToGrid w:val="0"/>
                <w:kern w:val="21"/>
                <w:szCs w:val="21"/>
              </w:rPr>
            </w:pPr>
            <w:r>
              <w:rPr>
                <w:rFonts w:hint="eastAsia"/>
                <w:snapToGrid w:val="0"/>
                <w:kern w:val="21"/>
                <w:szCs w:val="21"/>
              </w:rPr>
              <w:t>0</w:t>
            </w:r>
          </w:p>
        </w:tc>
        <w:tc>
          <w:tcPr>
            <w:tcW w:w="505" w:type="pct"/>
            <w:vAlign w:val="center"/>
          </w:tcPr>
          <w:p w14:paraId="0FB125E0">
            <w:pPr>
              <w:spacing w:line="276" w:lineRule="auto"/>
              <w:jc w:val="center"/>
              <w:rPr>
                <w:snapToGrid w:val="0"/>
                <w:kern w:val="21"/>
                <w:szCs w:val="21"/>
              </w:rPr>
            </w:pPr>
            <w:r>
              <w:rPr>
                <w:rFonts w:hint="eastAsia"/>
                <w:snapToGrid w:val="0"/>
                <w:kern w:val="21"/>
                <w:szCs w:val="21"/>
              </w:rPr>
              <w:t>0</w:t>
            </w:r>
          </w:p>
        </w:tc>
        <w:tc>
          <w:tcPr>
            <w:tcW w:w="505" w:type="pct"/>
            <w:vAlign w:val="center"/>
          </w:tcPr>
          <w:p w14:paraId="736677CC">
            <w:pPr>
              <w:spacing w:line="276" w:lineRule="auto"/>
              <w:jc w:val="center"/>
              <w:rPr>
                <w:szCs w:val="21"/>
              </w:rPr>
            </w:pPr>
            <w:r>
              <w:rPr>
                <w:rFonts w:hint="eastAsia"/>
                <w:color w:val="000000"/>
                <w:szCs w:val="21"/>
              </w:rPr>
              <w:t>0.0001</w:t>
            </w:r>
            <w:r>
              <w:rPr>
                <w:rFonts w:hint="eastAsia"/>
                <w:color w:val="000000"/>
                <w:szCs w:val="21"/>
                <w:lang w:val="en-US" w:eastAsia="zh-CN"/>
              </w:rPr>
              <w:t>2</w:t>
            </w:r>
            <w:r>
              <w:rPr>
                <w:rFonts w:hint="eastAsia"/>
                <w:snapToGrid w:val="0"/>
                <w:kern w:val="21"/>
                <w:szCs w:val="21"/>
              </w:rPr>
              <w:t>t</w:t>
            </w:r>
            <w:r>
              <w:rPr>
                <w:snapToGrid w:val="0"/>
                <w:kern w:val="21"/>
                <w:szCs w:val="21"/>
              </w:rPr>
              <w:t>/a</w:t>
            </w:r>
          </w:p>
        </w:tc>
        <w:tc>
          <w:tcPr>
            <w:tcW w:w="555" w:type="pct"/>
            <w:vAlign w:val="center"/>
          </w:tcPr>
          <w:p w14:paraId="6AA733C0">
            <w:pPr>
              <w:spacing w:line="276" w:lineRule="auto"/>
              <w:jc w:val="center"/>
              <w:rPr>
                <w:snapToGrid w:val="0"/>
                <w:kern w:val="21"/>
                <w:szCs w:val="21"/>
              </w:rPr>
            </w:pPr>
            <w:r>
              <w:rPr>
                <w:rFonts w:hint="eastAsia" w:hAnsi="宋体"/>
                <w:snapToGrid w:val="0"/>
                <w:kern w:val="21"/>
                <w:szCs w:val="21"/>
              </w:rPr>
              <w:t>/</w:t>
            </w:r>
          </w:p>
        </w:tc>
        <w:tc>
          <w:tcPr>
            <w:tcW w:w="1562" w:type="dxa"/>
            <w:vAlign w:val="center"/>
          </w:tcPr>
          <w:p w14:paraId="6CEF54EB">
            <w:pPr>
              <w:spacing w:line="276" w:lineRule="auto"/>
              <w:jc w:val="center"/>
              <w:rPr>
                <w:szCs w:val="21"/>
              </w:rPr>
            </w:pPr>
            <w:r>
              <w:rPr>
                <w:rFonts w:hint="eastAsia"/>
                <w:color w:val="000000"/>
                <w:szCs w:val="21"/>
              </w:rPr>
              <w:t>0.0001</w:t>
            </w:r>
            <w:r>
              <w:rPr>
                <w:rFonts w:hint="eastAsia"/>
                <w:color w:val="000000"/>
                <w:szCs w:val="21"/>
                <w:lang w:val="en-US" w:eastAsia="zh-CN"/>
              </w:rPr>
              <w:t>2</w:t>
            </w:r>
            <w:r>
              <w:rPr>
                <w:rFonts w:hint="eastAsia"/>
                <w:snapToGrid w:val="0"/>
                <w:kern w:val="21"/>
                <w:szCs w:val="21"/>
              </w:rPr>
              <w:t>t</w:t>
            </w:r>
            <w:r>
              <w:rPr>
                <w:snapToGrid w:val="0"/>
                <w:kern w:val="21"/>
                <w:szCs w:val="21"/>
              </w:rPr>
              <w:t>/a</w:t>
            </w:r>
          </w:p>
        </w:tc>
        <w:tc>
          <w:tcPr>
            <w:tcW w:w="1387" w:type="dxa"/>
            <w:vAlign w:val="center"/>
          </w:tcPr>
          <w:p w14:paraId="32485067">
            <w:pPr>
              <w:spacing w:line="276" w:lineRule="auto"/>
              <w:jc w:val="center"/>
              <w:rPr>
                <w:snapToGrid w:val="0"/>
                <w:kern w:val="21"/>
                <w:szCs w:val="21"/>
              </w:rPr>
            </w:pPr>
            <w:r>
              <w:rPr>
                <w:rFonts w:hint="eastAsia"/>
                <w:color w:val="000000"/>
                <w:szCs w:val="21"/>
              </w:rPr>
              <w:t>0.0001</w:t>
            </w:r>
            <w:r>
              <w:rPr>
                <w:rFonts w:hint="eastAsia"/>
                <w:color w:val="000000"/>
                <w:szCs w:val="21"/>
                <w:lang w:val="en-US" w:eastAsia="zh-CN"/>
              </w:rPr>
              <w:t>2</w:t>
            </w:r>
            <w:r>
              <w:rPr>
                <w:rFonts w:hint="eastAsia"/>
                <w:snapToGrid w:val="0"/>
                <w:kern w:val="21"/>
                <w:szCs w:val="21"/>
              </w:rPr>
              <w:t>t</w:t>
            </w:r>
            <w:r>
              <w:rPr>
                <w:snapToGrid w:val="0"/>
                <w:kern w:val="21"/>
                <w:szCs w:val="21"/>
              </w:rPr>
              <w:t>/a</w:t>
            </w:r>
          </w:p>
        </w:tc>
      </w:tr>
      <w:tr w14:paraId="27D8F2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467" w:type="pct"/>
            <w:vMerge w:val="continue"/>
            <w:vAlign w:val="center"/>
          </w:tcPr>
          <w:p w14:paraId="07F6DEB2">
            <w:pPr>
              <w:spacing w:line="276" w:lineRule="auto"/>
              <w:jc w:val="center"/>
              <w:rPr>
                <w:snapToGrid w:val="0"/>
                <w:kern w:val="21"/>
                <w:szCs w:val="21"/>
              </w:rPr>
            </w:pPr>
          </w:p>
        </w:tc>
        <w:tc>
          <w:tcPr>
            <w:tcW w:w="958" w:type="pct"/>
            <w:vAlign w:val="center"/>
          </w:tcPr>
          <w:p w14:paraId="513DA3E9">
            <w:pPr>
              <w:spacing w:line="240" w:lineRule="atLeast"/>
              <w:jc w:val="center"/>
              <w:rPr>
                <w:snapToGrid w:val="0"/>
                <w:kern w:val="21"/>
                <w:szCs w:val="21"/>
              </w:rPr>
            </w:pPr>
            <w:r>
              <w:rPr>
                <w:rFonts w:hint="eastAsia"/>
                <w:szCs w:val="21"/>
                <w:lang w:bidi="ar"/>
              </w:rPr>
              <w:t>VOC</w:t>
            </w:r>
            <w:r>
              <w:rPr>
                <w:rFonts w:hint="eastAsia"/>
                <w:szCs w:val="21"/>
                <w:vertAlign w:val="subscript"/>
                <w:lang w:bidi="ar"/>
              </w:rPr>
              <w:t>S</w:t>
            </w:r>
          </w:p>
        </w:tc>
        <w:tc>
          <w:tcPr>
            <w:tcW w:w="505" w:type="pct"/>
            <w:vAlign w:val="center"/>
          </w:tcPr>
          <w:p w14:paraId="4088576D">
            <w:pPr>
              <w:spacing w:line="276" w:lineRule="auto"/>
              <w:jc w:val="center"/>
              <w:rPr>
                <w:snapToGrid w:val="0"/>
                <w:kern w:val="21"/>
                <w:szCs w:val="21"/>
              </w:rPr>
            </w:pPr>
            <w:r>
              <w:rPr>
                <w:rFonts w:hint="eastAsia"/>
                <w:snapToGrid w:val="0"/>
                <w:kern w:val="21"/>
                <w:szCs w:val="21"/>
              </w:rPr>
              <w:t>0</w:t>
            </w:r>
          </w:p>
        </w:tc>
        <w:tc>
          <w:tcPr>
            <w:tcW w:w="405" w:type="pct"/>
            <w:vAlign w:val="center"/>
          </w:tcPr>
          <w:p w14:paraId="4FA65797">
            <w:pPr>
              <w:spacing w:line="276" w:lineRule="auto"/>
              <w:jc w:val="center"/>
              <w:rPr>
                <w:snapToGrid w:val="0"/>
                <w:kern w:val="21"/>
                <w:szCs w:val="21"/>
              </w:rPr>
            </w:pPr>
            <w:r>
              <w:rPr>
                <w:rFonts w:hint="eastAsia"/>
                <w:snapToGrid w:val="0"/>
                <w:kern w:val="21"/>
                <w:szCs w:val="21"/>
              </w:rPr>
              <w:t>0</w:t>
            </w:r>
          </w:p>
        </w:tc>
        <w:tc>
          <w:tcPr>
            <w:tcW w:w="505" w:type="pct"/>
            <w:vAlign w:val="center"/>
          </w:tcPr>
          <w:p w14:paraId="3E5A9822">
            <w:pPr>
              <w:spacing w:line="276" w:lineRule="auto"/>
              <w:jc w:val="center"/>
              <w:rPr>
                <w:snapToGrid w:val="0"/>
                <w:kern w:val="21"/>
                <w:szCs w:val="21"/>
              </w:rPr>
            </w:pPr>
            <w:r>
              <w:rPr>
                <w:rFonts w:hint="eastAsia"/>
                <w:snapToGrid w:val="0"/>
                <w:kern w:val="21"/>
                <w:szCs w:val="21"/>
              </w:rPr>
              <w:t>0</w:t>
            </w:r>
          </w:p>
        </w:tc>
        <w:tc>
          <w:tcPr>
            <w:tcW w:w="505" w:type="pct"/>
            <w:vAlign w:val="center"/>
          </w:tcPr>
          <w:p w14:paraId="1C787614">
            <w:pPr>
              <w:spacing w:line="276" w:lineRule="auto"/>
              <w:jc w:val="center"/>
              <w:rPr>
                <w:snapToGrid w:val="0"/>
                <w:kern w:val="21"/>
                <w:szCs w:val="21"/>
              </w:rPr>
            </w:pPr>
            <w:r>
              <w:rPr>
                <w:rFonts w:hint="eastAsia"/>
                <w:color w:val="000000"/>
                <w:szCs w:val="21"/>
              </w:rPr>
              <w:t>0.002</w:t>
            </w:r>
            <w:r>
              <w:rPr>
                <w:rFonts w:hint="eastAsia"/>
                <w:color w:val="000000"/>
                <w:szCs w:val="21"/>
                <w:lang w:val="en-US" w:eastAsia="zh-CN"/>
              </w:rPr>
              <w:t>2</w:t>
            </w:r>
            <w:r>
              <w:rPr>
                <w:snapToGrid w:val="0"/>
                <w:kern w:val="21"/>
                <w:szCs w:val="21"/>
              </w:rPr>
              <w:t>t/a</w:t>
            </w:r>
          </w:p>
        </w:tc>
        <w:tc>
          <w:tcPr>
            <w:tcW w:w="555" w:type="pct"/>
            <w:vAlign w:val="center"/>
          </w:tcPr>
          <w:p w14:paraId="5C05EDAE">
            <w:pPr>
              <w:spacing w:line="276" w:lineRule="auto"/>
              <w:jc w:val="center"/>
              <w:rPr>
                <w:rFonts w:hAnsi="宋体"/>
                <w:snapToGrid w:val="0"/>
                <w:kern w:val="21"/>
                <w:szCs w:val="21"/>
              </w:rPr>
            </w:pPr>
            <w:r>
              <w:rPr>
                <w:rFonts w:hint="eastAsia" w:hAnsi="宋体"/>
                <w:snapToGrid w:val="0"/>
                <w:kern w:val="21"/>
                <w:szCs w:val="21"/>
              </w:rPr>
              <w:t>/</w:t>
            </w:r>
          </w:p>
        </w:tc>
        <w:tc>
          <w:tcPr>
            <w:tcW w:w="1562" w:type="dxa"/>
            <w:vAlign w:val="center"/>
          </w:tcPr>
          <w:p w14:paraId="14D80A1E">
            <w:pPr>
              <w:spacing w:line="276" w:lineRule="auto"/>
              <w:jc w:val="center"/>
              <w:rPr>
                <w:snapToGrid w:val="0"/>
                <w:kern w:val="21"/>
                <w:szCs w:val="21"/>
              </w:rPr>
            </w:pPr>
            <w:r>
              <w:rPr>
                <w:rFonts w:hint="eastAsia"/>
                <w:color w:val="000000"/>
                <w:szCs w:val="21"/>
              </w:rPr>
              <w:t>0.002</w:t>
            </w:r>
            <w:r>
              <w:rPr>
                <w:rFonts w:hint="eastAsia"/>
                <w:color w:val="000000"/>
                <w:szCs w:val="21"/>
                <w:lang w:val="en-US" w:eastAsia="zh-CN"/>
              </w:rPr>
              <w:t>2</w:t>
            </w:r>
            <w:r>
              <w:rPr>
                <w:snapToGrid w:val="0"/>
                <w:kern w:val="21"/>
                <w:szCs w:val="21"/>
              </w:rPr>
              <w:t>t/a</w:t>
            </w:r>
          </w:p>
        </w:tc>
        <w:tc>
          <w:tcPr>
            <w:tcW w:w="1387" w:type="dxa"/>
            <w:vAlign w:val="center"/>
          </w:tcPr>
          <w:p w14:paraId="5CA9C58B">
            <w:pPr>
              <w:spacing w:line="276" w:lineRule="auto"/>
              <w:jc w:val="center"/>
              <w:rPr>
                <w:snapToGrid w:val="0"/>
                <w:kern w:val="21"/>
                <w:szCs w:val="21"/>
              </w:rPr>
            </w:pPr>
            <w:r>
              <w:rPr>
                <w:rFonts w:hint="eastAsia"/>
                <w:color w:val="000000"/>
                <w:szCs w:val="21"/>
              </w:rPr>
              <w:t>0.002</w:t>
            </w:r>
            <w:r>
              <w:rPr>
                <w:rFonts w:hint="eastAsia"/>
                <w:color w:val="000000"/>
                <w:szCs w:val="21"/>
                <w:lang w:val="en-US" w:eastAsia="zh-CN"/>
              </w:rPr>
              <w:t>2</w:t>
            </w:r>
            <w:r>
              <w:rPr>
                <w:snapToGrid w:val="0"/>
                <w:kern w:val="21"/>
                <w:szCs w:val="21"/>
              </w:rPr>
              <w:t>t/a</w:t>
            </w:r>
          </w:p>
        </w:tc>
      </w:tr>
      <w:tr w14:paraId="710015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467" w:type="pct"/>
            <w:vMerge w:val="continue"/>
            <w:vAlign w:val="center"/>
          </w:tcPr>
          <w:p w14:paraId="05EDB840">
            <w:pPr>
              <w:spacing w:line="276" w:lineRule="auto"/>
              <w:jc w:val="center"/>
              <w:rPr>
                <w:snapToGrid w:val="0"/>
                <w:kern w:val="21"/>
                <w:szCs w:val="21"/>
              </w:rPr>
            </w:pPr>
          </w:p>
        </w:tc>
        <w:tc>
          <w:tcPr>
            <w:tcW w:w="958" w:type="pct"/>
            <w:vAlign w:val="center"/>
          </w:tcPr>
          <w:p w14:paraId="03B8A8B6">
            <w:pPr>
              <w:spacing w:line="240" w:lineRule="atLeast"/>
              <w:jc w:val="center"/>
              <w:rPr>
                <w:snapToGrid w:val="0"/>
                <w:kern w:val="21"/>
                <w:szCs w:val="21"/>
              </w:rPr>
            </w:pPr>
            <w:r>
              <w:rPr>
                <w:szCs w:val="21"/>
              </w:rPr>
              <w:t>饮食油烟</w:t>
            </w:r>
          </w:p>
        </w:tc>
        <w:tc>
          <w:tcPr>
            <w:tcW w:w="505" w:type="pct"/>
            <w:vAlign w:val="center"/>
          </w:tcPr>
          <w:p w14:paraId="445D7BF0">
            <w:pPr>
              <w:spacing w:line="276" w:lineRule="auto"/>
              <w:jc w:val="center"/>
              <w:rPr>
                <w:snapToGrid w:val="0"/>
                <w:kern w:val="21"/>
                <w:szCs w:val="21"/>
              </w:rPr>
            </w:pPr>
            <w:r>
              <w:rPr>
                <w:rFonts w:hint="eastAsia"/>
                <w:snapToGrid w:val="0"/>
                <w:kern w:val="21"/>
                <w:szCs w:val="21"/>
              </w:rPr>
              <w:t>0</w:t>
            </w:r>
          </w:p>
        </w:tc>
        <w:tc>
          <w:tcPr>
            <w:tcW w:w="405" w:type="pct"/>
            <w:vAlign w:val="center"/>
          </w:tcPr>
          <w:p w14:paraId="375DDB0F">
            <w:pPr>
              <w:spacing w:line="276" w:lineRule="auto"/>
              <w:jc w:val="center"/>
              <w:rPr>
                <w:snapToGrid w:val="0"/>
                <w:kern w:val="21"/>
                <w:szCs w:val="21"/>
              </w:rPr>
            </w:pPr>
            <w:r>
              <w:rPr>
                <w:rFonts w:hint="eastAsia"/>
                <w:snapToGrid w:val="0"/>
                <w:kern w:val="21"/>
                <w:szCs w:val="21"/>
              </w:rPr>
              <w:t>0</w:t>
            </w:r>
          </w:p>
        </w:tc>
        <w:tc>
          <w:tcPr>
            <w:tcW w:w="505" w:type="pct"/>
            <w:vAlign w:val="center"/>
          </w:tcPr>
          <w:p w14:paraId="494F4394">
            <w:pPr>
              <w:spacing w:line="276" w:lineRule="auto"/>
              <w:jc w:val="center"/>
              <w:rPr>
                <w:snapToGrid w:val="0"/>
                <w:kern w:val="21"/>
                <w:szCs w:val="21"/>
              </w:rPr>
            </w:pPr>
            <w:r>
              <w:rPr>
                <w:rFonts w:hint="eastAsia"/>
                <w:snapToGrid w:val="0"/>
                <w:kern w:val="21"/>
                <w:szCs w:val="21"/>
              </w:rPr>
              <w:t>0</w:t>
            </w:r>
          </w:p>
        </w:tc>
        <w:tc>
          <w:tcPr>
            <w:tcW w:w="505" w:type="pct"/>
            <w:vAlign w:val="center"/>
          </w:tcPr>
          <w:p w14:paraId="6996EA3D">
            <w:pPr>
              <w:spacing w:line="276" w:lineRule="auto"/>
              <w:jc w:val="center"/>
              <w:rPr>
                <w:snapToGrid w:val="0"/>
                <w:kern w:val="21"/>
                <w:szCs w:val="21"/>
              </w:rPr>
            </w:pPr>
            <w:r>
              <w:rPr>
                <w:rFonts w:hint="eastAsia"/>
                <w:szCs w:val="21"/>
                <w:lang w:bidi="ar"/>
              </w:rPr>
              <w:t>0.0006</w:t>
            </w:r>
            <w:r>
              <w:rPr>
                <w:snapToGrid w:val="0"/>
                <w:kern w:val="21"/>
                <w:szCs w:val="21"/>
              </w:rPr>
              <w:t>t/a</w:t>
            </w:r>
          </w:p>
        </w:tc>
        <w:tc>
          <w:tcPr>
            <w:tcW w:w="555" w:type="pct"/>
            <w:vAlign w:val="center"/>
          </w:tcPr>
          <w:p w14:paraId="54C0DE96">
            <w:pPr>
              <w:spacing w:line="276" w:lineRule="auto"/>
              <w:jc w:val="center"/>
              <w:rPr>
                <w:rFonts w:hAnsi="宋体"/>
                <w:snapToGrid w:val="0"/>
                <w:kern w:val="21"/>
                <w:szCs w:val="21"/>
              </w:rPr>
            </w:pPr>
            <w:r>
              <w:rPr>
                <w:rFonts w:hint="eastAsia"/>
                <w:snapToGrid w:val="0"/>
                <w:kern w:val="21"/>
                <w:szCs w:val="21"/>
              </w:rPr>
              <w:t>/</w:t>
            </w:r>
          </w:p>
        </w:tc>
        <w:tc>
          <w:tcPr>
            <w:tcW w:w="1562" w:type="dxa"/>
            <w:vAlign w:val="center"/>
          </w:tcPr>
          <w:p w14:paraId="63777A86">
            <w:pPr>
              <w:spacing w:line="276" w:lineRule="auto"/>
              <w:jc w:val="center"/>
              <w:rPr>
                <w:snapToGrid w:val="0"/>
                <w:kern w:val="21"/>
                <w:szCs w:val="21"/>
              </w:rPr>
            </w:pPr>
            <w:r>
              <w:rPr>
                <w:rFonts w:hint="eastAsia"/>
                <w:szCs w:val="21"/>
                <w:lang w:bidi="ar"/>
              </w:rPr>
              <w:t>0.0006</w:t>
            </w:r>
            <w:r>
              <w:rPr>
                <w:snapToGrid w:val="0"/>
                <w:kern w:val="21"/>
                <w:szCs w:val="21"/>
              </w:rPr>
              <w:t>t/a</w:t>
            </w:r>
          </w:p>
        </w:tc>
        <w:tc>
          <w:tcPr>
            <w:tcW w:w="1387" w:type="dxa"/>
            <w:vAlign w:val="center"/>
          </w:tcPr>
          <w:p w14:paraId="121FF30D">
            <w:pPr>
              <w:spacing w:line="276" w:lineRule="auto"/>
              <w:jc w:val="center"/>
              <w:rPr>
                <w:snapToGrid w:val="0"/>
                <w:kern w:val="21"/>
                <w:szCs w:val="21"/>
              </w:rPr>
            </w:pPr>
            <w:r>
              <w:rPr>
                <w:rFonts w:hint="eastAsia"/>
                <w:szCs w:val="21"/>
                <w:lang w:bidi="ar"/>
              </w:rPr>
              <w:t>0.0006</w:t>
            </w:r>
            <w:r>
              <w:rPr>
                <w:snapToGrid w:val="0"/>
                <w:kern w:val="21"/>
                <w:szCs w:val="21"/>
              </w:rPr>
              <w:t>t/a</w:t>
            </w:r>
          </w:p>
        </w:tc>
      </w:tr>
      <w:tr w14:paraId="620BCE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467" w:type="pct"/>
            <w:vAlign w:val="center"/>
          </w:tcPr>
          <w:p w14:paraId="42A3C4B0">
            <w:pPr>
              <w:spacing w:line="276" w:lineRule="auto"/>
              <w:jc w:val="center"/>
              <w:rPr>
                <w:snapToGrid w:val="0"/>
                <w:kern w:val="21"/>
                <w:szCs w:val="21"/>
              </w:rPr>
            </w:pPr>
            <w:r>
              <w:rPr>
                <w:rFonts w:hint="eastAsia"/>
                <w:snapToGrid w:val="0"/>
                <w:kern w:val="21"/>
                <w:szCs w:val="21"/>
              </w:rPr>
              <w:t>废水</w:t>
            </w:r>
          </w:p>
        </w:tc>
        <w:tc>
          <w:tcPr>
            <w:tcW w:w="958" w:type="pct"/>
            <w:vAlign w:val="center"/>
          </w:tcPr>
          <w:p w14:paraId="0B0A627C">
            <w:pPr>
              <w:spacing w:line="240" w:lineRule="atLeast"/>
              <w:jc w:val="center"/>
              <w:rPr>
                <w:szCs w:val="21"/>
              </w:rPr>
            </w:pPr>
            <w:r>
              <w:rPr>
                <w:rFonts w:hint="eastAsia"/>
                <w:szCs w:val="21"/>
              </w:rPr>
              <w:t>生活污水</w:t>
            </w:r>
          </w:p>
        </w:tc>
        <w:tc>
          <w:tcPr>
            <w:tcW w:w="505" w:type="pct"/>
            <w:vAlign w:val="center"/>
          </w:tcPr>
          <w:p w14:paraId="70DF54B3">
            <w:pPr>
              <w:spacing w:line="276" w:lineRule="auto"/>
              <w:jc w:val="center"/>
              <w:rPr>
                <w:snapToGrid w:val="0"/>
                <w:kern w:val="21"/>
                <w:szCs w:val="21"/>
              </w:rPr>
            </w:pPr>
            <w:r>
              <w:rPr>
                <w:rFonts w:hint="eastAsia"/>
                <w:snapToGrid w:val="0"/>
                <w:kern w:val="21"/>
                <w:szCs w:val="21"/>
              </w:rPr>
              <w:t>0</w:t>
            </w:r>
          </w:p>
        </w:tc>
        <w:tc>
          <w:tcPr>
            <w:tcW w:w="405" w:type="pct"/>
            <w:vAlign w:val="center"/>
          </w:tcPr>
          <w:p w14:paraId="2ACB0AB1">
            <w:pPr>
              <w:spacing w:line="276" w:lineRule="auto"/>
              <w:jc w:val="center"/>
              <w:rPr>
                <w:snapToGrid w:val="0"/>
                <w:kern w:val="21"/>
                <w:szCs w:val="21"/>
              </w:rPr>
            </w:pPr>
            <w:r>
              <w:rPr>
                <w:rFonts w:hint="eastAsia"/>
                <w:snapToGrid w:val="0"/>
                <w:kern w:val="21"/>
                <w:szCs w:val="21"/>
              </w:rPr>
              <w:t>0</w:t>
            </w:r>
          </w:p>
        </w:tc>
        <w:tc>
          <w:tcPr>
            <w:tcW w:w="505" w:type="pct"/>
            <w:vAlign w:val="center"/>
          </w:tcPr>
          <w:p w14:paraId="5AEBD698">
            <w:pPr>
              <w:spacing w:line="276" w:lineRule="auto"/>
              <w:jc w:val="center"/>
              <w:rPr>
                <w:snapToGrid w:val="0"/>
                <w:kern w:val="21"/>
                <w:szCs w:val="21"/>
              </w:rPr>
            </w:pPr>
            <w:r>
              <w:rPr>
                <w:rFonts w:hint="eastAsia"/>
                <w:snapToGrid w:val="0"/>
                <w:kern w:val="21"/>
                <w:szCs w:val="21"/>
              </w:rPr>
              <w:t>0</w:t>
            </w:r>
          </w:p>
        </w:tc>
        <w:tc>
          <w:tcPr>
            <w:tcW w:w="505" w:type="pct"/>
            <w:vAlign w:val="center"/>
          </w:tcPr>
          <w:p w14:paraId="02092CE9">
            <w:pPr>
              <w:spacing w:line="276" w:lineRule="auto"/>
              <w:jc w:val="center"/>
              <w:rPr>
                <w:szCs w:val="21"/>
                <w:lang w:bidi="ar"/>
              </w:rPr>
            </w:pPr>
            <w:r>
              <w:rPr>
                <w:rFonts w:hint="eastAsia"/>
                <w:szCs w:val="21"/>
              </w:rPr>
              <w:t>184.32m</w:t>
            </w:r>
            <w:r>
              <w:rPr>
                <w:rFonts w:hint="eastAsia"/>
                <w:szCs w:val="21"/>
                <w:vertAlign w:val="superscript"/>
              </w:rPr>
              <w:t>3</w:t>
            </w:r>
            <w:r>
              <w:rPr>
                <w:rFonts w:hint="eastAsia"/>
                <w:szCs w:val="21"/>
              </w:rPr>
              <w:t>/a</w:t>
            </w:r>
          </w:p>
        </w:tc>
        <w:tc>
          <w:tcPr>
            <w:tcW w:w="555" w:type="pct"/>
            <w:vAlign w:val="center"/>
          </w:tcPr>
          <w:p w14:paraId="59737BA6">
            <w:pPr>
              <w:spacing w:line="276" w:lineRule="auto"/>
              <w:jc w:val="center"/>
              <w:rPr>
                <w:rFonts w:hAnsi="宋体"/>
                <w:snapToGrid w:val="0"/>
                <w:kern w:val="21"/>
                <w:szCs w:val="21"/>
              </w:rPr>
            </w:pPr>
            <w:r>
              <w:rPr>
                <w:rFonts w:hint="eastAsia"/>
                <w:snapToGrid w:val="0"/>
                <w:kern w:val="21"/>
                <w:szCs w:val="21"/>
              </w:rPr>
              <w:t>/</w:t>
            </w:r>
          </w:p>
        </w:tc>
        <w:tc>
          <w:tcPr>
            <w:tcW w:w="1562" w:type="dxa"/>
            <w:vAlign w:val="center"/>
          </w:tcPr>
          <w:p w14:paraId="7725992E">
            <w:pPr>
              <w:spacing w:line="276" w:lineRule="auto"/>
              <w:jc w:val="center"/>
              <w:rPr>
                <w:snapToGrid w:val="0"/>
                <w:kern w:val="21"/>
                <w:szCs w:val="21"/>
              </w:rPr>
            </w:pPr>
            <w:r>
              <w:rPr>
                <w:rFonts w:hint="eastAsia"/>
                <w:szCs w:val="21"/>
              </w:rPr>
              <w:t>184.32m</w:t>
            </w:r>
            <w:r>
              <w:rPr>
                <w:rFonts w:hint="eastAsia"/>
                <w:szCs w:val="21"/>
                <w:vertAlign w:val="superscript"/>
              </w:rPr>
              <w:t>3</w:t>
            </w:r>
            <w:r>
              <w:rPr>
                <w:rFonts w:hint="eastAsia"/>
                <w:szCs w:val="21"/>
              </w:rPr>
              <w:t>/a</w:t>
            </w:r>
          </w:p>
        </w:tc>
        <w:tc>
          <w:tcPr>
            <w:tcW w:w="1387" w:type="dxa"/>
            <w:vAlign w:val="center"/>
          </w:tcPr>
          <w:p w14:paraId="208FD4F1">
            <w:pPr>
              <w:spacing w:line="276" w:lineRule="auto"/>
              <w:jc w:val="center"/>
              <w:rPr>
                <w:snapToGrid w:val="0"/>
                <w:kern w:val="21"/>
                <w:szCs w:val="21"/>
              </w:rPr>
            </w:pPr>
            <w:r>
              <w:rPr>
                <w:rFonts w:hint="eastAsia"/>
                <w:szCs w:val="21"/>
              </w:rPr>
              <w:t>184.32m</w:t>
            </w:r>
            <w:r>
              <w:rPr>
                <w:rFonts w:hint="eastAsia"/>
                <w:szCs w:val="21"/>
                <w:vertAlign w:val="superscript"/>
              </w:rPr>
              <w:t>3</w:t>
            </w:r>
            <w:r>
              <w:rPr>
                <w:rFonts w:hint="eastAsia"/>
                <w:szCs w:val="21"/>
              </w:rPr>
              <w:t>/a</w:t>
            </w:r>
          </w:p>
        </w:tc>
      </w:tr>
      <w:tr w14:paraId="72B47D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467" w:type="pct"/>
            <w:vMerge w:val="restart"/>
            <w:vAlign w:val="center"/>
          </w:tcPr>
          <w:p w14:paraId="20D66584">
            <w:pPr>
              <w:spacing w:line="276" w:lineRule="auto"/>
              <w:jc w:val="center"/>
            </w:pPr>
            <w:r>
              <w:rPr>
                <w:rFonts w:hint="eastAsia" w:hAnsi="宋体"/>
                <w:snapToGrid w:val="0"/>
                <w:kern w:val="21"/>
                <w:szCs w:val="21"/>
              </w:rPr>
              <w:t>一般固体废物</w:t>
            </w:r>
          </w:p>
        </w:tc>
        <w:tc>
          <w:tcPr>
            <w:tcW w:w="958" w:type="pct"/>
            <w:vAlign w:val="center"/>
          </w:tcPr>
          <w:p w14:paraId="2F890B7B">
            <w:pPr>
              <w:spacing w:line="276" w:lineRule="auto"/>
              <w:jc w:val="center"/>
              <w:rPr>
                <w:snapToGrid w:val="0"/>
                <w:kern w:val="21"/>
                <w:szCs w:val="21"/>
              </w:rPr>
            </w:pPr>
            <w:r>
              <w:rPr>
                <w:rFonts w:hint="eastAsia" w:hAnsi="宋体"/>
                <w:snapToGrid w:val="0"/>
                <w:kern w:val="21"/>
                <w:szCs w:val="21"/>
              </w:rPr>
              <w:t>粉尘</w:t>
            </w:r>
          </w:p>
        </w:tc>
        <w:tc>
          <w:tcPr>
            <w:tcW w:w="505" w:type="pct"/>
            <w:vAlign w:val="center"/>
          </w:tcPr>
          <w:p w14:paraId="13471683">
            <w:pPr>
              <w:spacing w:line="276" w:lineRule="auto"/>
              <w:jc w:val="center"/>
              <w:rPr>
                <w:snapToGrid w:val="0"/>
                <w:kern w:val="21"/>
                <w:szCs w:val="21"/>
              </w:rPr>
            </w:pPr>
            <w:r>
              <w:rPr>
                <w:rFonts w:hint="eastAsia"/>
                <w:snapToGrid w:val="0"/>
                <w:kern w:val="21"/>
                <w:szCs w:val="21"/>
              </w:rPr>
              <w:t>0</w:t>
            </w:r>
          </w:p>
        </w:tc>
        <w:tc>
          <w:tcPr>
            <w:tcW w:w="405" w:type="pct"/>
            <w:vAlign w:val="center"/>
          </w:tcPr>
          <w:p w14:paraId="2A930BA2">
            <w:pPr>
              <w:spacing w:line="276" w:lineRule="auto"/>
              <w:jc w:val="center"/>
              <w:rPr>
                <w:snapToGrid w:val="0"/>
                <w:kern w:val="21"/>
                <w:szCs w:val="21"/>
              </w:rPr>
            </w:pPr>
            <w:r>
              <w:rPr>
                <w:rFonts w:hint="eastAsia"/>
                <w:snapToGrid w:val="0"/>
                <w:kern w:val="21"/>
                <w:szCs w:val="21"/>
              </w:rPr>
              <w:t>0</w:t>
            </w:r>
          </w:p>
        </w:tc>
        <w:tc>
          <w:tcPr>
            <w:tcW w:w="505" w:type="pct"/>
            <w:vAlign w:val="center"/>
          </w:tcPr>
          <w:p w14:paraId="479967FF">
            <w:pPr>
              <w:spacing w:line="276" w:lineRule="auto"/>
              <w:jc w:val="center"/>
              <w:rPr>
                <w:snapToGrid w:val="0"/>
                <w:kern w:val="21"/>
                <w:szCs w:val="21"/>
              </w:rPr>
            </w:pPr>
            <w:r>
              <w:rPr>
                <w:rFonts w:hint="eastAsia"/>
                <w:snapToGrid w:val="0"/>
                <w:kern w:val="21"/>
                <w:szCs w:val="21"/>
              </w:rPr>
              <w:t>0</w:t>
            </w:r>
          </w:p>
        </w:tc>
        <w:tc>
          <w:tcPr>
            <w:tcW w:w="505" w:type="pct"/>
            <w:vAlign w:val="center"/>
          </w:tcPr>
          <w:p w14:paraId="6DE98162">
            <w:pPr>
              <w:spacing w:line="276" w:lineRule="auto"/>
              <w:jc w:val="center"/>
              <w:rPr>
                <w:snapToGrid w:val="0"/>
                <w:kern w:val="21"/>
                <w:szCs w:val="21"/>
              </w:rPr>
            </w:pPr>
            <w:r>
              <w:rPr>
                <w:rFonts w:hint="eastAsia"/>
                <w:snapToGrid w:val="0"/>
                <w:kern w:val="21"/>
                <w:szCs w:val="21"/>
              </w:rPr>
              <w:t>79.7</w:t>
            </w:r>
            <w:r>
              <w:rPr>
                <w:snapToGrid w:val="0"/>
                <w:kern w:val="21"/>
                <w:szCs w:val="21"/>
              </w:rPr>
              <w:t>t/a</w:t>
            </w:r>
          </w:p>
        </w:tc>
        <w:tc>
          <w:tcPr>
            <w:tcW w:w="555" w:type="pct"/>
            <w:vAlign w:val="center"/>
          </w:tcPr>
          <w:p w14:paraId="300FE91E">
            <w:pPr>
              <w:spacing w:line="276" w:lineRule="auto"/>
              <w:jc w:val="center"/>
              <w:rPr>
                <w:snapToGrid w:val="0"/>
                <w:kern w:val="21"/>
                <w:szCs w:val="21"/>
              </w:rPr>
            </w:pPr>
            <w:r>
              <w:rPr>
                <w:rFonts w:hint="eastAsia"/>
                <w:snapToGrid w:val="0"/>
                <w:kern w:val="21"/>
                <w:szCs w:val="21"/>
              </w:rPr>
              <w:t>/</w:t>
            </w:r>
          </w:p>
        </w:tc>
        <w:tc>
          <w:tcPr>
            <w:tcW w:w="1562" w:type="dxa"/>
            <w:vAlign w:val="center"/>
          </w:tcPr>
          <w:p w14:paraId="5094C5EC">
            <w:pPr>
              <w:spacing w:line="276" w:lineRule="auto"/>
              <w:jc w:val="center"/>
              <w:rPr>
                <w:snapToGrid w:val="0"/>
                <w:kern w:val="21"/>
                <w:szCs w:val="21"/>
              </w:rPr>
            </w:pPr>
            <w:r>
              <w:rPr>
                <w:rFonts w:hint="eastAsia"/>
                <w:snapToGrid w:val="0"/>
                <w:kern w:val="21"/>
                <w:szCs w:val="21"/>
              </w:rPr>
              <w:t>79.7</w:t>
            </w:r>
            <w:r>
              <w:rPr>
                <w:snapToGrid w:val="0"/>
                <w:kern w:val="21"/>
                <w:szCs w:val="21"/>
              </w:rPr>
              <w:t>t/a</w:t>
            </w:r>
          </w:p>
        </w:tc>
        <w:tc>
          <w:tcPr>
            <w:tcW w:w="1387" w:type="dxa"/>
            <w:vAlign w:val="center"/>
          </w:tcPr>
          <w:p w14:paraId="5A6DB420">
            <w:pPr>
              <w:spacing w:line="276" w:lineRule="auto"/>
              <w:jc w:val="center"/>
              <w:rPr>
                <w:snapToGrid w:val="0"/>
                <w:kern w:val="21"/>
                <w:szCs w:val="21"/>
              </w:rPr>
            </w:pPr>
            <w:r>
              <w:rPr>
                <w:rFonts w:hint="eastAsia"/>
                <w:snapToGrid w:val="0"/>
                <w:kern w:val="21"/>
                <w:szCs w:val="21"/>
              </w:rPr>
              <w:t>79.7</w:t>
            </w:r>
            <w:r>
              <w:rPr>
                <w:snapToGrid w:val="0"/>
                <w:kern w:val="21"/>
                <w:szCs w:val="21"/>
              </w:rPr>
              <w:t>t/a</w:t>
            </w:r>
          </w:p>
        </w:tc>
      </w:tr>
      <w:tr w14:paraId="15FF3E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467" w:type="pct"/>
            <w:vMerge w:val="continue"/>
            <w:vAlign w:val="center"/>
          </w:tcPr>
          <w:p w14:paraId="1029935A">
            <w:pPr>
              <w:spacing w:line="276" w:lineRule="auto"/>
              <w:jc w:val="center"/>
              <w:rPr>
                <w:rFonts w:hAnsi="宋体"/>
                <w:snapToGrid w:val="0"/>
                <w:kern w:val="21"/>
                <w:szCs w:val="21"/>
              </w:rPr>
            </w:pPr>
          </w:p>
        </w:tc>
        <w:tc>
          <w:tcPr>
            <w:tcW w:w="958" w:type="pct"/>
            <w:vAlign w:val="center"/>
          </w:tcPr>
          <w:p w14:paraId="199588DD">
            <w:pPr>
              <w:spacing w:line="276" w:lineRule="auto"/>
              <w:jc w:val="center"/>
              <w:rPr>
                <w:rFonts w:hAnsi="宋体"/>
                <w:snapToGrid w:val="0"/>
                <w:kern w:val="21"/>
                <w:szCs w:val="21"/>
              </w:rPr>
            </w:pPr>
            <w:r>
              <w:rPr>
                <w:rFonts w:hint="eastAsia"/>
              </w:rPr>
              <w:t>水槽沉淀</w:t>
            </w:r>
          </w:p>
        </w:tc>
        <w:tc>
          <w:tcPr>
            <w:tcW w:w="505" w:type="pct"/>
            <w:vAlign w:val="center"/>
          </w:tcPr>
          <w:p w14:paraId="218789E1">
            <w:pPr>
              <w:spacing w:line="276" w:lineRule="auto"/>
              <w:jc w:val="center"/>
              <w:rPr>
                <w:snapToGrid w:val="0"/>
                <w:kern w:val="21"/>
                <w:szCs w:val="21"/>
              </w:rPr>
            </w:pPr>
            <w:r>
              <w:rPr>
                <w:rFonts w:hint="eastAsia"/>
                <w:snapToGrid w:val="0"/>
                <w:kern w:val="21"/>
                <w:szCs w:val="21"/>
              </w:rPr>
              <w:t>0</w:t>
            </w:r>
          </w:p>
        </w:tc>
        <w:tc>
          <w:tcPr>
            <w:tcW w:w="405" w:type="pct"/>
            <w:vAlign w:val="center"/>
          </w:tcPr>
          <w:p w14:paraId="058B313D">
            <w:pPr>
              <w:spacing w:line="276" w:lineRule="auto"/>
              <w:jc w:val="center"/>
              <w:rPr>
                <w:snapToGrid w:val="0"/>
                <w:kern w:val="21"/>
                <w:szCs w:val="21"/>
              </w:rPr>
            </w:pPr>
            <w:r>
              <w:rPr>
                <w:rFonts w:hint="eastAsia"/>
                <w:snapToGrid w:val="0"/>
                <w:kern w:val="21"/>
                <w:szCs w:val="21"/>
              </w:rPr>
              <w:t>0</w:t>
            </w:r>
          </w:p>
        </w:tc>
        <w:tc>
          <w:tcPr>
            <w:tcW w:w="505" w:type="pct"/>
            <w:vAlign w:val="center"/>
          </w:tcPr>
          <w:p w14:paraId="22830584">
            <w:pPr>
              <w:spacing w:line="276" w:lineRule="auto"/>
              <w:jc w:val="center"/>
              <w:rPr>
                <w:snapToGrid w:val="0"/>
                <w:kern w:val="21"/>
                <w:szCs w:val="21"/>
              </w:rPr>
            </w:pPr>
            <w:r>
              <w:rPr>
                <w:rFonts w:hint="eastAsia"/>
                <w:snapToGrid w:val="0"/>
                <w:kern w:val="21"/>
                <w:szCs w:val="21"/>
              </w:rPr>
              <w:t>0</w:t>
            </w:r>
          </w:p>
        </w:tc>
        <w:tc>
          <w:tcPr>
            <w:tcW w:w="505" w:type="pct"/>
            <w:vAlign w:val="center"/>
          </w:tcPr>
          <w:p w14:paraId="3DC65ED9">
            <w:pPr>
              <w:spacing w:line="276" w:lineRule="auto"/>
              <w:jc w:val="center"/>
              <w:rPr>
                <w:snapToGrid w:val="0"/>
                <w:kern w:val="21"/>
                <w:szCs w:val="21"/>
              </w:rPr>
            </w:pPr>
            <w:r>
              <w:rPr>
                <w:rFonts w:hint="eastAsia"/>
                <w:snapToGrid w:val="0"/>
                <w:kern w:val="21"/>
                <w:szCs w:val="21"/>
              </w:rPr>
              <w:t>0.2</w:t>
            </w:r>
            <w:r>
              <w:rPr>
                <w:snapToGrid w:val="0"/>
                <w:kern w:val="21"/>
                <w:szCs w:val="21"/>
              </w:rPr>
              <w:t>t/a</w:t>
            </w:r>
          </w:p>
        </w:tc>
        <w:tc>
          <w:tcPr>
            <w:tcW w:w="555" w:type="pct"/>
            <w:vAlign w:val="center"/>
          </w:tcPr>
          <w:p w14:paraId="22133E5B">
            <w:pPr>
              <w:spacing w:line="276" w:lineRule="auto"/>
              <w:jc w:val="center"/>
              <w:rPr>
                <w:snapToGrid w:val="0"/>
                <w:kern w:val="21"/>
                <w:szCs w:val="21"/>
              </w:rPr>
            </w:pPr>
            <w:r>
              <w:rPr>
                <w:rFonts w:hint="eastAsia"/>
                <w:snapToGrid w:val="0"/>
                <w:kern w:val="21"/>
                <w:szCs w:val="21"/>
              </w:rPr>
              <w:t>/</w:t>
            </w:r>
          </w:p>
        </w:tc>
        <w:tc>
          <w:tcPr>
            <w:tcW w:w="1562" w:type="dxa"/>
            <w:vAlign w:val="center"/>
          </w:tcPr>
          <w:p w14:paraId="77C1A9FC">
            <w:pPr>
              <w:spacing w:line="276" w:lineRule="auto"/>
              <w:jc w:val="center"/>
              <w:rPr>
                <w:snapToGrid w:val="0"/>
                <w:kern w:val="21"/>
                <w:szCs w:val="21"/>
              </w:rPr>
            </w:pPr>
            <w:r>
              <w:rPr>
                <w:rFonts w:hint="eastAsia"/>
                <w:snapToGrid w:val="0"/>
                <w:kern w:val="21"/>
                <w:szCs w:val="21"/>
              </w:rPr>
              <w:t>0.2</w:t>
            </w:r>
            <w:r>
              <w:rPr>
                <w:snapToGrid w:val="0"/>
                <w:kern w:val="21"/>
                <w:szCs w:val="21"/>
              </w:rPr>
              <w:t>t/a</w:t>
            </w:r>
          </w:p>
        </w:tc>
        <w:tc>
          <w:tcPr>
            <w:tcW w:w="1387" w:type="dxa"/>
            <w:vAlign w:val="center"/>
          </w:tcPr>
          <w:p w14:paraId="532B71FE">
            <w:pPr>
              <w:spacing w:line="276" w:lineRule="auto"/>
              <w:jc w:val="center"/>
              <w:rPr>
                <w:snapToGrid w:val="0"/>
                <w:kern w:val="21"/>
                <w:szCs w:val="21"/>
              </w:rPr>
            </w:pPr>
            <w:r>
              <w:rPr>
                <w:rFonts w:hint="eastAsia"/>
                <w:snapToGrid w:val="0"/>
                <w:kern w:val="21"/>
                <w:szCs w:val="21"/>
              </w:rPr>
              <w:t>0.2</w:t>
            </w:r>
            <w:r>
              <w:rPr>
                <w:snapToGrid w:val="0"/>
                <w:kern w:val="21"/>
                <w:szCs w:val="21"/>
              </w:rPr>
              <w:t>t/a</w:t>
            </w:r>
          </w:p>
        </w:tc>
      </w:tr>
      <w:tr w14:paraId="6EEFD0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67" w:type="pct"/>
            <w:vMerge w:val="continue"/>
            <w:vAlign w:val="center"/>
          </w:tcPr>
          <w:p w14:paraId="25C60548">
            <w:pPr>
              <w:spacing w:line="276" w:lineRule="auto"/>
              <w:jc w:val="center"/>
              <w:rPr>
                <w:snapToGrid w:val="0"/>
                <w:kern w:val="21"/>
                <w:szCs w:val="21"/>
              </w:rPr>
            </w:pPr>
          </w:p>
        </w:tc>
        <w:tc>
          <w:tcPr>
            <w:tcW w:w="958" w:type="pct"/>
            <w:vAlign w:val="center"/>
          </w:tcPr>
          <w:p w14:paraId="01E9F0EC">
            <w:pPr>
              <w:spacing w:line="276" w:lineRule="auto"/>
              <w:jc w:val="center"/>
              <w:rPr>
                <w:snapToGrid w:val="0"/>
                <w:kern w:val="21"/>
                <w:szCs w:val="21"/>
              </w:rPr>
            </w:pPr>
            <w:r>
              <w:rPr>
                <w:rFonts w:hint="eastAsia"/>
                <w:snapToGrid w:val="0"/>
                <w:kern w:val="21"/>
                <w:szCs w:val="21"/>
              </w:rPr>
              <w:t>滴漏沥青</w:t>
            </w:r>
          </w:p>
        </w:tc>
        <w:tc>
          <w:tcPr>
            <w:tcW w:w="505" w:type="pct"/>
            <w:vAlign w:val="center"/>
          </w:tcPr>
          <w:p w14:paraId="38C5017A">
            <w:pPr>
              <w:spacing w:line="276" w:lineRule="auto"/>
              <w:jc w:val="center"/>
              <w:rPr>
                <w:snapToGrid w:val="0"/>
                <w:kern w:val="21"/>
                <w:szCs w:val="21"/>
              </w:rPr>
            </w:pPr>
            <w:r>
              <w:rPr>
                <w:rFonts w:hint="eastAsia"/>
                <w:snapToGrid w:val="0"/>
                <w:kern w:val="21"/>
                <w:szCs w:val="21"/>
              </w:rPr>
              <w:t>0</w:t>
            </w:r>
          </w:p>
        </w:tc>
        <w:tc>
          <w:tcPr>
            <w:tcW w:w="405" w:type="pct"/>
            <w:vAlign w:val="center"/>
          </w:tcPr>
          <w:p w14:paraId="4CE04D89">
            <w:pPr>
              <w:spacing w:line="276" w:lineRule="auto"/>
              <w:jc w:val="center"/>
              <w:rPr>
                <w:snapToGrid w:val="0"/>
                <w:kern w:val="21"/>
                <w:szCs w:val="21"/>
              </w:rPr>
            </w:pPr>
            <w:r>
              <w:rPr>
                <w:rFonts w:hint="eastAsia"/>
                <w:snapToGrid w:val="0"/>
                <w:kern w:val="21"/>
                <w:szCs w:val="21"/>
              </w:rPr>
              <w:t>0</w:t>
            </w:r>
          </w:p>
        </w:tc>
        <w:tc>
          <w:tcPr>
            <w:tcW w:w="505" w:type="pct"/>
            <w:vAlign w:val="center"/>
          </w:tcPr>
          <w:p w14:paraId="3A299684">
            <w:pPr>
              <w:spacing w:line="276" w:lineRule="auto"/>
              <w:jc w:val="center"/>
              <w:rPr>
                <w:snapToGrid w:val="0"/>
                <w:kern w:val="21"/>
                <w:szCs w:val="21"/>
              </w:rPr>
            </w:pPr>
            <w:r>
              <w:rPr>
                <w:rFonts w:hint="eastAsia"/>
                <w:snapToGrid w:val="0"/>
                <w:kern w:val="21"/>
                <w:szCs w:val="21"/>
              </w:rPr>
              <w:t>0</w:t>
            </w:r>
          </w:p>
        </w:tc>
        <w:tc>
          <w:tcPr>
            <w:tcW w:w="505" w:type="pct"/>
            <w:vAlign w:val="center"/>
          </w:tcPr>
          <w:p w14:paraId="2AF7D70E">
            <w:pPr>
              <w:spacing w:line="276" w:lineRule="auto"/>
              <w:jc w:val="center"/>
              <w:rPr>
                <w:snapToGrid w:val="0"/>
                <w:kern w:val="21"/>
                <w:szCs w:val="21"/>
              </w:rPr>
            </w:pPr>
            <w:r>
              <w:rPr>
                <w:rFonts w:hint="eastAsia"/>
                <w:szCs w:val="20"/>
              </w:rPr>
              <w:t>0.07</w:t>
            </w:r>
            <w:r>
              <w:rPr>
                <w:snapToGrid w:val="0"/>
                <w:kern w:val="21"/>
                <w:szCs w:val="21"/>
              </w:rPr>
              <w:t>t/a</w:t>
            </w:r>
          </w:p>
        </w:tc>
        <w:tc>
          <w:tcPr>
            <w:tcW w:w="555" w:type="pct"/>
            <w:vAlign w:val="center"/>
          </w:tcPr>
          <w:p w14:paraId="1DC4C268">
            <w:pPr>
              <w:spacing w:line="276" w:lineRule="auto"/>
              <w:jc w:val="center"/>
              <w:rPr>
                <w:snapToGrid w:val="0"/>
                <w:kern w:val="21"/>
                <w:szCs w:val="21"/>
              </w:rPr>
            </w:pPr>
            <w:r>
              <w:rPr>
                <w:rFonts w:hint="eastAsia" w:hAnsi="宋体"/>
                <w:snapToGrid w:val="0"/>
                <w:kern w:val="21"/>
                <w:szCs w:val="21"/>
              </w:rPr>
              <w:t>/</w:t>
            </w:r>
          </w:p>
        </w:tc>
        <w:tc>
          <w:tcPr>
            <w:tcW w:w="1562" w:type="dxa"/>
            <w:vAlign w:val="center"/>
          </w:tcPr>
          <w:p w14:paraId="1E6852A1">
            <w:pPr>
              <w:spacing w:line="276" w:lineRule="auto"/>
              <w:jc w:val="center"/>
              <w:rPr>
                <w:snapToGrid w:val="0"/>
                <w:kern w:val="21"/>
                <w:szCs w:val="21"/>
              </w:rPr>
            </w:pPr>
            <w:r>
              <w:rPr>
                <w:rFonts w:hint="eastAsia"/>
                <w:szCs w:val="20"/>
              </w:rPr>
              <w:t>0.07</w:t>
            </w:r>
            <w:r>
              <w:rPr>
                <w:snapToGrid w:val="0"/>
                <w:kern w:val="21"/>
                <w:szCs w:val="21"/>
              </w:rPr>
              <w:t>t/a</w:t>
            </w:r>
          </w:p>
        </w:tc>
        <w:tc>
          <w:tcPr>
            <w:tcW w:w="1387" w:type="dxa"/>
            <w:vAlign w:val="center"/>
          </w:tcPr>
          <w:p w14:paraId="52B5A2C0">
            <w:pPr>
              <w:spacing w:line="276" w:lineRule="auto"/>
              <w:jc w:val="center"/>
              <w:rPr>
                <w:snapToGrid w:val="0"/>
                <w:kern w:val="21"/>
                <w:szCs w:val="21"/>
              </w:rPr>
            </w:pPr>
            <w:r>
              <w:rPr>
                <w:rFonts w:hint="eastAsia"/>
                <w:szCs w:val="20"/>
              </w:rPr>
              <w:t>0.07</w:t>
            </w:r>
            <w:r>
              <w:rPr>
                <w:snapToGrid w:val="0"/>
                <w:kern w:val="21"/>
                <w:szCs w:val="21"/>
              </w:rPr>
              <w:t>t/a</w:t>
            </w:r>
          </w:p>
        </w:tc>
      </w:tr>
      <w:tr w14:paraId="766BAC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67" w:type="pct"/>
            <w:vMerge w:val="continue"/>
            <w:vAlign w:val="center"/>
          </w:tcPr>
          <w:p w14:paraId="3AC3C866">
            <w:pPr>
              <w:spacing w:line="276" w:lineRule="auto"/>
              <w:jc w:val="center"/>
              <w:rPr>
                <w:snapToGrid w:val="0"/>
                <w:kern w:val="21"/>
                <w:szCs w:val="21"/>
              </w:rPr>
            </w:pPr>
          </w:p>
        </w:tc>
        <w:tc>
          <w:tcPr>
            <w:tcW w:w="958" w:type="pct"/>
            <w:vAlign w:val="center"/>
          </w:tcPr>
          <w:p w14:paraId="07C27980">
            <w:pPr>
              <w:spacing w:line="276" w:lineRule="auto"/>
              <w:jc w:val="center"/>
              <w:rPr>
                <w:snapToGrid w:val="0"/>
                <w:kern w:val="21"/>
                <w:szCs w:val="21"/>
              </w:rPr>
            </w:pPr>
            <w:r>
              <w:rPr>
                <w:rFonts w:hAnsi="宋体"/>
                <w:snapToGrid w:val="0"/>
                <w:kern w:val="21"/>
                <w:szCs w:val="21"/>
              </w:rPr>
              <w:t>生活垃圾</w:t>
            </w:r>
          </w:p>
        </w:tc>
        <w:tc>
          <w:tcPr>
            <w:tcW w:w="505" w:type="pct"/>
            <w:vAlign w:val="center"/>
          </w:tcPr>
          <w:p w14:paraId="0FD3FEE6">
            <w:pPr>
              <w:spacing w:line="276" w:lineRule="auto"/>
              <w:jc w:val="center"/>
              <w:rPr>
                <w:snapToGrid w:val="0"/>
                <w:kern w:val="21"/>
                <w:szCs w:val="21"/>
              </w:rPr>
            </w:pPr>
            <w:r>
              <w:rPr>
                <w:rFonts w:hint="eastAsia"/>
                <w:snapToGrid w:val="0"/>
                <w:kern w:val="21"/>
                <w:szCs w:val="21"/>
              </w:rPr>
              <w:t>0</w:t>
            </w:r>
          </w:p>
        </w:tc>
        <w:tc>
          <w:tcPr>
            <w:tcW w:w="405" w:type="pct"/>
            <w:vAlign w:val="center"/>
          </w:tcPr>
          <w:p w14:paraId="65070A67">
            <w:pPr>
              <w:spacing w:line="276" w:lineRule="auto"/>
              <w:jc w:val="center"/>
              <w:rPr>
                <w:snapToGrid w:val="0"/>
                <w:kern w:val="21"/>
                <w:szCs w:val="21"/>
              </w:rPr>
            </w:pPr>
            <w:r>
              <w:rPr>
                <w:rFonts w:hint="eastAsia"/>
                <w:snapToGrid w:val="0"/>
                <w:kern w:val="21"/>
                <w:szCs w:val="21"/>
              </w:rPr>
              <w:t>0</w:t>
            </w:r>
          </w:p>
        </w:tc>
        <w:tc>
          <w:tcPr>
            <w:tcW w:w="505" w:type="pct"/>
            <w:vAlign w:val="center"/>
          </w:tcPr>
          <w:p w14:paraId="43A974D7">
            <w:pPr>
              <w:spacing w:line="276" w:lineRule="auto"/>
              <w:jc w:val="center"/>
              <w:rPr>
                <w:snapToGrid w:val="0"/>
                <w:kern w:val="21"/>
                <w:szCs w:val="21"/>
              </w:rPr>
            </w:pPr>
            <w:r>
              <w:rPr>
                <w:rFonts w:hint="eastAsia"/>
                <w:snapToGrid w:val="0"/>
                <w:kern w:val="21"/>
                <w:szCs w:val="21"/>
              </w:rPr>
              <w:t>0</w:t>
            </w:r>
          </w:p>
        </w:tc>
        <w:tc>
          <w:tcPr>
            <w:tcW w:w="505" w:type="pct"/>
            <w:vAlign w:val="center"/>
          </w:tcPr>
          <w:p w14:paraId="10BD96DC">
            <w:pPr>
              <w:spacing w:line="276" w:lineRule="auto"/>
              <w:jc w:val="center"/>
              <w:rPr>
                <w:szCs w:val="20"/>
              </w:rPr>
            </w:pPr>
            <w:r>
              <w:rPr>
                <w:rFonts w:hint="eastAsia" w:eastAsia="Times New Roman"/>
                <w:kern w:val="0"/>
              </w:rPr>
              <w:t>2.88</w:t>
            </w:r>
            <w:r>
              <w:rPr>
                <w:snapToGrid w:val="0"/>
                <w:kern w:val="21"/>
                <w:szCs w:val="21"/>
              </w:rPr>
              <w:t>t/a</w:t>
            </w:r>
          </w:p>
        </w:tc>
        <w:tc>
          <w:tcPr>
            <w:tcW w:w="555" w:type="pct"/>
            <w:vAlign w:val="center"/>
          </w:tcPr>
          <w:p w14:paraId="63A067D2">
            <w:pPr>
              <w:spacing w:line="276" w:lineRule="auto"/>
              <w:jc w:val="center"/>
              <w:rPr>
                <w:snapToGrid w:val="0"/>
                <w:kern w:val="21"/>
                <w:szCs w:val="21"/>
              </w:rPr>
            </w:pPr>
            <w:r>
              <w:rPr>
                <w:rFonts w:hint="eastAsia"/>
                <w:snapToGrid w:val="0"/>
                <w:kern w:val="21"/>
                <w:szCs w:val="21"/>
              </w:rPr>
              <w:t>/</w:t>
            </w:r>
          </w:p>
        </w:tc>
        <w:tc>
          <w:tcPr>
            <w:tcW w:w="1562" w:type="dxa"/>
            <w:vAlign w:val="center"/>
          </w:tcPr>
          <w:p w14:paraId="52F8F77A">
            <w:pPr>
              <w:spacing w:line="276" w:lineRule="auto"/>
              <w:jc w:val="center"/>
              <w:rPr>
                <w:szCs w:val="20"/>
              </w:rPr>
            </w:pPr>
            <w:r>
              <w:rPr>
                <w:rFonts w:hint="eastAsia" w:eastAsia="Times New Roman"/>
                <w:kern w:val="0"/>
              </w:rPr>
              <w:t>2.88</w:t>
            </w:r>
            <w:r>
              <w:rPr>
                <w:snapToGrid w:val="0"/>
                <w:kern w:val="21"/>
                <w:szCs w:val="21"/>
              </w:rPr>
              <w:t>t/a</w:t>
            </w:r>
          </w:p>
        </w:tc>
        <w:tc>
          <w:tcPr>
            <w:tcW w:w="1387" w:type="dxa"/>
            <w:vAlign w:val="center"/>
          </w:tcPr>
          <w:p w14:paraId="6305961F">
            <w:pPr>
              <w:spacing w:line="276" w:lineRule="auto"/>
              <w:jc w:val="center"/>
              <w:rPr>
                <w:szCs w:val="20"/>
              </w:rPr>
            </w:pPr>
            <w:r>
              <w:rPr>
                <w:rFonts w:hint="eastAsia" w:eastAsia="Times New Roman"/>
                <w:kern w:val="0"/>
              </w:rPr>
              <w:t>2.88</w:t>
            </w:r>
            <w:r>
              <w:rPr>
                <w:snapToGrid w:val="0"/>
                <w:kern w:val="21"/>
                <w:szCs w:val="21"/>
              </w:rPr>
              <w:t>t/a</w:t>
            </w:r>
          </w:p>
        </w:tc>
      </w:tr>
      <w:tr w14:paraId="076C36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467" w:type="pct"/>
            <w:vMerge w:val="restart"/>
            <w:vAlign w:val="center"/>
          </w:tcPr>
          <w:p w14:paraId="43E24DE2">
            <w:pPr>
              <w:spacing w:line="276" w:lineRule="auto"/>
              <w:jc w:val="center"/>
              <w:rPr>
                <w:snapToGrid w:val="0"/>
                <w:kern w:val="21"/>
                <w:szCs w:val="21"/>
              </w:rPr>
            </w:pPr>
            <w:r>
              <w:rPr>
                <w:rFonts w:hint="eastAsia"/>
                <w:snapToGrid w:val="0"/>
                <w:kern w:val="21"/>
                <w:szCs w:val="21"/>
              </w:rPr>
              <w:t>危险废物</w:t>
            </w:r>
          </w:p>
        </w:tc>
        <w:tc>
          <w:tcPr>
            <w:tcW w:w="958" w:type="pct"/>
            <w:vAlign w:val="center"/>
          </w:tcPr>
          <w:p w14:paraId="783213AE">
            <w:pPr>
              <w:spacing w:line="276" w:lineRule="auto"/>
              <w:jc w:val="center"/>
              <w:rPr>
                <w:snapToGrid w:val="0"/>
                <w:kern w:val="21"/>
                <w:szCs w:val="21"/>
              </w:rPr>
            </w:pPr>
            <w:r>
              <w:rPr>
                <w:rFonts w:hint="eastAsia" w:eastAsia="Times New Roman"/>
                <w:kern w:val="0"/>
              </w:rPr>
              <w:t>废导热油</w:t>
            </w:r>
          </w:p>
        </w:tc>
        <w:tc>
          <w:tcPr>
            <w:tcW w:w="505" w:type="pct"/>
            <w:vAlign w:val="center"/>
          </w:tcPr>
          <w:p w14:paraId="30366713">
            <w:pPr>
              <w:spacing w:line="276" w:lineRule="auto"/>
              <w:jc w:val="center"/>
              <w:rPr>
                <w:snapToGrid w:val="0"/>
                <w:kern w:val="21"/>
                <w:szCs w:val="21"/>
              </w:rPr>
            </w:pPr>
            <w:r>
              <w:rPr>
                <w:rFonts w:hint="eastAsia" w:hAnsi="宋体"/>
                <w:snapToGrid w:val="0"/>
                <w:kern w:val="21"/>
                <w:szCs w:val="21"/>
              </w:rPr>
              <w:t>0</w:t>
            </w:r>
          </w:p>
        </w:tc>
        <w:tc>
          <w:tcPr>
            <w:tcW w:w="405" w:type="pct"/>
            <w:vAlign w:val="center"/>
          </w:tcPr>
          <w:p w14:paraId="7596811F">
            <w:pPr>
              <w:spacing w:line="276" w:lineRule="auto"/>
              <w:jc w:val="center"/>
              <w:rPr>
                <w:snapToGrid w:val="0"/>
                <w:kern w:val="21"/>
                <w:szCs w:val="21"/>
              </w:rPr>
            </w:pPr>
            <w:r>
              <w:rPr>
                <w:rFonts w:hint="eastAsia" w:hAnsi="宋体"/>
                <w:snapToGrid w:val="0"/>
                <w:kern w:val="21"/>
                <w:szCs w:val="21"/>
              </w:rPr>
              <w:t>0</w:t>
            </w:r>
          </w:p>
        </w:tc>
        <w:tc>
          <w:tcPr>
            <w:tcW w:w="505" w:type="pct"/>
            <w:vAlign w:val="center"/>
          </w:tcPr>
          <w:p w14:paraId="7C8A5C33">
            <w:pPr>
              <w:spacing w:line="276" w:lineRule="auto"/>
              <w:jc w:val="center"/>
              <w:rPr>
                <w:snapToGrid w:val="0"/>
                <w:kern w:val="21"/>
                <w:szCs w:val="21"/>
              </w:rPr>
            </w:pPr>
            <w:r>
              <w:rPr>
                <w:rFonts w:hint="eastAsia" w:hAnsi="宋体"/>
                <w:snapToGrid w:val="0"/>
                <w:kern w:val="21"/>
                <w:szCs w:val="21"/>
              </w:rPr>
              <w:t>0</w:t>
            </w:r>
          </w:p>
        </w:tc>
        <w:tc>
          <w:tcPr>
            <w:tcW w:w="505" w:type="pct"/>
            <w:vAlign w:val="center"/>
          </w:tcPr>
          <w:p w14:paraId="04DFA12D">
            <w:pPr>
              <w:spacing w:line="276" w:lineRule="auto"/>
              <w:jc w:val="center"/>
              <w:rPr>
                <w:szCs w:val="20"/>
              </w:rPr>
            </w:pPr>
            <w:r>
              <w:rPr>
                <w:rFonts w:hint="eastAsia" w:eastAsia="Times New Roman"/>
                <w:kern w:val="0"/>
              </w:rPr>
              <w:t>0.6t/a</w:t>
            </w:r>
          </w:p>
        </w:tc>
        <w:tc>
          <w:tcPr>
            <w:tcW w:w="555" w:type="pct"/>
            <w:vAlign w:val="center"/>
          </w:tcPr>
          <w:p w14:paraId="31DE8FB6">
            <w:pPr>
              <w:spacing w:line="276" w:lineRule="auto"/>
              <w:jc w:val="center"/>
              <w:rPr>
                <w:snapToGrid w:val="0"/>
                <w:kern w:val="21"/>
                <w:szCs w:val="21"/>
              </w:rPr>
            </w:pPr>
            <w:r>
              <w:rPr>
                <w:rFonts w:hint="eastAsia"/>
                <w:snapToGrid w:val="0"/>
                <w:kern w:val="21"/>
                <w:szCs w:val="21"/>
              </w:rPr>
              <w:t>/</w:t>
            </w:r>
          </w:p>
        </w:tc>
        <w:tc>
          <w:tcPr>
            <w:tcW w:w="1562" w:type="dxa"/>
            <w:vAlign w:val="center"/>
          </w:tcPr>
          <w:p w14:paraId="10B58B87">
            <w:pPr>
              <w:spacing w:line="276" w:lineRule="auto"/>
              <w:jc w:val="center"/>
              <w:rPr>
                <w:szCs w:val="20"/>
              </w:rPr>
            </w:pPr>
            <w:r>
              <w:rPr>
                <w:rFonts w:hint="eastAsia" w:eastAsia="Times New Roman"/>
                <w:kern w:val="0"/>
              </w:rPr>
              <w:t>0.6t/a</w:t>
            </w:r>
          </w:p>
        </w:tc>
        <w:tc>
          <w:tcPr>
            <w:tcW w:w="1387" w:type="dxa"/>
            <w:vAlign w:val="center"/>
          </w:tcPr>
          <w:p w14:paraId="49D210C8">
            <w:pPr>
              <w:spacing w:line="276" w:lineRule="auto"/>
              <w:jc w:val="center"/>
              <w:rPr>
                <w:szCs w:val="20"/>
              </w:rPr>
            </w:pPr>
            <w:r>
              <w:rPr>
                <w:rFonts w:hint="eastAsia" w:eastAsia="Times New Roman"/>
                <w:kern w:val="0"/>
              </w:rPr>
              <w:t>0.6t/a</w:t>
            </w:r>
          </w:p>
        </w:tc>
      </w:tr>
      <w:tr w14:paraId="62DDF6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67" w:type="pct"/>
            <w:vMerge w:val="continue"/>
            <w:vAlign w:val="center"/>
          </w:tcPr>
          <w:p w14:paraId="597A4095">
            <w:pPr>
              <w:spacing w:line="276" w:lineRule="auto"/>
              <w:jc w:val="center"/>
              <w:rPr>
                <w:snapToGrid w:val="0"/>
                <w:kern w:val="21"/>
                <w:szCs w:val="21"/>
              </w:rPr>
            </w:pPr>
          </w:p>
        </w:tc>
        <w:tc>
          <w:tcPr>
            <w:tcW w:w="958" w:type="pct"/>
            <w:vAlign w:val="center"/>
          </w:tcPr>
          <w:p w14:paraId="53C71676">
            <w:pPr>
              <w:spacing w:line="276" w:lineRule="auto"/>
              <w:jc w:val="center"/>
              <w:rPr>
                <w:snapToGrid w:val="0"/>
                <w:kern w:val="21"/>
                <w:szCs w:val="21"/>
              </w:rPr>
            </w:pPr>
            <w:r>
              <w:rPr>
                <w:rFonts w:hint="eastAsia" w:eastAsia="Times New Roman"/>
                <w:kern w:val="0"/>
              </w:rPr>
              <w:t>废活性炭</w:t>
            </w:r>
          </w:p>
        </w:tc>
        <w:tc>
          <w:tcPr>
            <w:tcW w:w="505" w:type="pct"/>
            <w:vAlign w:val="center"/>
          </w:tcPr>
          <w:p w14:paraId="4259B17B">
            <w:pPr>
              <w:spacing w:line="276" w:lineRule="auto"/>
              <w:jc w:val="center"/>
              <w:rPr>
                <w:snapToGrid w:val="0"/>
                <w:kern w:val="21"/>
                <w:szCs w:val="21"/>
              </w:rPr>
            </w:pPr>
            <w:r>
              <w:rPr>
                <w:rFonts w:hint="eastAsia"/>
                <w:snapToGrid w:val="0"/>
                <w:kern w:val="21"/>
                <w:szCs w:val="21"/>
              </w:rPr>
              <w:t>0</w:t>
            </w:r>
          </w:p>
        </w:tc>
        <w:tc>
          <w:tcPr>
            <w:tcW w:w="405" w:type="pct"/>
            <w:vAlign w:val="center"/>
          </w:tcPr>
          <w:p w14:paraId="32A02164">
            <w:pPr>
              <w:spacing w:line="276" w:lineRule="auto"/>
              <w:jc w:val="center"/>
              <w:rPr>
                <w:snapToGrid w:val="0"/>
                <w:kern w:val="21"/>
                <w:szCs w:val="21"/>
              </w:rPr>
            </w:pPr>
            <w:r>
              <w:rPr>
                <w:rFonts w:hint="eastAsia"/>
                <w:snapToGrid w:val="0"/>
                <w:kern w:val="21"/>
                <w:szCs w:val="21"/>
              </w:rPr>
              <w:t>0</w:t>
            </w:r>
          </w:p>
        </w:tc>
        <w:tc>
          <w:tcPr>
            <w:tcW w:w="505" w:type="pct"/>
            <w:vAlign w:val="center"/>
          </w:tcPr>
          <w:p w14:paraId="599B05F9">
            <w:pPr>
              <w:spacing w:line="276" w:lineRule="auto"/>
              <w:jc w:val="center"/>
              <w:rPr>
                <w:snapToGrid w:val="0"/>
                <w:kern w:val="21"/>
                <w:szCs w:val="21"/>
              </w:rPr>
            </w:pPr>
            <w:r>
              <w:rPr>
                <w:rFonts w:hint="eastAsia"/>
                <w:snapToGrid w:val="0"/>
                <w:kern w:val="21"/>
                <w:szCs w:val="21"/>
              </w:rPr>
              <w:t>0</w:t>
            </w:r>
          </w:p>
        </w:tc>
        <w:tc>
          <w:tcPr>
            <w:tcW w:w="505" w:type="pct"/>
            <w:vAlign w:val="center"/>
          </w:tcPr>
          <w:p w14:paraId="4B9865C4">
            <w:pPr>
              <w:spacing w:line="276" w:lineRule="auto"/>
              <w:jc w:val="center"/>
              <w:rPr>
                <w:szCs w:val="20"/>
              </w:rPr>
            </w:pPr>
            <w:r>
              <w:rPr>
                <w:rFonts w:hint="eastAsia" w:eastAsia="Times New Roman"/>
                <w:kern w:val="0"/>
              </w:rPr>
              <w:t>0.2t/a</w:t>
            </w:r>
          </w:p>
        </w:tc>
        <w:tc>
          <w:tcPr>
            <w:tcW w:w="555" w:type="pct"/>
            <w:vAlign w:val="center"/>
          </w:tcPr>
          <w:p w14:paraId="5A7FC348">
            <w:pPr>
              <w:spacing w:line="276" w:lineRule="auto"/>
              <w:jc w:val="center"/>
              <w:rPr>
                <w:snapToGrid w:val="0"/>
                <w:kern w:val="21"/>
                <w:szCs w:val="21"/>
              </w:rPr>
            </w:pPr>
            <w:r>
              <w:rPr>
                <w:rFonts w:hint="eastAsia" w:hAnsi="宋体"/>
                <w:snapToGrid w:val="0"/>
                <w:kern w:val="21"/>
                <w:szCs w:val="21"/>
              </w:rPr>
              <w:t>/</w:t>
            </w:r>
          </w:p>
        </w:tc>
        <w:tc>
          <w:tcPr>
            <w:tcW w:w="1562" w:type="dxa"/>
            <w:vAlign w:val="center"/>
          </w:tcPr>
          <w:p w14:paraId="5882F88C">
            <w:pPr>
              <w:spacing w:line="276" w:lineRule="auto"/>
              <w:jc w:val="center"/>
              <w:rPr>
                <w:szCs w:val="20"/>
              </w:rPr>
            </w:pPr>
            <w:r>
              <w:rPr>
                <w:rFonts w:hint="eastAsia" w:eastAsia="Times New Roman"/>
                <w:kern w:val="0"/>
              </w:rPr>
              <w:t>0.2t/a</w:t>
            </w:r>
          </w:p>
        </w:tc>
        <w:tc>
          <w:tcPr>
            <w:tcW w:w="1387" w:type="dxa"/>
            <w:vAlign w:val="center"/>
          </w:tcPr>
          <w:p w14:paraId="729DD1A0">
            <w:pPr>
              <w:spacing w:line="276" w:lineRule="auto"/>
              <w:jc w:val="center"/>
              <w:rPr>
                <w:szCs w:val="20"/>
              </w:rPr>
            </w:pPr>
            <w:r>
              <w:rPr>
                <w:rFonts w:hint="eastAsia" w:eastAsia="Times New Roman"/>
                <w:kern w:val="0"/>
              </w:rPr>
              <w:t>0.2t/a</w:t>
            </w:r>
          </w:p>
        </w:tc>
      </w:tr>
      <w:tr w14:paraId="1F0B3E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67" w:type="pct"/>
            <w:vMerge w:val="continue"/>
            <w:vAlign w:val="center"/>
          </w:tcPr>
          <w:p w14:paraId="6774E321">
            <w:pPr>
              <w:spacing w:line="276" w:lineRule="auto"/>
              <w:jc w:val="center"/>
              <w:rPr>
                <w:rFonts w:hAnsi="宋体"/>
                <w:snapToGrid w:val="0"/>
                <w:kern w:val="21"/>
                <w:szCs w:val="21"/>
              </w:rPr>
            </w:pPr>
          </w:p>
        </w:tc>
        <w:tc>
          <w:tcPr>
            <w:tcW w:w="958" w:type="pct"/>
            <w:vMerge w:val="restart"/>
            <w:vAlign w:val="center"/>
          </w:tcPr>
          <w:p w14:paraId="4EA48009">
            <w:pPr>
              <w:spacing w:line="276" w:lineRule="auto"/>
              <w:jc w:val="center"/>
              <w:rPr>
                <w:rFonts w:hAnsi="宋体"/>
                <w:snapToGrid w:val="0"/>
                <w:kern w:val="21"/>
                <w:szCs w:val="21"/>
              </w:rPr>
            </w:pPr>
            <w:r>
              <w:rPr>
                <w:rFonts w:hint="eastAsia" w:eastAsia="Times New Roman"/>
                <w:kern w:val="0"/>
              </w:rPr>
              <w:t>废机油</w:t>
            </w:r>
          </w:p>
        </w:tc>
        <w:tc>
          <w:tcPr>
            <w:tcW w:w="505" w:type="pct"/>
            <w:vMerge w:val="restart"/>
            <w:vAlign w:val="center"/>
          </w:tcPr>
          <w:p w14:paraId="53DAE13A">
            <w:pPr>
              <w:spacing w:line="276" w:lineRule="auto"/>
              <w:jc w:val="center"/>
              <w:rPr>
                <w:snapToGrid w:val="0"/>
                <w:kern w:val="21"/>
                <w:szCs w:val="21"/>
              </w:rPr>
            </w:pPr>
            <w:r>
              <w:rPr>
                <w:rFonts w:hint="eastAsia"/>
                <w:snapToGrid w:val="0"/>
                <w:kern w:val="21"/>
                <w:szCs w:val="21"/>
              </w:rPr>
              <w:t>0</w:t>
            </w:r>
          </w:p>
        </w:tc>
        <w:tc>
          <w:tcPr>
            <w:tcW w:w="405" w:type="pct"/>
            <w:vMerge w:val="restart"/>
            <w:vAlign w:val="center"/>
          </w:tcPr>
          <w:p w14:paraId="6593B088">
            <w:pPr>
              <w:spacing w:line="276" w:lineRule="auto"/>
              <w:jc w:val="center"/>
              <w:rPr>
                <w:snapToGrid w:val="0"/>
                <w:kern w:val="21"/>
                <w:szCs w:val="21"/>
              </w:rPr>
            </w:pPr>
            <w:r>
              <w:rPr>
                <w:rFonts w:hint="eastAsia"/>
                <w:snapToGrid w:val="0"/>
                <w:kern w:val="21"/>
                <w:szCs w:val="21"/>
              </w:rPr>
              <w:t>0</w:t>
            </w:r>
          </w:p>
        </w:tc>
        <w:tc>
          <w:tcPr>
            <w:tcW w:w="505" w:type="pct"/>
            <w:vMerge w:val="restart"/>
            <w:vAlign w:val="center"/>
          </w:tcPr>
          <w:p w14:paraId="26F9D4DE">
            <w:pPr>
              <w:spacing w:line="276" w:lineRule="auto"/>
              <w:jc w:val="center"/>
              <w:rPr>
                <w:snapToGrid w:val="0"/>
                <w:kern w:val="21"/>
                <w:szCs w:val="21"/>
              </w:rPr>
            </w:pPr>
            <w:r>
              <w:rPr>
                <w:rFonts w:hint="eastAsia"/>
                <w:snapToGrid w:val="0"/>
                <w:kern w:val="21"/>
                <w:szCs w:val="21"/>
              </w:rPr>
              <w:t>0</w:t>
            </w:r>
          </w:p>
        </w:tc>
        <w:tc>
          <w:tcPr>
            <w:tcW w:w="505" w:type="pct"/>
            <w:vMerge w:val="restart"/>
            <w:vAlign w:val="center"/>
          </w:tcPr>
          <w:p w14:paraId="14EC63E8">
            <w:pPr>
              <w:spacing w:line="276" w:lineRule="auto"/>
              <w:jc w:val="center"/>
              <w:rPr>
                <w:snapToGrid w:val="0"/>
                <w:kern w:val="21"/>
                <w:szCs w:val="21"/>
              </w:rPr>
            </w:pPr>
            <w:r>
              <w:rPr>
                <w:rFonts w:hint="eastAsia" w:eastAsia="Times New Roman"/>
                <w:kern w:val="0"/>
              </w:rPr>
              <w:t>0.2</w:t>
            </w:r>
            <w:r>
              <w:rPr>
                <w:rFonts w:eastAsia="Times New Roman"/>
                <w:kern w:val="0"/>
              </w:rPr>
              <w:t>t/a</w:t>
            </w:r>
          </w:p>
        </w:tc>
        <w:tc>
          <w:tcPr>
            <w:tcW w:w="555" w:type="pct"/>
            <w:vMerge w:val="restart"/>
            <w:vAlign w:val="center"/>
          </w:tcPr>
          <w:p w14:paraId="16A22EB4">
            <w:pPr>
              <w:spacing w:line="276" w:lineRule="auto"/>
              <w:jc w:val="center"/>
              <w:rPr>
                <w:snapToGrid w:val="0"/>
                <w:kern w:val="21"/>
                <w:szCs w:val="21"/>
              </w:rPr>
            </w:pPr>
            <w:r>
              <w:rPr>
                <w:rFonts w:hint="eastAsia" w:hAnsi="宋体"/>
                <w:snapToGrid w:val="0"/>
                <w:kern w:val="21"/>
                <w:szCs w:val="21"/>
              </w:rPr>
              <w:t>/</w:t>
            </w:r>
          </w:p>
        </w:tc>
        <w:tc>
          <w:tcPr>
            <w:tcW w:w="1562" w:type="dxa"/>
            <w:vMerge w:val="restart"/>
            <w:vAlign w:val="center"/>
          </w:tcPr>
          <w:p w14:paraId="18E11DE0">
            <w:pPr>
              <w:spacing w:line="276" w:lineRule="auto"/>
              <w:jc w:val="center"/>
              <w:rPr>
                <w:snapToGrid w:val="0"/>
                <w:kern w:val="21"/>
                <w:szCs w:val="21"/>
              </w:rPr>
            </w:pPr>
            <w:r>
              <w:rPr>
                <w:rFonts w:hint="eastAsia" w:eastAsia="Times New Roman"/>
                <w:kern w:val="0"/>
              </w:rPr>
              <w:t>0.2</w:t>
            </w:r>
            <w:r>
              <w:rPr>
                <w:rFonts w:eastAsia="Times New Roman"/>
                <w:kern w:val="0"/>
              </w:rPr>
              <w:t>t/a</w:t>
            </w:r>
          </w:p>
        </w:tc>
        <w:tc>
          <w:tcPr>
            <w:tcW w:w="1387" w:type="dxa"/>
            <w:vMerge w:val="restart"/>
            <w:vAlign w:val="center"/>
          </w:tcPr>
          <w:p w14:paraId="2A7F24CD">
            <w:pPr>
              <w:spacing w:line="276" w:lineRule="auto"/>
              <w:jc w:val="center"/>
              <w:rPr>
                <w:snapToGrid w:val="0"/>
                <w:kern w:val="21"/>
                <w:szCs w:val="21"/>
              </w:rPr>
            </w:pPr>
            <w:r>
              <w:rPr>
                <w:rFonts w:hint="eastAsia" w:eastAsia="Times New Roman"/>
                <w:kern w:val="0"/>
              </w:rPr>
              <w:t>0.2</w:t>
            </w:r>
            <w:r>
              <w:rPr>
                <w:rFonts w:eastAsia="Times New Roman"/>
                <w:kern w:val="0"/>
              </w:rPr>
              <w:t>t/a</w:t>
            </w:r>
          </w:p>
        </w:tc>
      </w:tr>
      <w:tr w14:paraId="008AB0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67" w:type="pct"/>
            <w:vMerge w:val="continue"/>
            <w:vAlign w:val="center"/>
          </w:tcPr>
          <w:p w14:paraId="13603E08">
            <w:pPr>
              <w:spacing w:line="276" w:lineRule="auto"/>
              <w:jc w:val="center"/>
              <w:rPr>
                <w:rFonts w:hAnsi="宋体"/>
                <w:snapToGrid w:val="0"/>
                <w:kern w:val="21"/>
                <w:szCs w:val="21"/>
              </w:rPr>
            </w:pPr>
          </w:p>
        </w:tc>
        <w:tc>
          <w:tcPr>
            <w:tcW w:w="958" w:type="pct"/>
            <w:vMerge w:val="continue"/>
            <w:vAlign w:val="center"/>
          </w:tcPr>
          <w:p w14:paraId="4A3D10D4">
            <w:pPr>
              <w:spacing w:line="276" w:lineRule="auto"/>
              <w:jc w:val="center"/>
              <w:rPr>
                <w:rFonts w:eastAsia="Times New Roman"/>
                <w:kern w:val="0"/>
              </w:rPr>
            </w:pPr>
          </w:p>
        </w:tc>
        <w:tc>
          <w:tcPr>
            <w:tcW w:w="505" w:type="pct"/>
            <w:vMerge w:val="continue"/>
            <w:vAlign w:val="center"/>
          </w:tcPr>
          <w:p w14:paraId="45508233">
            <w:pPr>
              <w:spacing w:line="276" w:lineRule="auto"/>
              <w:jc w:val="center"/>
              <w:rPr>
                <w:snapToGrid w:val="0"/>
                <w:kern w:val="21"/>
                <w:szCs w:val="21"/>
              </w:rPr>
            </w:pPr>
          </w:p>
        </w:tc>
        <w:tc>
          <w:tcPr>
            <w:tcW w:w="405" w:type="pct"/>
            <w:vMerge w:val="continue"/>
            <w:vAlign w:val="center"/>
          </w:tcPr>
          <w:p w14:paraId="00C9EA8D">
            <w:pPr>
              <w:spacing w:line="276" w:lineRule="auto"/>
              <w:jc w:val="center"/>
              <w:rPr>
                <w:snapToGrid w:val="0"/>
                <w:kern w:val="21"/>
                <w:szCs w:val="21"/>
              </w:rPr>
            </w:pPr>
          </w:p>
        </w:tc>
        <w:tc>
          <w:tcPr>
            <w:tcW w:w="505" w:type="pct"/>
            <w:vMerge w:val="continue"/>
            <w:vAlign w:val="center"/>
          </w:tcPr>
          <w:p w14:paraId="6697A3FF">
            <w:pPr>
              <w:spacing w:line="276" w:lineRule="auto"/>
              <w:jc w:val="center"/>
              <w:rPr>
                <w:snapToGrid w:val="0"/>
                <w:kern w:val="21"/>
                <w:szCs w:val="21"/>
              </w:rPr>
            </w:pPr>
          </w:p>
        </w:tc>
        <w:tc>
          <w:tcPr>
            <w:tcW w:w="505" w:type="pct"/>
            <w:vMerge w:val="continue"/>
            <w:vAlign w:val="center"/>
          </w:tcPr>
          <w:p w14:paraId="4469BBF6">
            <w:pPr>
              <w:spacing w:line="276" w:lineRule="auto"/>
              <w:jc w:val="center"/>
              <w:rPr>
                <w:rFonts w:eastAsia="Times New Roman"/>
                <w:kern w:val="0"/>
              </w:rPr>
            </w:pPr>
          </w:p>
        </w:tc>
        <w:tc>
          <w:tcPr>
            <w:tcW w:w="555" w:type="pct"/>
            <w:vMerge w:val="continue"/>
            <w:vAlign w:val="center"/>
          </w:tcPr>
          <w:p w14:paraId="3D3C43AF">
            <w:pPr>
              <w:spacing w:line="276" w:lineRule="auto"/>
              <w:jc w:val="center"/>
              <w:rPr>
                <w:snapToGrid w:val="0"/>
                <w:kern w:val="21"/>
                <w:szCs w:val="21"/>
              </w:rPr>
            </w:pPr>
          </w:p>
        </w:tc>
        <w:tc>
          <w:tcPr>
            <w:tcW w:w="580" w:type="pct"/>
            <w:vMerge w:val="continue"/>
            <w:vAlign w:val="center"/>
          </w:tcPr>
          <w:p w14:paraId="15BD760C">
            <w:pPr>
              <w:spacing w:line="276" w:lineRule="auto"/>
              <w:jc w:val="center"/>
              <w:rPr>
                <w:rFonts w:eastAsia="Times New Roman"/>
                <w:kern w:val="0"/>
              </w:rPr>
            </w:pPr>
          </w:p>
        </w:tc>
        <w:tc>
          <w:tcPr>
            <w:tcW w:w="515" w:type="pct"/>
            <w:vMerge w:val="continue"/>
            <w:vAlign w:val="center"/>
          </w:tcPr>
          <w:p w14:paraId="2F7C63D4">
            <w:pPr>
              <w:spacing w:line="276" w:lineRule="auto"/>
              <w:jc w:val="center"/>
              <w:rPr>
                <w:rFonts w:eastAsia="Times New Roman"/>
                <w:kern w:val="0"/>
              </w:rPr>
            </w:pPr>
          </w:p>
        </w:tc>
      </w:tr>
    </w:tbl>
    <w:p w14:paraId="3BBAB302">
      <w:pPr>
        <w:pStyle w:val="51"/>
        <w:spacing w:before="192" w:beforeLines="80" w:after="24"/>
        <w:jc w:val="left"/>
        <w:rPr>
          <w:rFonts w:hAnsi="宋体"/>
          <w:snapToGrid w:val="0"/>
          <w:spacing w:val="-6"/>
          <w:kern w:val="21"/>
          <w:szCs w:val="21"/>
        </w:rPr>
        <w:sectPr>
          <w:footerReference r:id="rId6" w:type="default"/>
          <w:pgSz w:w="16838" w:h="11906" w:orient="landscape"/>
          <w:pgMar w:top="1531" w:right="1701" w:bottom="1531" w:left="1701" w:header="851" w:footer="851" w:gutter="0"/>
          <w:cols w:space="720" w:num="1"/>
          <w:docGrid w:linePitch="312" w:charSpace="0"/>
        </w:sectPr>
      </w:pPr>
      <w:r>
        <w:rPr>
          <w:rFonts w:hAnsi="宋体"/>
          <w:snapToGrid w:val="0"/>
          <w:kern w:val="21"/>
          <w:szCs w:val="21"/>
        </w:rPr>
        <w:t>注：</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3 \* GB3 \* MERGEFORMAT </w:instrText>
      </w:r>
      <w:r>
        <w:rPr>
          <w:rFonts w:hAnsi="宋体"/>
          <w:snapToGrid w:val="0"/>
          <w:spacing w:val="-6"/>
          <w:kern w:val="21"/>
          <w:szCs w:val="21"/>
        </w:rPr>
        <w:fldChar w:fldCharType="separate"/>
      </w:r>
      <w:r>
        <w:rPr>
          <w:rFonts w:hint="eastAsia" w:hAnsi="宋体"/>
          <w:szCs w:val="21"/>
        </w:rPr>
        <w:t>③</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4 \* GB3 \* MERGEFORMAT </w:instrText>
      </w:r>
      <w:r>
        <w:rPr>
          <w:rFonts w:hAnsi="宋体"/>
          <w:snapToGrid w:val="0"/>
          <w:spacing w:val="-6"/>
          <w:kern w:val="21"/>
          <w:szCs w:val="21"/>
        </w:rPr>
        <w:fldChar w:fldCharType="separate"/>
      </w:r>
      <w:r>
        <w:rPr>
          <w:rFonts w:hint="eastAsia" w:hAnsi="宋体"/>
          <w:szCs w:val="21"/>
        </w:rPr>
        <w:t>④</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5 \* GB3 \* MERGEFORMAT </w:instrText>
      </w:r>
      <w:r>
        <w:rPr>
          <w:rFonts w:hAnsi="宋体"/>
          <w:snapToGrid w:val="0"/>
          <w:spacing w:val="-16"/>
          <w:kern w:val="21"/>
          <w:szCs w:val="21"/>
        </w:rPr>
        <w:fldChar w:fldCharType="separate"/>
      </w:r>
      <w:r>
        <w:rPr>
          <w:rFonts w:hint="eastAsia" w:hAnsi="宋体"/>
          <w:szCs w:val="21"/>
        </w:rPr>
        <w:t>⑤</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7 \* GB3 \* MERGEFORMAT </w:instrText>
      </w:r>
      <w:r>
        <w:rPr>
          <w:rFonts w:hAnsi="宋体"/>
          <w:snapToGrid w:val="0"/>
          <w:spacing w:val="-6"/>
          <w:kern w:val="21"/>
          <w:szCs w:val="21"/>
        </w:rPr>
        <w:fldChar w:fldCharType="separate"/>
      </w:r>
      <w:r>
        <w:rPr>
          <w:rFonts w:hint="eastAsia" w:hAnsi="宋体"/>
          <w:szCs w:val="21"/>
        </w:rPr>
        <w:t>⑦</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p>
    <w:p w14:paraId="4C510AC4">
      <w:pPr>
        <w:pStyle w:val="8"/>
        <w:spacing w:after="0" w:line="240" w:lineRule="auto"/>
        <w:ind w:firstLine="482"/>
        <w:rPr>
          <w:b/>
          <w:bCs/>
        </w:rPr>
      </w:pPr>
      <w:r>
        <w:rPr>
          <w:rFonts w:hint="eastAsia"/>
          <w:b/>
          <w:bCs/>
        </w:rPr>
        <w:t>附件一 委托书</w:t>
      </w:r>
    </w:p>
    <w:p w14:paraId="15D1C793">
      <w:pPr>
        <w:pStyle w:val="8"/>
        <w:spacing w:after="0" w:line="240" w:lineRule="auto"/>
        <w:ind w:firstLine="482"/>
      </w:pPr>
      <w:r>
        <w:rPr>
          <w:rFonts w:hint="eastAsia"/>
          <w:b/>
          <w:bCs/>
        </w:rPr>
        <w:t>附件二 备案申请表及备案证</w:t>
      </w:r>
    </w:p>
    <w:p w14:paraId="30C4EBAB">
      <w:pPr>
        <w:pStyle w:val="8"/>
        <w:pageBreakBefore/>
        <w:spacing w:line="240" w:lineRule="auto"/>
      </w:pPr>
      <w:r>
        <w:rPr>
          <w:rFonts w:hint="eastAsia"/>
        </w:rPr>
        <w:t>附件三 建设用地规划许可证</w:t>
      </w:r>
    </w:p>
    <w:p w14:paraId="0B15FEFA">
      <w:pPr>
        <w:pStyle w:val="8"/>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pPr>
      <w:r>
        <w:rPr>
          <w:rFonts w:hint="eastAsia"/>
        </w:rPr>
        <w:t>附件四 检测报告</w:t>
      </w:r>
    </w:p>
    <w:sectPr>
      <w:pgSz w:w="11906" w:h="16838"/>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82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FF1BE">
    <w:pPr>
      <w:pStyle w:val="1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A25A0">
    <w:pPr>
      <w:pStyle w:val="19"/>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49129B">
                          <w:pPr>
                            <w:pStyle w:val="19"/>
                          </w:pPr>
                          <w:r>
                            <w:fldChar w:fldCharType="begin"/>
                          </w:r>
                          <w:r>
                            <w:instrText xml:space="preserve"> PAGE  \* MERGEFORMAT </w:instrText>
                          </w:r>
                          <w:r>
                            <w:fldChar w:fldCharType="separate"/>
                          </w:r>
                          <w:r>
                            <w:t>18</w:t>
                          </w:r>
                          <w:r>
                            <w:fldChar w:fldCharType="end"/>
                          </w:r>
                        </w:p>
                      </w:txbxContent>
                    </wps:txbx>
                    <wps:bodyPr vert="horz" wrap="none" lIns="0" tIns="0" rIns="0" bIns="0" anchor="t" anchorCtr="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mwypdcBAAC0AwAADgAAAGRycy9lMm9Eb2MueG1srVNNrtMwEN4jcQfL&#10;e5q0SKiKmj4B1UNICJAeHMB1nMaS/+SZNikHgBuwYsOec/UcjJ2kDx6bt2CTjGfG33zfzHhzM1jD&#10;TiqC9q7my0XJmXLSN9odav750+2zNWeAwjXCeKdqflbAb7ZPn2z6UKmV77xpVGQE4qDqQ807xFAV&#10;BchOWQELH5SjYOujFUjHeCiaKHpCt6ZYleWLovexCdFLBUDe3RjkE2J8DKBvWy3VzsujVQ5H1KiM&#10;QJIEnQ7At5lt2yqJH9oWFDJTc1KK+UtFyN6nb7HdiOoQRei0nCiIx1B4oMkK7ajoFWonULBj1P9A&#10;WS2jB9/iQnpbjEJyR0jFsnzQm7tOBJW1UKshXJsO/w9Wvj99jEw3NV9RS5ywNPHL92+XH78uP7+y&#10;5fPUoD5ARXl3gTJxeOUHWpvZD+RMuoc22vQnRYzihHW+tlcNyGS6tF6t1yWFJMXmA+EX99dDBHyj&#10;vGXJqHmk+eW2itM7wDF1TknVnL/VxuQZGveXgzCTp0jcR47JwmE/TIL2vjmTHnoIVKfz8QtnPa1B&#10;zR1tPWfmraMuE1ecjTgb+9kQTtLFmiNno/ka82YlIhBeHpHYZdKp9FhvYkTDzLKnxUvb8uc5Z90/&#10;tu1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NpsMqXXAQAAtAMAAA4AAAAAAAAAAQAgAAAA&#10;HgEAAGRycy9lMm9Eb2MueG1sUEsFBgAAAAAGAAYAWQEAAGcFAAAAAA==&#10;">
              <v:fill on="f" focussize="0,0"/>
              <v:stroke on="f"/>
              <v:imagedata o:title=""/>
              <o:lock v:ext="edit" aspectratio="f"/>
              <v:textbox inset="0mm,0mm,0mm,0mm" style="mso-fit-shape-to-text:t;">
                <w:txbxContent>
                  <w:p w14:paraId="6F49129B">
                    <w:pPr>
                      <w:pStyle w:val="19"/>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1DE5B">
    <w:pPr>
      <w:pStyle w:val="19"/>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839F63">
                          <w:pPr>
                            <w:pStyle w:val="19"/>
                          </w:pPr>
                          <w:r>
                            <w:fldChar w:fldCharType="begin"/>
                          </w:r>
                          <w:r>
                            <w:instrText xml:space="preserve"> PAGE  \* MERGEFORMAT </w:instrText>
                          </w:r>
                          <w:r>
                            <w:fldChar w:fldCharType="separate"/>
                          </w:r>
                          <w:r>
                            <w:t>77</w:t>
                          </w:r>
                          <w:r>
                            <w:fldChar w:fldCharType="end"/>
                          </w:r>
                        </w:p>
                      </w:txbxContent>
                    </wps:txbx>
                    <wps:bodyPr vert="horz" wrap="none" lIns="0" tIns="0" rIns="0" bIns="0" anchor="t" anchorCtr="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TZ4GNgBAAC0AwAADgAAAGRycy9lMm9Eb2MueG1srVNBrtMwEN0jcQfL&#10;e5q0QqiKmn4B1UdICJA+HMB1nMaS7bE8bpNyALgBKzbsOVfPwdhJ+uGz+Qs2yXhm/Oa9mfHmZrCG&#10;nVRADa7my0XJmXISGu0ONf/86fbZmjOMwjXCgFM1PyvkN9unTza9r9QKOjCNCoxAHFa9r3kXo6+K&#10;AmWnrMAFeOUo2EKwItIxHIomiJ7QrSlWZfmi6CE0PoBUiOTdjUE+IYbHAELbaql2II9WuTiiBmVE&#10;JEnYaY98m9m2rZLxQ9uiiszUnJTG/KUiZO/Tt9huRHUIwndaThTEYyg80GSFdlT0CrUTUbBj0P9A&#10;WS0DILRxIcEWo5DcEVKxLB/05q4TXmUt1Gr016bj/4OV708fA9NNzVdLzpywNPHL92+XH78uP7+y&#10;5fPUoN5jRXl3njLj8AoGWpvZj+RMuoc22PQnRYzi1N7ztb1qiEymS+vVel1SSFJsPhB+cX/dB4xv&#10;FFiWjJoHml9uqzi9wzimzimpmoNbbUyeoXF/OQgzeYrEfeSYrDjsh0nQHpoz6aGHQHU6CF8462kN&#10;au5o6zkzbx11OW3MbITZ2M+GcJIu1jxyNpqvY96sRAT9y2Mkdpl0Kj3WmxjRMLPsafHStvx5zln3&#10;j237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6pebnPAAAABQEAAA8AAAAAAAAAAQAgAAAAIgAA&#10;AGRycy9kb3ducmV2LnhtbFBLAQIUABQAAAAIAIdO4kBxNngY2AEAALQDAAAOAAAAAAAAAAEAIAAA&#10;AB4BAABkcnMvZTJvRG9jLnhtbFBLBQYAAAAABgAGAFkBAABoBQAAAAA=&#10;">
              <v:fill on="f" focussize="0,0"/>
              <v:stroke on="f"/>
              <v:imagedata o:title=""/>
              <o:lock v:ext="edit" aspectratio="f"/>
              <v:textbox inset="0mm,0mm,0mm,0mm" style="mso-fit-shape-to-text:t;">
                <w:txbxContent>
                  <w:p w14:paraId="5B839F63">
                    <w:pPr>
                      <w:pStyle w:val="19"/>
                    </w:pPr>
                    <w:r>
                      <w:fldChar w:fldCharType="begin"/>
                    </w:r>
                    <w:r>
                      <w:instrText xml:space="preserve"> PAGE  \* MERGEFORMAT </w:instrText>
                    </w:r>
                    <w:r>
                      <w:fldChar w:fldCharType="separate"/>
                    </w:r>
                    <w:r>
                      <w:t>77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C9EE3">
    <w:pPr>
      <w:pStyle w:val="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D31522"/>
    <w:multiLevelType w:val="singleLevel"/>
    <w:tmpl w:val="ECD31522"/>
    <w:lvl w:ilvl="0" w:tentative="0">
      <w:start w:val="1"/>
      <w:numFmt w:val="decimal"/>
      <w:pStyle w:val="15"/>
      <w:lvlText w:val="%1."/>
      <w:lvlJc w:val="left"/>
      <w:pPr>
        <w:tabs>
          <w:tab w:val="left" w:pos="2040"/>
        </w:tabs>
        <w:ind w:left="2040" w:hanging="360"/>
      </w:pPr>
    </w:lvl>
  </w:abstractNum>
  <w:abstractNum w:abstractNumId="1">
    <w:nsid w:val="3974D657"/>
    <w:multiLevelType w:val="singleLevel"/>
    <w:tmpl w:val="3974D657"/>
    <w:lvl w:ilvl="0" w:tentative="0">
      <w:start w:val="5"/>
      <w:numFmt w:val="chineseCounting"/>
      <w:suff w:val="nothing"/>
      <w:lvlText w:val="%1、"/>
      <w:lvlJc w:val="left"/>
      <w:rPr>
        <w:rFonts w:hint="eastAsia"/>
      </w:rPr>
    </w:lvl>
  </w:abstractNum>
  <w:abstractNum w:abstractNumId="2">
    <w:nsid w:val="5979B5BF"/>
    <w:multiLevelType w:val="singleLevel"/>
    <w:tmpl w:val="5979B5BF"/>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M4ZGE5MjAwOTRjNzE3YmI3NzllODlkMzQzMmYzMzg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B6E1B"/>
    <w:rsid w:val="000C09AC"/>
    <w:rsid w:val="000C767F"/>
    <w:rsid w:val="000D5A44"/>
    <w:rsid w:val="000E3ED2"/>
    <w:rsid w:val="00131F42"/>
    <w:rsid w:val="001357F1"/>
    <w:rsid w:val="00140FA8"/>
    <w:rsid w:val="00142FEB"/>
    <w:rsid w:val="00143A2D"/>
    <w:rsid w:val="00145A41"/>
    <w:rsid w:val="00151675"/>
    <w:rsid w:val="00151EF3"/>
    <w:rsid w:val="00157435"/>
    <w:rsid w:val="0017504D"/>
    <w:rsid w:val="0017671A"/>
    <w:rsid w:val="00177422"/>
    <w:rsid w:val="001825BD"/>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2B4D"/>
    <w:rsid w:val="00254345"/>
    <w:rsid w:val="00264557"/>
    <w:rsid w:val="002805AB"/>
    <w:rsid w:val="00284204"/>
    <w:rsid w:val="00291773"/>
    <w:rsid w:val="002A168C"/>
    <w:rsid w:val="002A3DC7"/>
    <w:rsid w:val="002B49E2"/>
    <w:rsid w:val="002B7B00"/>
    <w:rsid w:val="002B7C44"/>
    <w:rsid w:val="002C2B17"/>
    <w:rsid w:val="002D3DD0"/>
    <w:rsid w:val="002E1921"/>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A5181"/>
    <w:rsid w:val="004C6F7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813DE"/>
    <w:rsid w:val="00594D77"/>
    <w:rsid w:val="005969E4"/>
    <w:rsid w:val="005A06B7"/>
    <w:rsid w:val="005A1759"/>
    <w:rsid w:val="005A68A7"/>
    <w:rsid w:val="005A763D"/>
    <w:rsid w:val="005D36AB"/>
    <w:rsid w:val="00617CC3"/>
    <w:rsid w:val="006377A6"/>
    <w:rsid w:val="00637A3D"/>
    <w:rsid w:val="006411EF"/>
    <w:rsid w:val="00650FA0"/>
    <w:rsid w:val="006748B8"/>
    <w:rsid w:val="006775C3"/>
    <w:rsid w:val="0069290A"/>
    <w:rsid w:val="0069775A"/>
    <w:rsid w:val="00697813"/>
    <w:rsid w:val="006A3EE8"/>
    <w:rsid w:val="006A6D40"/>
    <w:rsid w:val="006A72BF"/>
    <w:rsid w:val="006B03F2"/>
    <w:rsid w:val="006B37DC"/>
    <w:rsid w:val="006B4F68"/>
    <w:rsid w:val="006C0592"/>
    <w:rsid w:val="006C272E"/>
    <w:rsid w:val="006C5479"/>
    <w:rsid w:val="006D13B5"/>
    <w:rsid w:val="006E12FF"/>
    <w:rsid w:val="006E607E"/>
    <w:rsid w:val="00706C5D"/>
    <w:rsid w:val="00710C68"/>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A95"/>
    <w:rsid w:val="008A2F68"/>
    <w:rsid w:val="008B4FA6"/>
    <w:rsid w:val="008B5282"/>
    <w:rsid w:val="008B7C17"/>
    <w:rsid w:val="008C2D01"/>
    <w:rsid w:val="008C40E6"/>
    <w:rsid w:val="008C7CB1"/>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277B"/>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12FE"/>
    <w:rsid w:val="00B22C5C"/>
    <w:rsid w:val="00B24F30"/>
    <w:rsid w:val="00B31ABF"/>
    <w:rsid w:val="00B33BE3"/>
    <w:rsid w:val="00B41084"/>
    <w:rsid w:val="00B53B5D"/>
    <w:rsid w:val="00B6055E"/>
    <w:rsid w:val="00B6317D"/>
    <w:rsid w:val="00B672B3"/>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27B7"/>
    <w:rsid w:val="00C972B1"/>
    <w:rsid w:val="00CA2CCE"/>
    <w:rsid w:val="00CA43FD"/>
    <w:rsid w:val="00CA7EF8"/>
    <w:rsid w:val="00CC489B"/>
    <w:rsid w:val="00CD2BCD"/>
    <w:rsid w:val="00CD3795"/>
    <w:rsid w:val="00CD3A4C"/>
    <w:rsid w:val="00CD6FAB"/>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6BF9"/>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C58B2"/>
    <w:rsid w:val="00FD0236"/>
    <w:rsid w:val="00FD18F4"/>
    <w:rsid w:val="00FD54DB"/>
    <w:rsid w:val="00FD619F"/>
    <w:rsid w:val="01063AD8"/>
    <w:rsid w:val="011C5EF2"/>
    <w:rsid w:val="01290F7E"/>
    <w:rsid w:val="014F07B3"/>
    <w:rsid w:val="015D1E09"/>
    <w:rsid w:val="016176D2"/>
    <w:rsid w:val="01C63B8D"/>
    <w:rsid w:val="01FD3C0C"/>
    <w:rsid w:val="02666DF4"/>
    <w:rsid w:val="02697903"/>
    <w:rsid w:val="028E58DA"/>
    <w:rsid w:val="02F96569"/>
    <w:rsid w:val="033379E8"/>
    <w:rsid w:val="03917225"/>
    <w:rsid w:val="03A65C17"/>
    <w:rsid w:val="03B40CB2"/>
    <w:rsid w:val="03EA7B21"/>
    <w:rsid w:val="040800D7"/>
    <w:rsid w:val="04965A33"/>
    <w:rsid w:val="0513557F"/>
    <w:rsid w:val="051931EE"/>
    <w:rsid w:val="05F83EAE"/>
    <w:rsid w:val="06031B48"/>
    <w:rsid w:val="063E7D85"/>
    <w:rsid w:val="066371A1"/>
    <w:rsid w:val="0696024F"/>
    <w:rsid w:val="06A95C20"/>
    <w:rsid w:val="07293586"/>
    <w:rsid w:val="07295285"/>
    <w:rsid w:val="0756060F"/>
    <w:rsid w:val="07636392"/>
    <w:rsid w:val="07764FA7"/>
    <w:rsid w:val="07770C56"/>
    <w:rsid w:val="07D63364"/>
    <w:rsid w:val="092217DD"/>
    <w:rsid w:val="0930201F"/>
    <w:rsid w:val="093A7294"/>
    <w:rsid w:val="0982376F"/>
    <w:rsid w:val="098C3A2B"/>
    <w:rsid w:val="09F81DB4"/>
    <w:rsid w:val="0A263993"/>
    <w:rsid w:val="0A2D3AC2"/>
    <w:rsid w:val="0A8F6AFB"/>
    <w:rsid w:val="0AA755DF"/>
    <w:rsid w:val="0AC80099"/>
    <w:rsid w:val="0B120D44"/>
    <w:rsid w:val="0B492488"/>
    <w:rsid w:val="0BC278D4"/>
    <w:rsid w:val="0BD27BF6"/>
    <w:rsid w:val="0BD800CC"/>
    <w:rsid w:val="0C3B3C7D"/>
    <w:rsid w:val="0C3C441C"/>
    <w:rsid w:val="0C670426"/>
    <w:rsid w:val="0C936D0D"/>
    <w:rsid w:val="0CAB2EAE"/>
    <w:rsid w:val="0CE448B1"/>
    <w:rsid w:val="0CE51824"/>
    <w:rsid w:val="0D1572F3"/>
    <w:rsid w:val="0D1D0B04"/>
    <w:rsid w:val="0D2A37E7"/>
    <w:rsid w:val="0D621C7D"/>
    <w:rsid w:val="0D651CC6"/>
    <w:rsid w:val="0DA0398D"/>
    <w:rsid w:val="0DC34051"/>
    <w:rsid w:val="0E1D3ACA"/>
    <w:rsid w:val="0E73034D"/>
    <w:rsid w:val="0E935188"/>
    <w:rsid w:val="0F13775A"/>
    <w:rsid w:val="0F5F45FE"/>
    <w:rsid w:val="0F9A112B"/>
    <w:rsid w:val="0FC9029D"/>
    <w:rsid w:val="102E7505"/>
    <w:rsid w:val="105254E4"/>
    <w:rsid w:val="106D2F64"/>
    <w:rsid w:val="10B63710"/>
    <w:rsid w:val="10F10820"/>
    <w:rsid w:val="111C2F7A"/>
    <w:rsid w:val="11562A33"/>
    <w:rsid w:val="11665CA1"/>
    <w:rsid w:val="119A3100"/>
    <w:rsid w:val="11D44A22"/>
    <w:rsid w:val="11F84CC7"/>
    <w:rsid w:val="11FD7BCD"/>
    <w:rsid w:val="13882E8D"/>
    <w:rsid w:val="13951726"/>
    <w:rsid w:val="13BB64E9"/>
    <w:rsid w:val="14211E4F"/>
    <w:rsid w:val="14215AA0"/>
    <w:rsid w:val="14396509"/>
    <w:rsid w:val="14720C96"/>
    <w:rsid w:val="1494501E"/>
    <w:rsid w:val="14DD2C3C"/>
    <w:rsid w:val="15290655"/>
    <w:rsid w:val="152C1162"/>
    <w:rsid w:val="153562EA"/>
    <w:rsid w:val="153A73C3"/>
    <w:rsid w:val="15520D96"/>
    <w:rsid w:val="15C056B3"/>
    <w:rsid w:val="16087E1D"/>
    <w:rsid w:val="16187773"/>
    <w:rsid w:val="16305B2B"/>
    <w:rsid w:val="16917CF2"/>
    <w:rsid w:val="16AD205A"/>
    <w:rsid w:val="170D5021"/>
    <w:rsid w:val="174C1A66"/>
    <w:rsid w:val="17701D14"/>
    <w:rsid w:val="17735226"/>
    <w:rsid w:val="17B117E8"/>
    <w:rsid w:val="17C11245"/>
    <w:rsid w:val="17F430B4"/>
    <w:rsid w:val="18120E8F"/>
    <w:rsid w:val="186252F6"/>
    <w:rsid w:val="189F624C"/>
    <w:rsid w:val="18E33257"/>
    <w:rsid w:val="19381201"/>
    <w:rsid w:val="19A111F5"/>
    <w:rsid w:val="19E256D6"/>
    <w:rsid w:val="1A1C66C0"/>
    <w:rsid w:val="1A1F2CAD"/>
    <w:rsid w:val="1A2F7AD6"/>
    <w:rsid w:val="1A42393B"/>
    <w:rsid w:val="1A4A7E96"/>
    <w:rsid w:val="1A5B43B1"/>
    <w:rsid w:val="1AAD45DE"/>
    <w:rsid w:val="1ABE40A8"/>
    <w:rsid w:val="1ACC7DC0"/>
    <w:rsid w:val="1B046F80"/>
    <w:rsid w:val="1B3267B5"/>
    <w:rsid w:val="1B40161D"/>
    <w:rsid w:val="1B441859"/>
    <w:rsid w:val="1B4D1CE3"/>
    <w:rsid w:val="1B6606B1"/>
    <w:rsid w:val="1BDA2258"/>
    <w:rsid w:val="1BDE2290"/>
    <w:rsid w:val="1BE75370"/>
    <w:rsid w:val="1BF2330E"/>
    <w:rsid w:val="1C5E7925"/>
    <w:rsid w:val="1CD566C4"/>
    <w:rsid w:val="1CD836C4"/>
    <w:rsid w:val="1CFD070F"/>
    <w:rsid w:val="1D391F01"/>
    <w:rsid w:val="1D5F6196"/>
    <w:rsid w:val="1D6132A5"/>
    <w:rsid w:val="1D8E56D5"/>
    <w:rsid w:val="1D922CE6"/>
    <w:rsid w:val="1DA1320C"/>
    <w:rsid w:val="1DD05D93"/>
    <w:rsid w:val="1E7A43DA"/>
    <w:rsid w:val="1EDF46E8"/>
    <w:rsid w:val="1EDF7E6F"/>
    <w:rsid w:val="1F0953B3"/>
    <w:rsid w:val="1F327D79"/>
    <w:rsid w:val="1F9373C6"/>
    <w:rsid w:val="1FBE46CB"/>
    <w:rsid w:val="1FE7539E"/>
    <w:rsid w:val="20671BE0"/>
    <w:rsid w:val="20963CB8"/>
    <w:rsid w:val="20A81A1B"/>
    <w:rsid w:val="20B07FB6"/>
    <w:rsid w:val="20B646FB"/>
    <w:rsid w:val="210550D1"/>
    <w:rsid w:val="21092F5E"/>
    <w:rsid w:val="213B74B1"/>
    <w:rsid w:val="21495087"/>
    <w:rsid w:val="215A2310"/>
    <w:rsid w:val="21DE318A"/>
    <w:rsid w:val="21EF5B80"/>
    <w:rsid w:val="221C2787"/>
    <w:rsid w:val="2256569F"/>
    <w:rsid w:val="22576990"/>
    <w:rsid w:val="22F47480"/>
    <w:rsid w:val="23250A82"/>
    <w:rsid w:val="23583008"/>
    <w:rsid w:val="23603097"/>
    <w:rsid w:val="23DE1C48"/>
    <w:rsid w:val="240210CD"/>
    <w:rsid w:val="240E3988"/>
    <w:rsid w:val="241F07BD"/>
    <w:rsid w:val="24255AAF"/>
    <w:rsid w:val="246A55DC"/>
    <w:rsid w:val="247E1C73"/>
    <w:rsid w:val="249E2293"/>
    <w:rsid w:val="24BF09F7"/>
    <w:rsid w:val="24CC4A1E"/>
    <w:rsid w:val="24EB03BC"/>
    <w:rsid w:val="251754F0"/>
    <w:rsid w:val="25207A23"/>
    <w:rsid w:val="252D53FE"/>
    <w:rsid w:val="25540868"/>
    <w:rsid w:val="25A262BE"/>
    <w:rsid w:val="25EC2D81"/>
    <w:rsid w:val="2669279A"/>
    <w:rsid w:val="26870D77"/>
    <w:rsid w:val="275569E4"/>
    <w:rsid w:val="277057A2"/>
    <w:rsid w:val="278369BA"/>
    <w:rsid w:val="27F706D8"/>
    <w:rsid w:val="28175BE7"/>
    <w:rsid w:val="283B7F57"/>
    <w:rsid w:val="28B45243"/>
    <w:rsid w:val="29206EB8"/>
    <w:rsid w:val="29410E58"/>
    <w:rsid w:val="29595666"/>
    <w:rsid w:val="29851549"/>
    <w:rsid w:val="29874881"/>
    <w:rsid w:val="29E325E0"/>
    <w:rsid w:val="29E33CC2"/>
    <w:rsid w:val="29E4079C"/>
    <w:rsid w:val="2A036D70"/>
    <w:rsid w:val="2A0A433D"/>
    <w:rsid w:val="2A376992"/>
    <w:rsid w:val="2A4212AE"/>
    <w:rsid w:val="2A452503"/>
    <w:rsid w:val="2AC5334C"/>
    <w:rsid w:val="2B393F39"/>
    <w:rsid w:val="2B8B6C37"/>
    <w:rsid w:val="2BA936A8"/>
    <w:rsid w:val="2BE72CB9"/>
    <w:rsid w:val="2C085DF8"/>
    <w:rsid w:val="2C315A5A"/>
    <w:rsid w:val="2C4B1C25"/>
    <w:rsid w:val="2C992C14"/>
    <w:rsid w:val="2C9E6D4F"/>
    <w:rsid w:val="2CD12279"/>
    <w:rsid w:val="2D1A5179"/>
    <w:rsid w:val="2D3657CA"/>
    <w:rsid w:val="2D9E56F5"/>
    <w:rsid w:val="2E1361EB"/>
    <w:rsid w:val="2E667F96"/>
    <w:rsid w:val="2E8226AB"/>
    <w:rsid w:val="2F2E4461"/>
    <w:rsid w:val="2F7001AA"/>
    <w:rsid w:val="2FA2582E"/>
    <w:rsid w:val="2FB3717D"/>
    <w:rsid w:val="2FD065E6"/>
    <w:rsid w:val="2FD96870"/>
    <w:rsid w:val="301F76DE"/>
    <w:rsid w:val="30580BC9"/>
    <w:rsid w:val="307E763B"/>
    <w:rsid w:val="30937163"/>
    <w:rsid w:val="309861BD"/>
    <w:rsid w:val="30CB77ED"/>
    <w:rsid w:val="30EB3156"/>
    <w:rsid w:val="30F01813"/>
    <w:rsid w:val="311E2ED7"/>
    <w:rsid w:val="315619EE"/>
    <w:rsid w:val="315C449C"/>
    <w:rsid w:val="31987568"/>
    <w:rsid w:val="31B82709"/>
    <w:rsid w:val="31D05482"/>
    <w:rsid w:val="32400B34"/>
    <w:rsid w:val="32623164"/>
    <w:rsid w:val="3272514E"/>
    <w:rsid w:val="329E6876"/>
    <w:rsid w:val="32A61BB3"/>
    <w:rsid w:val="333015F2"/>
    <w:rsid w:val="334B6320"/>
    <w:rsid w:val="33913D01"/>
    <w:rsid w:val="33D934D4"/>
    <w:rsid w:val="33FE2F6A"/>
    <w:rsid w:val="340E07E5"/>
    <w:rsid w:val="34235BF7"/>
    <w:rsid w:val="345B22AD"/>
    <w:rsid w:val="358C5FA8"/>
    <w:rsid w:val="35C15DF1"/>
    <w:rsid w:val="360121D1"/>
    <w:rsid w:val="36074A7F"/>
    <w:rsid w:val="363555CE"/>
    <w:rsid w:val="363D61F3"/>
    <w:rsid w:val="363E7DBF"/>
    <w:rsid w:val="363F7996"/>
    <w:rsid w:val="36923549"/>
    <w:rsid w:val="369B6AB4"/>
    <w:rsid w:val="36B75FBF"/>
    <w:rsid w:val="36BD0C45"/>
    <w:rsid w:val="3704245D"/>
    <w:rsid w:val="370C0AC3"/>
    <w:rsid w:val="37AA3D47"/>
    <w:rsid w:val="37AC050A"/>
    <w:rsid w:val="37CB5E3D"/>
    <w:rsid w:val="37D82810"/>
    <w:rsid w:val="37E00298"/>
    <w:rsid w:val="384427AE"/>
    <w:rsid w:val="38B302F9"/>
    <w:rsid w:val="38F12CD3"/>
    <w:rsid w:val="38F94775"/>
    <w:rsid w:val="38FD2AE8"/>
    <w:rsid w:val="392971ED"/>
    <w:rsid w:val="39325651"/>
    <w:rsid w:val="39733035"/>
    <w:rsid w:val="3A103012"/>
    <w:rsid w:val="3A1A4BB3"/>
    <w:rsid w:val="3A37332E"/>
    <w:rsid w:val="3A872856"/>
    <w:rsid w:val="3AA61307"/>
    <w:rsid w:val="3AC978A2"/>
    <w:rsid w:val="3B0C564A"/>
    <w:rsid w:val="3B223DB3"/>
    <w:rsid w:val="3B3763D1"/>
    <w:rsid w:val="3B6A6AB0"/>
    <w:rsid w:val="3B964B81"/>
    <w:rsid w:val="3BCB5CE5"/>
    <w:rsid w:val="3C2F6E1E"/>
    <w:rsid w:val="3C3A3EEF"/>
    <w:rsid w:val="3C4F64BA"/>
    <w:rsid w:val="3C772381"/>
    <w:rsid w:val="3C8856BB"/>
    <w:rsid w:val="3CDA245A"/>
    <w:rsid w:val="3CDC1940"/>
    <w:rsid w:val="3CF42F6D"/>
    <w:rsid w:val="3D1C3589"/>
    <w:rsid w:val="3D1E06B7"/>
    <w:rsid w:val="3D21445E"/>
    <w:rsid w:val="3E313396"/>
    <w:rsid w:val="3E527EE7"/>
    <w:rsid w:val="3EA326B6"/>
    <w:rsid w:val="3EDA0523"/>
    <w:rsid w:val="3EDD7818"/>
    <w:rsid w:val="3EE2113C"/>
    <w:rsid w:val="3EFE7760"/>
    <w:rsid w:val="3F0A4E31"/>
    <w:rsid w:val="40335AB7"/>
    <w:rsid w:val="405E5475"/>
    <w:rsid w:val="407A6407"/>
    <w:rsid w:val="40CE7EC4"/>
    <w:rsid w:val="41231CB7"/>
    <w:rsid w:val="41431DC2"/>
    <w:rsid w:val="41BA328A"/>
    <w:rsid w:val="4200449D"/>
    <w:rsid w:val="42015BE7"/>
    <w:rsid w:val="42125268"/>
    <w:rsid w:val="423A3BCC"/>
    <w:rsid w:val="424E57D2"/>
    <w:rsid w:val="425B2C46"/>
    <w:rsid w:val="426A3FBC"/>
    <w:rsid w:val="42751F23"/>
    <w:rsid w:val="428D4F27"/>
    <w:rsid w:val="42A950BB"/>
    <w:rsid w:val="42B26C49"/>
    <w:rsid w:val="433A6FE6"/>
    <w:rsid w:val="43480868"/>
    <w:rsid w:val="4350713C"/>
    <w:rsid w:val="43544E16"/>
    <w:rsid w:val="436653E0"/>
    <w:rsid w:val="43726885"/>
    <w:rsid w:val="43C4431A"/>
    <w:rsid w:val="44B951CC"/>
    <w:rsid w:val="44CD14E0"/>
    <w:rsid w:val="44F20B0B"/>
    <w:rsid w:val="4513036E"/>
    <w:rsid w:val="452E5F4C"/>
    <w:rsid w:val="45612018"/>
    <w:rsid w:val="458946E9"/>
    <w:rsid w:val="45A47C0E"/>
    <w:rsid w:val="45D91ED5"/>
    <w:rsid w:val="46577FD6"/>
    <w:rsid w:val="46683927"/>
    <w:rsid w:val="46CE707C"/>
    <w:rsid w:val="46D955A7"/>
    <w:rsid w:val="47133957"/>
    <w:rsid w:val="47234309"/>
    <w:rsid w:val="474755F6"/>
    <w:rsid w:val="475455E2"/>
    <w:rsid w:val="47697259"/>
    <w:rsid w:val="478D0212"/>
    <w:rsid w:val="47A05D24"/>
    <w:rsid w:val="47A07E0C"/>
    <w:rsid w:val="47BC7CF3"/>
    <w:rsid w:val="486A020C"/>
    <w:rsid w:val="4870272E"/>
    <w:rsid w:val="48B7517F"/>
    <w:rsid w:val="49016B8B"/>
    <w:rsid w:val="492A0D2C"/>
    <w:rsid w:val="49526220"/>
    <w:rsid w:val="49614C27"/>
    <w:rsid w:val="49837B67"/>
    <w:rsid w:val="49B37DD5"/>
    <w:rsid w:val="49DC7715"/>
    <w:rsid w:val="49F1563D"/>
    <w:rsid w:val="4A023139"/>
    <w:rsid w:val="4A664164"/>
    <w:rsid w:val="4A7B576F"/>
    <w:rsid w:val="4AD4229A"/>
    <w:rsid w:val="4AD9641F"/>
    <w:rsid w:val="4AE91134"/>
    <w:rsid w:val="4AF561A9"/>
    <w:rsid w:val="4B8D57ED"/>
    <w:rsid w:val="4BC350A1"/>
    <w:rsid w:val="4C0B42E7"/>
    <w:rsid w:val="4C0C75B4"/>
    <w:rsid w:val="4C1B5974"/>
    <w:rsid w:val="4C4A0649"/>
    <w:rsid w:val="4C7E5ECA"/>
    <w:rsid w:val="4C876AA5"/>
    <w:rsid w:val="4CBB4DC3"/>
    <w:rsid w:val="4D0E00FB"/>
    <w:rsid w:val="4D133865"/>
    <w:rsid w:val="4D176606"/>
    <w:rsid w:val="4D4146A5"/>
    <w:rsid w:val="4DC75D30"/>
    <w:rsid w:val="4DEC4FB0"/>
    <w:rsid w:val="4DF67D14"/>
    <w:rsid w:val="4E040845"/>
    <w:rsid w:val="4E075D8A"/>
    <w:rsid w:val="4EC00FAD"/>
    <w:rsid w:val="4F1B08CF"/>
    <w:rsid w:val="4F9843DC"/>
    <w:rsid w:val="4FC62A8C"/>
    <w:rsid w:val="4FCD425A"/>
    <w:rsid w:val="4FE20F0D"/>
    <w:rsid w:val="4FE51552"/>
    <w:rsid w:val="504A463C"/>
    <w:rsid w:val="50504C4B"/>
    <w:rsid w:val="50693489"/>
    <w:rsid w:val="507D55FB"/>
    <w:rsid w:val="508F326C"/>
    <w:rsid w:val="509C6E7C"/>
    <w:rsid w:val="51071E56"/>
    <w:rsid w:val="515D3C65"/>
    <w:rsid w:val="5162104E"/>
    <w:rsid w:val="51FC3DEE"/>
    <w:rsid w:val="52B43A37"/>
    <w:rsid w:val="531225F7"/>
    <w:rsid w:val="53481610"/>
    <w:rsid w:val="53841CF6"/>
    <w:rsid w:val="53A039CC"/>
    <w:rsid w:val="53A1505A"/>
    <w:rsid w:val="54063E08"/>
    <w:rsid w:val="543437E8"/>
    <w:rsid w:val="54E10A58"/>
    <w:rsid w:val="54F73313"/>
    <w:rsid w:val="54F80955"/>
    <w:rsid w:val="552C7352"/>
    <w:rsid w:val="555170A7"/>
    <w:rsid w:val="5587536D"/>
    <w:rsid w:val="559B174B"/>
    <w:rsid w:val="55B03207"/>
    <w:rsid w:val="55CE0CF4"/>
    <w:rsid w:val="55D47D6E"/>
    <w:rsid w:val="561B21EA"/>
    <w:rsid w:val="562A1BFB"/>
    <w:rsid w:val="56B22A9C"/>
    <w:rsid w:val="57250682"/>
    <w:rsid w:val="573A4C13"/>
    <w:rsid w:val="576337A9"/>
    <w:rsid w:val="577309D9"/>
    <w:rsid w:val="57921DA8"/>
    <w:rsid w:val="57B6793E"/>
    <w:rsid w:val="57B72A76"/>
    <w:rsid w:val="57C3426C"/>
    <w:rsid w:val="57CE1F93"/>
    <w:rsid w:val="581D4E1C"/>
    <w:rsid w:val="5880634F"/>
    <w:rsid w:val="588743D1"/>
    <w:rsid w:val="5887701A"/>
    <w:rsid w:val="58D7452C"/>
    <w:rsid w:val="591802DE"/>
    <w:rsid w:val="597F69B7"/>
    <w:rsid w:val="599A4B5B"/>
    <w:rsid w:val="59C0439F"/>
    <w:rsid w:val="59D06851"/>
    <w:rsid w:val="59DD6144"/>
    <w:rsid w:val="5AA4766E"/>
    <w:rsid w:val="5ABE2233"/>
    <w:rsid w:val="5AFB2A93"/>
    <w:rsid w:val="5B0106F8"/>
    <w:rsid w:val="5BDF5D95"/>
    <w:rsid w:val="5BFE7528"/>
    <w:rsid w:val="5C105730"/>
    <w:rsid w:val="5C414381"/>
    <w:rsid w:val="5C642BFC"/>
    <w:rsid w:val="5CF55C24"/>
    <w:rsid w:val="5D661289"/>
    <w:rsid w:val="5D6E6F81"/>
    <w:rsid w:val="5E2467F1"/>
    <w:rsid w:val="5E564B91"/>
    <w:rsid w:val="5EE27322"/>
    <w:rsid w:val="5F1A2B43"/>
    <w:rsid w:val="5F4F36F6"/>
    <w:rsid w:val="5F661A87"/>
    <w:rsid w:val="5F9F2289"/>
    <w:rsid w:val="5FB837BB"/>
    <w:rsid w:val="5FDD2397"/>
    <w:rsid w:val="60461726"/>
    <w:rsid w:val="607A72CF"/>
    <w:rsid w:val="608C7F11"/>
    <w:rsid w:val="60CC405A"/>
    <w:rsid w:val="60D12DD9"/>
    <w:rsid w:val="6121402B"/>
    <w:rsid w:val="619D4D72"/>
    <w:rsid w:val="61E215D8"/>
    <w:rsid w:val="61EB1067"/>
    <w:rsid w:val="621B3775"/>
    <w:rsid w:val="62364782"/>
    <w:rsid w:val="626F11AA"/>
    <w:rsid w:val="628065B1"/>
    <w:rsid w:val="63485651"/>
    <w:rsid w:val="63623381"/>
    <w:rsid w:val="63683974"/>
    <w:rsid w:val="6394356A"/>
    <w:rsid w:val="63B76E62"/>
    <w:rsid w:val="63C61B2C"/>
    <w:rsid w:val="63CC2137"/>
    <w:rsid w:val="63CF7CD0"/>
    <w:rsid w:val="63D40BE9"/>
    <w:rsid w:val="640529DE"/>
    <w:rsid w:val="64102431"/>
    <w:rsid w:val="64374CB9"/>
    <w:rsid w:val="6493308B"/>
    <w:rsid w:val="64A5243A"/>
    <w:rsid w:val="64F531DE"/>
    <w:rsid w:val="65373578"/>
    <w:rsid w:val="6541620C"/>
    <w:rsid w:val="66094681"/>
    <w:rsid w:val="66327EED"/>
    <w:rsid w:val="66A27F42"/>
    <w:rsid w:val="67083EE1"/>
    <w:rsid w:val="671F124A"/>
    <w:rsid w:val="673D3055"/>
    <w:rsid w:val="67717B20"/>
    <w:rsid w:val="677A33C6"/>
    <w:rsid w:val="67B15D8F"/>
    <w:rsid w:val="67CA2D54"/>
    <w:rsid w:val="681F6961"/>
    <w:rsid w:val="68471448"/>
    <w:rsid w:val="68532C44"/>
    <w:rsid w:val="685C3DDE"/>
    <w:rsid w:val="68610A2F"/>
    <w:rsid w:val="68794DD1"/>
    <w:rsid w:val="68805514"/>
    <w:rsid w:val="688D0CCE"/>
    <w:rsid w:val="6897294F"/>
    <w:rsid w:val="68AC15ED"/>
    <w:rsid w:val="68F54124"/>
    <w:rsid w:val="69071044"/>
    <w:rsid w:val="69316E2F"/>
    <w:rsid w:val="694E2071"/>
    <w:rsid w:val="696515D6"/>
    <w:rsid w:val="69766163"/>
    <w:rsid w:val="697A3B33"/>
    <w:rsid w:val="69947753"/>
    <w:rsid w:val="69C14839"/>
    <w:rsid w:val="69D44760"/>
    <w:rsid w:val="6A4D414D"/>
    <w:rsid w:val="6A520EC7"/>
    <w:rsid w:val="6AEB6DD3"/>
    <w:rsid w:val="6AF87E20"/>
    <w:rsid w:val="6B322639"/>
    <w:rsid w:val="6BEA3920"/>
    <w:rsid w:val="6BF60C14"/>
    <w:rsid w:val="6C636C38"/>
    <w:rsid w:val="6CAA237A"/>
    <w:rsid w:val="6CD24E7A"/>
    <w:rsid w:val="6CDC5A39"/>
    <w:rsid w:val="6CE17126"/>
    <w:rsid w:val="6CFA2200"/>
    <w:rsid w:val="6D171C0B"/>
    <w:rsid w:val="6D224F03"/>
    <w:rsid w:val="6D5C79E1"/>
    <w:rsid w:val="6D6A3A26"/>
    <w:rsid w:val="6D8165E6"/>
    <w:rsid w:val="6D857859"/>
    <w:rsid w:val="6DB34098"/>
    <w:rsid w:val="6DB545B6"/>
    <w:rsid w:val="6DE02FB4"/>
    <w:rsid w:val="6E4142A1"/>
    <w:rsid w:val="6E514CED"/>
    <w:rsid w:val="6EB563D5"/>
    <w:rsid w:val="6ED92677"/>
    <w:rsid w:val="6EED0116"/>
    <w:rsid w:val="6F225983"/>
    <w:rsid w:val="6FA0071E"/>
    <w:rsid w:val="6FB70681"/>
    <w:rsid w:val="6FE12778"/>
    <w:rsid w:val="6FFC5590"/>
    <w:rsid w:val="706D1DD0"/>
    <w:rsid w:val="70856B87"/>
    <w:rsid w:val="70D527EE"/>
    <w:rsid w:val="70E95D92"/>
    <w:rsid w:val="70ED401D"/>
    <w:rsid w:val="70FD704F"/>
    <w:rsid w:val="71333977"/>
    <w:rsid w:val="715B5300"/>
    <w:rsid w:val="71D27F8A"/>
    <w:rsid w:val="724A1E96"/>
    <w:rsid w:val="72553024"/>
    <w:rsid w:val="72AF6CA2"/>
    <w:rsid w:val="72B94D5F"/>
    <w:rsid w:val="72CB2671"/>
    <w:rsid w:val="72DB0431"/>
    <w:rsid w:val="72F85A8B"/>
    <w:rsid w:val="73122968"/>
    <w:rsid w:val="731F5D5E"/>
    <w:rsid w:val="7388039E"/>
    <w:rsid w:val="73C51AD5"/>
    <w:rsid w:val="741E793C"/>
    <w:rsid w:val="74372716"/>
    <w:rsid w:val="745E3944"/>
    <w:rsid w:val="75800BA9"/>
    <w:rsid w:val="761F5653"/>
    <w:rsid w:val="7635099D"/>
    <w:rsid w:val="766E0B7B"/>
    <w:rsid w:val="76C158EC"/>
    <w:rsid w:val="770571D4"/>
    <w:rsid w:val="77425106"/>
    <w:rsid w:val="77762421"/>
    <w:rsid w:val="778F195E"/>
    <w:rsid w:val="77B56B1F"/>
    <w:rsid w:val="77BF0194"/>
    <w:rsid w:val="780F09F4"/>
    <w:rsid w:val="78106270"/>
    <w:rsid w:val="78832A30"/>
    <w:rsid w:val="78A90480"/>
    <w:rsid w:val="78CB62ED"/>
    <w:rsid w:val="78E367D3"/>
    <w:rsid w:val="7A067F11"/>
    <w:rsid w:val="7A1C5439"/>
    <w:rsid w:val="7A364017"/>
    <w:rsid w:val="7A8265E1"/>
    <w:rsid w:val="7A972FCF"/>
    <w:rsid w:val="7AB35D71"/>
    <w:rsid w:val="7AD766C0"/>
    <w:rsid w:val="7AE808B2"/>
    <w:rsid w:val="7AFC217B"/>
    <w:rsid w:val="7B476F7B"/>
    <w:rsid w:val="7B686D42"/>
    <w:rsid w:val="7B841746"/>
    <w:rsid w:val="7C3E7008"/>
    <w:rsid w:val="7C6C5AC7"/>
    <w:rsid w:val="7C6F205A"/>
    <w:rsid w:val="7CC6544B"/>
    <w:rsid w:val="7D0239FF"/>
    <w:rsid w:val="7D1612AC"/>
    <w:rsid w:val="7D5E40CD"/>
    <w:rsid w:val="7D841A93"/>
    <w:rsid w:val="7DCD56F2"/>
    <w:rsid w:val="7E331708"/>
    <w:rsid w:val="7E574429"/>
    <w:rsid w:val="7E9D4014"/>
    <w:rsid w:val="7F001CE7"/>
    <w:rsid w:val="7F3B4E22"/>
    <w:rsid w:val="7F5752A8"/>
    <w:rsid w:val="7F683756"/>
    <w:rsid w:val="7F733AE0"/>
    <w:rsid w:val="7FD9267F"/>
    <w:rsid w:val="7FE47E50"/>
    <w:rsid w:val="7FEA06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99"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qFormat="1" w:uiPriority="99"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qFormat="1" w:unhideWhenUsed="0" w:uiPriority="0" w:semiHidden="0" w:name="List Number 5" w:locked="1"/>
    <w:lsdException w:qFormat="1" w:unhideWhenUsed="0" w:uiPriority="1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iPriority="99" w:semiHidden="0" w:name="Body Text First Indent" w:locked="1"/>
    <w:lsdException w:qFormat="1" w:uiPriority="99" w:semiHidden="0" w:name="Body Text First Indent 2" w:locked="1"/>
    <w:lsdException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9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99"/>
    <w:pPr>
      <w:keepNext/>
      <w:keepLines/>
      <w:outlineLvl w:val="1"/>
    </w:pPr>
    <w:rPr>
      <w:b/>
      <w:bCs/>
      <w:kern w:val="0"/>
      <w:sz w:val="28"/>
      <w:szCs w:val="32"/>
    </w:rPr>
  </w:style>
  <w:style w:type="paragraph" w:styleId="5">
    <w:name w:val="heading 3"/>
    <w:basedOn w:val="1"/>
    <w:next w:val="1"/>
    <w:qFormat/>
    <w:locked/>
    <w:uiPriority w:val="0"/>
    <w:pPr>
      <w:keepNext/>
      <w:keepLines/>
      <w:spacing w:line="480" w:lineRule="auto"/>
      <w:outlineLvl w:val="2"/>
    </w:pPr>
    <w:rPr>
      <w:b/>
      <w:bCs/>
      <w:kern w:val="0"/>
      <w:szCs w:val="32"/>
    </w:rPr>
  </w:style>
  <w:style w:type="paragraph" w:styleId="6">
    <w:name w:val="heading 4"/>
    <w:basedOn w:val="1"/>
    <w:next w:val="1"/>
    <w:qFormat/>
    <w:locked/>
    <w:uiPriority w:val="0"/>
    <w:pPr>
      <w:keepNext/>
      <w:keepLines/>
      <w:outlineLvl w:val="3"/>
    </w:pPr>
    <w:rPr>
      <w:b/>
      <w:bCs/>
      <w:kern w:val="0"/>
      <w:szCs w:val="20"/>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List"/>
    <w:basedOn w:val="1"/>
    <w:qFormat/>
    <w:locked/>
    <w:uiPriority w:val="0"/>
    <w:pPr>
      <w:widowControl/>
      <w:overflowPunct w:val="0"/>
      <w:autoSpaceDE w:val="0"/>
      <w:autoSpaceDN w:val="0"/>
      <w:adjustRightInd w:val="0"/>
      <w:ind w:left="283" w:hanging="283"/>
      <w:jc w:val="left"/>
      <w:textAlignment w:val="baseline"/>
    </w:pPr>
    <w:rPr>
      <w:kern w:val="0"/>
      <w:sz w:val="20"/>
      <w:szCs w:val="20"/>
      <w:lang w:val="en-GB"/>
    </w:rPr>
  </w:style>
  <w:style w:type="paragraph" w:styleId="7">
    <w:name w:val="Normal Indent"/>
    <w:basedOn w:val="1"/>
    <w:next w:val="8"/>
    <w:unhideWhenUsed/>
    <w:qFormat/>
    <w:locked/>
    <w:uiPriority w:val="99"/>
    <w:pPr>
      <w:ind w:firstLine="420"/>
    </w:pPr>
  </w:style>
  <w:style w:type="paragraph" w:customStyle="1" w:styleId="8">
    <w:name w:val="样式 正文文本 + 首行缩进:  2 字符"/>
    <w:qFormat/>
    <w:uiPriority w:val="99"/>
    <w:pPr>
      <w:spacing w:after="200" w:line="480" w:lineRule="exact"/>
      <w:ind w:firstLine="480" w:firstLineChars="200"/>
    </w:pPr>
    <w:rPr>
      <w:rFonts w:ascii="宋体" w:hAnsi="宋体" w:eastAsia="宋体" w:cs="Times New Roman"/>
      <w:sz w:val="24"/>
      <w:lang w:val="en-US" w:eastAsia="zh-CN" w:bidi="ar-SA"/>
    </w:rPr>
  </w:style>
  <w:style w:type="paragraph" w:styleId="9">
    <w:name w:val="caption"/>
    <w:basedOn w:val="1"/>
    <w:next w:val="1"/>
    <w:qFormat/>
    <w:locked/>
    <w:uiPriority w:val="0"/>
    <w:pPr>
      <w:spacing w:before="152" w:after="160"/>
    </w:pPr>
    <w:rPr>
      <w:rFonts w:ascii="Arial" w:hAnsi="Arial" w:eastAsia="黑体" w:cs="Arial"/>
      <w:sz w:val="20"/>
    </w:rPr>
  </w:style>
  <w:style w:type="paragraph" w:styleId="10">
    <w:name w:val="annotation text"/>
    <w:basedOn w:val="1"/>
    <w:link w:val="39"/>
    <w:semiHidden/>
    <w:qFormat/>
    <w:uiPriority w:val="0"/>
    <w:pPr>
      <w:jc w:val="left"/>
    </w:pPr>
    <w:rPr>
      <w:kern w:val="0"/>
      <w:sz w:val="24"/>
      <w:szCs w:val="20"/>
    </w:rPr>
  </w:style>
  <w:style w:type="paragraph" w:styleId="11">
    <w:name w:val="Body Text 3"/>
    <w:basedOn w:val="1"/>
    <w:qFormat/>
    <w:locked/>
    <w:uiPriority w:val="0"/>
    <w:pPr>
      <w:spacing w:after="120" w:line="360" w:lineRule="auto"/>
      <w:ind w:firstLine="200" w:firstLineChars="200"/>
    </w:pPr>
    <w:rPr>
      <w:rFonts w:eastAsia="Times New Roman"/>
      <w:sz w:val="16"/>
      <w:lang w:val="zh-CN"/>
    </w:rPr>
  </w:style>
  <w:style w:type="paragraph" w:styleId="12">
    <w:name w:val="Body Text"/>
    <w:basedOn w:val="1"/>
    <w:next w:val="1"/>
    <w:link w:val="40"/>
    <w:qFormat/>
    <w:uiPriority w:val="0"/>
    <w:pPr>
      <w:widowControl/>
      <w:snapToGrid w:val="0"/>
      <w:spacing w:before="60" w:after="160" w:line="259" w:lineRule="auto"/>
      <w:ind w:right="113"/>
    </w:pPr>
    <w:rPr>
      <w:kern w:val="0"/>
      <w:sz w:val="18"/>
      <w:szCs w:val="20"/>
    </w:rPr>
  </w:style>
  <w:style w:type="paragraph" w:styleId="13">
    <w:name w:val="Body Text Indent"/>
    <w:basedOn w:val="1"/>
    <w:next w:val="1"/>
    <w:link w:val="41"/>
    <w:qFormat/>
    <w:uiPriority w:val="0"/>
    <w:pPr>
      <w:spacing w:after="120"/>
      <w:ind w:left="420" w:leftChars="200"/>
    </w:pPr>
    <w:rPr>
      <w:kern w:val="0"/>
      <w:sz w:val="24"/>
      <w:szCs w:val="20"/>
    </w:rPr>
  </w:style>
  <w:style w:type="paragraph" w:styleId="14">
    <w:name w:val="Plain Text"/>
    <w:basedOn w:val="1"/>
    <w:next w:val="15"/>
    <w:qFormat/>
    <w:locked/>
    <w:uiPriority w:val="99"/>
    <w:rPr>
      <w:rFonts w:ascii="宋体" w:hAnsi="Courier New"/>
      <w:szCs w:val="21"/>
    </w:rPr>
  </w:style>
  <w:style w:type="paragraph" w:styleId="15">
    <w:name w:val="List Number 5"/>
    <w:basedOn w:val="1"/>
    <w:qFormat/>
    <w:locked/>
    <w:uiPriority w:val="0"/>
    <w:pPr>
      <w:numPr>
        <w:ilvl w:val="0"/>
        <w:numId w:val="1"/>
      </w:numPr>
    </w:pPr>
  </w:style>
  <w:style w:type="paragraph" w:styleId="16">
    <w:name w:val="Date"/>
    <w:basedOn w:val="1"/>
    <w:next w:val="1"/>
    <w:link w:val="42"/>
    <w:qFormat/>
    <w:uiPriority w:val="0"/>
    <w:pPr>
      <w:ind w:left="100" w:leftChars="2500"/>
    </w:pPr>
    <w:rPr>
      <w:kern w:val="0"/>
      <w:sz w:val="24"/>
      <w:szCs w:val="20"/>
    </w:rPr>
  </w:style>
  <w:style w:type="paragraph" w:styleId="17">
    <w:name w:val="Body Text Indent 2"/>
    <w:basedOn w:val="1"/>
    <w:qFormat/>
    <w:locked/>
    <w:uiPriority w:val="0"/>
    <w:pPr>
      <w:spacing w:after="120" w:line="480" w:lineRule="auto"/>
      <w:ind w:left="420" w:leftChars="200"/>
    </w:pPr>
    <w:rPr>
      <w:rFonts w:eastAsia="仿宋_GB2312"/>
      <w:sz w:val="28"/>
    </w:rPr>
  </w:style>
  <w:style w:type="paragraph" w:styleId="18">
    <w:name w:val="Balloon Text"/>
    <w:basedOn w:val="1"/>
    <w:link w:val="43"/>
    <w:semiHidden/>
    <w:qFormat/>
    <w:uiPriority w:val="0"/>
    <w:rPr>
      <w:kern w:val="0"/>
      <w:sz w:val="18"/>
      <w:szCs w:val="20"/>
    </w:rPr>
  </w:style>
  <w:style w:type="paragraph" w:styleId="19">
    <w:name w:val="footer"/>
    <w:basedOn w:val="1"/>
    <w:link w:val="44"/>
    <w:qFormat/>
    <w:uiPriority w:val="99"/>
    <w:pPr>
      <w:tabs>
        <w:tab w:val="center" w:pos="4153"/>
        <w:tab w:val="right" w:pos="8306"/>
      </w:tabs>
      <w:snapToGrid w:val="0"/>
      <w:jc w:val="left"/>
    </w:pPr>
    <w:rPr>
      <w:kern w:val="0"/>
      <w:sz w:val="18"/>
      <w:szCs w:val="20"/>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kern w:val="0"/>
      <w:sz w:val="18"/>
      <w:szCs w:val="20"/>
    </w:rPr>
  </w:style>
  <w:style w:type="paragraph" w:styleId="21">
    <w:name w:val="toc 1"/>
    <w:basedOn w:val="1"/>
    <w:next w:val="1"/>
    <w:qFormat/>
    <w:locked/>
    <w:uiPriority w:val="0"/>
    <w:pPr>
      <w:spacing w:before="120" w:after="120"/>
      <w:jc w:val="left"/>
    </w:pPr>
    <w:rPr>
      <w:b/>
      <w:bCs/>
      <w:caps/>
      <w:sz w:val="20"/>
    </w:rPr>
  </w:style>
  <w:style w:type="paragraph" w:styleId="22">
    <w:name w:val="Subtitle"/>
    <w:basedOn w:val="1"/>
    <w:next w:val="1"/>
    <w:qFormat/>
    <w:locked/>
    <w:uiPriority w:val="0"/>
    <w:pPr>
      <w:wordWrap w:val="0"/>
      <w:jc w:val="center"/>
    </w:pPr>
    <w:rPr>
      <w:rFonts w:ascii="宋体" w:hAnsi="宋体" w:eastAsia="Times New Roman"/>
      <w:iCs/>
      <w:kern w:val="0"/>
    </w:rPr>
  </w:style>
  <w:style w:type="paragraph" w:styleId="23">
    <w:name w:val="table of figures"/>
    <w:basedOn w:val="1"/>
    <w:next w:val="1"/>
    <w:unhideWhenUsed/>
    <w:qFormat/>
    <w:locked/>
    <w:uiPriority w:val="99"/>
    <w:pPr>
      <w:ind w:firstLine="390"/>
      <w:jc w:val="center"/>
    </w:pPr>
    <w:rPr>
      <w:b/>
      <w:bCs/>
      <w:spacing w:val="-8"/>
      <w:kern w:val="0"/>
      <w:szCs w:val="21"/>
    </w:rPr>
  </w:style>
  <w:style w:type="paragraph" w:styleId="24">
    <w:name w:val="Body Text 2"/>
    <w:basedOn w:val="1"/>
    <w:qFormat/>
    <w:locked/>
    <w:uiPriority w:val="0"/>
    <w:pPr>
      <w:spacing w:after="120" w:line="480" w:lineRule="auto"/>
    </w:pPr>
  </w:style>
  <w:style w:type="paragraph" w:styleId="25">
    <w:name w:val="Normal (Web)"/>
    <w:basedOn w:val="1"/>
    <w:link w:val="46"/>
    <w:qFormat/>
    <w:uiPriority w:val="0"/>
    <w:pPr>
      <w:widowControl/>
      <w:spacing w:before="100" w:beforeAutospacing="1" w:after="100" w:afterAutospacing="1"/>
      <w:jc w:val="left"/>
    </w:pPr>
    <w:rPr>
      <w:rFonts w:ascii="宋体" w:hAnsi="宋体"/>
      <w:kern w:val="0"/>
      <w:sz w:val="24"/>
      <w:szCs w:val="20"/>
    </w:rPr>
  </w:style>
  <w:style w:type="paragraph" w:styleId="26">
    <w:name w:val="Title"/>
    <w:basedOn w:val="1"/>
    <w:next w:val="1"/>
    <w:qFormat/>
    <w:locked/>
    <w:uiPriority w:val="10"/>
    <w:pPr>
      <w:wordWrap w:val="0"/>
      <w:contextualSpacing/>
      <w:jc w:val="center"/>
    </w:pPr>
    <w:rPr>
      <w:b/>
      <w:kern w:val="0"/>
      <w:szCs w:val="52"/>
    </w:rPr>
  </w:style>
  <w:style w:type="paragraph" w:styleId="27">
    <w:name w:val="annotation subject"/>
    <w:basedOn w:val="10"/>
    <w:next w:val="10"/>
    <w:link w:val="47"/>
    <w:semiHidden/>
    <w:qFormat/>
    <w:uiPriority w:val="0"/>
    <w:rPr>
      <w:b/>
    </w:rPr>
  </w:style>
  <w:style w:type="paragraph" w:styleId="28">
    <w:name w:val="Body Text First Indent"/>
    <w:basedOn w:val="12"/>
    <w:next w:val="1"/>
    <w:unhideWhenUsed/>
    <w:qFormat/>
    <w:locked/>
    <w:uiPriority w:val="99"/>
    <w:pPr>
      <w:ind w:firstLine="420" w:firstLineChars="100"/>
    </w:pPr>
  </w:style>
  <w:style w:type="paragraph" w:styleId="29">
    <w:name w:val="Body Text First Indent 2"/>
    <w:basedOn w:val="1"/>
    <w:next w:val="1"/>
    <w:unhideWhenUsed/>
    <w:qFormat/>
    <w:locked/>
    <w:uiPriority w:val="99"/>
    <w:pPr>
      <w:ind w:left="420" w:firstLine="420" w:firstLineChars="200"/>
    </w:p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page number"/>
    <w:basedOn w:val="32"/>
    <w:qFormat/>
    <w:locked/>
    <w:uiPriority w:val="0"/>
  </w:style>
  <w:style w:type="character" w:styleId="34">
    <w:name w:val="annotation reference"/>
    <w:semiHidden/>
    <w:qFormat/>
    <w:uiPriority w:val="0"/>
    <w:rPr>
      <w:sz w:val="21"/>
    </w:rPr>
  </w:style>
  <w:style w:type="paragraph" w:customStyle="1" w:styleId="35">
    <w:name w:val="Default"/>
    <w:basedOn w:val="36"/>
    <w:next w:val="1"/>
    <w:qFormat/>
    <w:uiPriority w:val="0"/>
    <w:pPr>
      <w:autoSpaceDE w:val="0"/>
      <w:autoSpaceDN w:val="0"/>
      <w:adjustRightInd w:val="0"/>
    </w:pPr>
    <w:rPr>
      <w:rFonts w:hAnsi="Calibri" w:cs="宋体"/>
      <w:color w:val="000000"/>
      <w:sz w:val="24"/>
      <w:szCs w:val="24"/>
    </w:rPr>
  </w:style>
  <w:style w:type="paragraph" w:customStyle="1" w:styleId="36">
    <w:name w:val="纯文本1"/>
    <w:basedOn w:val="1"/>
    <w:qFormat/>
    <w:uiPriority w:val="0"/>
    <w:rPr>
      <w:rFonts w:ascii="宋体" w:hAnsi="Courier New" w:cs="Courier New"/>
      <w:szCs w:val="21"/>
    </w:rPr>
  </w:style>
  <w:style w:type="paragraph" w:customStyle="1" w:styleId="37">
    <w:name w:val="样式 首行缩进:  2 字符1"/>
    <w:basedOn w:val="1"/>
    <w:qFormat/>
    <w:uiPriority w:val="0"/>
    <w:pPr>
      <w:spacing w:line="360" w:lineRule="auto"/>
      <w:ind w:firstLine="200" w:firstLineChars="200"/>
    </w:pPr>
    <w:rPr>
      <w:rFonts w:cs="宋体"/>
      <w:sz w:val="24"/>
      <w:szCs w:val="20"/>
    </w:rPr>
  </w:style>
  <w:style w:type="paragraph" w:customStyle="1" w:styleId="38">
    <w:name w:val="标号正文"/>
    <w:basedOn w:val="1"/>
    <w:next w:val="1"/>
    <w:qFormat/>
    <w:uiPriority w:val="0"/>
    <w:pPr>
      <w:tabs>
        <w:tab w:val="left" w:pos="1540"/>
      </w:tabs>
      <w:overflowPunct w:val="0"/>
      <w:snapToGrid w:val="0"/>
      <w:spacing w:line="360" w:lineRule="auto"/>
      <w:ind w:firstLine="1040"/>
      <w:jc w:val="left"/>
    </w:pPr>
    <w:rPr>
      <w:rFonts w:ascii="Arial" w:hAnsi="Arial"/>
      <w:sz w:val="24"/>
      <w:szCs w:val="20"/>
    </w:rPr>
  </w:style>
  <w:style w:type="character" w:customStyle="1" w:styleId="39">
    <w:name w:val="批注文字 Char"/>
    <w:link w:val="10"/>
    <w:qFormat/>
    <w:locked/>
    <w:uiPriority w:val="0"/>
    <w:rPr>
      <w:rFonts w:ascii="Times New Roman" w:hAnsi="Times New Roman" w:eastAsia="宋体"/>
      <w:sz w:val="24"/>
    </w:rPr>
  </w:style>
  <w:style w:type="character" w:customStyle="1" w:styleId="40">
    <w:name w:val="正文文本 Char"/>
    <w:link w:val="12"/>
    <w:qFormat/>
    <w:locked/>
    <w:uiPriority w:val="0"/>
    <w:rPr>
      <w:sz w:val="18"/>
    </w:rPr>
  </w:style>
  <w:style w:type="character" w:customStyle="1" w:styleId="41">
    <w:name w:val="正文文本缩进 Char"/>
    <w:link w:val="13"/>
    <w:semiHidden/>
    <w:qFormat/>
    <w:locked/>
    <w:uiPriority w:val="0"/>
    <w:rPr>
      <w:rFonts w:ascii="Times New Roman" w:hAnsi="Times New Roman" w:eastAsia="宋体"/>
      <w:sz w:val="24"/>
    </w:rPr>
  </w:style>
  <w:style w:type="character" w:customStyle="1" w:styleId="42">
    <w:name w:val="日期 Char"/>
    <w:link w:val="16"/>
    <w:qFormat/>
    <w:locked/>
    <w:uiPriority w:val="0"/>
    <w:rPr>
      <w:rFonts w:ascii="Times New Roman" w:hAnsi="Times New Roman" w:eastAsia="宋体"/>
      <w:sz w:val="24"/>
    </w:rPr>
  </w:style>
  <w:style w:type="character" w:customStyle="1" w:styleId="43">
    <w:name w:val="批注框文本 Char"/>
    <w:link w:val="18"/>
    <w:semiHidden/>
    <w:qFormat/>
    <w:locked/>
    <w:uiPriority w:val="0"/>
    <w:rPr>
      <w:rFonts w:ascii="Times New Roman" w:hAnsi="Times New Roman" w:eastAsia="宋体"/>
      <w:sz w:val="18"/>
    </w:rPr>
  </w:style>
  <w:style w:type="character" w:customStyle="1" w:styleId="44">
    <w:name w:val="页脚 Char"/>
    <w:link w:val="19"/>
    <w:qFormat/>
    <w:locked/>
    <w:uiPriority w:val="99"/>
    <w:rPr>
      <w:sz w:val="18"/>
    </w:rPr>
  </w:style>
  <w:style w:type="character" w:customStyle="1" w:styleId="45">
    <w:name w:val="页眉 Char"/>
    <w:link w:val="20"/>
    <w:qFormat/>
    <w:locked/>
    <w:uiPriority w:val="0"/>
    <w:rPr>
      <w:sz w:val="18"/>
    </w:rPr>
  </w:style>
  <w:style w:type="character" w:customStyle="1" w:styleId="46">
    <w:name w:val="普通(网站) Char"/>
    <w:link w:val="25"/>
    <w:qFormat/>
    <w:locked/>
    <w:uiPriority w:val="0"/>
    <w:rPr>
      <w:rFonts w:ascii="宋体" w:hAnsi="宋体" w:eastAsia="宋体"/>
      <w:sz w:val="24"/>
    </w:rPr>
  </w:style>
  <w:style w:type="character" w:customStyle="1" w:styleId="47">
    <w:name w:val="批注主题 Char"/>
    <w:link w:val="27"/>
    <w:semiHidden/>
    <w:qFormat/>
    <w:locked/>
    <w:uiPriority w:val="0"/>
    <w:rPr>
      <w:rFonts w:ascii="Times New Roman" w:hAnsi="Times New Roman" w:eastAsia="宋体"/>
      <w:b/>
      <w:kern w:val="2"/>
      <w:sz w:val="24"/>
    </w:rPr>
  </w:style>
  <w:style w:type="character" w:customStyle="1" w:styleId="48">
    <w:name w:val="fontstyle01"/>
    <w:basedOn w:val="32"/>
    <w:qFormat/>
    <w:uiPriority w:val="0"/>
    <w:rPr>
      <w:rFonts w:hint="eastAsia" w:ascii="宋体" w:hAnsi="宋体" w:eastAsia="宋体" w:cs="宋体"/>
      <w:color w:val="000000"/>
      <w:sz w:val="24"/>
      <w:szCs w:val="24"/>
    </w:rPr>
  </w:style>
  <w:style w:type="character" w:customStyle="1" w:styleId="49">
    <w:name w:val="font11"/>
    <w:basedOn w:val="32"/>
    <w:qFormat/>
    <w:uiPriority w:val="0"/>
    <w:rPr>
      <w:rFonts w:ascii="Wingdings" w:hAnsi="Wingdings" w:cs="Wingdings"/>
      <w:color w:val="000000"/>
      <w:sz w:val="22"/>
      <w:szCs w:val="22"/>
      <w:u w:val="none"/>
    </w:rPr>
  </w:style>
  <w:style w:type="character" w:customStyle="1" w:styleId="50">
    <w:name w:val="表格 Char"/>
    <w:link w:val="51"/>
    <w:qFormat/>
    <w:locked/>
    <w:uiPriority w:val="0"/>
    <w:rPr>
      <w:rFonts w:ascii="宋体"/>
      <w:sz w:val="21"/>
    </w:rPr>
  </w:style>
  <w:style w:type="paragraph" w:customStyle="1" w:styleId="51">
    <w:name w:val="表格"/>
    <w:basedOn w:val="7"/>
    <w:next w:val="7"/>
    <w:link w:val="50"/>
    <w:qFormat/>
    <w:uiPriority w:val="0"/>
    <w:pPr>
      <w:adjustRightInd w:val="0"/>
      <w:snapToGrid w:val="0"/>
      <w:spacing w:beforeLines="10" w:afterLines="10" w:line="259" w:lineRule="auto"/>
      <w:jc w:val="center"/>
    </w:pPr>
    <w:rPr>
      <w:rFonts w:ascii="宋体"/>
      <w:kern w:val="0"/>
      <w:szCs w:val="20"/>
    </w:rPr>
  </w:style>
  <w:style w:type="character" w:customStyle="1" w:styleId="52">
    <w:name w:val="Char Char Char Char Char"/>
    <w:link w:val="53"/>
    <w:qFormat/>
    <w:uiPriority w:val="0"/>
    <w:rPr>
      <w:rFonts w:ascii="宋体" w:hAnsi="宋体"/>
      <w:kern w:val="0"/>
      <w:sz w:val="24"/>
      <w:szCs w:val="24"/>
    </w:rPr>
  </w:style>
  <w:style w:type="paragraph" w:customStyle="1" w:styleId="53">
    <w:name w:val="Char Char Char Char"/>
    <w:basedOn w:val="1"/>
    <w:link w:val="52"/>
    <w:qFormat/>
    <w:uiPriority w:val="0"/>
    <w:pPr>
      <w:spacing w:line="360" w:lineRule="auto"/>
      <w:ind w:firstLine="200" w:firstLineChars="200"/>
    </w:pPr>
    <w:rPr>
      <w:rFonts w:ascii="宋体" w:hAnsi="宋体"/>
      <w:kern w:val="0"/>
      <w:sz w:val="24"/>
    </w:rPr>
  </w:style>
  <w:style w:type="character" w:customStyle="1" w:styleId="54">
    <w:name w:val="页脚 字符"/>
    <w:basedOn w:val="32"/>
    <w:qFormat/>
    <w:uiPriority w:val="99"/>
  </w:style>
  <w:style w:type="character" w:customStyle="1" w:styleId="55">
    <w:name w:val="font21"/>
    <w:basedOn w:val="32"/>
    <w:qFormat/>
    <w:uiPriority w:val="0"/>
    <w:rPr>
      <w:rFonts w:hint="eastAsia" w:ascii="宋体" w:hAnsi="宋体" w:eastAsia="宋体" w:cs="宋体"/>
      <w:color w:val="000000"/>
      <w:sz w:val="22"/>
      <w:szCs w:val="22"/>
      <w:u w:val="none"/>
    </w:rPr>
  </w:style>
  <w:style w:type="character" w:customStyle="1" w:styleId="56">
    <w:name w:val="font01"/>
    <w:basedOn w:val="32"/>
    <w:qFormat/>
    <w:uiPriority w:val="0"/>
    <w:rPr>
      <w:rFonts w:hint="default" w:ascii="Times New Roman" w:hAnsi="Times New Roman" w:cs="Times New Roman"/>
      <w:color w:val="000000"/>
      <w:sz w:val="24"/>
      <w:szCs w:val="24"/>
      <w:u w:val="none"/>
      <w:vertAlign w:val="subscript"/>
    </w:rPr>
  </w:style>
  <w:style w:type="character" w:customStyle="1" w:styleId="57">
    <w:name w:val="font41"/>
    <w:basedOn w:val="32"/>
    <w:qFormat/>
    <w:uiPriority w:val="0"/>
    <w:rPr>
      <w:rFonts w:ascii="Wingdings 2" w:hAnsi="Wingdings 2" w:eastAsia="Wingdings 2" w:cs="Wingdings 2"/>
      <w:color w:val="000000"/>
      <w:sz w:val="22"/>
      <w:szCs w:val="22"/>
      <w:u w:val="none"/>
    </w:rPr>
  </w:style>
  <w:style w:type="character" w:customStyle="1" w:styleId="58">
    <w:name w:val="日期 字符"/>
    <w:semiHidden/>
    <w:qFormat/>
    <w:uiPriority w:val="0"/>
    <w:rPr>
      <w:rFonts w:ascii="Times New Roman" w:hAnsi="Times New Roman" w:eastAsia="宋体"/>
      <w:sz w:val="24"/>
    </w:rPr>
  </w:style>
  <w:style w:type="character" w:customStyle="1" w:styleId="59">
    <w:name w:val="正文文本 字符1"/>
    <w:semiHidden/>
    <w:qFormat/>
    <w:uiPriority w:val="0"/>
    <w:rPr>
      <w:rFonts w:ascii="Times New Roman" w:hAnsi="Times New Roman" w:eastAsia="宋体"/>
      <w:sz w:val="24"/>
    </w:rPr>
  </w:style>
  <w:style w:type="character" w:customStyle="1" w:styleId="60">
    <w:name w:val="批注文字 字符1"/>
    <w:semiHidden/>
    <w:qFormat/>
    <w:uiPriority w:val="0"/>
    <w:rPr>
      <w:rFonts w:ascii="Times New Roman" w:hAnsi="Times New Roman" w:eastAsia="宋体"/>
      <w:sz w:val="24"/>
    </w:rPr>
  </w:style>
  <w:style w:type="character" w:customStyle="1" w:styleId="61">
    <w:name w:val="font31"/>
    <w:basedOn w:val="32"/>
    <w:qFormat/>
    <w:uiPriority w:val="0"/>
    <w:rPr>
      <w:rFonts w:hint="eastAsia" w:ascii="宋体" w:hAnsi="宋体" w:eastAsia="宋体" w:cs="宋体"/>
      <w:color w:val="000000"/>
      <w:sz w:val="28"/>
      <w:szCs w:val="28"/>
      <w:u w:val="none"/>
    </w:rPr>
  </w:style>
  <w:style w:type="character" w:customStyle="1" w:styleId="62">
    <w:name w:val="正文文本_"/>
    <w:basedOn w:val="32"/>
    <w:link w:val="63"/>
    <w:qFormat/>
    <w:uiPriority w:val="0"/>
    <w:rPr>
      <w:rFonts w:ascii="宋体" w:hAnsi="宋体" w:eastAsia="宋体" w:cs="宋体"/>
      <w:sz w:val="30"/>
      <w:szCs w:val="30"/>
      <w:u w:val="none"/>
      <w:lang w:val="zh-CN" w:eastAsia="zh-CN" w:bidi="zh-CN"/>
    </w:rPr>
  </w:style>
  <w:style w:type="paragraph" w:customStyle="1" w:styleId="63">
    <w:name w:val="正文文本1"/>
    <w:basedOn w:val="1"/>
    <w:link w:val="62"/>
    <w:qFormat/>
    <w:uiPriority w:val="0"/>
    <w:pPr>
      <w:spacing w:after="40" w:line="437" w:lineRule="auto"/>
      <w:ind w:firstLine="400"/>
    </w:pPr>
    <w:rPr>
      <w:rFonts w:ascii="宋体" w:hAnsi="宋体" w:cs="宋体"/>
      <w:sz w:val="30"/>
      <w:szCs w:val="30"/>
      <w:lang w:val="zh-CN" w:bidi="zh-CN"/>
    </w:rPr>
  </w:style>
  <w:style w:type="paragraph" w:customStyle="1" w:styleId="64">
    <w:name w:val="正文1"/>
    <w:basedOn w:val="1"/>
    <w:qFormat/>
    <w:uiPriority w:val="0"/>
    <w:pPr>
      <w:autoSpaceDE w:val="0"/>
      <w:autoSpaceDN w:val="0"/>
      <w:adjustRightInd w:val="0"/>
      <w:snapToGrid w:val="0"/>
      <w:spacing w:line="360" w:lineRule="auto"/>
      <w:ind w:firstLine="480" w:firstLineChars="200"/>
    </w:pPr>
    <w:rPr>
      <w:color w:val="000000"/>
      <w:kern w:val="0"/>
      <w:sz w:val="24"/>
    </w:rPr>
  </w:style>
  <w:style w:type="paragraph" w:customStyle="1" w:styleId="65">
    <w:name w:val="表格内"/>
    <w:basedOn w:val="1"/>
    <w:qFormat/>
    <w:uiPriority w:val="0"/>
    <w:pPr>
      <w:widowControl/>
      <w:adjustRightInd w:val="0"/>
      <w:snapToGrid w:val="0"/>
      <w:spacing w:after="200" w:line="360" w:lineRule="exact"/>
      <w:jc w:val="center"/>
    </w:pPr>
    <w:rPr>
      <w:rFonts w:eastAsia="微软雅黑"/>
      <w:snapToGrid w:val="0"/>
      <w:kern w:val="0"/>
      <w:sz w:val="22"/>
      <w:szCs w:val="21"/>
    </w:rPr>
  </w:style>
  <w:style w:type="paragraph" w:customStyle="1" w:styleId="66">
    <w:name w:val="表格正文"/>
    <w:basedOn w:val="1"/>
    <w:next w:val="1"/>
    <w:qFormat/>
    <w:uiPriority w:val="0"/>
    <w:pPr>
      <w:spacing w:line="360" w:lineRule="exact"/>
      <w:jc w:val="center"/>
    </w:pPr>
  </w:style>
  <w:style w:type="paragraph" w:customStyle="1" w:styleId="67">
    <w:name w:val="表内容"/>
    <w:basedOn w:val="1"/>
    <w:next w:val="1"/>
    <w:qFormat/>
    <w:uiPriority w:val="0"/>
    <w:pPr>
      <w:jc w:val="center"/>
    </w:pPr>
    <w:rPr>
      <w:rFonts w:ascii="宋体" w:hAnsi="宋体"/>
    </w:rPr>
  </w:style>
  <w:style w:type="paragraph" w:customStyle="1" w:styleId="68">
    <w:name w:val="表外"/>
    <w:basedOn w:val="1"/>
    <w:qFormat/>
    <w:uiPriority w:val="0"/>
    <w:rPr>
      <w:b/>
      <w:sz w:val="32"/>
    </w:rPr>
  </w:style>
  <w:style w:type="paragraph" w:customStyle="1" w:styleId="69">
    <w:name w:val="xl27"/>
    <w:basedOn w:val="1"/>
    <w:qFormat/>
    <w:uiPriority w:val="0"/>
    <w:pPr>
      <w:widowControl/>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70">
    <w:name w:val="表"/>
    <w:basedOn w:val="1"/>
    <w:qFormat/>
    <w:uiPriority w:val="0"/>
    <w:pPr>
      <w:keepNext/>
      <w:keepLines/>
      <w:autoSpaceDE w:val="0"/>
      <w:autoSpaceDN w:val="0"/>
      <w:jc w:val="center"/>
    </w:pPr>
    <w:rPr>
      <w:kern w:val="21"/>
      <w:szCs w:val="20"/>
    </w:rPr>
  </w:style>
  <w:style w:type="paragraph" w:customStyle="1" w:styleId="71">
    <w:name w:val="Table Paragraph"/>
    <w:basedOn w:val="1"/>
    <w:qFormat/>
    <w:uiPriority w:val="1"/>
    <w:rPr>
      <w:rFonts w:ascii="宋体" w:hAnsi="宋体" w:cs="宋体"/>
    </w:rPr>
  </w:style>
  <w:style w:type="paragraph" w:customStyle="1" w:styleId="72">
    <w:name w:val="正文A"/>
    <w:basedOn w:val="1"/>
    <w:qFormat/>
    <w:uiPriority w:val="0"/>
    <w:pPr>
      <w:spacing w:line="500" w:lineRule="exact"/>
      <w:ind w:firstLine="480"/>
    </w:pPr>
  </w:style>
  <w:style w:type="paragraph" w:styleId="73">
    <w:name w:val="List Paragraph"/>
    <w:basedOn w:val="1"/>
    <w:qFormat/>
    <w:uiPriority w:val="1"/>
    <w:pPr>
      <w:ind w:left="1733" w:hanging="601"/>
    </w:pPr>
    <w:rPr>
      <w:rFonts w:ascii="宋体" w:hAnsi="宋体" w:cs="宋体"/>
    </w:rPr>
  </w:style>
  <w:style w:type="paragraph" w:customStyle="1" w:styleId="74">
    <w:name w:val="正文文本 (4)"/>
    <w:basedOn w:val="1"/>
    <w:qFormat/>
    <w:uiPriority w:val="0"/>
    <w:pPr>
      <w:spacing w:after="150"/>
      <w:ind w:firstLine="620"/>
    </w:pPr>
    <w:rPr>
      <w:rFonts w:ascii="黑体" w:hAnsi="黑体" w:eastAsia="黑体" w:cs="黑体"/>
      <w:sz w:val="32"/>
      <w:szCs w:val="32"/>
      <w:lang w:val="zh-CN" w:bidi="zh-CN"/>
    </w:rPr>
  </w:style>
  <w:style w:type="paragraph" w:customStyle="1" w:styleId="75">
    <w:name w:val="正文新"/>
    <w:basedOn w:val="1"/>
    <w:qFormat/>
    <w:uiPriority w:val="0"/>
    <w:pPr>
      <w:spacing w:line="460" w:lineRule="exact"/>
      <w:ind w:firstLine="480" w:firstLineChars="200"/>
    </w:pPr>
    <w:rPr>
      <w:sz w:val="24"/>
    </w:rPr>
  </w:style>
  <w:style w:type="paragraph" w:customStyle="1" w:styleId="76">
    <w:name w:val="_Style 1"/>
    <w:qFormat/>
    <w:uiPriority w:val="1"/>
    <w:pPr>
      <w:widowControl w:val="0"/>
      <w:adjustRightInd w:val="0"/>
      <w:snapToGrid w:val="0"/>
      <w:jc w:val="both"/>
    </w:pPr>
    <w:rPr>
      <w:rFonts w:ascii="Times New Roman" w:hAnsi="Times New Roman" w:eastAsia="宋体" w:cs="Times New Roman"/>
      <w:kern w:val="2"/>
      <w:sz w:val="18"/>
      <w:szCs w:val="24"/>
      <w:lang w:val="en-US" w:eastAsia="zh-CN" w:bidi="ar-SA"/>
    </w:rPr>
  </w:style>
  <w:style w:type="paragraph" w:customStyle="1" w:styleId="77">
    <w:name w:val="1正文段落"/>
    <w:basedOn w:val="1"/>
    <w:qFormat/>
    <w:uiPriority w:val="0"/>
    <w:pPr>
      <w:spacing w:line="360" w:lineRule="auto"/>
      <w:ind w:firstLine="480" w:firstLineChars="200"/>
      <w:jc w:val="left"/>
    </w:pPr>
    <w:rPr>
      <w:snapToGrid w:val="0"/>
      <w:kern w:val="0"/>
      <w:sz w:val="24"/>
    </w:rPr>
  </w:style>
  <w:style w:type="paragraph" w:customStyle="1" w:styleId="78">
    <w:name w:val="标题22"/>
    <w:basedOn w:val="79"/>
    <w:qFormat/>
    <w:uiPriority w:val="0"/>
    <w:pPr>
      <w:jc w:val="left"/>
    </w:pPr>
    <w:rPr>
      <w:b/>
      <w:sz w:val="28"/>
    </w:rPr>
  </w:style>
  <w:style w:type="paragraph" w:customStyle="1" w:styleId="79">
    <w:name w:val="报告表内文字"/>
    <w:basedOn w:val="1"/>
    <w:qFormat/>
    <w:uiPriority w:val="0"/>
    <w:pPr>
      <w:spacing w:line="500" w:lineRule="exact"/>
      <w:jc w:val="center"/>
    </w:pPr>
    <w:rPr>
      <w:rFonts w:ascii="Arial" w:hAnsi="Arial"/>
      <w:sz w:val="24"/>
    </w:rPr>
  </w:style>
  <w:style w:type="paragraph" w:customStyle="1" w:styleId="80">
    <w:name w:val="正文文本 (3)"/>
    <w:basedOn w:val="1"/>
    <w:qFormat/>
    <w:uiPriority w:val="0"/>
    <w:pPr>
      <w:spacing w:line="348" w:lineRule="auto"/>
      <w:ind w:firstLine="650"/>
    </w:pPr>
    <w:rPr>
      <w:rFonts w:ascii="Arial" w:hAnsi="Arial" w:eastAsia="Arial" w:cs="Arial"/>
    </w:rPr>
  </w:style>
  <w:style w:type="paragraph" w:customStyle="1" w:styleId="81">
    <w:name w:val="1 表头"/>
    <w:basedOn w:val="7"/>
    <w:qFormat/>
    <w:uiPriority w:val="0"/>
    <w:pPr>
      <w:adjustRightInd w:val="0"/>
      <w:snapToGrid w:val="0"/>
      <w:ind w:firstLine="0"/>
      <w:jc w:val="center"/>
    </w:pPr>
    <w:rPr>
      <w:b/>
      <w:bCs/>
      <w:sz w:val="24"/>
    </w:rPr>
  </w:style>
  <w:style w:type="paragraph" w:customStyle="1" w:styleId="82">
    <w:name w:val="报告表格"/>
    <w:qFormat/>
    <w:uiPriority w:val="0"/>
    <w:pPr>
      <w:widowControl w:val="0"/>
      <w:autoSpaceDE w:val="0"/>
      <w:autoSpaceDN w:val="0"/>
      <w:adjustRightInd w:val="0"/>
      <w:spacing w:before="40" w:after="40"/>
      <w:jc w:val="center"/>
      <w:textAlignment w:val="baseline"/>
    </w:pPr>
    <w:rPr>
      <w:rFonts w:ascii="Times New Roman" w:hAnsi="Times New Roman" w:eastAsia="宋体" w:cs="Times New Roman"/>
      <w:sz w:val="28"/>
      <w:lang w:val="en-US" w:eastAsia="zh-CN" w:bidi="ar-SA"/>
    </w:rPr>
  </w:style>
  <w:style w:type="paragraph" w:customStyle="1" w:styleId="83">
    <w:name w:val="正文 小四 行距: 1.5 倍行距"/>
    <w:basedOn w:val="1"/>
    <w:qFormat/>
    <w:uiPriority w:val="0"/>
    <w:pPr>
      <w:spacing w:line="360" w:lineRule="auto"/>
      <w:ind w:firstLine="480" w:firstLineChars="200"/>
    </w:pPr>
    <w:rPr>
      <w:sz w:val="24"/>
      <w:szCs w:val="20"/>
    </w:rPr>
  </w:style>
  <w:style w:type="paragraph" w:customStyle="1" w:styleId="84">
    <w:name w:val="正文 首行缩进:  2 字符"/>
    <w:basedOn w:val="1"/>
    <w:qFormat/>
    <w:uiPriority w:val="99"/>
    <w:pPr>
      <w:ind w:firstLine="579" w:firstLineChars="200"/>
    </w:pPr>
    <w:rPr>
      <w:rFonts w:cs="宋体"/>
      <w:szCs w:val="20"/>
    </w:rPr>
  </w:style>
  <w:style w:type="paragraph" w:customStyle="1" w:styleId="85">
    <w:name w:val="报告正文"/>
    <w:basedOn w:val="86"/>
    <w:qFormat/>
    <w:uiPriority w:val="0"/>
    <w:pPr>
      <w:spacing w:line="500" w:lineRule="exact"/>
      <w:ind w:firstLine="200" w:firstLineChars="200"/>
    </w:pPr>
    <w:rPr>
      <w:rFonts w:ascii="Times New Roman" w:hAnsi="Times New Roman"/>
      <w:sz w:val="24"/>
      <w:szCs w:val="24"/>
    </w:rPr>
  </w:style>
  <w:style w:type="paragraph" w:customStyle="1" w:styleId="86">
    <w:name w:val="p17"/>
    <w:basedOn w:val="1"/>
    <w:qFormat/>
    <w:uiPriority w:val="0"/>
    <w:pPr>
      <w:widowControl/>
    </w:pPr>
    <w:rPr>
      <w:rFonts w:ascii="宋体" w:hAnsi="宋体" w:cs="宋体"/>
      <w:kern w:val="0"/>
      <w:szCs w:val="21"/>
    </w:rPr>
  </w:style>
  <w:style w:type="paragraph" w:customStyle="1" w:styleId="87">
    <w:name w:val="文本"/>
    <w:basedOn w:val="1"/>
    <w:qFormat/>
    <w:uiPriority w:val="0"/>
    <w:pPr>
      <w:adjustRightInd w:val="0"/>
      <w:snapToGrid w:val="0"/>
      <w:spacing w:line="360" w:lineRule="auto"/>
      <w:ind w:firstLine="480" w:firstLineChars="200"/>
      <w:jc w:val="left"/>
    </w:pPr>
    <w:rPr>
      <w:sz w:val="24"/>
    </w:rPr>
  </w:style>
  <w:style w:type="paragraph" w:customStyle="1" w:styleId="88">
    <w:name w:val="正文-1"/>
    <w:qFormat/>
    <w:uiPriority w:val="0"/>
    <w:pPr>
      <w:spacing w:line="480" w:lineRule="exact"/>
      <w:ind w:firstLine="200" w:firstLineChars="200"/>
      <w:jc w:val="both"/>
    </w:pPr>
    <w:rPr>
      <w:rFonts w:ascii="Times New Roman" w:hAnsi="Times New Roman" w:eastAsia="宋体" w:cs="宋体"/>
      <w:kern w:val="2"/>
      <w:sz w:val="24"/>
      <w:lang w:val="en-US" w:eastAsia="zh-CN" w:bidi="ar-SA"/>
    </w:rPr>
  </w:style>
  <w:style w:type="paragraph" w:customStyle="1" w:styleId="89">
    <w:name w:val="报告书正文"/>
    <w:basedOn w:val="14"/>
    <w:qFormat/>
    <w:uiPriority w:val="0"/>
    <w:pPr>
      <w:widowControl/>
      <w:spacing w:line="360" w:lineRule="auto"/>
      <w:ind w:firstLine="480" w:firstLineChars="200"/>
    </w:pPr>
    <w:rPr>
      <w:rFonts w:ascii="Times New Roman" w:hAnsi="Times New Roman"/>
      <w:sz w:val="24"/>
      <w:szCs w:val="24"/>
    </w:rPr>
  </w:style>
  <w:style w:type="paragraph" w:customStyle="1" w:styleId="90">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91">
    <w:name w:val="其他"/>
    <w:basedOn w:val="1"/>
    <w:qFormat/>
    <w:uiPriority w:val="0"/>
    <w:pPr>
      <w:jc w:val="center"/>
    </w:pPr>
    <w:rPr>
      <w:rFonts w:ascii="宋体" w:hAnsi="宋体" w:cs="宋体"/>
      <w:sz w:val="26"/>
      <w:szCs w:val="26"/>
      <w:lang w:val="zh-CN" w:bidi="zh-CN"/>
    </w:rPr>
  </w:style>
  <w:style w:type="paragraph" w:customStyle="1" w:styleId="92">
    <w:name w:val="报告表正文"/>
    <w:basedOn w:val="85"/>
    <w:qFormat/>
    <w:uiPriority w:val="0"/>
    <w:pPr>
      <w:adjustRightInd w:val="0"/>
      <w:spacing w:line="360" w:lineRule="auto"/>
      <w:ind w:firstLine="482"/>
      <w:textAlignment w:val="baseline"/>
    </w:pPr>
    <w:rPr>
      <w:rFonts w:eastAsia="Times New Roman"/>
    </w:rPr>
  </w:style>
  <w:style w:type="paragraph" w:customStyle="1" w:styleId="93">
    <w:name w:val="1 正文"/>
    <w:basedOn w:val="1"/>
    <w:qFormat/>
    <w:uiPriority w:val="0"/>
    <w:pPr>
      <w:adjustRightInd w:val="0"/>
      <w:snapToGrid w:val="0"/>
      <w:spacing w:line="360" w:lineRule="auto"/>
      <w:ind w:firstLine="480" w:firstLineChars="200"/>
    </w:pPr>
    <w:rPr>
      <w:color w:val="000000"/>
      <w:sz w:val="24"/>
      <w:szCs w:val="22"/>
    </w:rPr>
  </w:style>
  <w:style w:type="paragraph" w:customStyle="1" w:styleId="94">
    <w:name w:val="YJ正文*"/>
    <w:basedOn w:val="1"/>
    <w:qFormat/>
    <w:uiPriority w:val="0"/>
    <w:pPr>
      <w:spacing w:line="500" w:lineRule="exact"/>
      <w:ind w:firstLine="200" w:firstLineChars="200"/>
    </w:pPr>
    <w:rPr>
      <w:rFonts w:ascii="宋体" w:hAnsi="宋体"/>
      <w:kern w:val="0"/>
      <w:sz w:val="24"/>
    </w:rPr>
  </w:style>
  <w:style w:type="paragraph" w:customStyle="1" w:styleId="95">
    <w:name w:val="表内字"/>
    <w:basedOn w:val="1"/>
    <w:qFormat/>
    <w:uiPriority w:val="0"/>
    <w:pPr>
      <w:spacing w:line="320" w:lineRule="exact"/>
      <w:jc w:val="center"/>
    </w:pPr>
    <w:rPr>
      <w:kern w:val="0"/>
    </w:rPr>
  </w:style>
  <w:style w:type="paragraph" w:customStyle="1" w:styleId="9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7">
    <w:name w:val="样式 表内容 + 行距: 固定值 28 磅"/>
    <w:basedOn w:val="67"/>
    <w:qFormat/>
    <w:uiPriority w:val="0"/>
    <w:rPr>
      <w:rFonts w:cs="宋体"/>
      <w:szCs w:val="20"/>
    </w:rPr>
  </w:style>
  <w:style w:type="paragraph" w:customStyle="1" w:styleId="98">
    <w:name w:val="样式1"/>
    <w:basedOn w:val="99"/>
    <w:next w:val="23"/>
    <w:qFormat/>
    <w:uiPriority w:val="0"/>
    <w:pPr>
      <w:ind w:firstLine="510"/>
    </w:pPr>
    <w:rPr>
      <w:szCs w:val="20"/>
    </w:rPr>
  </w:style>
  <w:style w:type="paragraph" w:customStyle="1" w:styleId="99">
    <w:name w:val="标题3"/>
    <w:basedOn w:val="100"/>
    <w:qFormat/>
    <w:uiPriority w:val="0"/>
    <w:pPr>
      <w:outlineLvl w:val="2"/>
    </w:pPr>
    <w:rPr>
      <w:sz w:val="30"/>
    </w:rPr>
  </w:style>
  <w:style w:type="paragraph" w:customStyle="1" w:styleId="100">
    <w:name w:val="标题2"/>
    <w:basedOn w:val="101"/>
    <w:qFormat/>
    <w:uiPriority w:val="0"/>
    <w:pPr>
      <w:jc w:val="left"/>
      <w:outlineLvl w:val="1"/>
    </w:pPr>
    <w:rPr>
      <w:sz w:val="32"/>
    </w:rPr>
  </w:style>
  <w:style w:type="paragraph" w:customStyle="1" w:styleId="101">
    <w:name w:val="标题1"/>
    <w:basedOn w:val="1"/>
    <w:qFormat/>
    <w:uiPriority w:val="0"/>
    <w:pPr>
      <w:spacing w:line="360" w:lineRule="auto"/>
      <w:jc w:val="center"/>
      <w:outlineLvl w:val="0"/>
    </w:pPr>
    <w:rPr>
      <w:b/>
      <w:sz w:val="36"/>
    </w:rPr>
  </w:style>
  <w:style w:type="paragraph" w:styleId="102">
    <w:name w:val="No Spacing"/>
    <w:qFormat/>
    <w:uiPriority w:val="1"/>
    <w:pPr>
      <w:widowControl w:val="0"/>
      <w:adjustRightInd w:val="0"/>
      <w:snapToGrid w:val="0"/>
      <w:jc w:val="both"/>
    </w:pPr>
    <w:rPr>
      <w:rFonts w:ascii="Times New Roman" w:hAnsi="Times New Roman" w:eastAsia="宋体" w:cs="Times New Roman"/>
      <w:kern w:val="2"/>
      <w:sz w:val="18"/>
      <w:szCs w:val="24"/>
      <w:lang w:val="en-US" w:eastAsia="zh-CN" w:bidi="ar-SA"/>
    </w:rPr>
  </w:style>
  <w:style w:type="paragraph" w:customStyle="1" w:styleId="103">
    <w:name w:val="正文11"/>
    <w:basedOn w:val="78"/>
    <w:qFormat/>
    <w:uiPriority w:val="0"/>
    <w:pPr>
      <w:ind w:firstLine="200" w:firstLineChars="200"/>
    </w:pPr>
    <w:rPr>
      <w:sz w:val="24"/>
      <w:szCs w:val="22"/>
    </w:rPr>
  </w:style>
  <w:style w:type="paragraph" w:customStyle="1" w:styleId="104">
    <w:name w:val="表、图名"/>
    <w:basedOn w:val="1"/>
    <w:qFormat/>
    <w:uiPriority w:val="0"/>
    <w:pPr>
      <w:adjustRightInd w:val="0"/>
      <w:snapToGrid w:val="0"/>
      <w:ind w:firstLine="561"/>
      <w:jc w:val="center"/>
    </w:pPr>
    <w:rPr>
      <w:b/>
    </w:rPr>
  </w:style>
  <w:style w:type="paragraph" w:customStyle="1" w:styleId="105">
    <w:name w:val="表头A"/>
    <w:basedOn w:val="106"/>
    <w:qFormat/>
    <w:uiPriority w:val="0"/>
    <w:pPr>
      <w:spacing w:line="400" w:lineRule="exact"/>
    </w:pPr>
    <w:rPr>
      <w:kern w:val="2"/>
      <w:szCs w:val="24"/>
    </w:rPr>
  </w:style>
  <w:style w:type="paragraph" w:customStyle="1" w:styleId="106">
    <w:name w:val="表头"/>
    <w:basedOn w:val="28"/>
    <w:next w:val="1"/>
    <w:qFormat/>
    <w:uiPriority w:val="0"/>
    <w:pPr>
      <w:overflowPunct w:val="0"/>
      <w:autoSpaceDE w:val="0"/>
      <w:autoSpaceDN w:val="0"/>
      <w:adjustRightInd w:val="0"/>
      <w:snapToGrid/>
      <w:spacing w:line="240" w:lineRule="auto"/>
      <w:ind w:firstLine="0" w:firstLineChars="0"/>
      <w:jc w:val="center"/>
      <w:textAlignment w:val="baseline"/>
    </w:pPr>
    <w:rPr>
      <w:b/>
      <w:sz w:val="21"/>
    </w:rPr>
  </w:style>
  <w:style w:type="paragraph" w:customStyle="1" w:styleId="107">
    <w:name w:val="表格内容1"/>
    <w:basedOn w:val="1"/>
    <w:qFormat/>
    <w:uiPriority w:val="0"/>
    <w:pPr>
      <w:tabs>
        <w:tab w:val="left" w:pos="1535"/>
        <w:tab w:val="left" w:pos="3105"/>
        <w:tab w:val="left" w:pos="4676"/>
        <w:tab w:val="left" w:pos="6247"/>
        <w:tab w:val="left" w:pos="7740"/>
        <w:tab w:val="left" w:pos="9288"/>
      </w:tabs>
      <w:adjustRightInd w:val="0"/>
      <w:snapToGrid w:val="0"/>
      <w:jc w:val="center"/>
      <w:textAlignment w:val="baseline"/>
    </w:pPr>
    <w:rPr>
      <w:szCs w:val="21"/>
    </w:rPr>
  </w:style>
  <w:style w:type="paragraph" w:customStyle="1" w:styleId="108">
    <w:name w:val="Char"/>
    <w:basedOn w:val="1"/>
    <w:qFormat/>
    <w:uiPriority w:val="0"/>
    <w:pPr>
      <w:spacing w:after="160" w:line="240" w:lineRule="exact"/>
      <w:jc w:val="left"/>
    </w:pPr>
    <w:rPr>
      <w:rFonts w:ascii="Arial" w:hAnsi="Arial" w:eastAsia="Times New Roman"/>
      <w:b/>
      <w:kern w:val="0"/>
      <w:sz w:val="24"/>
      <w:lang w:eastAsia="en-US"/>
    </w:rPr>
  </w:style>
  <w:style w:type="paragraph" w:customStyle="1" w:styleId="109">
    <w:name w:val="_Style 207"/>
    <w:basedOn w:val="1"/>
    <w:next w:val="28"/>
    <w:qFormat/>
    <w:uiPriority w:val="0"/>
    <w:pPr>
      <w:ind w:firstLine="560" w:firstLineChars="200"/>
    </w:pPr>
    <w:rPr>
      <w:rFonts w:hint="eastAsia" w:ascii="仿宋_GB2312" w:eastAsia="仿宋_GB2312" w:cs="仿宋_GB2312"/>
    </w:rPr>
  </w:style>
  <w:style w:type="paragraph" w:customStyle="1" w:styleId="110">
    <w:name w:val="表格标题"/>
    <w:basedOn w:val="1"/>
    <w:qFormat/>
    <w:uiPriority w:val="0"/>
    <w:rPr>
      <w:rFonts w:ascii="宋体" w:hAnsi="宋体" w:cs="宋体"/>
      <w:sz w:val="26"/>
      <w:szCs w:val="26"/>
      <w:lang w:val="zh-CN" w:bidi="zh-CN"/>
    </w:rPr>
  </w:style>
  <w:style w:type="paragraph" w:customStyle="1" w:styleId="111">
    <w:name w:val="表格内文字"/>
    <w:qFormat/>
    <w:uiPriority w:val="0"/>
    <w:pPr>
      <w:spacing w:line="320" w:lineRule="exact"/>
      <w:jc w:val="center"/>
    </w:pPr>
    <w:rPr>
      <w:rFonts w:ascii="Times New Roman" w:hAnsi="Times New Roman" w:eastAsia="宋体" w:cs="Times New Roman"/>
      <w:kern w:val="2"/>
      <w:sz w:val="21"/>
      <w:lang w:val="en-US" w:eastAsia="zh-CN" w:bidi="ar-SA"/>
    </w:rPr>
  </w:style>
  <w:style w:type="paragraph" w:customStyle="1" w:styleId="112">
    <w:name w:val="title4"/>
    <w:basedOn w:val="1"/>
    <w:qFormat/>
    <w:uiPriority w:val="0"/>
    <w:pPr>
      <w:widowControl/>
      <w:spacing w:line="360" w:lineRule="auto"/>
      <w:outlineLvl w:val="3"/>
    </w:pPr>
    <w:rPr>
      <w:b/>
    </w:rPr>
  </w:style>
  <w:style w:type="paragraph" w:customStyle="1" w:styleId="113">
    <w:name w:val="东华表格文字"/>
    <w:basedOn w:val="1"/>
    <w:qFormat/>
    <w:uiPriority w:val="0"/>
    <w:pPr>
      <w:jc w:val="center"/>
    </w:pPr>
    <w:rPr>
      <w:szCs w:val="21"/>
    </w:rPr>
  </w:style>
  <w:style w:type="table" w:customStyle="1" w:styleId="114">
    <w:name w:val="Table Normal"/>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115">
    <w:name w:val="正文（居中）"/>
    <w:basedOn w:val="1"/>
    <w:qFormat/>
    <w:uiPriority w:val="0"/>
    <w:pPr>
      <w:jc w:val="center"/>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wmf"/><Relationship Id="rId24" Type="http://schemas.openxmlformats.org/officeDocument/2006/relationships/oleObject" Target="embeddings/oleObject1.bin"/><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Tg0NDc3NzMzNzY0IiwKCSJHcm91cElkIiA6ICIzODk2NzU3OTEiLAoJIkltYWdlIiA6ICJpVkJPUncwS0dnb0FBQUFOU1VoRVVnQUFBMGdBQUFHL0NBWUFBQUJpNy9kVEFBQUFDWEJJV1hNQUFBc1RBQUFMRXdFQW1wd1lBQUFnQUVsRVFWUjRuT3pkZVp6TzlmNy84ZWZubW8yeGpTeDF5Q25rNUNqa3NrNzI2ZFF4TXJZNmtpMGRIVXNNS2ZRakVuRjBLam4yaU1HVWJJY1lKS0dhY0NiRWtQZ3FsTWJZdHd6R3JOZm45NGRyUG1jdXM1dmxtaG1QKysxMjNjejFmcjgvbit0MVhZenI4L3E4Tnd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E4b1RoN2dCeXcyNjNiNU1VNE80NGlqUFROSGRIUmtZMlRmWGNVMUp2U1M5SnFpK3BsTHRpSzJKaUpSMlNGQ0pwb1dFWWlXNk9Cd0FBQU9ud2RIY0F1VVJ5bE04TXcyaVM4ck16T1ZvcHFZdjdJaXF5ZkNVMWRqNmVOVTB6a0NRSkFBQ2c4Q25xQ1pJa2FlL2V2ZTRPb1ZocTJMRGg3VVc5UlhLVUY1NlE5SnFrZDl3ZENBQUFBRnpaM0IwQWlwU1gzQjFBTWZLOHV3TUFBQUJBV2lSSXlJbjY3ZzZnR0tubDdnQUFBQUNRRmdrU2NvSUZHZkpPU1hjSEFBQUFnTFJJa0FBQUFBREFpUVFKQUFBQUFKeUt4U3AyQUFEZ3pyQy9YYkhCZm50QUhpRkJBZ0RnTHNYK2RzVUsrKzBCZVlRaGRnQUEzTDNZMzY1NFN0bHZEOEFkSUVFQ0FPRHV4ZjUyeFJmNzdRRjNpQ0YyS0REOSsvZlgzcjE3dFgzN2R2bjYra3FTSEE2SHBrK2ZyckN3TUptbXFhNWR1eW80T0ZpR1lSUklmWFlFQndlcmNlUEc2dE9uVHg1L0lnRGdkdXh2VjN3VitINTdkcnQ5bTZTQWduNWQ1Qy9UTkhkSFJrWTJkWGNjQllrZUpCU0l6WnMzNjhTSkUybktRME5EdFdQSERpMWJ0a3doSVNFS0N3dlR1blhyQ3F3K0tpcEtYYnAwVVVKQ1FycHhSMFZGS1RJeVVwMDdkODZEVHdFQUNoMFdaQ2krM0xIZkhzbFJNV1FZUmhOM3gxRFE2RUZDdnJ0NTg2YW1UNSt1dm4zN2F1clVxUzUxcTFhdDBxQkJnM1RmZmZkSmtycDA2YUtOR3pkYUNVbCsxMSs5ZWxWUlVWRVp4cjVpeFFvRkJnYXFiTm15ZWZWeEFBQlFyTzNkdTlmZElTQ1BOR3pZME4waHVBVTlTTWgzQ3hZc1VPUEdqVlczYmwyWDhrdVhMdW5zMmJNdTVYWHExTkhSbzBjTHBGNlMrdmJ0SzBueTkvZFA4NTlBYkd5czFxOWZyKzdkdTF0bHUzZnZWbzhlUGRTMGFWTUZCUVVwSWlMaWpqNFRBQUFBRkU0a1NNaFhVVkZSV3J0MnJZWU9IWnFtN3VMRmk1S2tlKzY1eHlyejgvUFR0V3ZYNUhBNDhyMWVraFl2WGl4SmlvaUlTSFBIS3l3c1RIWHExRkhObWpXdHNoczNibWpzMkxIYXZuMjcyclJwb3lsVHB1VDhRd0VBQUVDaFJZS0VmUFgrKysvcnhSZGZWSVVLRmRMVUpTY25TNUpzdHYvOU03VFpiTllDQ3ZsZG54blROTFZ5NVVxWDNpTkphdHUycldyVXFLSGp4NCtyZE9uU09uWHFsSktTa3JJOEh3QVVKdzZIUS92Mzc5ZlVxVlBUL1Q4d3EvcExseTVweElnUmF0R2loUUlDQWpSbnpoeVpwbGxnOWJjN2V2U29CZzRjcU1jZmYxeHQyclRSMXExYnJicW9xQ2lOR2pWS2JkdTJsYisvdndZT0hLaFRwMDVaOVQvOTlKTmVmdmxsdFdqUlFzMmJOOWZRb1VOMTh1VEo3SCtZdXJVWVVHaG9hSTZPQVpCL1NKQ1FiOExEdzNYNjlPazBTVWFLbEhrOVY2OWV0Y3ArLy8xMytmbjV5V2F6NVh0OVppSWlJcFNZbUtoV3JWcTVsTStjT1ZOQlFVRmFzR0NCZnZ2dE4wbXllcU1BNEc3UnJsMDd2Zjc2Ni9yMDAwL1QvVDh3cS9yaHc0Zkx3OE5EbjMvK3VaWXNXYUt0VzdkcTllclZCVmFmV25SMHRQcjM3NjltelpwcDY5YXRXcmx5cFI1KytHR3JQanc4WEkwYU5kSzZkZXUwY2VOR2VYdDdhK3pZc1pKdURjVWVPSENnNnRTcG8wMmJObW5EaGcwcVY2NmNYbm5sRmV0NEZnTUNpaDRTSk9TYnNMQXduVDE3Vms4ODhZUmF0MjZ0bDE5K1daSVVHQmlvaUlnSVZhbFNSV1hLbE5IaHc0ZXRZdzRmUHF4SEgzMVVrdks5UGpQTGx5OVh0MjdkWEJLcDZPaG9MVjY4V1BQbXpkUFVxVk1WRkJSMEp4OExBQlI1TTJiTTBQdnZ2MzlIOVZGUlVUcDA2SkNHRHgrdXNtWExxbHExYWhvd1lJRFdybDFiSVBXM216Tm5qbHEwYUtHK2ZmdksxOWRYbFN0WFZyVnExYXo2bmoxN3FsdTNiaXBidHF6dXVlY2U5ZXpaVXdjUEhwVEQ0VkIwZExSaVltTFVxMWN2bFNsVFJ1WExsMWVIRGgxMDZ0UXBxOGVLeFlDQW9vY0VDZmxtNnRTcDJyRmpoOExEd3hVZUhxNDVjK1pJa2padDJpUi9mMy9aYkRZRkJRVXBKQ1JFRnk5ZTFDKy8vS0kxYTlib3VlZWVrNlI4cjVmKzE0dTFmLzkreGNURVNKSk9uanlaN3QyOGxHRWlaODZjVVV4TWpKWXRXNWFQbng0QUZGNjFhOWUrNC9yNCtIaEpjaG51WEw1OGVSMC9mcnhBNmxOTFRrN1dOOTk4bzQ0ZE8yWVk3KzBqRGk1ZnZxenk1Y3ZMWnJPcGV2WHFxbGF0bW1iT25LbUVoQVJkdVhKRkN4WXNVUHYyN2EzWFp6RWdvT2doUVVKT3hPYjFDWWNNR2FLSEhucEluVHAxMHNzdnY2d0JBd2JJMzkrL3dPb2ZlT0FCZGUzYVZjT0dEZE16enp3ajZYOTM4OHFVS2VNUzY0TVBQcWp1M2J0cjVNaVI2dE9uang1Ly9QSGN2UFc0M0J3TUFFVlZqUm8xOUljLy9FRno1c3pSdFd2WGRPSENCUzFhdEVnSkNRbEtUazdPOS9yVW9xT2pGUjhmcjNQbnpxbFRwMDd5OS9mWHl5Ky9yUFBuejZjYmUxSlNrcFl1WFdwOVgzaDVlV25ldkhuNjlkZGY5ZlRUVDZ0RGh3NnFWYXVXeG93Wll4M0RZa0FBQ3BUZGJqZnRkcnVKL0pIeSthWjgzcVpwN25aM1RQbnR4bzBiWnF0V3JjeGp4NDdsOTBzZGN1ZnZEZ0JJVW03K0UvdmhoeDlNdTkxdXhzZkg1N2orNk5Halp0KytmYzBtVFpxWVhicDBNVC82NkNPeldiTm1CVlp2L1VkODZKQnB0OXZOU1pNbW1WZXZYalV2WHJ4bzl1dlh6M3o1NVpmVGZVOFRKMDQwZS9mdTdmS2UxcXhaWTdabzBjS2NPM2V1T1dyVUtMTmx5NWJtcmwyN3N2d2NIQTZIMmFWTEYvUHJyNzlPOHpvM2I5NDBEeDgrYkg3NDRZZW0zVzQzRXhNVDA0MG5Ld1g5NzRucnN1TG45bXZCdXdVYnhkNmh3NGNQNjg5Ly9uTzJWa1FyUmtJa05YWjNFUG5KMTlkWDRlSGhCZkZTL3ltSUZ3R0F3dWloaHg3U29rV0xyT2VmZmZhWkhuamdnUUtyVDFHeVpFbEowb0FCQTZ3aDEzMzc5dFh3NGNQbGNEaGNodGRObXpaTmtaR1JXckJnZ2J5OXZTVkoxNjVkMDN2dnZhZUpFeWZxTDMvNWk5VnU4dVRKV3JkdVhhYWZRV2FMQVlXRmhhbGV2WHJ5OGZHUnhHSkFRRUZqaU4wZDZ0Mjd0eElURXpPczM3QmhnOHZxYVVlUEh0WE5temZsY0RqMHdnc3Y1UGoxR2pjdUZIbkpRa25iM0IxRU1iQkwwbVIzQndFQWhjV1dMVnZTSkFvRlVWK3RXalg1K3ZycSt2WHJWcGxoR1BMeDhYRkpqbWJObXFVZE8zWm8vdno1TG52cm5UNTlXdkh4OFM1emkxcTBhS0ZUcDA1bG1kU3dHQkJRZUpFZzVhSFUveGttSlNXcFI0OGUrdTY3N3lSSkkwYU0wTTJiTjJXYXBuNzg4Y2MweHc0YU5FaUJnWUV1ajhMR01JeEVTWUdTUmt2NlFkSk45MFpVcE1SSk9peHBvcVJXaG1Ha3Y5NHJBTndGRGh3NG9HdlhyaWttSmthelo4L1dMNy84b3A0OWV4WllmUXBQVDA5MTdOaFJIM3p3Z1g3Ly9YZGR1SEJCQ3hZc2NQa09uamR2bnNMRHcvWFJSeCtwWXNXS0xzZi84WTkvVk5teVpiVmd3UUxGeE1Ub3dvVUxXcnAwcWV4MnU1WDRzQmdRVVBRd3hDNFhEaHc0WVBYc0xGNjhXQ2RPbk5CYmI3MGxTZXJjdWJOcTFLZ2hEdzhQL2Z6enp6cDE2cFM2ZE9saUhkdTZkV3ZyNTdGangycnUzTGs2ZmZxMEZpeFlvRGZmZkZQU3JaVjRRa05EOVk5Ly9FT1NsSkNRb0duVHBtbkVpQkh5OFBBb29IZnB5cGtrdmVOOEFBQ0t0bGhKdmprOUtIV1BTZXFGYjFJV0ljaXFQanc4WEVPR0RMSGFmdlRSUnlwWHJwelZMai9yejUwN3A0RURCMnIxNnRXeTJXd2FObXlZM24zM1hRVUZCY25EdzBOLy9ldGY5ZXFycjFybm1qOS92aVRweVNlZmRQa01JaUlpVkxKa1NjMllNVVB2dmZlZW5uenlTZm42K3FwWnMyWWFOMjZjMVM3MVlrQ2xTNWZXbGkxYnNyVVlVT1hLbGRXOWUzZnQzTGt6M2IrRGJHQXhJT0J1VkJDVEFkZXZYMjgyYjk3Y2VyUm8wY0thdFBiYWE2K1pwbW1hcTFhdE1nTUNBc3dqUjQ2WXBtbWFGeTVjTUwvNjZpdnJIRk9tVERFLysrd3owelJOTXlrcEtjT1kxNnhaWTM3NjZhZlc4eSsvL05KODRZVVhUTk0welVhTkdwbW1hWnF2dnZxcXVYTGx5cng5a3htNFd5Zm1BY0Rkd3J3TEZ0OHBiSXJ6WWtBczBsRDgzSzNYZ2d5eHkwS0hEaDIwWThjTzdkaXhRNkdob2FwU3BZcFZkL2p3WWYzem4vL1U0c1dMOWRGSEgxazdiNTg5ZTFadnZmV1dsaTlmcnNURVJQMzN2LysxSm05bVp0T21UYXBYcjU3MS9QUFBQMWRBUUlCTG02RkRoMnJCZ2dXS2pjM3pGYmNCQUhlZkVIY0hjTGRKV1F3bzlkTGUrWVRGZ0lBN3hCQzdIUGo4ODg5ZHV0aGZmUEZGelpneFE1OTk5cG5MdU9SSEgzMVVzMmZQMXJCaHc5U21UUnV0V3JYS1dva21Jei85OUpNaUl5UDErdXV2Njl5NWMxcXpabzEyN05paGtTTkh1clI3NElFSDFMUnBVLzNuUC85Um56NTk4dllOWnNCdXR6dWtXOHZCR29aaFNqS2RUMDFKMlM1emxsdm5rdVNRSkdkYmg3Tk16amFtczUzajl2T2xuRE9uc2FTT0l5ZHRNeXZMd2JFcEU5VFNhM2Y3NXlCSmpwUjJEb2ZENVRNeERNT1JuVmdjRHNmMXhNVEVkdzRkT3ZTLzJjZDV4RzYzYjVNVWtHVkQ1SWhwbXJzakl5T2J1anNPM0ZVV1NucFcwaFB1RGdSNWlzV0Fzc2swVFVWRVJPUjJiME1VTXlSSTJYVDkrbld0WDc5ZW4zenlpVlhXb1VNSHJWdTNUcHMyYlZMdjNyMWQyai82NktOYXUzYXR2dnZ1TzAyYU5FblNyVGxFM3Q3ZTh2YjJscisvdjdWTXFDVFZyMTlmUGo0KzJyQmhnenAwNktDREJ3K3FkZXZXTGoxVzBxMTVTYlZyMTlhenp6NmJqKzgyRFVPU2pOdldORTl2aWZPQ0tFdXZQRHZIWnJZays1MmNMN2ZIWnZkOHQrL2ludDFqYlRhYmZIeDhvaVROVDdkeDdwQWM1UVBETUpxNE93YmNYUXpEU0RSTk0xRFNhNUtlbDFSTFVrbjNSb1U3RkNmcEY5M3FPWnBjM0JjRCt1V1hYNVNjbkt4YXRXcmw2andPaDBQQndjRnBOdkZON2ZEaHc2cFRwODRkblgvKy9QbnEzNy8vbllhbk9YUG1xRWVQSHZMejg3dmpjeURuU0pDeTZjTVBQMVNiTm0xVXFWSWxxOHpEdzBOdnYvMjIrdlRwbytyVnE2dEZpeFpXWFd4c3JMWnUzYW91WGJyb3lTZWZWSHg4dkZxM2JtM3RzZE93WVVORlJFUklraElURXpWanhnejkvUFBQMXZIdDI3ZFgrL2J0MDhReGJkbzBYYjkrM1NXNXltLzc5dTB6ZEN0SnNoNE5HelkwNHVMaWpQajRlQ01wS2NsSVNrb3k3cjMzWGlNeE1kRklUazQya3BLU2pPVGtaS05jdVhKR2NuS3lrWnljYkRnY0R1dlBVcVZLV1QrYnBtbDRlM3ZiSkNubHVjUGhNSHg4ZkZLT3NVbVNhWnFHbDVlWDFjN2hjTmhNMHpRa3lkUFQwK1p3T0F4bm5jM0x5OHN3VGRQbDRlbnBtYVpNa3VIaDRXSDliSnBtbXVmcGxhWFhScEpoczluU2xLWFhQblc3MUgvYWJMYlVaVFpuY3BSZU8rc3pNVTNUNXVIaElkTTBVejRQd3pDTVp5VzFsSlN2LzFBeSswSkJ6cVNlMUE0VUpCYmZ3ZTBlZSt5eEp5VjVlWGg0Yk5tN2QyL0dlNXE0MFprelp6UjI3Rmk5OTk1N3FsZXZucDU2NmlsNWVYbGwyRDQ0T0ZnLy9mU1Q5dXpaazI1OXQyN2QwcFN0WExsU01URXhtamh4b2g1NTVCR05HREZDclZ1M1Z1WEtsZE05eDZWTGx4UVJFYUVkTzNibzNMbHpldWFaWjdSeDQwYlZyMTlmMzM3N3JmYnYzNi9RMEZCMTdkclZPaVl1TGs2VksxZld4eDkvbk80NUZ5NWNxUGJ0MjVNZ0ZUQVNwR3pZdFd1WHZ2enlTNjFhdFNwTlhmWHExVFZ4NGtUOXYvLzMvL1RQZi83VDJtZmh4eDkvMUxKbHk2eVY2MDZjT0pIaEw1U1hsNWRlZSswMWJkMjZOY01ZNXN5Wm82VkxsK3JBZ1FOYXVIQmhIcnlySEVzWnhpVXAvUXZqNk9qb2dvd0htYkRiN2JWMEswRUNBQ0JIYkRaYmMwbmpUZE9Nc2R2dDZ5V3RQbi8rL0JmUjBkR0ZabnVQNXMyYjYvWFhYOWZvMGFPMWV2VnFKU1VsNlp0dnZwRWtIVDkrWERWcTFNaDA1RWlLNU9Sa05XblNSQ3RYcmt5M3ZtelpzZ29ORGRXLy92VXYvZmpqai9MdzhOQ0dEUnZTYlp1eVltUDE2dFUxYWRJa2RlalFRWkswWThjT05XdldUSC81eTE5MDRjSUZoWWFHS2lZbVJ0V3FWZE1ycjd5U3JYbnFLRmdrU0ZuNDdiZmZOR2JNR0kwYk44NWxDZEhVMnJadHExR2pSbW5VcUZFYVBIaXdldmZ1clgzNzlxbFJvMFpXbTg4Ly8xeE5tNlkvdFdEVXFGRWFNV0pFaGpFNEhBNUZSRVJvNTg2ZG1qdDNybng5Yzd3aUt3QUFRRTZWbGRSVFVzOUtsU3JkcUZ5NTh1ZVNWc2ZIeDIvTWovbXRPZFd1WFRzMWFOQkFKVXFVY0NudjNyMjdJaUlpNU9ucGVwbDc3ZHExREllN1BmLzg4eTdQbHk1ZEtwdk5wa3VYTHFsVXFWTFcwdTNKeWNsVzRwT1JxbFdyNnVHSEg5YjY5ZXZsNWVXbEYxOThVWDUrZmhvNWNxUUNBZ0pVbzBZTmpSa3pSczJhTlZPNWN1V3lQQjhLSGdsU0ZnNGVQS2crZmZxb1RaczJpb3VMazVlWGwwNmNPQ0V2THkrWFg3eU9IVHVxUW9VSzFtSU11M2J0c2phbGk0aUkwSm8xYTF6bUx4bUdvWVNFQkhsNGVHamZ2bjBxVzdhczR1TGkwdnlTZlAvOTkvcmdndzlVclZvMWhZU0VxRlNwVWdYd3JnRUFBUDdITUl4U2t2NG02VzgrUGo1eGRydDlrNlExaG1HczM3dDM3OVdDakNVdUxrNURodzdWc0dIRDlNZ2pqeWdoNFgvVHJVelRsR21hNmU0WDJhOWZ2d3pQbVp5YzdQSzhlL2Z1ZXUrOTkvVHR0OTlxNWNxVkdqTm1qUHo5L2JQVmd5UkpBd1lNVU9uU3BlWGw1YVVoUTRZb0tTbEoxYXRYVjBCQWdFcVdMS2xKa3lacDBLQkJMcHNCang4L1B0MXpQL1BNTTJuS0dPS2V2MGlRc3BBNllRa05EZFc4ZWZOa3M5blVxMWV2TkpQbm16ZHZMa202Y3VXS2Z2enhSOW50ZGkxWXNFQkxsaXpSeElrVDljQUREMWh0VzdSb29YYnQyc2xtczZsRml4WXFVYUtFYXRTb29ZVUxGK3JFaVJQNitPT1B0V25USmlVbUptcnc0TUZxMDZaTmdieGZBQUN5NEdtMzI0ZnJEamFZUmRGZ21tYnJMSWFubFpEVVJWSVhoOE1SYjdmYnQwcGFiWnBtdG9hMTVWYUpFaVhVcDA4ZnZmTEtLeG85ZXJTYU4yOHV3ekFVR1JtcFVhTkd5VFJOUGZYVVUxYjd5NWN2YTh1V0xSa09vOHRNNzk2OVZiMTZkUzFkdWxSTm16Yk5WZytTSkd0UmgvWHIxNnQ3OSs3cTJMR2pKT25BZ1FPYVBQbldBb01KQ1FrYVBueTRmdnZ0TjBWRVJHamN1SEY2NDQwM1hNN2o3Kyt2NWN1WHUxeERJditSSU9WQXYzNzkxS3RYTC9uNCtLUjdaeUpGdVhMbHRHVEpFdDF6enoxcTJiS2xBZ01EVmJWcVZaYzIvLzczdjlNY2x6SzM2T2VmZjFaMGRMUmVmZlZWTld6WXNFRCtzd0VBSUR2c2R2c3prdDUxZHh6SVAwWGh1cU5GaXhaYXNHQ0J5cFFwby9qNGVIbDZlcXBCZ3daYXYzNjlubmppQ1czWnNzVnEyN2h4WTVkaGVKMDZkY3AwKzVYNCtIaXRXN2ZPNWJWU0Z1SktUazdXbWpWcnJNV3lYbnp4UlMxYXRFaVM5UDc3Nyt2MzMzK1huNStmUWtKQ1ZLOWVQVzNac2tVbFM1YlVsQ2xUOU9DREQyclpzbVZhdkhpeGZIMTkxYlZyVjAyZlBsM2p4NCtYeldaTGQ5VmE2ZFpjOVlKY25Bc2tTRG5pNGVHUnJmay9OcHZOdW5PUXNubHNUanoxMUZNdWR6NEFBQ2dzSEE1SFNadk5KdE0wZDV1bSthbTc0MEhlTXd5am5XRVk3VEpwRWl0cGpjUGgrRjdTZnlNakkvZElrdDF1TDlDTmgzZnQycVZXclZycDh1WExLbCsrdkNUcDZ0V3JMdGRxRG9kRERvZkRKVUdLam83T2NJaGF5cUlOcVowOWUxYUxGaTNTNk5HalZibHlaU1VsSlZrSnk5R2pSeVZKaHc0ZFVrUkVoRXpUMU1pUkl4VWVIcTZTSlV2cStlZWZWOGVPSGRXM2IxOXJPRjN2M3IyMWV2VnFTZEo5OTkybnFWT241dEVuZ3J4Q2dnUUFBSExNTUl6RGtaR1IwOTBkQi9LZTNXNHZMOGtsUVRKTjg3cGhHUDlKVGs1ZTdlbnArZFhldlh0ajNSU2VwRnRicEV5ZlBsMysvdjQ2Y3VTSWF0YXNLZWxXb3ZMSFAvN1JhcGN5Zi96MjNwbmJGMlhJelBidDIxMjJZdW5hdGFzTXc3QTJsNTB5WllyKys5Ly9xbWZQbnVyYXRhc2NEb2RPbkRpaGF0V3FhZmJzMlZxMWFwWE9uRG1qNTU5L1h0T21UYk5HSVowK2ZWclBQZmVjYXRldXJZa1RKOTd4WjRHOFI0SUVBQUNBTkV6VC9OMDB6WlVlSGg2clkySml3bzhkT3hidjdwaFNIRHg0VUg1K2ZxcFdyWnFtVFp0bUxaQVFGaGJtMGdNVUZ4ZVhacFc3blByMjIyLzF4Qk5QV00vWHJGbGo5Vkp0M3J4WmRldlcxY2lSSTVXY25LeC8vZXRmNnRhdG0rNi8vMzVyYU42Nzc3NnI2T2hvelpneFEyZk9uRkY4Zkx4TTAxU1ZLbFh1YUY0VThoOEpFZ0FBQUN5bWFYN2xjRGpDUFQwOWR4VFdqV0szYjkrdUprMmFXSnUvamg4L1hwczNiOWF1WGJzMFlzUUlKU1VseWRQVFU5OS8vMzI2MjdTa1hqMHV0ZHVIMkYyK2ZGbTdkKy9XNk5HakpkMWFKVy9QbmozNjdydnZkTys5OThyTHkwdXRXcldTcDZlbmR1N2NxYWlvS08zZnY5K2FhbkhpeEFsdDJMQkJyVnExMHBJbFMxU21UQmxkdm53NXpaNldwbW5LNFhCa0dOUHRxK3hKeW5RK1BIS0hCQWtBQUFDV3lNakliOTBkUTFiMjc5K3Y1NTU3VG9zWEwxYWZQbjJVbkp5c2Q5OTlWd01IRGxSQ1FvSWVmL3h4bWFZcFB6OC92ZmJhYTFtZTcvcjE2L0wyOXRiNTgrZGR0bkg1N3J2dlZMdDJiVldwVWtXeHNiRzZkdTJhMXE1ZHEyZWVlVWFQUC82NHJsKy9ycWVmZmxxbWFjckh4MGZqeG8zVGlSTW45TWdqaitpWFgzN1JzR0hETkh6NGNIWHExRW03ZCsvV3UrKytxL256NSt1ZGQ5N1I1Y3VYTlczYU5Ea2NEbFd1WERuZEJid2txVnUzYnVtV3M5UjMvaUZCQWdBQVFKR3ljT0ZDT1J3T3RXalJRaVZMbHBTSGg0ZFdybHlwQ2hVcVNKSjI3OTR0aDhPUjRjcHd0L3ZrazArMFpzMGFlWHA2V3Z0WVNsTDc5dTNWcWxVclNaS3ZyNjgyYk5oZ0xRZ2hTVU9HRE5HUUlVUFNQZWZXclZzMWNPQkFQZjMwMDVKdXpadDY0WVVYOU9jLy8xbUxGaTNTdm4zN2RPYk1HWGw2ZWlvd01GQzllL2Urbzg4Q2VZOEVDUUFBQUVWS3lyTFlwVXVYdHNwU2txUFViZEtUWHMvTHdJRUROWERnd0hUYnAzNk4xTWxSVnY3eWw3KzRQRy9ac3FWTGJJMGFOY3IydVZDd3NwZFdBd0FBQU1CZGdBUUpBQUFBQUp4SWtBQUFBQURBaVFRSkFBQUFBSnhJa0FBQUFBREFpUVFKQUFBQUFKeElrQUFBQUFEQWlRUUpBQUFBQUp4SWtBQUFBQURBaVFRSkFBQUFBSnhJa0FBQUFBREFpUVFKQUFBQUFKeElrQUFBQUFEQXlkUGRBZVNGaGcwYnVqc0VBQUFBaU9zeUZIMUZ1Z2ZKTk0zZDdvN2hMdkNqdXdNQUFBQ0ZIOWRseGRaZGR5MVlwSHVRSWlNam03bzdCZ0FBQUhCZGh1S2pTUGNnQVFBQUFFQmVJa0VDQUFBQUFDY1NKQUFBQUFCd0lrRUNBQUFBQUNjU0pBQUFBQUJ3SWtFQ0FBQUFBQ2NTSkFBQUFBQndJa0VDQUFBQUFDY1NKQUFBQUFCd0lrRUNBQUFBQUNjU0pBQUFBQUJ3SWtFQ0FBQUFBQ2NTSkFBQUFBQndJa0VDQUFBQUFDY1NKQUFBQUFCd0lrRUNBQUFBQUNjU0pBQUFBQUJ3SWtFQ0FBQUFBQ2NTSkFBQUFBQndJa0VDQUFBQUFDY1NKQUFBQUFCd0lrRUNBQUFBQUNjU0pBQUFBQUJ3SWtFQ0FBQUFBQ2NTSkFBQUFBQnc4blIzQUNoYVROUDBsTlJiMGt1UzZrc3E1ZDZJaW94WVNZY2toVWhhYUJoR29wdmpBUUFBUURwSWtKQnR6dVJvcGFRdTdvNmxDUEtWMU5qNWVOWTB6VUNTSkFBQWdNS0hJWGJJaWQ0aU9jb0xUMGg2emQxQkFBQUFJQzBTSk9URVMrNE9vQmg1M3QwQkFBQUFJSzBpUGNUT2JyZHZreFRnN2ppS005TTBkMGRHUmpaMVBxM3YxbUNLbDFydURnQUFDaVBtdXQ0eHQ4OTE1YnFzZUxydFd2Q3VVS1FUSlBGTG1POE13MmlTNmlsZlVubW5wTHNEQUlEQ2hybXV1VklZNXJweVhWWU0zWFl0ZUZjbzZnbVNKR252M3IzdURxRllhdGl3b2J0REFBRGNYWmpybWpkUzVycSs0NDRYNTdxcytMaGJyd1daZ3dRQUFBb0w1cnJtSGVhNkFuZUlCQWtBQUJRV3pIWE5POHgxQmU0UUNSSUFBQ2dzbU91YWQ1anJDdHdoRWlRQUFBQUFjQ0pCQWdBQUFBQ25ZckdLSFFxdjlGWS9LVnUyckw3KyttdEpVbFJVbEdiTm1xVTllL1lvTGk1TzlldlgxN2h4NDFTMWFsVkprc1BoMFBUcDB4VVdGaWJUTk5XMWExY0ZCd2ZMTUl3OHFjK080T0JnTlc3Y1dIMzY5TW50eHdFVWEreUJrckc3Y1I4UkFDaXE2RUZDdnRxN2Q2L0w0MjkvKzV2Kyt0ZS9XdlhoNGVGcTFLaVIxcTFicDQwYk44cmIyMXRqeDQ2MTZrTkRRN1ZqeHc0dFc3Wk1JU0VoQ2dzTDA3cDE2L0tzUGlvcVNsMjZkRkZDUWtLNjhVZEZSU2t5TWxLZE8zZk95NDhGS0s1SWpqSndOKzRqQWdCRkZUMUlLREFKQ1FuYXZIbXpaczJhWlpYMTdObFROcHZONWZuZ3dZUGxjRGhrczltMGF0VXFEUm8wU1BmZGQ1OGtxVXVYTHRxNGNhT1ZzT1MyL3VyVnE0cUtpc293NWhVclZpZ3dNRkJseTViTncwOENLTjdZQThYVjNicVBDQUFVVmZRZ29jQjg4ODAzcWxTcGtoNTU1QkdyTEhWeUpFbVhMMTlXK2ZMbFpiUFpkT25TSlowOWUxWjE2OWExNnV2VXFhT2pSNDlLVXE3ckphbHYzNzZTSkg5Ly96UVhNYkd4c1ZxL2ZyMjZkKzl1bGUzZXZWczlldlJRMDZaTkZSUVVwSWlJaUR2OU9BQUFBRkFJa1NDaHdLeGJ0MDVCUVVFWjFpY2xKV25wMHFWNjVwbG5KRWtYTDE2VUpOMXp6ejFXR3o4L1AxMjdkazBPaHlQWDlaSzBlUEZpU1ZKRVJFU2F1OTVoWVdHcVU2ZU9hdGFzYVpYZHVIRkRZOGVPMWZidDI5V21UUnRObVRJbHg1OERBS0JnT0J3T1RaczJUVzNidGxXYk5tMDBZOFlNbWFhWmJ0dW9xQ2lOR2pWS2JkdTJsYisvdndZT0hLaFRwMDVaOVFjUEhsVERoZzFkSHYvODV6OXpGRTl3Y0xCQ1EwTno5WjRBNUQ4U0pCU0ljK2ZPYWUvZXZXcmZ2bjJHYmFaTW1TS2J6YWEvLy8zdmtxVGs1R1JKcnIxTU5wdk5XbUFodC9XWk1VMVRLMWV1ZE9rOWtxUzJiZHVxUm8wYU9uNzh1RXFYTHExVHAwNHBLU2tweS9NQkFBcGVWdk5RVTh0cVRteUs3ZHUzVy9OcXg0d1pZNVV6cHhVb1BwaURoQUt4WWNNR05XM2FWQlVxVkVpM2Z0cTBhWXFNak5TQ0JRdms3ZTB0U2RhOG42dFhyNnBVcVZ0N0IvNysrKy95OC9PVHpXYkxkWDFtSWlJaWxKaVlxRmF0V3JtVXo1dzVVMkZoWWFwWHI1NThmSHdreWVxTkFnQVVMbG5OUTAwdHF6bXhXV0ZPSzFCODBJT0VBckYrL2ZvTWg5Zk5talZMTzNiczBQejU4MTJHdzFXcFVrVmx5cFRSNGNPSHJiTERody9yMFVjZnpaUDZ6Q3hmdmx6ZHVuVnorVktNam83VzRzV0xOVy9lUEUyZE9qWFQ0WUlBQVBmS3pqelUxREtiRTVzZHpHa0ZpZzhTSk9TN2ZmdjI2ZXJWcTJyZHVuV2F1bm56NWlrOFBGd2ZmZlNSS2xhczZGSm5zOWtVRkJTa2tKQVFYYng0VWIvODhvdldyRm1qNTU1N0xrL3FwZi8xVXUzZnYxOHhNVEdTcEpNblQ2WTdEQ0psS04yWk0yY1VFeE9qWmN1VzVkRW5CQURJYTltWmg1cVIyd2FFblRFQUFDQUFTVVJCVk9mRXB0YXlaVXUxYnQxYVk4YU0wZSsvLzI2Vk02Y1ZLRDRZWW9lY2lKWGttOU9Ed3NMQzFLNWRPM2w1ZWFXcG16OS92aVRweVNlZmRDbVBpSWlRdDdlM2hnd1pvc21USjZ0VHAwNHFVNmFNQmd3WUlIOS9mNnRkYnVzZmVPQUJkZTNhVmNPR0RWUHAwcVcxWmNzV2F4aEVtVEpsWEdKNjhNRUgxYjE3ZDQwY09WS1ZLMWRXOSs3ZHRYUG56cHgrSENuaTd2UkFBRURXY2pNUDlmWTVzZEt0M3FlZE8zZkt5OHRMeDQ0ZDA0UUpFelIrL0hoTm56NDkwM09sekdrZE9uU29TM25idG0wVkZ4ZVhaazZycHllWFpvQzc4VnVJbkRna3FYRk9EM3JycmJjeXJNdHF2eFFmSHg5Tm5EaFJFeWRPekpkNlNYcmpqVGYweGh0dlNQcmZNSWlRa0pCMDI0NGNPVklqUjQ2MG50KytpRU1PL0hLbkJ3SUFzbmFuODFEVG14TXJTUjRlSHZMdzhKQWtQZnp3d3hvOGVMQ0dEeCtlNVJ3bDVyUUNSUThKVWo2NmNPR0NLbFdxNU80dzhsS0k3aUJCS2twOGZYMFZIaDVlRUMvMW40SjRFUUM0VzZXZWgxcWxTaFZKV2M5RHpXaE9iSG9TRWhMazQrT1Q1Unlsek9hMHJscTFTalZxMUZCRVJJUTJiOTZjZzNjSElEOHhCeW1mSERseVJMMTY5Vko4Zkx5N1E4bExDeVZ0YzNjUXhjQXVTWlBkSFVSUmx0NTh0dFJTRDZOTXNYZnZYcGU3czd0MzczYXB2LzA1Z0tJdE8vTlFVOHRzVHF3a2ZmWFZWenAxNnBTU2s1UDE0NDgvYXNhTUdlclVxWk5WejV4V29QaWdCeWtYNXMrZnI2VkxsN3FVcGZRKzFLNWRXelZxMU5ERml4ZFZ0V3BWbHpaWlhkeWxWcUZDQmExWnN5YjN3ZVlCd3pBU1RkTU1sUFNhcE9jbDFaSlUwcjFSRlJseHVqV3M3aitTSmh1R2tmNUdHUVhzc2NjZSs5dzB6WFVIRGh5WTU2NFkvUDM5OWVDREQyWllmK3pZTWUzWnMwZVN0R3paTWozLy9QTldYY3A4c2ErLy9sb1BQZlNRSG5ua2tRelBNMjdjT0sxYnQ4NjZpenR5NUVpWDNzTGJuOCtjT1ZPZmZ2cHB0dDREcTA4QmVlYU81cnBtSkxONXFPZk9uZFBBZ1FPMWV2VnEyV3kyTE9mRUhqeDRVQk1tVEZCc2JLd3FWNjZzb0tBZy9lTWYvN0RhdVhGT2EwYVk2d3JjSVJLa1hPamZ2Ny82OSsrdlBuMzZ5Ti9mWDRNR0RWSkFRSUN1WHIwcUh4OGZsU2hSUXIxNjlWSk1USXpLbFN1bmtKQVFQZmpnZ3k0WFlaOSsrcW0yYjkrdXVYUG51dkdkWko5aEdJbVMzbkUrVU1RWmh0SE9ack1GMnUzMnVhWnBIclhaYlBQMjd0MzdiMGtGT2hBK1pWeC9DbDlmWCt0aXBVV0xGbGI1OXUzYnJlVnpyMXk1b3NXTEYrdlpaNS9WdmZmZXExZGZmVlV2dnZoaWh2UENUTk9VeldhVGFaclptcVFkSEJ5czRPQmdsN0tHRFJ0cS9mcjExbkFkQUhudWp1YTZaaVN6ZWFqMzNudXZQdnZzTSt0NVZuTmlodzBicG1IRGhtWGF4azF6V2pQQ1hGZmdEcEVnNVZKTVRJeU9IRG1pQ1JNbVNMclZCZCt0V3pjdFdiSkVKVXVXMUtGRGh6UjkrblRyWWkrMW16ZHY2cE5QUHRHLy8vM3ZnZzRidUoxaEdNYWZUTk9jYXJmYnAwcUtTa3hNWEh6dzRNSEprdks5dCt1VFR6NXhlWjVSTDJ0QVFJQTJidHdvU2RxMGFaUGF0Mjh2RHc4UE5XdldUSXNXTGRMSEgzK2NacEx6Qng5OG9JQ0FBQ1VuSit2aXhZdWFNR0dDamh3NW9oczNiaWdnSU1CcWwvSjg4T0RCNlM3dEM2QkFGSnU1cmdVNHB6VWp6SFYxcyt4dU1vekNoNysxWE5xNmRhdGF0bXlwNnRXclM3cTFNZDJaTTJkMDd0dzVTZEsyYmR0VXZuejVkSStkUFh1Mk9uYnNxRC85NlU4RkZpK1FUWC8wOHZKNjAyNjN4emRvME9DMDNXNS9WMUtwdkg2UmJ0MjZLVEV4VWQyNmRYTjV4TWJHV2ovSHg4ZXJXN2R1NnRtenA1NTg4a2wxNjlaTmt2VFlZNDlaUDU4OGVWSlZxbFRSNjYrL251Ykw2RTkvK3BOMjd0d3AwelMxY2VOR3RXalJRbDk5OVpWS2xTcWxyNzc2eW5xa1BDYzVBdHlLdWE1NTQ2NmM2N3B3NFVMRnhzWm0yVzdCZ2dXS2lvckswYm5mZnZ0dC9menp6ems2cG5uejVtbktHamR1N1BMbjdXSmlZblRpeEFtWHN1Ky8vMTYvL0VLSFlFR2lCeW1YVnF4WW9VdVhMcWxUcDA2cVdMR2lPblRvb0tlZWVrcERoZ3pSdkhuenRIbnpabFdxVkVuang0L1htMisrYVEwbDJyVnJsMWFzV0tFU0pVcGtPRG5UdzhORFgzMzFWVUcrblhUWjdYYlQzVEVnNTV4RHlXYmE3ZmFadVRtUFlSaC9rRFRTYnJlUGxIVEJOTTBWZVJPaDlPdXZ2K3I3NzcvUFZsdC9mMy8xN05sVDBxM2VubEdqUmttUzVzNmRxekZqeHFoYXRXcDYvZlhYVmE1Y09aZmpIbnZzTVMxZnZselNyVDI1RmkxYWxGZmg1NHQ4L24yN2taeWNISERnd0FGV3BFQ2h4RnpYWE1tenVhNlBQZmJZazVLOFBEdzh0dXpkdXpjeHJ3TE1UMGVQSHRXNmRldGM5cTVLVDhwaUhiMTY5YkxLR2pac21HYlZ3dXZYcjF2elMzLzg4VWNkT0hCQVk4YU1rWFRyKzhqUHp5L051YTlkdTZZZE8zYms2bjFjdm54Wm9hR2hldlBOTjYyeTJiTm42NldYWGxLTkdqVnlkVzVrSHdsU0xtemR1bFhIamgyenhpMEhCZ1pxOSs3ZG1qeDVzaFlzV0tDUWtCQzFiTmxTZi8vNzM5VzllM2RObXpaTkkwYU0wSWtUSnpSbHloU1pwcW50MjdkbmVQNk03aTRBMlpHZGVUWjNvSXlrV3RtZHg1T1YvdjM3UzVMTHdndTN1KysrK3pSdDJqVDE2OWRQTDczMGtyWnYzNjVYWG5sRm4zNzZxYlZxMU9MRml6VnYzanpObVROSG8wZVBkam4rL3Z2djE4U0pFelZ3NEVETm5UczN3eDdkMUtaTW1hS3dzTEIwNjdwMjdacnVleThpQ3pXVU1nempHVWtrU0NpMG1PdnFmamFicmJtazhRNkg0N3JkYnQ4cTZUK0dZWHkyZCsvZXJMdG5Dc2pCZ3djMVpNZ1E2M2xzYkt4S2xDaWhObTNhWkhoTXlpcUZRNFlNVVd4c3JDWk1tS0FoUTRiSTI5dGJXN1pzY1dtYmVqWFVmLy83M3hvMWFwU09Ieit1VXFWS0tTa3BTWnMyYlVwei9wUmpIQTZIVFBQV3ZhN2s1T1EwODJ6VGt6THlxR1RKa3FwUm80YjEvUHIxNnpwKy9EalhoQVdNQkNrWHdzUERYVGFSTTAxVFFVRkJzdGxzNnQrL3Z6WnYzcXhHalJxcFFvVUtldi85OTFXelprMzk5dHR2ZXZubGx6VisvSGlYWCt6Q2JOKytmZmx5cFkzODVldzVHaUlwZU4rK2ZiUFNhOU9nUVFPSGtYV21FeXZweTE5Ly9iWHZsU3RYcmpyUG5TZTlIQ2tyUUtWZXFTNjEwNmRQYTlDZ1FaS2tsMTU2U1pLMGF0VXFlWGw1YWZqdzRlclJvNGVlZU9JSmVYaDQ2S1dYWHRLRkN4ZTBiOTgrSlNjbmEvSGl4ZnI5OTkvMXlpdXY2TjU3NzFXSkVpWDBoei84SVZ0eGpSNDlPazJpSmQyNnk3aG16WnA4WGFRaHYzN2ZVdjQ5Mkd5MmsvbHhmZ0RGajJFWXBTVjFsdFRaTk0yYkRSbzArRnJTNm12WHJ2M24yTEZqTWU2TXJXN2R1dFljcjMzNzl1bTk5OTdUa2lWTFhLN0xicmQzNzE1ZHVuUko3ZHUzMTl0dnY2M2p4NC9yM252dnpmUjExcTVkcTZwVnE2cGV2WHJxMXEyYlJvd1lrV1ZzbjM3NnFaWXZYNjZFaEFSMTZ0UkpVNmRPVmI5Ky9aU2NuT3pTTGlXaGF0V3FsWDc5OVZkSjB2SGp4MVd6WmszckpsM3AwcVdWbUpob3JhNTQ0OFlOK2ZyNnlzL1BMOE1iZWNnOUVxUmNlUHZ0dC9YZGQ5OVp6dzNEME5peFk2M25WNjllZFJudWMvLzk5K3RmLy9xWEJnOGVyS1pObXhab3JFQjJPZTk2WFRjTVkrMitmZnY2UzdxWjM2L3BjRGpTN1VWS1RIUWQyUkVSRWFGeTVjckp4OGRINzc3N3JrYVBIcTBiTjI3b3d3OC9sSmVYbHlwVnFtUjkyZm42K2xyeis4NmVQYXNyVjY3bzExOS8xYzZkT3hVU0VpSVBEdytYUlJwU1B5OE1RMXNCb0pBcGFSaEdlMG50eTVRcE04ZHV0MzhqNmJQRXhNU1ZCdzhldk9LdW9FNmZQcTNYWDMvZFNrYlNzM0hqUnRsc05pMWZ2bHpSMGRIcTBhT0hqaDA3cG9VTEY4clQwMU5KU1VrWnJsRDQ4Y2NmS3lFaFFWMjdkbFgxNnRYVnFsV3JMR1BxMWF1WGV2WHFKWDkvZjIzWXNFR1NyS0YzcVh1Q2JoOTVZSnFtL1AzOXRYTGxTa20zNXJHUEhUdFd2WHIxMHVEQmd5WGRXdG4xaXkrK2tLOXZucTJHajNTUUlPV3gxQmRXL3Y3KzZWNW9QZjMwMHdVWkVwQWw1NUM1M3gwT3g5TDkrL2NQazVTYzVVRjV5R2F6cFRzWEwzVVBVa0pDZ3Y3MXIzOXArdlRwK3ZiYmIxV2hRZ1hObno5Znljbko2dGl4bzh0eEthdEpwamh3NElBZWZmUlJqUm8xU2t1V0xGR3ZYcjIwWmNzVzFhcFZTdzgrK0tDT0hUdW02T2pvVElkbUFMakZOTTJVbFZDYTJPMzJhVzROQnZtbFdXYVZobUg0U1BxcnBMOTZlbnJPc052dE8welRYRnN3b2YzUHlaTW5GUndjck11WEwyZTRUSHZEaGcydDRXNFRKa3lRcDZlbmhnNGRxdWVmZjE1MTY5YVZkT3NHMmRDaFExMk9TNW1qdEdqUklsMjllbFU5ZS9hMDVyN214UEhqeDNYUFBmZGthM2gzWW1LaUVoTVRyWlZjUjQ0Y3FUZmZmTk82bGp4Ly9yeDhmWDFKamdvQUNWSWU2TnExNngwZm01Tk5ZNEc4WnBybUVadk50bTdmdm4xcHg1TVZJSWZENFpMUXBFalpiVjZTdkwyOU5YVG9VRDN3d0FNdWJiSXp0dnVMTDc3UWdBRUQ5UDMzMzJ2MjdOa0tEQXpVTysrOFl5Mi9uNWlZcUlrVEp5bzVPVmxQUFBGRUx0OE5VTHpaYkxhVVcrQjFuQS9jeFF6RGNFaTZaSnJtMlh5YSs1cXV5TWhJdmZiYWF3b09EdGFrU1pQVW9VT0hMSS94OWZYVmwxOStxWmlZR0pkcERvWmhxR2JObXVrZVU3WnNXVTJhTkVuUFAvKzh5L2RQWUdCZ3BxOTE1TWdSSlNRazZMWFhYdFBNbVRQVnZuMzdORzFTaHRpTkdUTkdRVUZCaW91TFU2VktsZlRGRjErb1k4ZU9zdHZ0cWxLbGlqNysrR01sSnlkcjkrN2RhdENnUVpidkU3bEhncFFIMXF4Wkl5bnJYNWIwWkxaSEFoUHlrTi8yNzk5ZktDNXViRGFiTmFRZ1JXeHNyS0tpb2x5R3JhWWVFcGRkMzMvL3ZTNWZ2aXk3M2E1NjllcnBwNTkrMHFoUm8vVDIyMjliWDRoLy92T2ZOWFhxVkEwYk5reWVucDdjdUFBeTRYQTR2SnczSmk0NkhJNUo3bzRIZWM4d2pIYUdZYlRMcEVtc3BEVU9oK043U2YvZHYzLy9Ia215MiswRkVwOTA2M3VqVjY5ZTZ0S2xpeVpObW1RTlpidGR5dWJpa2hRVkZhVXBVNmJvaFJkZTBJb1ZLMlNhcG5yMzdwM3A2MnpkdWxWNzl1elI0NDgvcmc4KytFRGR1M2RYbFNwVnRHN2R1alJ0VTI2WUwxaXdRRjkrK2FXOHZMeTBldlZxZVhoNFdNUHBNaHRpZCtYS0ZhdW5LUzR1VGlWTDNsckE4ZUdISDliWFgzK3RsU3RYWnJsS0gvSUdDVkl1ZmZqaGg5YlBLUnRZWnRmNDhlTXpyWC8vL2ZmdktDYWdxRWx2dUVEdjNyMTE4K1pOL2UxdmYwdFQ5L0xMTDJkNnZ1RGdZT3ZuSTBlT2FQanc0VElNUTE1ZVhscS9mcjBHRFJxa3h4OS8zT1dZQmcwYWFQTGt5Wm8rZmJxYU5Xc21IeCtmTk9mdDNMbXpTcFhLOCsyZ2dLTHE5LzM3OTA5M2R4REllM2E3dmJ5azJ4T2thNUkrVGs1Ty9zK2xTNWUraTQ2T3p2ZjVxWm1wWDcrKzZ0ZXZuNk5qenA0OXF6cDE2dWpjdVhPcVdyV3E2dFM1ZFk4d0lTRWh3eDZvbjM3NlNUVnIxdFQvL2QvL3FXYk5taXBmdnJ6V3JWdW5EUnMyNktHSEhsTHQyclgxMy8vK1YrWEtsYk51bUhmdTNGbjkrdlhUNDQ4L25xMVJEaWxPbmp4cExlVjk4K1pONi91bVk4ZU9HanAwcUtwVnE1YXRPVkRJUFJLa1hFcmRKWHY3QnBWWkxmdWJWWGN3ZDdGeHQwaXZKM1gxNnRVWnRuL3V1ZWN5UFYrUEhqMnNuMVB2ZFNFcDNjMWtVN1JzMlZMTm16ZlBzSDdjdUhHWnZpNEFGQ2VtYVY2V3ROaG1zMzBXRnhlMys5Q2hRM2U4dDFKK3kyaUJodFNhTkdtaUprMmFTTHExMzFESzVxdmUzdDVwZXFCU2hyK2xMSTRnM1ZweU96RXhVVkZSVVhyMzNYZTFjT0ZDNjF4dnZmV1dRa05EZGQ5OTk2bGl4WW91NTNyNzdiZjErZWVmcDRrbjVUVXFWS2lnRFJzMjZOdHZ2MVdUSmsza2NEaVVtSmhvcmNqbjQrT2orUGg0VmExYTFacFBoZnhGZ2dUZ3JwSlI4cFBkZWdBbzdwS1NralpKMnZURER6L3NsWlNVVmZ2Q0lMMGhiNUxyRUx0Tm16WnA3ZHExT24vK3ZDcFZxcVM2ZGV1cVVhTkdtWjczODg4LzE0RURCM1Rnd0FGcmsvTDMzMzlmcjc3NnFtclZxaVhwMWczdm4zLytXY09IRDFkSVNJZzFOQzdGdUhIanJCdHNHUTJ4TzNMa2lMNysrbXNOR3paTUowK2V0RGFpL2Y3Nzd6VnExQ2lOSGoxYXExYXQwb3N2dnFnMzNuaEREei84Y0E0K0hlUVVDUklBQUFBc1Avend3eTUzeDVBYjU4K2ZWMkppb2s2ZlBpMXZiMi9yeGxlOWV2VlV0MjVkM1gvLy9aS2tKNTk4VW1GaFlVcElTTEQyR1VxUmtKQ2dvVU9IcW43OStucjAwVWYxd2dzdnFGeTVjbnI1NVpmVnFsVXJkZTdjMmFYOXNHSEROR0RBQUwzOTl0dWFNR0dDNHVMaXNuM0Q3Y2FOR3hvNmRLZ0dEUnFrYmR1MmFkS2tTZXJldmJzV0xWcWtrSkFRdmZubW0zcnl5U2ZWcmwwN3ZmUE9PK3JaczZlZWVlYVpkUGZyUTk0Z1FRSUFBRUN4c1dQSERpMWR1bFRlM3Q0YVBIaXdVbGJYcTFxMXFrdTdMVnUyNU9pOGx5OWZWb3NXTGRTdlg3ODBkUjRlSG5ybm5YZDA1c3daelowN1Z4OS8vSEc2SzllbGJGMlI4cWNrbFNwVlN1Kzk5NTdxMTY4djB6VFZybDA3ZVh0N0t6SXlVaDk5OUpGcTE2NHRTU3Bac3FRbVRKaWdUcDA2cFhrdnlGc2tTQUFBQUNpeWJ0OERxV3ZYcnJuYWdpVWo5OXh6ai83eGozOWtXRit4WWtWVnJGaFJkZXZXVGJPdlVvcVVWZWh1WDQwdVpjRUp3ekNzdVVjWkxlbGRrS3NGM3EwWWJBOEFBQUFBVGlSSUFBQUFBT0JFZ2dRQUFBQUFUaVJJQUFBQUFPQkVnZ1FBQUFBQVRpUklBQUFBQU9CRWdnUUFBQUFBVGlSSUFBQUFBT0JFZ2dRQUFBQUFUaVJJQUFBQUFPQkVnZ1FBQUFBQVRpUklBQUFBQU9EazZlNEE4a0xEaGczZEhRSUFBQUNBWXFCSTl5Q1pwcm5iM1RIY0JYNTBkd0FBQUFCQVFTblNQVWlSa1pGTjNSMERBQUFBZ09LalNQY2dBUUFBQUVCZUlrRUNBQUFBQUNjU0pBQUFBQUJ3SWtFQ0FBQUFBS2NpdlVnREFBQUFDaGUyWDBGUlJ3OFNBQUFBY28zdFY0cXR1MjdMRjNxUUFBQUFrR3RzdjRMaWdoNGtBQUFBQUhBaVFRSUFBQUFBSnhJa0FBQUFBSEFpUVFJQUFBQUFKeElrQUFBQUFIQWlRUUlBQUFBQUp4SWtBQUFBQUhBaVFRSUFBQUFBSnhJa0FBQUFBSEFpUVFJQUFBQUFKeElrQUFBQUFIQWlRUUlBQUFBQUp4SWtBQUFBQUhBaVFRSUFBQUFBSnhJa0FBQUFBSEFpUVFJQUFBQUFKeElrQUFBQUFIQWlRUUlBQUFBQUp4SWtBQUFBQUhBaVFRSUFBQUFBSnhJa0FBQUFBSEFpUVFJQUFBQUFKeElrQUFBQUFIQWlRUUlBQUFBQUp4SWtBQUFBQUhBaVFRSUFBQUFBSnhJa0FBQUFBSEFpUVFJQUFBQUFKeElrQUFBQUFIRHlkSGNBdVdHMzI3ZEpDbkIzSE1XWmFacTdJeU1qbTJaUzd5bXB0NlNYSk5XWFZLcWdZaXZpWWlVZGtoUWlhYUZoR0lsdWpnY0FBQUFxNGdtU1NJN3luV0VZVFRLcWN5WkhLeVYxS2JpSWlnMWZTWTJkajJkTjB3d2tTUUlBQUhDL29wNGdTWkwyN3QzcjdoQ0twWVlORzJiVnBMZElqdkxDRTVKZWsvU091d01CQUFDNDJ6RUhDYm54a3JzREtFYWVkM2NBQUFBQUlFRkM3dFIzZHdERlNDMTNCd0FBQUFBU0pPUU9DekxrblpMdURnQUFBQUFrU0FBQUFBQmdJVUVDQUFBQUFDY1NKQUFBQUFCd0lrRUNBQUFBQUtkaXNROFNBQUFvSHB5YmtQZldyYTBrNm9zRmdiSXJWdEloU1NHU0ZycGo4M0c3M2I1TlVrQkJ2eTd5bDJtYXV5TWpJNXU2TzQ2Q1JJSUVBQUFLQldkeXRGSnNRbjRuZkNVMWRqNmVOVTB6MEExSkVzbFJNV1FZUmhOM3gxRFFTSkRnZGtlUEh0WFVxVlAxd3c4L3lOdmJXMlBIanRWZi92SVhTWkxENGREMDZkTVZGaFltMHpUVnRXdFhCUWNIeXpDTVBLblBqdURnWURWdTNGaDkrdlRKK3pjUEFFaXR0MGlPOHNJVGtsNlQ5STQ3WG56djNyM3VlRm5rZzRZTkc3bzdCTGRnRGhMY0tqbzZXdjM3OTFlelpzMjBkZXRXclZ5NVVnOC8vTEJWSHhvYXFoMDdkbWpac21VS0NRbFJXRmlZMXExYmwyZjFVVkZSNnRLbGl4SVNFdEtOTHlvcVNwR1JrZXJjdVhNK3ZIc0FPYlY4K1hKSmttbWFPbjM2dENScHo1NDlPblhxbE5YbTU1OS9WbUxpLzI2Y04yN2NPTTE1RWhJUzd0b3Yva0x1SlhjSFVJdzg3KzRBZ0tLS0JBbHVOV2ZPSExWbzBVSjkrL2FWcjYrdktsZXVyR3JWcWxuMXExYXQwb3N2dnFqNzdydFBOV3JVVUpjdVhiUng0OFk4cTc5NjlhcWlvcUl5akcvRmloVUtEQXhVMmJKbDgvaWRBNFZYZ3dZTkZ0YXRXL2R2S29UZkVmUG56NWNrWGJod1FRTUdETkN2di82cTgrZlBXK1hSMGRIcTE2K2ZEaHc0a09iWXQ5NTZTOTk5OTEyYTh2ajRlQVVIQjJkNG93UUZxcjY3QXloR2FyazdBS0NvS25SZmZyaDdKQ2NuNjV0dnZsSEhqaDNUcmI5MDZaTE9uajJydW5YcldtVjE2dFRSMGFOSDg2UmVrdnIyN1N0Sjh2ZjNUM00zT1RZMlZ1dlhyMWYzN3QydHN0MjdkNnRIang1cTJyU3Bnb0tDRkJFUmNZZnZIaWpVZW5wNWVhMjAyKzN4RFJvMDJHRzMyL3Vxa0EzSnJseTVzZ1lQSHF5ZE8zY3FJQ0JBMWF0WFYwSkNnbDUvL1hWMTZOQkJqUm8xU25PTXY3Ky9KazZjcU5qWVdKZnlkZXZXeWNQRFE5N2UzZ1VWUGpMR2dneDVwNlM3QXdDS3FrTDFoWWU3UzNSMHRPTGo0M1h1M0RsMTZ0Uko1OCtmVjRNR0RmVFdXMitwY3VYS3VuanhvaVRwbm52dXNZN3g4L1BUdFd2WDVIQTRjbDF2czltMGVQRmk5ZTNiVnhFUkVXa3Vqc0xDd2xTblRoM1ZyRm5US3J0eDQ0YkdqaDJyaHg1NlNETm56dFNVS1ZNVUZoYVc5eDhPVURoNEdvYlJYRkx6QmcwYUxKQzBLems1ZWRFUFAvd1FLcWxBdTF0Q1EwTzFiTmt5WGJ0MlRZR0JnVHAvL3J6dXYvOStTYmQ2aWlWcDllclZ1bkhqaG1KaVlyUno1MDc1K1Bnb0lTRkJEb2REblRwMTBycDE2N1IyN1ZyTm5UdFh3Y0hCa203MUhvV0dobXJXckZrRitYWUFBSVVZQ1JMYzVzYU5HNUtrQXdjTzZPT1BQMVppWXFKZWYvMTFUWmd3UWJObnoxWnljcklreVdiN1gwZW56V2F6RmxqSWJYMW1UTlBVeXBVck5YVG9VSmZ5dG0zYktpNHVUc2VQSDFmcDBxVjE2dFFwSlNVbHlkT1RYeVVVYjRaaGVFaDYzTlBUOC9FR0RSck1reFFwYWNucDA2ZER6cDA3ZHlPL1g3OVBuejdxMDZlUEFnSUN0R25USmdVRUJMak1KN3hkUUVDQWRmT2ljZVBHVnR2Um8wY3JQajdlYW1lejJUUjY5R2c5K09DRCtSby9BS0RvNEtvT2JsT3k1SzNlL3dFREJsaHpmUHIyN2F2aHc0Zkw0WEJZWlZldlhsV3BVcmRHWGZ6KysrL3k4L09UeldiTGRYMW1JaUlpbEppWXFGYXRXcm1VejV3NVUyRmhZYXBYcjU1OGZId2szVm9wRHlqc1ROUHM3cnc1TU5OdXQ4L016YmtNdzdCSmFpaXBZWlVxVmFiZmYvLzloNU9UazBQeklzN3NpSW1KMGF4WnN4UVlHSmp1c0xpRWhBUXRXYkxFcGN3MFRYWHIxazFuenB4eEtXL2J0cTMxODQ0ZE8vSW5ZQ2U3M1c3bTZ3c1V2RXJ1RGdBQThnTUpFdHltV3JWcTh2WDExZlhyMTFXeFlrVkprbUVZOHZIeGtjMW1VNVVxVlZTbVRCa2RQbnhZVmFwVWtTUWRQbnhZano3NnFDVGx1ajR6eTVjdlY3ZHUzVndTcWVqb2FDMWV2RmlyVnExU2pSbzFGQkVSb2MyYk4rZmRCd0xrSThNd0t1YlhxUjBPUjJYRE1CNHhUVE5IUytqbnhHKy8vYWIxNjlmcjZ0V3JldW1sbHpSdTNEakZ4c1pxMDZaTmNqZ2M2dDY5dTFhdVhDbEphdDI2dGFwVnE2YkxseS9yMEtGRE1rMVQvL2pIUDZ5aGVOS3RKTXJmM3ovZms2SmlyclM3QXdDQS9FQ0NCTGZ4OVBSVXg0NGQ5Y0VISDJqaXhJbEtURXpVZ2dVTEZCZ1lLT25XMEplZ29DQ0ZoSVRvc2NjZVUweE1qTmFzV2FPSkV5Zm1TYjBrcTVkcC8vNzlxbDI3dHNxV0xhdVRKMDhxTWpKU2t5ZFBkb2szS1NsSmtuVG16QmxWckZoUnk1WXR5L2ZQQ01ocmx5OWZMbm5peEltNHpObzBhTkFnempBTW40enFUZE0wRGNNNFo1cm0ya3VYTG8ySmlvcTZJa2wydXozZk5nc0xDd3RUZkh5OHlwVXJaeVZDS2E1Y3VTSS9QeitYc3BzM2I2cFhyMTZ5MisweURFTXpac3pJcjlDeWJkKytmZm1UUFJhdyt2WHJML0R3OE9nbjZWZDN4d0lBK1lFRXFSQktUazdXdFd2WDBuemhGMEt4dXJWejl4MGJObXlZM24zM1hRVUZCY25EdzBOLy9ldGY5ZXFycjFyMVE0WU0wZVRKazlXcFV5ZVZLVk5HQXdZTWtMKy9mNTdWUC9EQUErcmF0YXVHRFJ1bTBxVkxhOHVXTGRiUzNtWEtsSEdKOWNFSEgxVDM3dDAxY3VSSVZhNWNXZDI3ZDlmT25UdHo4L1pUeS9TQ3RiQmlINW03aDJtYXBxUlRobUVzTzNmdTNGdW5UNStPemZLZ1BKU3lxTUxubjMrZXB1N2d3WVBhdDIrZlMxbkpraVd0dHBzM2I1YXZyNi9MNzM2SzFHVitmbjdhdEdsVFhvWU5BQ2lDU0pEY0pEQXcwQm9ha2pLTWE4K2VQV3JZc0tHV0xWdW1MNzc0UXA5ODhvbWJvOHpTSVVscGQyRE1BVzl2YjQwZE8xWmp4NDVOdDk3SHgwY1RKMDUwNmZYSnkzcEpldU9OTi9UR0cyOUkrdC9TM2lFaEllbTJIVGx5cEVhT0hHazlUNzBFZUM3OWtsY25LZ2ltYWU0MkRLT0p1K01vaG41MGR3Q3BtYWJwa0JRbEtTUXlNdklkU1lsWkhGS2crdlM1MVdHMWMrZE9sNzNLK3ZUcG8yM2J0cWxPblRyNnd4LytZSlduWHBZL1pZZ2RTL1VYTHc2SFE5T25UMWRZV0poTTAxVFhybDBWSEJ5Yzd0QlBoOE9oSDM3NFFkdTJiZE93WWNQU0xMWVRGUldsV2JObWFjK2VQWXFMaTFQOSt2VTFidHc0VmExYU5WdjEyUkVjSEt6R2pSdGIvNVlCRkE0a1NMblV1blhyYkxldFVLR0NldmZ1cmVyVnExdGx2WHIxVXUvZXZXVzMyL1hxcTY4cVBEeGM5ZXZYMSt6WnN4VWZIMjh0QkZCSWhTaVhDVkpoNCt2cnEvRHdjSGU4OUgvYzhhSjNLakl5c3FtN1kwQytpbkE0SEd2Mzc5OC9VMUtoWFlYa3hSZGYxQWNmZktCYXRXcnBtMisrMGMyYk4xV3laRW45L2U5L1Y4K2VQZlhhYTYrNUpFZ28va0pEUTdWanh3NHRXN1pNc2JHeDZ0Ky92Lzc0eHorcWMrZk9hZHEyYTlkT2htSG80c1dMVmc5bGF1SGg0V3JVcUpIR2poMnJwS1FrdmZYV1d4bzdkcXdXTFZxVXJmcW9xQ2dOR3paTUsxYXNTSGN4a2Fpb3FIU0hjd053UHhLa1hFcDlNZjNwcDU5cSsvYnRtanQzYm9idHYvdnVPK3VPNWFsVHAvVHJyNy9LMzk5ZjI3WnRVOTI2ZFdXejJmVG9vNCtxVXFWSyt1cXJyNno1T0lYVVFrblBTbnJDM1lFVWNic2s4UTJKUWlNeU1ySnQxcTBLMXFsVHAxU3laRWw1ZUhnb01URlI0ZUhoQ2drSlViVnExVFI4K0hCRlJVVXBLQ2hJWGw1ZVNreE1WSzFhdGZUd3d3L3J5cFVyYkFCN0YxbTFhcFVHRFJxaysrNjdUNUxVcFVzWGJkeTRNZDBFYWNhTUdVcE1UTFEyREw5ZHo1NDlYUmJxNmRtenB3WVBIbXlOL01pcS91clZxNHFLaXNvdzFwVGgzS2w3UHdFVURwbXZkWXhzdTNuenBqNzU1Qk1OSHo0ODAzWjE2OVpWWkdTa0pHblRwazE2NG9rbjVPZm5wN1ZyMTZwbHk1YVNicTNrMXF0WEwzMzAwVWRLU0NqUXZSaHp4RENNUkVtQmtrWkwra0hTVGZkR1ZLVEVTVG9zYWFLa1ZvWmhGTjYvYUtBUStPR0hIL1RVVTArcGRldldPbnYyckNaTW1LQ0FnQUJObVRKRmhtRm94SWdSMnJwMXF6WnQycVN0VzdkcTd0eTU2dGF0bTlxM2I2K2dvS0EwNS9QMDlOU29VYVBjOEU2UVh5NWR1cVN6WjgrcWJ0MjZWbG1kT25WMDlPalJkTnZYcmwwNzAvUGR2aDNFNWN1WFZiNThlYXM4cS9xVXhNdmYzei9OZk0yVTRkeXBoMm52M3IxYlBYcjBVTk9tVFJVVUZNVHdUOENONkVIS0k3Tm56MWJIamgzMXB6LzlLZE4ycFVxVjB2dnZ2Ni9ubm50T3ZYcjFVbXhzckxadFRuTzlBd0FBSUFCSlJFRlUyNlpqeDQ2cFhidDJWcnRubjMxV1gzenhoZjc1ejM5cS9QangrYlowYm00NWs2UjNuQThBeUJlQmdZRXVQZXBmZnZtbHRaZGFSdEpiMENHRnpXYlRjODg5bDJmeHdmMHVYcndvU2Jybm5udXNNajgvUDEyN2RzMWx2dStkU0VwSzB0S2xTL1hNTTg5a3UzN3g0c1hxMjdldklpSWkwdlJpaG9XRnFVNmRPcXBaczZaVmR1UEdEWTBkTzFZUFBmU1FaczZjcVNsVHBsaWJIUU1vV0NSSWVXRFhybDFhc1dLRlNwUW9rZUhTeng0ZUh2cnFxNitzZlhUT256K3ZaNTk5VnRLdGVVaDkrdlJSK2ZMbHJmWTJtMDNUcGszVHJGbXpkT1BHRFpVdTdiN3RKb3JoNW9ZQWlyaXNraVBjZlpLVGs2WC96OTZkeDBWVjlYOEEvOXc3RENZSzRvYmI0NUphbGh2T0VDcHFsbHVQV21xU0pybVFGdWFTKzFhbXBvayttR2JXejMwbnJWUXNjemNqelRVZUZ4ajNSd3V0UkVwTlFSQVFocGw3Zm44TWMyTmcySmNCL0x4ZkwxNXk3ejNuM2pQakREUGZlODc1SHRqMjdNaXlYQ2czR0lPQ2dpRExNdDU2NjYxOEhVOVBDSUdRa0JDTUd6Zk9abituVHAyUW5KeU02OWV2bzJMRmlvaU9qb2JKWk1xVVBJS0lpaDdmZFFYMCsrKy9JeWdvQ0VJSUhEOStQTXR5M3Q2V1hBWkRodzVGKy9idDRlZm5oOERBUU9oME9nREF3b1VMNGUzdGpWcTFhcWwvektPam8vSHp6ejl6L0R3VnhDTWh4RVZITjRLSXFLaFo1L0xFeGNXaFFvVUtBSUFIRHg3QTNkMjlRTDFIUzVZc2djRmd3THAxNit4K0h1ZDBQS093c0RDa3BxYWlZOGVPTnZ1WExsMkszYnQzbzJYTGxtcUNKa1Vwc1RsU2lNbzBCa2dGOE1jZmYyRDA2TkdZUFhzMnhvd1prK3Q2eDQ4ZmgwYWp3WklsUzlDdlh6LzA3dDBiMDZaTnc2NWR1N0J6NTA3MUQzbmJ0bTFMUkhCVVZoWTNKQ0tpc3F0MjdkcHdkWFhGbFN0WFVMdDJiUURBbFN0WDBMeDU4M3lmYzlteVpUaHg0Z1RXckZsak0zUXZ0OGZ0MmJwMUsxNS8vWFdib08zV3JWdnFDSk9HRFJzaUxDd01CdzhlekhlN2lhaGdtS1NoQUp5ZG5mSHV1KytpVFp2Y1p6d1dRc0JnTUtCcTFhb0lEQXpFNHNXTEVSMGRqVC8vL0JOVnExWlYvMkNheldaMnF4TVJFZVdTTE12bzFhc1hObXpZZ0h2Mzd1SEdqUnZZc1dOSHZ1ZWFyVjY5R2tlUEhzWGF0V3RSclZxMVBCKzM5bWlkTzNjTzhmSHhBSUNvcUNnWURJWk1XZlZNSmhNQTRLKy8va0o4Zkh5V3cvV0pxSGp3RzNnQjFLcFZDeSsvL0hLZTZodzZkQWpQUHZzc0lpTWpVYjkrZld6ZnZoMGVIaDdZdm4wNzJyWnRxNVpMU1VuQkUwODhVZGhOSmlJaUtzbVNBTGprdC9LWU1XTXdmLzU4OU9uVEI2NnVyaGd4WWdSOGZId0FBSGZ1M01ISWtTUHg3YmZmUXBabG04eHkxaklBRUI0ZURnQllzMllOQUtCYnQyNDIxN0FtWGNqcGVQMzY5ZUhyNjR2eDQ4ZWpZc1dLQ0EwTlZWTjd1N3E2MnRScDBLQUIvUHo4TUhYcVZIaDRlTURQenc4blQ1N003OU5nbFZ6UUUxREJGRFE1Q0RrT0E2UkNsSnRGWTY5Y3VZSUJBd1pnejU0OUFBQVBEdzhZalVaczNib1ZuM3p5aVZvdUlTR0JrNUNKaU9oeGN4a0ZXSUM4WExseW1EdDNMdWJPblp2cFdJMGFOZkRkZDkrcDI5WkFLQ3NGUFE0QU0yYk13SXdaTXdEOGs5cDd3NFlOZHN0T25Ub1ZVNmRPVmJmVHB3RFBweHNGUFVGWnRXN2RPcnowMGt1b1Y2OWVydXNFQmdaaXdJQUJPV1lyVHE5OSsvYVowclY3ZTN2anpKa3o2cjhaeGNmSEl5WW1CZzBhTkZEM25UMTdGbFdxVkVIRGhnMXpmVzBxR0FaSWhTajlvckVaV1pNMGpCdzUwbVpla2RGb3hLeFpzekJreUJEVXExY1BNVEV4cUZTcEVrNmRPZ1VQRDQ4aWJ6TVJFVkVKc2dFRkNKQktNaGNYbDJ5L0p4U0JiL0piVWFmVGRWUVVSZVBrNUhRaVBEdzh0VEFiVlpqT25EbUQwYU5INTZyc3NXUEhVTDU4ZVhYbzVlREJnOVZqWGw1ZW1lYVFKU1FrcU1ITnBVdVhjUDc4ZVh6d3dRY0FMRDJPN3U3dW1hN3g4T0ZEbkRoeElyOFBCNEJsUGExTm16Ymh3dzgvVlBjdFg3NGNBUUVCREpDS0VRT2tRako3OXV4c2oxdDdoNnpCa1hXQnd0OS8veDErZm43UTZYUXdtODBZTUdBQWtwT1RVYmx5WmZXdUV4RVIwV05pUFlCK0FMbzR1aUdsM0NrQTgvTmJXWktremhxTlpyYWlLQS8wZW4wSWdCM3g4ZkZISWlNalV3cXZpUVdYc1JkR1VSUzBidDBheDQ0ZGc0dUwvWkdhYTlldXhaZ3hZNUNVbElTUFB2b0lZOGFNZ2JPek0wSkRRMjNLcFI5MitkbG5uMkhhdEdtNGZ2MDZLbFNvQUpQSmhBTUhEbVE2dDdXT29pZ1F3ckpDaXRsc2hrYWp5Zkd4M0xsekI0QmxDWU9HRFJ1cTJ3a0pDYmgrL2JwNm81MktCd09rUXZMS0s2OWtlenpqOEx0T25Ub0JnRTFYclVhanlmUUdKU0lpZWx4SWtwUXFoT2dCWURLQU53QThCWURqelhNbkdaWmhkZDhBbUM5SmtyR2dKNVFreVIzQU93RGVjWFYxVGREcGROOUtrdlNOeVdUNjZjS0ZDNGtGUFg5aGUvandJYlJhYlpiQlVYaDRPTzdmdjQrZVBYc2lNREFRMTY5ZlI0MGFOYkk5NTg2ZE8xR25UaDIwYk5rU3I3LytPcVpNbVpKak83NysrbXRzM2JvVlJxTVJmZnIwd2VMRmkvSDIyMityYTNWWldRT3FqaDA3NHJmZmZnTUFYTDkrSFkwYU5WSVhDYTVZc1NKU1UxUFZ1VzZKaVlsd2NYR0J1N3M3RnhJdVFneVFpSWlJcU1TUUpDa1Z3SUswSHlvaEpFbXFDT0JOQUc4Nk9UazkwdXYxT3hSRitlYlJvMGVIcmwyNzl0RFI3UU9BbXpkdm9rNmRPbGtlMzdwMUsyN2R1b1dCQXdjaU1qSVM2OWV2aDVPVEUwd21FOGFQSDIrM3p1Yk5tMkUwR3VIcjY0c25uM3d5MC9wVjlnd2VQQmlEQncrR2o0OFA5dTdkQ3dEcTBMdjBQVUVaNXljSkllRGo0NE9Ra0JBQWxzUmVNMmZPeE9EQmcvSHV1KzhDQURwMDZJRHZ2LzgreXlDUUNnY0RKQ0lpSXNxUHhucTlYamk2RWVRUTVRRU1rbVY1VUlVS0ZaSjFPdDFlSVVSSWNUYmcvUG56Q0FnSXlMUmZVWlFzaDZNZFBYb1VUazVPR0RkdUhONTQ0dzIwYU5FQ2dHVUV6N2h4NDJ6S1d1Y29iZHk0RVhGeGNSZzBhSkE2UFNJdnJsKy9qaXBWcXFCeTVjbzVsazFOVFVWcWFxbzY2bWpxMUtuNDhNTVBjZmp3WVFEQTNidDM0ZUxpd3VDb0dEQkFJaUlpb2x5VFpma1BSN2VCU2c0aGhDeEpVaFVBTll2enVwNmVucG15d0UyY09CSFBQLzg4R2pac0NFOVBUMGhTNW5YdWYvamhCOFRIeDJQTW1ESHFQa21TMEtoUkk3dlhjWE56dzd4NTgvREdHMitnZnYzNjZ2NGVQWHBrMjc2clY2L0NhRFJpOHVUSldMcDBLWHIyN0ptcGpIV0kzUWNmZklCZXZYb2hPVGtaMWF0WHgvZmZmNC9ldlh0RHI5ZWpkdTNhMkx4NU04eG1NMDZmUGcyZFRwZnRkYWx3TUVBaUlpS2lYQk5DUktWOThReU9pSWdZNXVqMlVPSFQ2L1Z6QUdTWGZTb1p3QkVBTzAwbVU4akZpeGRqMCtyOVg5RzN6cjZvcUNpY1BuMGFzMmZQUnBjdVhkVDFxTks3ZWZNbWdvS0M4T2FiYjJMYnRtMFFRbURJa0NIWm52ZkhIMy9FbVRObjBLNWRPM3o2NmFmdzgvTkQ3ZHExc1d2WHJreGxmWDE5QVZqU2lQL3d3dy9RYXJYNDl0dHZvZEZvMU9GMDJRMnhpNDJOVlh1YWtwT1QxZVZlbWpScGdwOSsrZ2toSVNGNDY2MjM4dmpNVUg0d1FDSWlJaUtpbkNRSklZNEErUGJodzRmZlJFWkd4anU2UVZaQ0NDeFlzQUMrdnI1MjAyOERsdms4NWN1WFI5T21UWEhuemgzVXFWTUhUWnMyQldCWmNpV3JaRnZYcmwxRG8wYU44TC8vL1ErTkdqVkM1Y3FWc1d2WEx1emR1eGVOR3pmR004ODhnNTkvL2htVktsWENqaDA3QUFDdnZ2b3Ezbjc3YmJScjF5NVhHZXlzb3FLaTFGVGVqeDQ5UW9VS0ZRQUF2WHYzeHJoeDQxQzNidDFjellHaWdtT0FSRVJFUkVTWkNDRVNKRW42RWNBM2tpUjlGeEVSa2VUb050bXpkT2xTL1Bubm4xaTBhRkdXWldiTm1vVjkrL1poK2ZMbEFDenJEZDI0WVZsTDE5blpXVTJtWUdVZC9tWk5qZ0JZVW02bnBxYmk1czJiV0xod0lkYXZYNitlYTg2Y09kaTBhUk5xMXF5SmF0V3EyWndyTURBUSsvZnZ6OVFtNnpXcVZxMkt2WHYzNHRpeFkyamR1alVVUlVGcWFxcmFBMWF1WERta3BLU2dUcDA2YXZwd0tsb01rSWlJaUloSVpUYWJ6OHF5M005b05PNjVmUGx5Z2RPRkY1WGs1R1FzWExnUXAwNmR3cG8xYTlUa0JlWEtsY09kTzNkUXQyNWRBTUFmZi93QnJWYUwvLzczdjlpNWN5ZnUzcjJMNnRXcm8wV0xGbmp1dWVleXZjYisvZnR4L3Z4NW5EOS9Ib21KaVpnMmJSbysrZVFUVEpvMENVODk5UlFBeTFJdnYvenlDeVpPbklnTkd6YW9RK09zWnMyYWhWbXpaZ0hJZW9qZDFhdFg4ZE5QUDJIOCtQR0lpb3BTZThMT25qMkxhZE9tWWZyMDZkaStmVHVHRFJ1R0dUTm1vRW1USmdWODlpZzdESkNJaUlpSVNIWCsvUG05T1pkeXJLaW9LSXdlUFJxMWE5ZkdGMTk4WWROck0yVElFUGo3KytPSko1NEFZTWtPTjJ6WU1MUnMyUkl0V3JUQXYvNzFMd0JBdDI3ZHNIdjNiaGlOUm5XZElTdWowWWh4NDhiQjA5TVR6WnMzeDV0dnZvbEtsU3BoOU9qUjZOaXhJMTU5OVZXYjh1UEhqOGVJRVNNUUdCaUlqejc2Q01uSnlaQmxPVmVQSlRFeEVlUEdqY09vVWFOdzZOQWh6SnMzRDM1K2Z0aTRjU00yYk5pQUR6LzhFTjI2ZFVQMzd0MnhZTUVDREJvMENLKzk5aHFtVDU5ZWtLZVFzc0VBaVlpSWlJaEtsYnAxNitMOTk5OUh1M2J0TW1Xckd6VnFGRWFOR3BYak9VSkRRL04welppWUdIVG8wQUZ2di8xMnBtTWFqUVlMRml6QVgzLzloWlVyVjJMejVzMTJNOWRaMjVXK2ZSVXFWTUNpUll2ZzZla0pJUVM2ZCs4T1oyZG5HQXdHckYyN0ZzODg4d3dBb0h6NTh2am9vNC9RcDArZmJOZDdvb0pqZ0VSRVJFUkVwVTc3OXUyTDlYcFZxbFRCOE9IRHN6eGVyVm8xVkt0V0RTMWF0TWkwcnBLVk5RdGR4bXgwbnA2ZUFDd3B4NjF6ajdKSzZhM1g2L1BjZHNxYjNQWDlFUkVSRVJFUlBRWVlJQkVSRVJFUkVhVmhnRVJFUkVSRVJKU0dBUklSRVJFUkVWRWFCa2hFUkVSRVJFUnBHQ0FSRVJFUkVSR2xZWUJFUkVSRVJFU1VoZ0VTRVJFUkVSRlJtakt4VUt5WGw1ZWptMEJFUkVSRVJHVkFxZTVCRWtLY2RuUWJIZ09YSE4wQUlpSWlJcUxpVXFwN2tBd0dReHRIdDRHSWlJaUlpTXFPVXQyRFJFUkVSRVJFVkpnWUlCRVJFUkVSRWFWaGdFUkVSRVJFUkpTR0FSSVJFUkVSRVZFYUJraEVSRVJFUkVScEdDQVJFUkVSRVJHbFlZQkVSRVJFUkVTVXBsU3ZnMFJFUkVSRUpZdVhsNWVqbTBCVUlPeEJJaUlpSXFJQ0UwS2NkblFicUVoY2NuUURpaHQ3a0lpSWlJaW93QXdHUXh0SHQ0R29NTEFIaVlpSWlJaUlLQTBESkNJaUlpSWlvalFNa0lpSWlJaUlpTkl3UUNJaUlpSWlJa3JEQUltSWlJaUlpQ2dOQXlRaUlpSWlJcUkwREpDSWlJaUlpSWpTTUVBaUlpSWlJaUpLd3dDSmlJaUlpSWdvRFFNa0lpSWlJaUtpTkF5UWlJaUlpSWlJMGpCQUlpSWlJaUlpU3NNQWlZaUlpSWlJS0EwREpDSWlJaUlpb2pRTWtJaUlpSWlJaU5Jd1FDSWlJaUlpSWtyREFJbUlpSWlJaUNnTkF5UWlJaUlpSXFJMERKQ0lpSWlJaUlqU01FQWlJaUlpSWlKS3d3Q0ppSWlJaUlnb0RRTWtJaUlpSWlLaU5FNk9ia0JCNlBYNlF3QTZPN29kWlprUTRyVEJZR2lUelhFbkFFTUFCQUR3QkZDaHVOcFd5aVVCdUF4Z0E0RDFraVNsT3JnOVJFUkVSSVJTSGlDQndWR1JreVNwZFZiSDBvS2pFQUI5aTY5RlpZWUxBTyswbjM1Q2lCNE1rb2lJaUlnY3I3UUhTQUNBOFBCd1J6ZWhUUEx5OHNxcHlCQXdPQ29NWFFCTUJyREEwUTBoSWlJaWV0eHhEaElWUklDakcxQ0d2T0hvQmhBUkVSRVJBeVFxR0U5SE42QU1lY3JSRFNBaUlpSWlCa2hVTUV6SVVIaktPN29CUkVSRVJGUkc1aUFSVWRIVDZYU25za3ZhUVlWTENISE9ZRERvSE4wT0lpS2l4dzE3a0lnb1Z4Z2NGUzlKa2xvNXVnMUVSRVNQSS9ZZ0VWR2VNR3RrMGN0RkJra2lJaUlxSXV4QklpSWlJaUlpU3NNQWlZaUlpSWlJS0EwREpDSWlJaUlpb2pTY2cwUU9kZlBtVFN4YnRneG56cHhCY25JeVBEMDlNV3ZXTE5TcFV3Y0FvQ2dLUHYvOGMremV2UnRDQ1BqNittTHMyTEdRSktsUWp1ZkcyTEZqNGUzdERYOS8vOEovQW9pSXlJWVF3Z25BRUZnV0kvY0VsNVRJclNRQWx3RnNBTEJla3FUVTRtNkFYcTgvQktCemNWK1hpcFlRNHJUQllHamo2SFlVSi9ZZ2tVTWRQWG9VenozM0hIYnQyb1Y5Ky9iQjJka1pNMmZPVkk5djJyUUpKMDZjd0pZdFc3Qmh3d2JzM3IwYnUzYnRLclRqTjIvZVJOKytmV0UwR3UyMjcrYk5tekFZREhqMTFWZUw0TkVURVZGNmFjRlJDQ3hmOHR1QndWRmV1QUR3QnJBU3dBRWhoTllCYldCd1ZBWTlqbGxzMllORURqVm8wQ0RJc215ei9lNjc3MEpSRk1peWpPM2J0MlBVcUZHb1diTW1BS0J2Mzc3WXQyK2ZHckFVOUhoY1hCeHUzcnlaWmZ1MmJkdUdIajE2d00zTnJmQWZQQkVSWlRRRVFGOUhONklNNkFKZ01vQUZqcmc0czUyV0hZOXJWbFgySUpGRHBRK09BQ0FtSmdhVksxZUdMTXU0Zi84K2J0KytqUll0V3FqSG16WnRpbDkvL1JVQUNud2NBSVlPSFFvQThQSHh5ZlJISUNrcENYdjI3SUdmbjUrNjcvVHAweGc0Y0NEYXRHbURYcjE2SVN3c3JJRFBBQkVScFJQZzZBYVVJVzg0dWdGRXBSVURKQ294VENZVHZ2cnFLN3oyMm1zQWdIdjM3Z0VBcWxTcG9wWnhkM2ZIdzRjUG9TaEtnWThEUUhCd01BQWdMQ3dzMHgydjNidDNvMm5UcG1qVXFKRzZMekV4RVRObnpzVHg0OGZ4NG9zdklpZ29xTEFlUGhFUldlWWNVZUY0eXRFTklDcXRHQ0JSaVJFVUZBUlpsdkhXVzI4QkFNeG1Nd0RiWGlaWmx0VUVDd1U5bmgwaEJFSkNRbXg2andDZ1U2ZE9hTml3SWE1ZnY0NktGU3NpT2pvYUpwTXB6NCtWaUlqczRweWp3bFBlMFEwZ0txMDRCNGxLaENWTGxzQmdNR0RkdW5Wd2RuWUdBSFhlVDF4Y0hDcFVzSHhtUG5qd0FPN3U3cEJsdWNESHN4TVdGb2JVMUZSMDdOalJadi9TcFV1eGUvZHV0R3paRXVYS2xRTUF0VGVLaUlpSWlFby85aUNSd3kxYnRnd25UcHpBbWpWcmJJYkQxYTVkRzY2dXJyaHk1WXE2NzhxVksyamV2SG1oSE0vTzFxMWI4ZnJycjlzRVVyZHUzVUp3Y0RCV3IxNk54WXNYbzFldlh2bC8wRVJFUkVSVUlqRkFJb2RhdlhvMWpoNDlpclZyMTZKYXRXbzJ4MlJaUnE5ZXZiQmh3d2JjdTNjUE4yN2N3STRkT3pCZ3dJQkNPUTc4MDB0MTd0dzV4TWZIQXdDaW9xTHNwdmEyRHFYNzY2Ky9FQjhmankxYnRoVE5rMEpFUkVRbFNta1lMV0kybS9IZ3dRTkhONk5NWUlCRUJaRlUwQk9zV2JNR04yN2NRTGR1M2VEbDVhWCtXTmNsR2pObURCbzNib3crZmZwZzlPalJHREZpQkh4OGZOVDZCVDFldjM1OStQcjZZdno0OFdweUNHdHFiMWRYVjV1Mk5talFBSDUrZnBnNmRTcjgvZjNScmwyN2dqNzg5SklMODJSRVJFUUUvUDMzMy9qNTU1L3pWYmREaHc3cTcrKy8vejZ1WGJ1V1pWbWowWWlEQnc5Q0NBSEE4bDBpSVNFaDIvUGZ1WE1IUFh2MlJGTFNQMStuZnYvOWQzVXV0ajA5ZXZRQVlCdXduVGx6Qm9xaVlNdVdMUmd6Wmt6MkQ0cHloWE9RcUNBdXc3SW9YYjdsdEZaQ3VYTGxNSGZ1WE15ZE83ZElqZ1BBakJrek1HUEdEQUQvcFBiZXNHR0QzYkpUcDA3RjFLbFQxZTJNU1J3SzRFWmhuWWlJaUtpMDgvTHlRc1dLRlhNc2w1Q1FrTzEzQ1VWUk1HZk9IR3pjdUJGMTZ0U3hXK2J3NGNNSURnN0crdlhyb2RWbVhsODNPVGtaWjg2Y1FXQmdZSmJYbVQ5L1BsSlNVdkR2Zi84YkFKQ2Ftb3BqeDQ2aFo4K2VXZGJaczJjUFBEMDk0ZUxpb3U0N2N1UUlXclpzbWFuc2Q5OTloeWVmZkZMZEhqeDRNSVlNR1FLOVhvOUpreWJoNk5HajhQVDB4UExseTVHU2txTE9rNmI4WVlCVUFnZ2hFQllXVnRnOUVzVmhBd29ZSUpVMExpNHVPSHIwcUNNdS9ZMGpMa3BFUkZRU09UczdaL284SGpCZ0FMWnQyMmF6TDMwdkQyQUpyR3JWcXBYcFhDTkdqTWgwamM4Kyt3elZxbFhEdkhuenNITGxTbWkxV3ZqNysyUFRwazAyNVg3NjZTYzBidHpZYnRDaEtBb1dMVnFFNzcvL0hnMGJOc1FiYjFpV243cHg0d1lhTm15SXpaczMyNVJmdm53NTNOM2QwYlZyVnlRbUprS3IxYUp6NTg0QUxJSGFnUU1IY1BQbVRYenp6VDlmQzc3NjZpdlVxbFZMWFhzeE9qb2F2LzMyRzN4OGZIRG8wQ0cwYU5FQ3NpeWplZlBtcUY2OU9nNGZQcXoyTkZIK01FQXFnQnMzYnNCc051T3Bwd3EyMUlDaUtCZzdkbXhwWEhsNlBZQitzS3pZVGZsM0NzQjhSemVpTkhuaGhSZXlEV1I5Zkh3eUxlSWJIaDRPblU2bkp0NDRmZm8wV3JkdXJSN1B1RTFFSmQrbm4zNksvZnYzSXo0K0hrODk5UlRlZi85OWRYRndSVkh3K2VlZlkvZnUzUkJDd05mWEYyUEhqclc3MU1QTm16ZXhiTmt5bkRsekJzbkp5ZkQwOU1Tc1diUFVIb2VNQzRrRGxqbXNQLzMwRXdETHd1UkJRVUg0NzMvL0MyZG5aL1RyMXcralJvM0sxYklTVm1QSGpvVzN0emY4L2YzejgxUThGbTdmdnAxakdXZG5aK3pkdXhjSERoeEFtelp0Y09uU0pjVEh4K09WVjE1QlJFUUVEaDA2aE9IRGg4UGQzUjJBSldCcDNydzVtalJwQWdBMmk4bGJoWVNFNEpkZmZzRUxMN3dBd0xJbW9yWFg1K21ubjRhVGt4TWtTVkt6OEFMSXRBMVloc2RWcVZJRlpyTVpjWEZ4NnVlVTJXeEdodzRkRUJFUkFSY1hGNXZQcjA2ZE9zSEp5UWt0V3JSUVI3Y2NPSEFBWGJwMGdidTdPM2J1M0tuMlVrbVNoTUdEQjJQdDJyWG8wcVZMcHV0VDdqRkFLb0MvL3ZvTE0yZk94S0pGaTlDeVpVdTg5TkpMZHJ0bXJjYU9IWXRyMTY3aHpKa3pkbysvL3Zycm1mYUZoSVFVV25zTG15UkpxVUtJSGdBbXc3Smk5MVBndWd1NWxRekxzTHB2QU15WEpNbFlYQmZXNlhUOXpHYnpyUXNYTHB3QllDNnU2MmJGeDhjSERSbzB5UEo0WkdTaytwN1pzbVdMZW5jTytHZSttUFh1WHJObXpiSTh6NnhaczdCcjF5NDFRSm82ZGFwTmtKVnhlK25TcGZqNjY2OXo5Umd5Qm1ORVZEeGF0bXlKZ0lBQVNKS0V6ejc3REZPbVRNSDMzMzhQU1pLd2FkTW1uRGh4QWx1MmJFRlNVaExlZWVjZDFLdFhMMU1DSGdBNGV2UW9ubnZ1T2N5Y09STW1rd2x6NXN6QnpKa3pzWEhqUmdDWmg0TXZXTERBWm52aXhJbW9WYXNXOXUvZmo3aTRPSXdmUHg0ZUhoN28xNjhmQUVzQU5uNzhlR3pidHMzdWw5YWJOMi9DWURCZy9uemVLOHVvVDU4KzZ1OUpTVWsyMjg4Ly83emRPdmZ2MzhlNmRldlFyVnMzbkR4NUVzODg4d3dBUUtmVElUbzZHaHMzYnNURWlSTUJBQWNQSHNUdzRjT3p2UDc1OCtkeDRjSUZ6Sm8xUzMzdHRHL2ZIai8rK0NPY25KeXdmUGx5QkFRRXdOZlhGMTk4OFlWYXIwZVBIamJiOWxoZkM5WjFHL2Z0MjVkcC9wSEpaSUpXcTBXRkNoWHd5U2VmWU1DQUFSZzhlRENTa3BKdzZOQWhSRVpHb252MzdtcjVmdjM2NGZ2dnY4ZC8vdk1meko0OU8wOUJPdjJEQVZJQnRHL2ZIdSs5OXg2bVQ1K09iNy85RmlhVENVZU9IQUVBWEw5K0hRMGJOc3pWQzlOc05xTjE2OVlsT2hqS2lpUkpxUUFXcFAxUUtTQkprcitUazFNdnZWNy9GNEFRUlZGMmFqU2FrK0hoNGFtT2FwTkdvN0haZG5GeHdabzFhd0RZRHA4NGZ2eTRlaWMzTmpZV3djSEI2TmV2SDJyVXFJRkpreVpoMkxCaFdjNExFMEpBbG1VSUlYTDF2aHc3ZGl6R2poMXJzOC9MeXd0Nzl1eEI3ZHExOC9UNGlLaG9kTzNhVmYyOVI0OGUyTHQzci9vZTM3NTlPMGFOR29XYU5Xc0NBUHIyN1l0OSsvYlpEWkFHRFJwa3M2ekRvRUdEOE82NzcwSlJsRXpyNWxrbjR5OWJ0Z3lBSmJpNWZQa3lGaTVjQ0RjM043aTV1V0hFaUJIWXZIbXpHaURGeGNYaDVzMmJXVDRPNjgwZWEyWlYrc2V1WGJ2VTMxOTQ0UVdiYlFEWXVYTm5wam9SRVJFd21VeDQ3YlhYOE9lZmY2SldyVm9JRGc2MktYUGt5QkdzV0xFQzBkSFJhTnEwYVpiWER3NE9ScE1tVFJBVkZRWEFzcDZpaTR1TEd0eFlQeWRpWTJQeDVwdHZxdlV5YmdPVzEyaDJjNWRuekppQlR6LzlGR2F6R1MrKytDSUF5M2RFWjJkbkJBY0hZL3YyN2JoNzk2NzZ1aG84ZUREOC9mMVJ1WEpsOVJ5eUxHUEpraVZZdG13WkVoTVRjeldQaXpKamdGUkEzYnQzaDA2bnd4TlBQR0d6MzgvUEQyRmhZWEJ5c24yS0h6NThpSGZlZWNmdXVkTGZHUWNzWTA1eld0Q1VxQUJxQVJndnkvSjRSVkZpZERwZGlLSW8zeVVtSmg2TmpJeE1LYzZHZlBubGx6YmIxbUVNR1hYdTNCbjc5dTBEWUJsaTBMTm5UMmcwR3JSdDJ4WWJOMjdFNXMyYk02VmkvZlRUVDlHNWMyZVl6V2JjdTNjUEgzMzBFYTVldllyRXhFUjEzRGNBZGZ2ZGQ5OVZNeG9TVWNrbmhNQ2RPM2V3WmNzVzlPL2ZIN0lzNC83OSs3aDkrN1k2M0E0QW1qWnRpdTNidDlzOVI4YlAycGlZR0ZTdVhObnVaL0NSSTBkUXZYcDF0Y2M2SmNYeTV6TDlqWmZLbFN2ait2WHI2dmJRb1VNQlFNMmltcjVIeXBvY3lOcGJCVmlHL0g3MjJXZTRmdjA2UER3ODhNRUhIOWhrWUgzY2VIdDdvMjdkdXFoYXRTcDhmWDBSRlJWbGR6U09vaWpRYURUbzFxMGJ1blhyaHVqb2FBd2ZQaHk3ZCsrMmU5NnJWNjhDQUtwWHI1N2x0VWVNR0FFaEJCWXRXZ1FBK04vLy9tZDN0RUxseXBYejNJT1Uvak1Jc0x3T2ZYMTlNV3JVS0R6NzdMT29VYU1HVENZVG5KMmRNWFRvVUxSdjN4NStmbjRJREF5RVRxY0RBQ3hjdUJEZTN0Nm9WYXVXK2hxTWpvN0d6ei8vekNGMkJjQUFLWitTazVNeGJ0dzRqQjgvSHMyYU5WUFRVZ09XUDlaQ2lFeDN4UUhnN2JmZnp2S2MxaTVXS3o4L1B5eGF0QWoxNjljdnZJWVQyU0ZKVWhVQUl6VWF6VWczTjdmNFZxMWFmU3VFMk9IazVIUTRQRHk4d09uY3MvTDY2NjhqTlRVMTAvRFNwS1FrZFY5S1NncGVmLzExYUxWYXJGaXhBZ2tKQ2RpNWN5ZGF0V3FGcWxXckFyQ3NYVlczYmwyODk5NTdtYTd4OU5OUDQrVEpreEJDWU4rK2ZlalFvUU5XckZpQkYxNTRBWWNQSDFiTFpkeW0vTE0zWDRPb0tKdzZkUXFqUjQ4R1lCbHVOVzdjT0FEQXZYdjNBTUJtOFhGM2QzYzhmUGpRYnE5UWVpYVRDVjk5OVZXV04wcDI3ZHBsczFCNHc0WU5VYXRXTGF4WXNRSlRwa3hCY25JeU5tN2NDS1BSQ0xQWkRJMUdnK0RnWUF3ZE9oUmhZV0dadnJUdTNyMGJUWnMyUmFOR2pkUjlpWW1KbURsekpobzNib3lsUzVjaUtDZ295eS81andOM2QzZnMyTEZEM2U3V3JadmRja2xKU1RZWjRmYnYzNDg3ZCs2Z2QrL2U2ZzNybEpRVXlMS01QWHYycUNtNTdZMHFpSW1KQVFCMWVGNXNiQ3orL1BOUEhEbHlCQjA3ZHJSYlB2Mk5ibmQzOTB3M3ZvRi9Fa01BVUQ5enJDT0pBTXZycVgvLy9saTRjQ0VXTFZvRXM5bXNUdDg0ZnZ3NE5Cb05saXhaZ243OStxRjM3OTZZTm0wYWR1M2FoWjA3ZDZxdjY3WnQyekk0S2lBR1NQbjB4Qk5Qd04vZkh4TW1UTUQwNmRQUnZuMTdTSklFZzhHQWFkT21RUWlCbDE1NlNTMGZFeE9EME5EUVVqbU1UcS9YSzBJSUlVbVNBa0FJeTE4VUlVbVNBQ0F5N0ZQczdFdGZUckZ1VzQrbkx5T0VVTEk1dHdDZ3RpRjltWFQ3bEd6T25hYzJaamhIZHVmTnNzMzI2a3FTSkJSRlVjc1hwTTJLb3RnY3ozaHU2ejVyRzlOK2Nzb3E0aWJMOGpBQXc0UVFTWHE5Zm84UXd2NXQxd0w2N2JmZmNQYnMyVnlWOWZIeHdhQkJnd0JZdmp4TW16WU5BTEJ5NVVwODhNRUhhb0JVcVZJbG0zcXRXclhDMXExYkFWaStpS1MvUzF2UzZmVjZZOXJyMFFqQUNDQTE3VjhqZ0ZRaGhNMit0SEtwNmN1bUsxUGtoQkNuSlVsaXBndjdMam02QVdWUm16WnRjT2JNR2Z6KysrK1lNMmU2REhSeUFBQWdBRWxFUVZRT1B2cm9JOHlmUDErOTRaZytFSkpsT1ZmRGE0T0NnaURMc3QyMWFPN2N1WVB3OEhDYnBTTTBHZzArKyt3enpKOC9IMTI3ZGtXZE9uWFFzMmRQbkR0M3p1Nk4wdlNFRUFnSkNWRURPNnRPblRvaE9Ua1oxNjlmUjhXS0ZSRWRIUTJUeVpScFZBclp1bmZ2bmhvVUp5VWxJU1FrQkw2K3ZxaFNwUXBHalJvRkFIanZ2ZmZVTk5yV1FPWCsvZnR3ZFhWRmNuSXl6R1l6cGt5Wmdnc1hMdGljZTlDZ1FWaThlREd1WGJ1RzhlUEhaN3IyMnJWcmJkSnp2L0xLSzlpN2Q2L2RkbWE4SVo2UnY3OC8vdjc3YnhpTlJzaXlESzFXQ3lFRURBWURxbGF0aXNEQVFQajcrOFBMeXd1U0pLRnExYXJxYTkxc052TjFVZ2o0REJaQWh3NGRzRzdkT3JpNnVpSWxKUVZPVGs3UTZYVFlzMmNQdW5UcGd0RFFVTFdzdDdlM3pUQzhQbjM2Wkp1alBpVWxKZE00VzBkSkN6d2twTDFlN0gzQTVHZGZZWjJucU01ZGxPMnpkL2V5c002VDIzUG5raXlFcUNxRXFGSEE4OWhsSFc1cTd5NmJWYzJhTmJGa3lSSzgvZmJiQ0FnSXdQSGp4ekZod2dSOC9mWFg2bmo5NE9CZ3JGNjlHaXRXck1EMDZkTnQ2di9yWC8vQzNMbHpNWExrU0t4Y3VkSm1ySFpXc3J0YjYrdnJhL2Q1S0tKRURkcTBhOW45WTVHYi80K01aWnljbkVSaE5Nd2VnOEhRcHFqT25WZXRXclZxRDBDY08zY3VmeXRFVXFraHl6SWFObXlJRVNOR1lOS2tTUWdNREZUL05zVEZ4YUZDaFFvQUxITkgzTjNkcyswOVdySmtDUXdHQTlhdFcyZjNEdnpldlh2UnBrMGJ0ZmZhcW5IanhqWTNYNzc3N3J0Y2pmNElDd3REYW1wcXBoNkpwVXVYWXZmdTNXalpzcVg2WFNIajhPSEhTVnhjbk0xSWc3aTRPTHZsZnYzMVY3VW5idlhxMWVqWXNTT21UWnVHZ0lBQTFLMWJGNy8rK2lzVVJjSEFnUU1CV0liV2VYaDQ0TXFWSzJqUW9BSCsrT01QdUxtNW9WV3JWcGczYjU3TkhMZmV2WHRqMWFwVjZOaXhvMDB2MWVUSms5WDVTWURsKzl1dFc3Y0FXSG8xTTZZY3o4Mk5jbWRuWjlTcFV3Y3hNVEhxLy8raFE0Znc3TFBQSWpJeUV2WHIxOGYyN2R2aDRlR0I3ZHUzbzIzYnRqYlh6emp0Zy9LT0FWSUJuVHAxQ2gwN2RsVEhLd09XTjI3Nk40K2lLRkFVeGVZRmUrdldyU3pUZXFmdmFpMEpEQVpEK2x0Z2t2WG54UmRmbEI0K2ZDZ2xKeWRMaVltSnNzbGtrbXJVcUNHbHBxWktack5aTXBsTWt0bHNsaFJGa1NwVXFDQXJpcEorVy8yOWZQbnlrc2xra2hWRmtZUVFrcUlvVXJseTVhVDAyMElJU2F2VnFtV3NQMXF0VmkzajVPUWtwejhtaEpDY25KelUzeFZGa1RQdUF5QUpJU1NOUmlNSklXenFhelFhT2QweHRhejFkMW1XNVN6T2s3NnNMTXV5dXAzK2R3Q1NKRWx5K3UxMDU3WnV5K24zWlN5WHZuN0djMXYzQ1NGazYvK1paT2xPR2loSjB0UFovSmNuQXZnSndLK3BxYWxmWGJ4NE1Sd0E5SHI5OHNKNVJmM0RtamtvZmFhNjlQNzg4MC8xcmw5QVFBQUFZUHYyN2RCcXRaZzRjU0lHRGh5SUxsMjZRS1BSSUNBZ0FILy8vVGNpSWlKZ05wc1JIQnlNQnc4ZVlNS0VDYWhSb3dhZWVPS0pUQjlVV1prK2ZYcW1RQXV3REIzYnNXTkhzU1ZwaUlpSTBEUnUzRmlyMFdpY0pVbHkxbWcwV2dETzVjcVZjd2FnRlVLay85Y1pnQmFBc3hEQ1dhUFJhTTFtczdNc3k4NlNKR21GRU01Q2lLamlubC9tUUsrbDlhUXlRSHFNT0RrNVFaWmwxSzVkRzY2dXJyaHk1WXI2ZnIxeTVRcWFOMitlWmQxbHk1Ymh4SWtUV0xObWpjM1F2UFQyN05tRE1XUEc1TmlPME5CUXU4T3dNdHE2ZFN0ZWYvMTFtNkR0MXExYjZvVDhoZzBiSWl3c0RBY1BIc3p4WEdYWm5qMTdVS05HRFhYN3pwMDdkc3NkUFhvVWJkcTB3Y21USjNIdzRFRnMzYm9WV3EwV2t5Wk5Ra0JBQU56ZDNiRjE2MWFiRzBjdnZmUVNmdnp4Ui9UczJSTk5talRCL3YzN013WEgwZEhSK1BEREQvSGlpeS9peG8wYkNBZ0l3TEJodytEajQ0UEZpeGNEc0h6WCsvSEhIL0hGRjEvZ280OCt3b29WSzlDclZ5L0V4c2JpcmJmZVVwT0ZwSmR4RGFlTWZ2MzFWL1cxZU9YS0ZRd1lNQUI3OXV3QkFIaDRlTUJvTkdMcjFxMzQ1Sk5QMURvSkNRa29YNTRKaFF1S0FWSUJwS2FtNHZQUFA0ZVBqdyt1WHIycTNyVzRmUGt5NnRXcnA1WkxUazZHVnF2TmROY3F1N3ZtSlpoMW1KYWFzUzg5NjEwVEtybjBlcjBYZ0l3QlVqeUFRMEtJN1gvLy9mZk9XN2R1UFNyT05pbUtZdmY5a0pwcU96SXNMQ3dNbFNwVlFybHk1YkJ3NFVKTW56NGRpWW1KV0xWcUZiUmFMYXBYcjY1K2lMcTR1T0RwcHkwUDgvYnQyNGlOamNWdnYvMkdreWRQWXNPR0RkQm9ORFlUWk5Odmw2QzVTRXBhUVBPNEJEV0ZSWkpsMlRmdDl5bEkrNXRGWmN1Tkd6Znd5eSsvb0ZPblRvaU5qVlhUT2dPV1hxVmV2WHBodzRZTmFOV3FGZUxqNDdGanh3NmJvWEhwclY2OUdrZVBIc1hhdFd1ekRJNGlJaUlRRnhkbk40bk0rZlBuMGJCaFF3Z2hzSG56WnR5NGNRTkJRVUhxY1d1UDFybHo1L0RNTTgvQXpjME5VVkZSZGxON20wd21BSmFsUktwVnE0WXRXN2JrL2NrcEE0eEdZNllrQnZZOGVtVDV1THAxNnhiQ3dzSXdiTmd3akJneEFuUG16TUdwVTZjUUdocUtHemR1WU42OGVZaUtpc0xBZ1FQUnVuVnJ0R3ZYRGwyNmRJRy92ejllZSswMVhMOStIWTBhTmNvVUhHM2V2Qm1iTm0zQ21ERmowS2RQSHlpS2dsMjdkcW4vYjFPbVRNRXZ2L3lDSTBlT29FMmJObGl4WWdVcVZhcUVWYXRXWWRTb1ViaDY5U3JtejU4UGpVYURGMTk4RVIwN2RsU0hncDg0Y1FLQTdZM3hzTEF3eko0OUd4VXJWc1R0MjdmVkc0a2pSNDYwYVp2UmFNU3NXYk13Wk1nUTFLdFhEekV4TWFoVXFSSk9uVG9GRHcrUEFqNzd4QUNwQUM1ZXZBaDNkM2ZVclZzWFM1WXNVVFBNN042OTI2WUhLRGs1bWQyZFZCTGRBM0FJUUVoOGZQdytSL1lzeUxKczkwdEEraDRrbzlHSWp6LytHSjkvL2ptT0hUdUdxbFdyWXMyYU5UQ2J6ZWpkdTdkTnZjT0hEOXNNeHpoLy9qeWFOMitPYWRPbTRZc3Z2c0Rnd1lNUkdocUtwNTU2Q2cwYU5FQmtaQ1J1M2JxbHBsV2wwcTFWcTFiUEFhaHYvZjNjdVhQMkY1K2praWdKZ0V1T3BRQ1VMMThlbXpadHd1elpzK0hpNG9LdVhidGkwcVJKNnZFeFk4Wmcvdno1Nk5PbkQxeGRYVEZpeEFqMWMvck9uVHNZT1hJa3Z2MzJXOGl5ckM0cmtISHlmL3FrQ3J0MzcwYjM3dDN0cm5kNDlPaFJ0V2ZKeThzTGE5ZXV0WmtQV2I5K2ZmajYrbUw4K1BHb1dMRWlRa05EMWRUZXJxNnVOdWRxMEtBQi9QejhNSFhxVkhoNGVNRFB6dzhuVDU3TXpWT1NVWEorS3BVVURSczJ6RExyWUhyV3VhbFZxbFRCakJrejBLaFJJelVMOFBMbHk5RzdkMjkwNk5CQnZVazljT0JBSERwMENMZHUzWUt6c3pPcVZxMktHVE5tSURBd0VPdldyYk9adnpObHloUTgrK3l6Nk5Hamh6cGZTWlpsOU8zYkY3MTc5OGI1OCtleGUvZHV0R3JWQ3V2WHIxZUhjd0pRZzVSbm5ua0dTNWN1eFMrLy9JTDkrL2VqZWZQbXFGS2xpazNhY1kxR282WXJmKzY1NTdCNjlXcWtwS1RBM2QxZDdYbXl2ZzZ0ODI5Ly8vMTMrUG41UWFmVHdXdzJZOENBQVVoT1RrYmx5cFV4WThhTWZEM25WRWJvOVhxaDErdUZvM3oyMldkaXpwdzU0dXJWcTZKRGh3N2l3WU1INHZ2dnZ4ZHQyN1lWVVZGUklqVTFWUWdoeE1HREIwWHYzcjF0Nm1iWGJwUEo1TkRIWldWOWZoMzkvMHlGUzZmVGpkVHI5ZDJSeHhza1JmbCswK3Yxb24vLy9wbCsrdmJ0YS9QZU9YVG9rQkJDaUk0ZE8yWjd2clp0Mjlwc0R4OCtYSnc5ZTFhc1dyVktMRnk0VUZ5OGVGRjA3dHhaUkVaR0NpR0V1SExsaXVqVXFaUDQ4Y2NmYzJ4bmRIUjBmaDVpbnZDOVZ6QmVYbDRMck0raFRxY0x5cmtHNVVXclZxMkdwajIvaFo3eFJBaHh1c2pmWUNWQVltS2k2Tml4by9vM3FJaGNMdXovbjV3NCtuc1pGYjdIOWZPSVBVZ0ZjTzdjT1F3WU1BREJ3Y0h3OS9lSDJXekd3b1VMTVhMa1NCaU5SclJyMXc1Q0NMaTd1MlB5NU1rNW5pOGhJUUhPenM2NGUvY3VNNUJRa1RFWURLc2MzWWFNWkZuT05IRTFLU2tKTjIvZXhNeVpNOVY5dVJsdWtkSFpzMmNSRXhNRHZWNlBsaTFiNHRxMWE1ZzJiUm9DQXdQVlliSFBQdnNzRmk5ZWpQSGp4OFBKeVNuTGRaaW9kQkJDV0lmWFFaS2sxd0JrbmxCR0pkVUdBTjZPYmtSUmMzRnh3ZEdqUjR2Nk10OFU5UVdJeWlwK0N5K0E5ZXZYUTFFVWRPalFBZVhMbDRkR28wRklTSWlhM2ViMDZkTTVycmVRM3BkZmZva2RPM2JBeWNsSjdUSW1laHlrVDJwaU5XVElFRHg2OUFqOSsvZlBkTXk2N2tsV3JDdWJBNWFGQUNkT25BaEprcURWYXJGbnp4Nk1HalVLN2RxMXM2bWowK2t3Zi81OGZQNzU1MmpidHEzZExKT3Z2dnFxelJBS0tubDBPcDBuYkZQWlA2WFg2MXRHUkVSY3lLb09sU2pyQWZRRDBNWFJEU25sVGdHWW4yTXBJcktyY0hQMkZqTnJsMTlXMmVDb1lLeUxQVVpFUkpUcTF3a1Zqckx5ZnN2cHBrVmVibW9VRmI3MzhrK24wODJWSkdsVytuMUNpTGtHZzJHMm85cFUxclJxMVdxb0xNc2JBUVJIUkVRTUsrenpDeUcwQUNZRGVBT1dZSmNwdVhJbkdjQU5XSHFPNXFldGkxYXNDdnR6NHV1dnYwYS9mdjBLYmRIVGxKUVVuRGh4QWwyNjVENytUazFOUlZ4Y25Eb0hLYjNidDIvanlKRWo4UFB6SzVUMkFaWkZ5N1ByWGZUeDhTbXFaU1hzZWx3L2o5aURSRVNQbFp5Q0gwY0hSMVJndm5iMnZRYUFBVklwSVVsU0tvQUZhVC9rQUo2ZW5xL0lzbHpPYURUdXVYejVjckVHV2tJSU5RMzM0c1dMMGF0WHIwSUxrQjQrZklqVnExY2pJaUlDa3lkUGhyZTNkNWJuTmhxTk9IMzZOQ0lpSWpCbnpod3NXTEFBbnA2ZU5tVXFWYXFFclZ1M29rK2ZQcGxTYTFzejAxV3NXTkZtZjFKU0VweWNuREpkZCtqUW9SZzI3Si83RGRZa0hqLzk5Qk1hTjI2TVpzMmFGZVNoVXg0eFFDSWlvakxCeTh2ckdTRkVwbThSa2lRMTgvTHllaVk4UFB5cUk5cEZWTnBvTkpybkFNeDJkblpPME92MVB3TDRScEtrNzhMRHc1T0s4cnBDQ015ZlB4OU5talN4R1Y1OSsvWnRkUkZnNjl6Ui9LaFdyUnJXclZ1SENSTW00SmRmZmdGZ3lVQm9MMGl5OXB5MGFkTUdIMzc0SWQ1Ly8zMXMyN1lOblRwMXNzbFFDQUF2di93eUFFc0F0bjM3ZGpSbzBFQTlscjQzS0NFaEFUMTY5TUNTSlV2dzNIUFAyWnhqOU9qUmFOKytQUUFnTmpZV3djSEI2TmV2SDJyVXFJRkpreVpoMkxCaGhkcFRSZGxqZ0VSRVJHV0NFT0sxSEk1eFRnWlJIa2lTVkJIQXF3QmVGVUk4MHVsMFB3SDQ5dUhEaDk5RVJrYkdGK2ExaEJCWXRHZ1JybHk1Z3ZIang5c2NxMW16SnZyMzc0K0FnQURNblRzWHp6Ly9mTDZ1RVJzYkN6YzNOMnpZc0FHQVpiaGFWcU1HZkh4OElFa1NoQkR3OGZIQmpoMDcxRjZpck5iSzgvVzExNEZ0U1MyZW1KaUk1T1JrSkNVbElUQXcwT2I0cmwyNzBMbHpaK3pidHc4QWNPREFBZlRzMlJNYWpRWnQyN2JGeG8wYnNYbnpaaWlLa3EvSFRYbkhBSW1JaU1xS0xBT2t0R01Na0lqeXI3d2tTVDBCOUhSMWRWMmgxK3VQQVBndU5UVTE1T0xGaTdFRk9iSFJhTVRzMmJOeDQ4WU5yRnExS3RQYVVBRFF0MjlmMUtwVkMrKzk5eDdHalJ1SDExN0w3dTF1M3c4Ly9JQmR1M1poOXV6WmFOS2tDWll0VzZhdWpaWGV5Wk1uc1d6Wk1nREFPKys4ZzA2ZE9xbUxtV2NNYnRJYk8zYXMzYmxLMGRIUldjNHJzbVpON2RhdEd4SVNFckJ6NTA2MGF0VktUZmdWRlJXRnVuWHI0cjMzM3N2Ymd5MWtYbDVlMVl4R285bG9OSnFxVktsaU1ocU5wdkR3Y0RPQU1obTFNVUFpSXFKU3IwV0xGZzBCNkxJcG9tdlpzdVdURnk1YytLMjQybFRXQ1NGYTYvWDZKWTV1QnhXSnR0a2RsQ1NwSElCL0EvaTNrNVBULytuMStoTkNpSjM1dlZoaVlpSUFZTzNhdFhCemM4dTZVVzNiWXZueTViaDZOWCtqWlFjTUdJRHExYXRqelpvMVdMeDRNWUIvNWhwcE5Cb0FscUYxUXZ5ejdNL01tVE14ZnZ4NHhNYkdZdlRvMGZqNDQ0L3g4Y2NmcThjVEVoSnM1aGxObno0ZDNidDN6M1R0OUl1WHA1ZVVaQm0xYU0xZW5KaVlxQzRHdTNMbFNuend3UWRxZ0pSeGFGOXhVaFRsamxhcmxiVmFMVkpTTE92SzYvVjZDQ0VVQUtuV0g0UEJVQTNwZ2lhOVhuOVJDR0VHa0NwSlVxb1FRaTJiTnQ4d1ZRaVJhakFZM2dBZzB0WDdWRkdVOCtmT25mdWkrQjdsUHhnZ0VSRlJxZWZzN095Yi9rdU5QYklzdndiZ2srSnBVZGtseTNJU0FFaVMxQlJBVXdjM2h4eE1raVFGd0gwaHhHMXJjb1c4cWx5NU1vS0NNcS9wM0xwMTYwenJRalp2M2h6Tm16ZlAxM1VBeTNwNkdkZlV5NjdkOWVyVlEzQndNTXhtTXdCazZnbnk4Zkd4Mnp0a05wdlZvQXRBcHJYK3JLdzlTSHYzN3NYeDQ4Y3hZY0lFZlAzMTEycWdHQndjak5XclYyUEZpaFdZUHQyaFM3cmRGMEk0U1pMa0pJVFF3QkpET0VtU0pBTW9CNkJjV3JDVXZrZEpBdEE4L2ZPYnhYTXRBS1NmWUNVQm1DakxzaGtBQXlRaUlxTDhDQThQL3dRTWZvcEZSRVRFdDNxOWZvU2lLRXkvWFVaSmt0UmRrcVRNM1NEL1NBS3dRMUdVc3dCK1BuZnUzQm5BMHFOUW1FNmZQZzJUeVZTbzU0eU5qY1g3NzcrUFZhdFd3V2cwUXFQUjVKaTkxR3cycThQKy92enpUNnhmdng2elpzM0t0bzdSYUxSWlR5K3IrVW5XSGlRQTJMNTlPN1JhTFNaT25JaUJBd2VpUzVjdTBHZzBDQWdJd045Ly80MklpQWlZeldZRUJ3Zmp3WU1IbURCaFFtNGZkb0VaREFhUExBN0pqUnMzMXBZclYwNHJ5N0kyd3pHUmxqaEhtL0ZIa2lRdEFLM1piTlpLa3FUSlVNOGFSV1hjWDJ3WUlCRVJVWm5UdUhIajZnQVFHUm41dDZQYlVnYVpJeUlpMWppNkVWUjA5SHA5WlFBMkFaSVFJbEdTcFAwQXZrMUpTZGwzK2ZMbGhNSzg1dkhqeCszMmtQVG8wU1BUdmhNblR1VDdPdi85NzMvVlZPSjM3dHl4TzJjSStDZHdjWEZ4d1JkZmZBRlhWMWNFQkFUZ3hvMGJxRnUzcmxyT2FEU3F2VURBUHoxTWNYRnhhaS9RN05tejBhaFJJOVN2WDE5Ti94MGVIbzY3ZCsvaTBxVkxBSUN3c0RCVXFsUUo1Y3FWdzhLRkN6RjkrblFrSmlaaTFhcFYwR3ExcUY2OU9tclVxS0cyNmVtbm44NzNjMURJbE1qSXlCUUFLZllPR2d5R0svazVaOEdhVkhBTWtJaUlxTXh4YzNPN20vYnJZN1c0SVZFaGl3ZXdSNUtrYis3ZXZYdncxcTFiajRycVFzOC8vM3ltd01mTHl3c0hEaHl3bTdRQkFPN2N1YU1HRGJsMS9QaHhOUXZlc1dQSDBMSmxTN3ZsTGw2OGlLKysrZ3IvOTMvL2g3Q3dNTXllYlZsS0xUUTAxQ1pBY25aMnRqdkVMaW9xQ25YcTFGSExEQjQ4R1B2MjdVT0ZDaFVBV0FLcm9VT0hJakF3RUVhakVSOS8vREUrLy94ekhEdDJERldyVnNXYU5XdGdOcHZSdTNkdm0vTWVQbnpZWmo1VGZwNER5aGxYUkNRaUlpSWlsYUlvSnhWRmVWbVNwR29SRVJHRHc4UERkeFpsY0pRZlJxTVI3N3p6RGpadTNKaW5PdFlBS1RJeUV1dlhyNGUvdjc5TkdVbVNrSktTZ3Fpb0tOU3NXUk5SVVZHSWlZbEIwNlpOY2VuU0pmenZmLy9EMmJObk1XUEdESncvZjk2bXJxSW9NQm90NitxR2hZV2hSWXNXU0UxTnhhZWZmb3JSbzBmYkpLQndkbmJHckZtek1IWHFWUHoxMTE4WU4yNGM2dGV2YjNPKzlIT1lDdXM1b054aER4SVJFUkVScWM2ZE94ZGFuTmY3K3V1dnNYVHBVcnZIWG5ycEpidjd3OExDc0c3ZE9vd2FOUXB4Y1hHNW1vOFRFUkdCS2xXcXdNUERBNzYrdm5qMzNYZlJ0S2x0bmhGdmIyOTA2dFFKNWN1WHgrTEZpeEVhR2dvZkh4OGtKQ1JnM0xoeENBb0tnbDZ2eDdadDIvRHh4eDlEa2lTMGE5Y09pcUxBWkRKaHdvUUo2TnUzTC9iczJZTzFhOWRpMWFwVmFOQ2dBWHIwNkFHajBZZzdkKzdnaVNlZUFHQko4TkMvZjM5TW5qd1ptelp0eXVPelpnbXk4dm9jVU80d1FDSWlJaUlpaHhrNGNDQUdEaHlZNTNyVnExZkhxbFdyY1AzNjlWeVZiOXUyTGI3ODhrdTR1TGpnNjYrL1JwVXFWVEtWV2JseXBjMzJzODgraS9qNGVMaTZ1bUxseXBWbzBxUUpBR0R3NE1FWVBIZ3dBS2dMdUZxVFBSZ01Cbmg3ZStQSko1L0V3NGNQTVcvZVBBUUZCV0gvL3YzUWFyVnFQY0N5enBKV3ExV3o5WTBlUFRyYnh6QjI3TmdDUFFlVU82VjZiTFplcnhjQUVCNGU3dWltbEVsZVhsNEFnSWlJaUZMOU9xSEN3ZmRiOGVGN3IrQ3NyMWMraDBURmg1OFQvekFhalhCMmRyYlpaMTJLSUwvcDBCM0JVWjlIanY0YnpoNGtJaUlpSXFKQ2xERTRBa3BYWVBTNFk0QkVSSGxpdlp0RVJFUlVHc1RIeHlNcEtRazFhOVowZEZOVVFnaUVoWVdoWGJ0MmptNUtpU1NFbU96STZ6T0xIUkhsMWlWSE4rQXhjOVhSRFNBaUtrMW16cHlKeTVjdlo5cS9jK2RPTEZpd3dHNmRPM2Z1NU9rYU4yN2N3SysvL3BxdjlxV25LRXFtK1VUMEQ0UEI4S25CWVBqVVVkZG5EeElSNVVwRVJFUUxSN2VCaUlnb0sxMjdkc1hvMGFQeHdRY2Y0TFBQUGxQM204MW14TWJHWmxwMDlzQ0JBNWczYng0OFBEd3dmZnAwK1BqNDRNa25uOHp5L1BmdTNVTmdZQ0JtenB5SlJZc1dvV1hMbG5qcHBaZWcxV3F6ckROMjdGaGN1M1lOWjg2Y3NYczgvWnBHVmlFaEliaC8vejZHRFJ1R1R6NzVwQ1F0Q2t1bGdWNnZGM3E5WGxEUnNENi9qdjUvSmlMS0s3MWVmMWV2MTkvTnVTUVJGWmFTOEwzczBLRkQ0dWJObTBJSUlhNWZ2eTdXcmwyckh2djU1NS9GQng5OElCNDllcVR1UzBsSkViTm16UksvL2ZhYjZOaXhZN2JuN3RTcGt4QkNpQU1IRG9pdVhidUt1TGc0MGI1OWUvVjRaR1NrVUJRbFYrMDBtVXc1UGxkNzkrNFYvZnYzRjJhek9WZm5MQXFQNjNkQjlpQVJFVkdaRXhFUjRlSG9OaEJSOFRHYnpiaC8vejQ2ZCs2czdxdFRwdzVDUWtMdzJtdXZvWExseXRpMmJSczhQVDNWZFlnQVN6S0Z1WFBuQWdDU2twTHM5dWhrMUwxN2QraDBPcHZ6QUlDZm54L0N3c0xVbE4xV0R4OCt4RHZ2dkdQM1hHKzg4WWJOOWxkZmZhV21DKy9Sb3dkV3JseUpIMzc0QWQyN2Q4K3hYV1dKVHFmN0JBQU1Cc01VUjF5L1RBUkluRFJPUkVSRTlQZzZjK1lNWnN5WWdmLzg1ejlvMDZZTkJnNGNpTVRFUkpoTUpnd2RPaFFBY1BmdVhmejIyMi9ZdVhNbjNOemNNSDM2ZEN4ZnZoeEJRVUZ3YzNPRGk0c0xRa0pDc3J6R2p6LytpSGZlZVFmang0OUhzMmJOWURRYTFXTkNDQWdob05Gb010VjcrKzIzc3p5bjJXeTIyZmJ6ODhPaVJZdFF2MzU5eUxLTXpwMDc0K0RCZzQ5ZGdDUkpralZKQXdPa3ZCSkNuSllrcWJXajIxSEdjV0krRVJFUmxXaHQyN2JGckZtejhQNzc3MlBidG0yNGZmczJEaDgrckI1Lzc3MzNzR3ZYTG5XN1c3ZHVhTktrQ2FwVnE0Wmh3NFpoNDhhTm1YcVFidDY4aVhyMTZ0bGN4OC9QRHhNbVRNRDA2ZFBSdm4xN1NKSUVnOEdBYWRPbVFRaUJsMTU2U1MwYkV4T0QwTkRRYklPdW5EUnIxZ3o3OSsvUGQzM0tuMUlkSUJrTWhqYU9iZ01SRVpVOGpSczNyZzRBa1pHUmZ6dTZMVVJVUEY1ODhVVjRlWG5CMWRVVkFIRHg0a1VFQmdZQ3NBUTcxdURIR3JCb05Cck1tVE1IQnc4ZVJQbnk1VkdwVWlXYllLWlBuejUyZ3h2ck5WSlNVdURrNUFTZFRvYzllL2FnUzVjdUNBME5WY3Q1ZTN2YkRNUHIwNmNQeXBVcmwyWDdVMUpTYklJNEFLaGV2VHBpWTJOaE1wa3lEZDJqb3NObm1vaUl5aHczTnpkcmdnYXV6RWowbUhqMDZCR09IajJLVjE1NUJRRFFva1VMTmNESkt0Z3htVXpvMkxFakVoSVNVS0ZDQmZUcDB3Y3VMaTRBTENuQTA4OFJTa3BLd3E1ZHUzRHExQ2wwN05nUk1URXhxRnk1TWdBZ0xpNU9yUWRZMG5ncmltSVRJTjI2ZFF2aDRlRjIyMjQybTlHNmRlWkJVZGJGWllWNDdQSWtPQlFESkNJaUlpSXE5WDc1NVJlc1diTkdEWkFBU3hwdGpVWURGeGNYK1BqNElDd3N6S2JPaFFzWHNHVEpFc3lZTVFQVnFsWER2WHYzTUhUb1VGU29VQUdMRmkzQ3lwVXJzV25USnZUcDB3Zmp4bzFEYW1vcVB2LzhjL2o0K09EcTFhdG8xS2dSQU9EeTVjczJ3L0dTazVPaDFXclZoQXRXR1pNeTVPVGV2WHR3YzNQTE5wVTRGVDR1RkV0RVJFUkVwZDdseTVmUnNtWExUUHUzYk5tQ0xWdTJvRzdkdXBtT1hicDBDYzJhTmNPMWE5ZlFvRUVEQUVDblRwMlFsSlFFQUhCM2Q4ZkxMNytzcm1OMDhlSkZ1THU3bzI3ZHVqaDgrTERhNjdONzkyNmJIcURrNU9STVdlN3k0OHFWSzJqV3JGbUJ6ME41d3g0a0lpSWlJaXIxTGx5NEFKMU9sMm0vdGRkR1VaUk14ODZkTzRkLy8vdmZDQTBOUmFkT25YRDI3RmxzM2JwVjdmbTVmUGt5bGk5ZnJzNWZPbjc4T0ZxM2JxMHUvanA3OW13Y1BIZ1FwMDZkd3BRcFU5UzVRbWZQbmtXbFNwVXlYVy9MbGkxMjIyNXZpSjBRQW9jUEg4NDJDeDRWRGZZZ0VSRVJFVkdwRng0ZWp1Yk5tOXZzR3p0MnJOcUR0R1RKRWlRbEpTRW1KZ1phclJZbWt3bmg0ZUZ3YzNQRG1UTm44TUlMTHdBQS9QMzk4Znp6endNQW5uMzJXY3liTncreUxLTmN1WEk0ZCs0YzJyUnBnK0RnWVBqNys4TnNObVBod29VWU9YSWtqRVlqMnJWckIyOXZieXhhdEFpalJvM0tzYzBKQ1Frd0dvMzQ2NisvTWlWaENBME5oVWFqUVk4ZVBRcnBHYUxjWWc4U0VSRVJFWlZxZi8vOU44cVhMNCtubjM3YVpyODEwQUdBNWN1WDQrelpzM0J5Y29LZm54L3UzNytQMXExYm8yclZxaGd4WWdSY1hWM1ZwQXYxNjlkSDgrYk5rWkNRZ09IRGg4UFoyUmx2dnZrbWV2VG9BVVZSMEtGREI1UXZYeDRhalFZaElTR29XclVxQU9EMDZkTlFGQ1hUM0tPc2ZQbmxsOWl4WXdlY25Kd3dhTkFnZFg5c2JDeFdyRmlCb0tBZ3pqOXlBR2IzSVNLaU1rZXYxd3NBaUlpSTRPY2NVVEd4dnUreXl0UlduUElTcEZEV3ZMeThBQlQvMzFLZFRqY0pBQXdHdzZmRmVWMHI5aUFSRVJFUlVabkM0S2gwYzFSZ1pNVlhEeEVSRVJFUlVScjJJQkVSVVZuMHQ2TWJRRVJFcFJNREpDSWlLbk1pSWlJOEhOMEdJaUxLSDUxTzl3a0FHQXlHS1k2NFBnTWtJaUlpS2ttY0FMd05ZQWlBWndGVVNYZHNEWUFSNmJhSHArM0x5ZU5XejZHc0UvdUo4a3VTcE1scHZ6b2tRT0ljSkNJaUlpb3BuQUFjQXJBS1FIdllCa2NZUG56NE95S2QxYXRYNXlaNGVGenFwUWdoemdvaEJnSjRBa0N4NTRZV1Fwd3U3bXRTc2JqazZBWVFFUkZSQVRWdTNMaDY0OGFOcXp1NkhaUm5Jd0FJWjJkbnNYanhZaEVkSFMwVVJSR1Vlei8vL0xOd2QzZS9BMkNtby84emlmSkxyOWNMYTlwNFIrQVFPeUlpS25QYzNOenVwdjNLZFpCS2x5RUFFQlFVaEVtVEpqbTZMYVhTNzcvL2pnY1BIbmdBNkE5Z25xUGJRMVFhY1lnZEVSRVJsUlExQWNEUHo4L1I3U2kxdW5idGF2MjFnUU9iUVZTcU1VQWlJaUtpa3FJUkFOU3FWY3ZSN1NpMXFsV3JadjNWelpIdElDck5HQ0FSRVJGUmlTSkpIQm1aWDN6dWlBcU9BUklSRVJFUkVWRWFKbWtnSWlLaXg1YlJhSVNQanc4cVZxeVlZOW1FaEFRY09YSUVycTZ1V2RaTFNFaXcyWmVRa0lEVHAwOURvOUVVZXR1SnFHZ3dRQ0lpSXFMSFhtaG9LSnlkbmJNdGszRUJWRm1XY2ZUb1VYWGJiRGFqZGV2V052dTRhQ3BSM2draEp1ZGNxdWd3UUNJaUlpSWlvaExEWURCODZzanJNMEFpSWlJaVN1UGw1UVVQRHc5MSsrN2R1d2dQRDdkYlZsRVVkTzdjT2ROK2UvdUlxUFJnZ0VSRVJHWFIzNDV1QUpWT3Npemp3SUVENnJhM3QzZTJaUThmUHF4dVc0ZllwZC9uaUNGMmYvenhCK3JYcjErdjJDOU1WRVl3UUNJaW9qSW5JaUxDSStkU1JQbG5OcHVoMVdvZDNReTc2dFdyQndCUmptNEhVWDdwZExwUEFNQmdNRXh4eFBVWklOMmVGWjRBQUFWWlNVUkJWQkVSRVZGSmNhbFpzMmJOSGQySTNFaEpTWUhSYUVTM2J0MHlIYk8zajRoeVQ1SWthNUlHQmtoRVJFVDBXR3R4NmRJbDRjZ0dLSXFDSGoxNjJHemJFeDhmanlaTm11Q3JyNzVTOTFtSDJJV0docXI3bU1XT3FQUmhnRVJFUkdWTzQ4YU5xd05BWkdRazV5SlJucno1NXBzWU4yNmN1djEvLy9kL2RzdEZSMGVqVHAwNnhkV3NQS2xidHk0QTNBVEFlVWhFK2NBQWlZaUl5aHczTjdlN2FiOUtEbTBJbFRycGd5TjcyMWJuenAxRHMyYk5pcU5KZVhicjFpMEFxT3ZvZGhDVlZneVFpSWlJcUtSb2R1blNKVFJ2WHZ6VGtGNSsrZVZjbHpXWlROaTNieCtXTFZ0bTk3Z1FBbWF6R2JHeHNaQmxHWkxFT0oyb05HR0FSRVJFUkNYRnBSWXRXa0NJNHB1R0pNc3lYbm5sRmN5YU5RdE9UdGwvTFpvOWV6YTBXaTJ1WExtQ2YvM3JYMmpRb0lITmNVbVNVTDU4ZVNpS2dnNGRPc0JrTXFGRGh3NlFaYmtJSHdFUkZUYmUwaUFpb2pKSHI5Y0xBSWlJaU9EblhPa2lBRXRpaEpMZTY1S1FrSUNLRlN0bWVWd0lBWlBKVk95cHdJVVE2UU95a3Ywa0VtWEIwWC9EZVV1RGlJaUlTb29IQUhEMzd0MmN5amxjZHNFUllPbE5jc1E2U1RFeE1kWmZFNHI5NGtSbEJBTWtJaUlpS2luK0J3RGZmUE9Obzl0UmF2MzAwMC9XWDM5M1lET0lTalhPUVNJaUlxS1NJZ1NBeitUSmsxR2xTaFYwN2RvVjFhcFZLL0hEN1VxS2ZmdjJ3ZC9mMzdxNXg1RnRJU29JSWNUa25Fc1JFUkZScnVuMWVtRWR3MDZsaWpPQWNGam1JcWsvcTFldkZ1a0ZCQVNJakdYcy9UeG05Vkk3ZGVxVW1IYnNmd0RLRmVyL0RCRVJFUkdWWGd5UVNqVm5BTE1BbkFjUUI4c1gvdUVaeXF4QkxnS0l4N0RlYUFEL0FZTWpJaUlpSWtwUHI5ZmYxZXYxSlgrbVB4RVJFUkVSRVJFUlVWWjBPdDBuT3AzdUUwZGRuMGthaUlpSWlJaW94SkFreVpxa1lZb2pyczgwMzBSRVJFUkVSR25ZZzBSRVJHVk80OGFOcTd1NnVyNlhVemxGVVVMUG56OS8wTHJkcWxXcmJwSWsvVHNYbDlodE1CaU9XVGQwT2wxdkFCM3pXcy9UMDNPQUxNdmV1V2hueVBuejUwL250WjdKWlByaTRzV0xGNjNiclZxMWVsT1NwQlpGVlUrU3BGVVJFUkdSMW0yZFRqY1NRT09pcW1jMm16KzdjT0hDTGV1MnA2Zm5SRm1XNitTMVhxdFdyVDZRSktsS1R2VWVQWG9VZFBYcTFmdDVyU2ZMOG9maDRlRkoxbTJkVGpjWGdFdFIxVE1ZRE5NQUtOWnR2VjYvU0FpUlk2NzB4NkRlVkZpU1c3QmVDYXJueUtGMFdXR0FSRVJFWlk2Ym05c2ZBTXJuVkU2VzVVUUFhb0FrU1pKUHVxRWQyWWtHY0N6ZDlndVNKRTNLYXoxWmxsK1NKT210WExUekNvRFQ2Ylp6VlUrcjFmNE1RQTEwSkVucUxVbVNiMUhWQTdBZlFHUzY3ZjZTSkhVdXFucE9UazViQUtpQmppekxneVJKOHNwclBVbVMzcElrcVZGTzlTcFVxTEFTZ0JvZzViYWVScU1KQXBDVWJ0ZG9TWktxRmxXOUYxOTg4ZjBqUjQ0bzZYWk5sQ1JKVTFUMUFHUzhHVkdTNjVuTGNMMXBTQmQ0NUxlZUVHS1NKRW01R1dWV0tQWFMybW12WG5JdXpsVWtHQ0FSRVZHWm95aEtUMG1TOURtVkUwTDhOLzIyMld6K1FhUFJKT1JVVDVLa1l4bDI3UlpDUk9lMW5xSW8yMlJadnB4VFBiUFpmRHI5ZG03ckNTRXVwdCtXSkNsWUNIR3lxT3JKc2h5WllkZEtJY1Mrb3FxWG1wcDZLLzIyRUdJSmdCcDVyUWZnUDBMOGYzdDJpTU5RQ0FSUWNPRUVQV3kvN0hWeHRYVkFiY0h3czZwaVJwSThneURBenNlcEcyTzh0NlZiWFd2dHN5Mjk1cHpIQjN5MjJ4NDUwWHUvYXEzSG4vMXNGK3RsTjkxRnhIVm5BaEUvMHlQZElydWZTMWRLZWY1RHQ1OURBQUFBQUFBQUFBQUFBQUFBQUFBQUFBQUFBQUFBQUFBQUFBQUFBQUFBQUFBQUFBQUFBQUFBQUFBQUFBQUFBQUFBQUFBQUFBQUFBQUFBQUFBQUFBQUFBQUFBQUFBQUFBQUFBQUFBQUFBQUFBQUFBQUFBQUFBQUFBQUFBQUFBQUpEeUJXVm04MHRmQ0pmUkFBQUFBRWxGVGtTdVFtQ0MiLAoJIlRoZW1lIiA6ICIiLAoJIlR5cGUiIDogImZsb3ciLAoJIlZlcnNpb24iIDogIjQzIgp9Cg=="/>
    </extobj>
    <extobj name="ECB019B1-382A-4266-B25C-5B523AA43C14-2">
      <extobjdata type="ECB019B1-382A-4266-B25C-5B523AA43C14" data="ewoJIkZpbGVJZCIgOiAiMTg0NDgxNzgyNTc2IiwKCSJHcm91cElkIiA6ICIzODk2NzU3OTEiLAoJIkltYWdlIiA6ICJpVkJPUncwS0dnb0FBQUFOU1VoRVVnQUFBclVBQUFIRENBWUFBQUE2TStJQUFBQUFDWEJJV1hNQUFBc1RBQUFMRXdFQW1wd1lBQUFnQUVsRVFWUjRuT3pkZTF4VmRiNy84ZGZhV3lBUkVMV3NORk94VGg0bU5UYXB3K1FZZEhTT0lPWnR4aWdkYzZvWnJieDBVOU9mTnFXWmxUbVdsOHhVTkIwVnRUUVF0ZkhTRElsU0dLQm1ObWFvSWFaNUswRlFOckRYN3c4UGU5eUJnbkxaYkhrL0g0OGVzYi9mNzFycnM5Wm13OGN2M3d1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oSUJSbnVEa0RxRHRNMHR3SVB1RHNPS1ZPcVlSaWQzUjJFaUlqSXRWSlNLelhHTkUzVDNUSEk1Um1Hb1o4SElpTGlzU3p1RGtCRVJFUkVwTEtVMUlxSWlJaUl4MU5TS3lJaUlpSWVUMG10aUlpSWlIZzhKYlVpSWlJaTR2R1UxSXFJaUlpSXgxTlNLeUlpSWlJZXI1NjdBNmdNbTgybXhmeHJHZE0wVXpNeU1tcDhFWCtIdzhHZVBYdll1blVybzBhTm9sNDkxMi90ckt3c1pzK2V6YzZkTzdsdzRRSWRPblJnNHNTSk5HL2UzSG44TysrOFEwSkNBcVpwMHE5ZlAwYU1HRUhKMHEyVnJhK0lFU05HMExGalJ3WVBIbHhGVDBWRVJLVHU4UFNlV2lXMHRZeGhHSjNjY2QwZVBYb3dkdXhZbGk5ZmpzUGhLRldmbEpURXZmZmVTM3g4UE92WHI4ZmIyNXNKRXlZNDY1Y3NXVUp5Y2pJclZxd2dOamFXaElRRTR1UGpxNncrS3l1THZuMzdZcmZieTR3L0t5dUxqSXdNK3ZUcFV4V1BRMFJFUkR5SnpXWXpiVGFiS2JWRHlmdHh1ZmVyT3EvOXpUZmZtSHYyN0RGdE5wdFpVRkJRcXI2NHVOamw5ZWVmZjI2R2hvWTZ5Nk9pb3N4MTY5WTU2MmZQbm0wKzhjUVR6dGVWcmI5U2JLWnBtbSsrK2FiNTZxdXZWdlIycTBWTmZuWkZSRVNxbXFmMzFJb0EwTFp0Mnl2V1d5eXUzK3BuenB5aFVhTkdXQ3dXVHA4K3pmSGp4Mm5YcnAyelBqZzRtQU1IRGdCVXVoNWd5SkFoQUlTRmhSRWFHdW9TUzM1K1B1dldyU01tSnNaWmxwcWF5aU9QUEVMbnpwM3AxYXNYS1NrcEZYa01JaUlpZFphU1dxbHppb3FLV0xac0dmMzc5d2ZnMUtsVEFEUnUzTmpaSmpBd2tOemNYQndPUjZYckFSWXZYZ3hBU2tvS2FXbHBMdkVrSkNRUUhCeE1telp0bkdWNWVYbE1tRENCYmR1MkVSNGV6dFNwVTZ2cTlrVkVSSzVMU21xbHpwazZkU29XaTRYSEhuc01nT0xpWXNDMU45ZGlzVGduZVZXMi9rcE0wMlRWcWxVdXZiUUFFUkVSQkFVRmtabVppWitmSDBlUEhxV29xT2lxNzFWRVJLU3U4T2pWRDBTdTFvd1pNOGpJeUdEQmdnVjRlM3NERUJBUUFNRFpzMmRwMEtBQkFELy8vRE9CZ1lGWUxKWksxMTlKU2tvS2hZV0ZkTzNhMWFWODFxeFpKQ1FrMEw1OWUzeDhmQURLbkFBbklpSWlGNm1uVnVxTTJiTm5rNXljelB2dnYrOHlWS0JaczJiNCsvdXpiOTgrWjltK2ZmdTQrKzY3cTZUK1N1TGk0aGd3WUlCTDhwdWRuYzNpeFl1Wk4yOGUwNmRQcDFldlh0ZCsweUlpSW5XRWtscXBFK2JObTBkU1VoTHo1OC9ueGh0dmRLbXpXQ3owNnRXTDJOaFlUcDA2eGNHREIxbXpaZzBQUGZSUWxkVERmM3FEZCszYVJVNU9EZ0JIamh3cGN4bXZrbUVHeDQ0ZEl5Y25oeFVyVmxUUFF4RVJFYm1PVkh4bCtGcW9aUG1vWDA2OEVmY29tZFdmbnA1ZTV2ZFZkUzRiOWNzVkJVcVVmRzljcmo0bEpRVnZiMjhLQ2dxWU1tVUtXN2R1eGQvZm55ZWVlSUxmLy83M3puYVZyUWVZTW1VS2lZbUorUG41c1huelp0NTY2eTNzZGp2ang0OHZGZGUwYWROWXUzWXRUWnMySlNZbWhtblRwamxqclM3RzFld1VJU0lpVXN0NDlDOHhKYlcxaXp1VFdrK1RuNTlQWkdRa3NiR3hMcXNldUpPU1doRVI4V1NhS0NiaUJyNit2aVFsSmJrN0RCRVJrZXVHeHRTS2lJaUlpTWRUVDYySWlGU1lhWnBiZ1FmY0hZZFV1MVRETURxN093aVJxNkdlV2hFUnVScEthT3VHVHU0T1FPUnFLYW10SWFkUG43N3NEUHlLNk5peFl4VkdJeUlpSW5KOTBmQ0RXdUxKSjUvazhPSERMbVViTjI1MFR6QWlJaUlpSGtZOXRiWEUzTGx6V2Jod0lXRmhZV3pjdUpHTkd6ZFNVRkRBL1Buem5XM3NkanR2dlBFR3hjWEZib3kwVWxMZEhZQmMxbDUzQnlBaUlsSVo2cW10SnFHaG9majUrVGxmbHl6UmV2Lzk5enZMSEE0SGpSczNKajQrSG9BdnZ2aUNPKys4MDFuLzJXZWZzWDM3ZHY3ODV6OEQ0TzN0ellrVEoxaXpaZzEvK01NZmF1STJxcFFtSFlpSWlFaDFVVkpialRadTNJaXZyeTl3Y1V6dDczNzNPNWUxU2ZmdjM4K1lNV05jMm84YU5jcjVlc09HRFR6d2dPdWNqSkVqUi9LWHYveUZuajE3T3M4dElpSWlVdGNwcWEwbDl1L2ZUMFpHQm1QSGp1WEhIMzlrelpvMUpDY25NM3IwYUpkMkxWdTJwSFBuem56NDRZY01IanpZVGRGZVdjbE9iM0o5TUUwek5TTWpRNzNzSWlKU3EybE1iUzB4Wjg0Y2ZIeDhTRXhNNU9hYmIrYXJyNzdpL3Z2dnAxbXpaaTd0Q2dvS2FOdTJMVEV4TVc2S1ZPb2F3ekMwdEkrSWlOUjY2cW10UnBHUmtjNnZyelNtdHJDd2tKWXRXL0x0dDk4NjY2S2lvb2lLaWlwMXpoa3pabkR1M0RtOHZiMnJNZkxLU1U5UE45d2RnMVFOOWJxTGlJaW5VRkpiVGU2KysyN2VmLzk5Zkh4OGdMTEgxR1psWlRGbnpoeTh2THg0L3ZubjJiSmx5MlhQOSs2Nzc3SnMyVEoyNzk3TndvVUxxejErRVpHcTVuQTQyTE5uRDF1M2JtWFVxRkhVcStmNksrajA2ZE5NblRxVnp6Ly9IRzl2YjM3Lys5L3o1Sk5QWWhoR2pkVHYzNytmZDk1NWh6MTc5bUNhSnFHaG9Zd2VQWm9XTFZxVXVwZXkxaDBQQ0FqZ24vLzhwL05lMzNubkhSSVNFakJOazM3OStqRml4QWpudGJLeXNwZzllelk3ZCs3a3dvVUxkT2pRZ1lrVEo5SzhlZk1LUDg4UkkwYlFzV1BIV2pzVVRhU21hZmhCTmZuZ2d3K2NDZTNsM0g3Nzdienh4aHZsbnN2aGNKQ1Nra0pDUWdKejVzelJCREVSOFVnOWV2Umc3Tml4TEYrK0hJZkRVYXIrMldlZnhXcTFzbUhEQmo3NDRBTzJiTm5DUng5OVZDUDErZm41REJzMmpPRGdZRFp1M0VoaVlpSU5HemJrbVdlZUtmTmUwdExTWFA3N3d4Lyt3UC8rNy84NjY1Y3NXVUp5Y2pJclZxd2dOamFXaElRRTUwbzNBRWxKU2R4Nzc3M0V4OGV6ZnYxNnZMMjltVEJoZ3JNK0t5dUx2bjM3WXJmYnk3eCtWbFlXR1JrWjlPblRwN3pITGlLZXdHYXptVGFiemZRRXAwNmRLamZXOFBCd3MyZlBubWJQbmoyZFpUdDM3alFmZnZoaGM4eVlNZWE1YytlcU84eEtLWGsvM1AxOUlWVkg3Nm44VW1WK1Juenp6VGZtbmoxN1RKdk5aaFlVRkxqVWZmLzk5NmJOWmpPUEhUdm1MUHZrazAvTWdRTUgxa2o5L3YzN1Radk5adjcwMDAvTytzOC8vOXpzM0xtejZYQTRybmhmQlFVRlpuaDR1TGwzNzE1bldWUlVsTGx1M1RybjY5bXpaNXRQUFBHRTgzVnhjYkhMT1Q3Ly9ITXpORFRVV1g2NTUxVGl6VGZmTkY5OTlkVXJ4bFZaN3Y1ZUU3bGE2cW10UllLQ2draE1UR1QyN05rc1hicVVSeDU1aERmZWVJTy8vT1V2dlBIR0d6Um8wTURkSVlxSVhMTzJiZHRldHE2Z29BREErZWQ1Z0VhTkdwR1ptVmtqOWExYnQ2WkZpeGJNbWpVTHU5M09Uei85eElJRkM0aUtpbkk1cGl6Lyt0ZS91T21tbS9qVnIzNEZYQnptY1B6NGNkcTFhK2RzRXh3Y3pJRURCNXl2TFJiWFg3OW56cHloVWFOR3p2SWhRNFlBRUJZV1ZtcW9RMzUrUHV2V3JYT1pNSnlhbXNvamp6eEM1ODZkNmRXckZ5a3BLVmVNV2VSNnBLUzJodHh3d3czMDc5Ly9pbTFLeHNwKysrMjNaR2RuODl4eno3RnExU3JDdzhOcklFSVJFZmNKQ2dyaTFsdHY1ZDEzM3lVM041ZVRKMCt5YU5FaTdIWTd4Y1hGMVY3djVlWEZ2SG56T0hUb0VEMTc5aVE2T3BvNzc3eVQ4ZVBIbHh0N2ZIdzh2WHIxY3I0K2Rlb1VBSTBiTjNhV0JRWUdrcHViVythd2k2S2lJcFl0VytieU8yTHg0c1VBcEtTa2tKYVc1dEkrSVNHQjRPQmcyclJwNHl6THk4dGp3b1FKYk51MmpmRHdjS1pPblZxeEJ5OXlIVkZTVzBNYU5HaFFvUitPQUwvNzNlOFlOMjRjOTk1N2I3azlCQ0lpMXdPcjFjcmJiNzlOVmxZVzNicDFZK2pRb1lTR2h1THQ3WTNWYXEzMmVvQWRPM1p3NE1BQit2ZnZUNWN1WFVoTVRDUTlQZjJLY2YvNDQ0K2twYVc1ckZaVHNwWDVwYjJ4Rm92bHNqL1BwMDZkaXNWaTRiSEhIaXYzT1ptbXlhcFZxMG90NnhnUkVVRlFVQkNabVpuNCtmbHg5T2hSaW9xS3lqMmZ5UFZFcXgrSWlFaXRjTWNkZDdCbzBTTG42N1ZyMTlLeVpjc2FxYy9OeldYYXRHbE1talNKYnQyNkFSZVhVSnd5WllyTEJLOWZTa3hNcEhQbnpqUnAwc1JaRmhBUUFNRFpzMmVkdzhaKy92bG5BZ01EU3cwN21ERmpCaGtaR1N4WXNLQkNTeldtcEtSUVdGaEkxNjVkWGNwbnpacEZRa0lDN2R1M2QwNVNMcXRYV09SNnBwNWFFUkdwbFRadjNsd3FlYXV1K2g5KytJR0NnZ0tYOGF0ZHVuVGg2TkdqVjB3TzE2MWI1ekwwQUtCWnMyYjQrL3V6Yjk4K1o5bStmZnU0Kys2N1hkck5uajJiNU9SazNuLy9mWmVoQ2xjU0Z4ZkhnQUVEWEpMajdPeHNGaTllekx4NTg1ZytmWHFwZUVUcUN2WFVpb2hJcmJCNzkyNkNnb0l3VFpPbFM1ZHk4T0JCbDdHaDFWbC8rKzIzRXhBUXdJSUZDeGc2ZENnRkJRVXNXN1lNbTgxV3FuZTFSSHA2T21mUG5uWFpWQWN1RGpYbzFhc1hzYkd4M0hQUFBlVGs1TEJtelJvbVRacmtiRE52M2p5U2twS1lQMzkrbVFsdFNXL3ZybDI3YU51MkxRRUJBUnc1Y29TTWpBeW1USm5pMHJaa21NR3hZOGU0OGNZYldiRmlSWVdlZDFXdzJXeGJnUWRxN0lKU0xyTU9iMjJ1cEZaRVJHckVwYjJnWVdGaHpxOUxKa0lsSlNVeGZQaHdaOXY1OCtmVHNHRkRaN3Zxcks5ZnZ6NHpaODVrMnJScGRPL2VIVjlmWDM3OTYxOHpjZUpFNE9MWTJXSERodkhSUng4NWs5eUVoQVI2OU9pQmw1ZFhxWHNkUG53NFU2Wk1vWGZ2M3ZqNyt6TjA2RkNYZTM3Ly9mY0I2TjY5dTh0eEtTa3BlSHQ3MDdKbFMvcjE2OGVvVWFQdzgvTmo4K2JOckZ5NWtzaklTUHo5L1YyT2FkV3FGVEV4TVl3ZVBacW1UWnNTRXhQRDl1M2JML2MyVkRVbHRMVk1YZDdhM0tObklaV3NuL25MbWFIaUhpVy9zTFJON3ZXajVET205MVJLYVAxUzk4alB6eWN5TXBMWTJGaVhWUStxazFHQm1jcjZQVnk3MVBYZncrcXBGUkVScWVWOGZYMWR0bGtYa2RJMFVVeEVSRVJFUEo2U1doRVJFUkh4ZUVwcVJVUkVSTVRqS2FrVkVSRVJFWStucEZaRVJFUkVQTjUxc2ZyQnBXc2Zpb2lJaUVqZDQ5RTl0YVpwcHJvN0JpbGxyN3NERUJFUmtickhvM3RxNitvMmNDSWlicFFLMU5rZGkrb1FkVkNJeC9Ib3BGWkVSR3FXWVJqcVRCQ1JXc21qaHgrSWlJaUlpSUNTV2hFUkVhbWw5dTNiaDJtYTdnNURQSVNTV2hFUkVhbVYvdmpIUDFKWVdGaG0zWkVqUnpoMjdOZzFuZGR1dDNQa3lCRnljM01CbURGakJ0dTNiNi93OGJ0MjdTSTlQZjJxci92dXUrL3k4ODgvWC9WeFVqRWFVeXNpSWxMSGhZU0VQR2lhNXFsZHUzWjlBUlM3TzU0cmNUZ2NXQ3dXZHUvZXpZd1pNeGczYmh6ZHVuVWpMQ3dNUHorL01vK3gyKzBrSlNVeGRlcFVqaHc1UW5wNk9qMTY5S0J2Mzc3czJiT0h2Ly85NzN6MjJXZE1uejRkZ0pDUUVDWk9uSGpaR0E0ZVBNaWNPWE5ZdTNZdEFRRUJGWTU5NGNLRlJFVkZFUmdZZUhVM0xSV2lwRlpFUkVSaUxCYkx3eUVoSVNjTXcxamhjRGcrdGxxdDI5UFMwc3J1SnExQnUzZnZwbVBIamdBc1hyeVl3NGNQOC9MTEx4TWRIVTN6NXMyWlBYczJYYnQyQldEejVzMWxudVArKys4SFlOeTRjYzdYTDcvOE1uUG56dVdmLy93bm16WnRva21USmx5NGNJR2hRNGZ5UC8velA4NWpRME5EcVYrL2Zwbm5qWXFLY25sOS92eDUwdExTS25mRGNzMlUxSXFJaUFnQWhtRTBCVVpaTEpaUkRvZmpURWhJeUNxSHc3RTJMeTh2NmJ2dnZpdW9ydXNtSmlieSt1dXZYeG9IMjdadEEyRGx5cFYwN05pUkR6LzhrS1ZMbC9MdXUrOENjT2JNR1VKQ1FsaTRjT0UxWC9lKysrNWoyN1p0UFBiWVk4REZwRFEzTjVjMzNuaUQrdlhyRXhjWEIwQnljbks1NXlvdUxxWlRKNjEyNTA1S2FrVkVSS1FVd3pBYUE4T3NWdXV3Z0lDQW5KQ1FrSStCait4Mis2ZGZmLzMxdWFxOFZuUjBOTkhSMGNERlArMlg5S2pDeGNsaXI3MzJHanQyN0dEKy9Qa0VCUVZ4NXN3WkJnOGVUTDkrL1JneVpBZ1d5OFVwUXBHUmtWZThUbVJrSkE2SGc3eThQQ0lqSTNucHBaZFl2bng1bVcyN2RPa0M0QkxMbFZnc0ZzYU1HZU44L2RlLy9wWEV4TVJTN2ZyMzcxK3FUTDI3VmNOd2R3QWlVbnZaYkRZVElEMDlYVDhyNm9pNzdyckwzOWZYZDdkaEdLM2RIWXZVV3VlQkJOTTBWeHVHOFNGVWJWSTJlL1pzYnJqaEJwNTQ0Z2xDUTBONThjVVhtVGx6Sm12WHJ1WEdHMjkwdHN2UHorZTk5OTRqT0RpWUhqMTZFQllXUmtwS0N0T21UV1AwNk5FdTU3eTBiTXVXTFV5ZVBKbmx5NWZUdkhsemhnMGJ4b2tUSjByRmNlTEVDWktUazUzSjdTK2RQMysrekdFSm4zenlDWDUrZmhRVkZlRndPRnpxd3NMQ2lJdUxvMlhMbGk3bDN0N2VGWHM0NVFnTkRRWHE3czlzOWRTS2lJaFQvZnIxbXlpaGxTc3hUZE1DTkRGTjgyYTRPRlNncXB3N2Q0NTE2OWJ4OTcvLzNWa1dIUjFOZkh3OEd6ZHU1STkvL0tPejNOZlhsK2VlZXc2NCtLZi9ramdTRXhPZENXeFJVUkZ4Y1hIczNMa1R1OTJPbDVjWEgzendBVVZGUll3WU1ZTEpreWZ6M252dmxSbExTVEtibkp4TWZuNCtaOCtlNWRaYmJ3VXVKdFMvL2UxdnJ6Z3NvVjY5c2xNc0x5K3ZLa3RpeFpXU1doRVJLY1UwemNNWkdSbEtidXVJa0pDUTVZWmhQSHlGSm5tbWFTYVpwcmsySnlkbjljR0RCODhDMkd5Mk9WVVp4M3Z2dlVkNGVEZzMzWFNUczh4cXRUSjU4bVFHRHg1TTY5YXRYWHBPUC9qZ0F4d09CMUZSVVRSdTNOaFo3bkE0MkxKbEMrKzk5eDYvK3RXdm1EVnJGdDdlM256NDRZZmNkdHR0WkdWbE1YcjBhTDc4OGt2R2p4OWZibHpKeWNtOC9mYmJiTml3b1NwdlY2cVlrbG9ScVpWc050dFc0QUYzeDFHYm1LYVptcEdSb1cxcXBhYmtBRnROMDF4OTh1VEpqN096czg5WDU4VysrT0lMTm0zYXhPclZxMHZWdFc3ZG1rbVRKdkhpaXkveTJtdXZPVmM3MkxGakIxRlJVUnc0Y0lCV3JWbzUyei8wMEVNRUJRVXhiZG8wMnJScHcvbno1emwxNmhSejU4NWx5WklsN05peGc3Q3dNSHg4Zk9qYnR5OWJ0bXpoeGh0djVPdXZ2K2JKSjU4RUxxNWRXK0xycjcvR1pyT1ZpcXRrVllVU3p6enpESDM3OXEyS3h5SFhRRW10aU5SV1NtaC93VEFNVGEyV2FtV2E1aG5ETURZRHEzSnljdFpYNTRvSGwvcisrKzhaUDM0OEV5ZE9wR0hEaG1XMmlZaUlZTXlZTVl3Wk00YW5uMzZhUG4zNnNHZlBIdDU0NHczbXpwMUxTRWlJcysxYmI3M2xNbTQxS1NtSjlQUjAzbnp6VFpvM2J3NWNISnJ3M0hQUHNYanhZdjcydDcveDJXZWZFUmNYeC9mZmY4K21UWnY0OHNzditmcnJyN25ycnJ2WXZIa3pUWm8wSVQ4L0gxOWZYNWZ6U3UyaHBGWkVhalhOQ3I2b1pBS0lTSFV3REdPencrRll0bXZYcm44QVJUVjkvYSsrK29yQmd3Y1RIaDdPaFFzWDhQTHk0dkRodzNoNWVibU1UWDN3d1FkcDBxUUpQajQrZlBycHB3UUhCMk9hSnA5ODhnbkxsaTBETG81bGJkS2tpY3Y1ZCszYVJldldyVjArUjU5KytpbWhvYUcwYXRVS3d6QW9LaXBpenB3NUhEaHdnTTJiTi9PWHYveUYyTmhZMnJkdnozLy85MzhURkJSRVRFd01RNFlNb1gzNzltWGVSMkZoSVZhckZjTXdTazBTSzFGY1hFeHhjZW45TGF4VzYxVS9OM0dscEZaRVJLU09TMDlQWCtUTzY1Y3M1d1d3Wk1rUzVzMmJoOFZpWWRDZ1FjN2x1a3JjZDk5OUFNVEZ4ZkhiMy82V3VMZzRJaUlpdU8yMjI1em42dCsvUHpmY2NBTndjWHh0WUdBZ3c0WU5jem5QdmZmZVM0Y09IWUNMbXloRVIwZmo3ZTNOaFFzWEdEVnFGQkVSRWR4NDQ0Mjg5TkpMTEZxMGlDWk5tdENoUXdkV3JWckYzTGx6OGZiMmRtNEtZUmlHTTFGZHNXSUZHUmtadlBubW0yWGU2NEFCQThvczF6L2dLNjlPTHZrZ0loWGp6aVc5U3E2dEgvUVgxZFJTUGZmY2MwOHJpOFZ5U0JQRnBDS3E0M05hWEZ4TVFVRUJQajQrVit5OUxDb3FvcUNnQUt2VlNuRnhNUTBhTktqd05WSlRVeXUwVVlMZGJ1ZlVxVk0wYTlic3NtMGNEZ2VtYVRwWFgvaGxFbDZUdEtTWGlJaUlTQzFodFZwZHhxMWVUcjE2OVM2N2JGWjVLcnJ6bDdlMzl4VVRXbkJ2RWl1dTlFNklpSWlJaU1kVFVpc2lJaUlpSGs5SnJZaUlpSWg0UENXMUlpSWlJdUx4TkZGTWFveHBtdG9ocXZaS05ReERPMVdKaUlqSFVrK3QxQ1FsdExXWGRxb1NFUkdQcHFSV1JFUkVSRHlla2xvUkVSRVI4WGhLYWtWRVJFVEU0eW1wRlJFUkVSR1BwNlJXUkVSRVJEeWVsdlFTRVJHUlNna05EWFYzQ0NMcXFSVVJFWkZyWTVwbXFydGprRkwydWpzQWQxRlByWGdraDhQQm5qMTcyTHAxSzZOR2phSmV2WHFsNnQ5NTV4MFNFaEl3VFpOKy9mb3hZc1FJRE1NQVlQLysvYnp6emp2czJiTUgwelFKRFExbDlPalJ0R2pSb2tMSFY3YStJa2FNR0VISGpoMFpQSGh3VlR3eUVaRXFsNUdSb1UxYnBOWlFUNjE0cEI0OWVqQjI3RmlXTDErT3crRW9WYjlreVJLU2s1TlpzV0lGc2JHeEpDUWtFQjhmRDBCK2ZqN0RoZzBqT0RpWWpSczNrcGlZU01PR0RYbm1tV2NxZEh4VjFHZGxaZEczYjEvc2RudVo5NWVWbFVWR1JnWjkrdlNwOUxNU0VSR3BDNVRVaWtlYU9YTW1iNzMxMW1YclY2OWV6Wi8rOUNkdXVlVVdnb0tDNk51M0wrdlhyd2NnT3p1Ym5Kd2NCZzBhaEwrL1A0MGFOU0k2T3BxalI0OWltbWE1eDFkRi9kbXpaOG5LeXJwcy9DdFhyaVF5TXBLQWdJQnJma1lpSWlKMWlVY1BQN0RaYkZ2UjFxdTFpbW1hcVRYeDU2aTJiZHZ5MVZkZmxWbDMrdlJwamg4L1RydDI3Wnhsd2NIQnJGNjlHb0RXclZ2VG9rVUxaczJheGRpeFk4bkx5MlBCZ2dWRVJVVmhHRWE1eDFlMkhtRElrQ0VBaElXRkFaQ1dsdWFzeTgvUFo5MjZkU3hhdE1oWmxwcWF5dHR2djAxbVppWk5telpsL1BqeHptTkZSRVRFODN0cWxkRFdNb1poZEhKM0RLZE9uUUtnY2VQR3pyTEF3RUJ5YzNOeE9CeDRlWGt4Yjk0OERoMDZSTStlUFltT2p1Yk9PKzlrL1BqeEZUcStzdlVBaXhjdkJpQWxKY1Vsb1FWSVNFZ2dPRGlZTm0zYU9Ndnk4dktZTUdFQzI3WnRJenc4bktsVHAxYnVJWW1JaUZ4blBMcW50c1F2a3dKeGo5cXlwRXR4Y1RFQUZzdC8vczFtc1ZoY0ptbnQyTEdEQXdjT01IRGdRQTRkT2tSaVlpTGg0ZUYwNnRTcDNPTXJXMzhscG1teWF0VXFSbzRjNlZJZUVSSEJoUXNYeU16TXhNL1BqNk5IajFKVVZGUnFncHlJaUVoZHBkK0ljdDBwR1lkNjl1eFpHalJvQU1EUFAvOU1ZR0FnRm91RjNOeGNwazJieHFSSmsraldyUnNBTTJiTVlNcVVLY1RIeDVkN2ZHWHJyeVFsSllYQ3drSzZkdTNxVWo1cjFpd1NFaEpvMzc0OVBqNCtBR1ZPa0JNUkVhbXJQSDM0Z1VncHpabzF3OS9mbjMzNzlqbkw5dTNieDkxMzN3M0FEei84UUVGQmdVdlBjcGN1WFRoNjlDZ09oNlBjNHl0YmZ5VnhjWEVNR0REQUpmbk56czVtOGVMRnpKczNqK25UcDlPclY2K3JmU1FpSWlMWFBTVzFjdDJ4V0N6MDZ0V0wyTmhZVHAwNnhjR0RCMW16WmcwUFBmUVFBTGZmZmpzQkFRRXNXTENBbkp3Y1RwNDh5YkpseTdEWmJGZ3NsbktQcjJ3OS9LYzNlZGV1WGVUazVBQnc1TWlSTXBmeEtpb3FBdURZc1dQazVPU3dZc1dLNm4yQUlpSWlIa2pERDhRalhkckxldWtxQUNYanE0Y1BIODZVS1ZQbzNiczMvdjcrREIwNjFObXVmdjM2ekp3NWsyblRwdEc5ZTNkOGZYMzU5YTkvemNTSkU1M251ZEx4VlZIZnNtVkwrdlhyeDZoUm8vRHo4MlB6NXMzT1piejgvZjFkN3JWVnExYkV4TVF3ZXZSb21qWnRTa3hNRE51M2I2K2lKeWtpSW5KOXFQajJScldReldZelFSUEZhb3VTUkRNOVBiM003eXV6WkJGWUtTVS9QNS9JeUVoaVkyTmRWajJvU1VZWk05bEtQbU9YZTArcmt6N2Zyc3I3ZkZXVmUrNjVwNVhGWWpsa211YmhqSXlNMXRWNUxSR1JxcVNlV3BGYXdOZlhsNlNrSkhlSElTSWk0ckUwcGxaRVJFUkVQSjZTV2hFUkVSSHhlRXBxUlVSRVJNVGpLYWtWRVJFUkVZK25wRlpFUkVSRVBKNlNXcWxKcWU0T1FDNXJyN3NERUJFUnFRd3Q2VlhESEE0SCtmbjVuRHQzanJObnovTHp6ei9UdVhObmQ0ZFZJd3pEcUJzM0tpSWlJalZPU1cwMWVQMzExMHV0T1RwdTNEakdqaDFMNDhhTjhmUHp3OS9mbjhEQVFKbzBhVUxIamgyeFdDemNmLy85RmI1R2t5Wk5XTE5tVFZXSExpSWlJdUtSbE5SV2d4ZGZmSkhJeUVnbVRweElRa0lDQU11WEw2ZHo1ODY4L2ZiYmx6M3Uwa1I0K2ZMbGJOdTJqYmx6NTFaN3ZDSWlJaUtlVG1OcXE4bk9uVHVKaUlod3ZzN096dWEyMjI1enZoNDJiTmhsanoxLy9qeC8vL3ZmZWZiWlo2czFSaEVSRVpIcmhaTGFhdkt2Zi8yTDNyMTdPMThmUG56WUphbmR2WHYzWlkrZE0yY09Eejc0SVAvMVgvOVZyVEdLaUlpSVhDODAvS0FhZlBmZGQzenp6VGU4OE1JTEFCUVhGMU5RVU1EQWdRUExQZmFMTDc1ZzVjcVYzSERERGF4WXNhTE1ObGFybFU4Ly9iUktZNjVLTnB2TmRIY01JaUlpVXJjb3FhMEd5NWN2eHpBTTUwU3UzcjE3Yy9Ma1NWNSsrV1hxMWJ2NHlPMTJPNUdSa1FDODhzb3JkT3JVaWNPSER6TjE2bFJNMDJUYnRtMlhQWC9Iamgyci95WkVSRVJFUElpUzJpcm1jRGpJenM3bTVwdHZkaWxQUzB0emVSMFdGc2JHalJ1ZHI3Ly8vbnVlZXVvcC92clh2eko4K1BBYWliVzZwS2VuRys2T1FhcUdldDFGUk1SVGFFeHRGYk5ZTE15YU5RdkRLSjNYdmZycXE2U20vbWYvZ2M4Kys0eE5tellCNE8zdHpkTlBQMTFuMXF3VkVSRVJxVXBLYXF1Qmo0OVBxYktmZnZxSlBYdjJjTTg5OXpqTDdycnJMbGF1WEFuQXJiZmVTcytlUFdzc1JoRVJFWkhyaVlZZlZLTUJBd1lBMExKbFN6NzY2Q1BHangrUHQ3ZTNzLzdtbTIrbVFZTUc3Tisvbjd2dXVzdmwyS3ZaaUVGRVJFU2tybE5TVzAwaUlpSjQvdm5uQVNnc0xHVERoZzIwYWRPR3dzSkNqaDgvemcwMzNBQkFuejU5eU1yS0twWFUvbkpIc2t0cG9waUlpSWlJS3lXMTFhUWtvUVh3OHZLaWQrL2V2UDc2NjZ4ZnZ4NXZiMjhlZmZSUkFCNTQ0SUZTeC83MXIzKzk0cm5mZXV1dHFnMVdSRVJFeE1NcHFhMUJMNzc0SWkrKytHSzU3YUtqbzY5WXI2RUpJaUlpSXE2VTFJcUl5RFV6VFhNclVQcFBUbElicEJxR29TVjFwTTdRNmdjaUlsSVpTbWhycjA3dURrQ2tKaW1wRlJFUkVSR1BwNlJXUkVSRVJEeWVrbG9SRVJFUjhYaEtha1ZFUkVURTR5bXBGUkVSRVJHUHA2UldSRVJFUkR5ZWtsb1JFUkVSOFhoS2FrVkVwTlp6T0J6TW1ER0RpSWdJd3NQRG1UbHpKcVpwWGxQYjA2ZFA4OElMTDlDbFN4Y2VlT0FCM24zM1haZjYvZnYzODlSVFQ5R2xTeGZ1dSs4K1JvNGN5WkVqUjY0cTNoRWpSckJreVpKcnUxa1J1U1pLYWtWRXBOWmJzbVFKeWNuSnJGaXhndUxFUWlNQUFDQUFTVVJCVk5qWVdCSVNFb2lQajcrbXRzOCsreXhXcTVVTkd6Ynd3UWNmc0dYTEZqNzY2Q01BOHZQekdUWnNHTUhCd1d6Y3VKSEV4RVFhTm16SU04ODg0encrS3l1THZuMzdZcmZieTd4K1ZsWVdHUmtaOU9uVHB3cWZnSWlVNTdyWUpqYzBOTlRkSVlpSVNEVmF2WG8xVHo3NUpMZmNjZ3NBZmZ2MlpmMzY5V1VtamxkcW01V1Z4ZGRmZjgyYmI3NUpRRUFBQVFFQkRCMDZsS1ZMbC9MNzMvK2U3T3hzY25KeUdEUm9FUDcrL2dCRVIwZXplZk5tVE5QRU1Bek9uajFMVmxiV1pXTmR1WElsa1pHUkJBUUVWTU9UcUYxc05wdTJTYTVsVE5OTXpjaklxSlBiSTN0MFQ2MXBtcW51amtGSzJldnVBRVRrK25MNjlHbU9IejlPdTNidG5HWEJ3Y0VjT0hEZ3F0c1dGQlFBWUJpR3M3NVJvMFprWm1ZQzBMcDFhMXEwYU1Hc1diT3cyKzM4OU5OUExGaXdnS2lvS09jeFE0WU1BU0FzTEt4VXAwcCtmajdyMXEwakppYkdXWmFhbXNvamp6eEM1ODZkNmRXckZ5a3BLWlY1SExXTkV0cGF4akNNT3JzOXNrZjMxTmJWZjRtSWlOUWxwMDZkQXFCeDQ4Yk9zc0RBUUhKemMzRTRIRmdzbGdxM0RRb0s0dFpiYitYZGQ5L2xoUmRlNE1LRkN5eGF0QWk3M1U1eGNURmVYbDdNbXplUGNlUEcwYk5uVC9MejgrbmR1emZQUGZlYzgzeUxGeTlteUpBaHBLU2s0TzN0N1JKclFrSUN3Y0hCdEduVHhsbVdsNWZIaEFrVHVPT09PNWcxYXhaVHAwNGxJU0doYWgrU202V2xwYms3QkVGL3VmYm9ubG9SRWJuK0ZSY1hBN2drcnhhTHhhVzN0YUp0clZZcmI3LzlObGxaV1hUcjFvMmhRNGNTR2hxS3Q3YzNWcXNWZ0IwN2RuRGd3QUg2OSs5UGx5NWRTRXhNSkQwOXZkdzRUZE5rMWFwVkxyMjBBQkVSRVFRRkJaR1ptWW1mbng5SGp4NmxxS2pvS3ArQ2lKVEhvM3RxUlVUaytsY3lOdlhzMmJNMGFOQUFnSjkvL3BuQXdFQ1g1TFdpYmUrNDR3NFdMVnJrUEdidDJyVzBiTmtTZ056Y1hLWk5tOGFrU1pQbzFxMGJBRE5tekdES2xDbVhuWmhXSWlVbGhjTENRcnAyN2VwU1BtdldMQklTRW1qZnZqMCtQajdBeFJVYVJLUnFxYWRXUkVScXRXYk5tdUh2NzgrK2ZmdWNaZnYyN2VQdXUrK3VWTnNTbXpkdmRpYWlQL3p3QXdVRkJTNS94dTNTcFF0SGp4NHROeEdOaTR0andJQUJMb2wyZG5ZMml4Y3ZadDY4ZVV5ZlBwMWV2WHFWZjhNaWNrMlUxSXFJU0sxbXNWam8xYXNYc2JHeG5EcDFpb01IRDdKbXpSb2VldWloYTJxN2UvZHVjbk56eWNuSlljNmNPUnc4ZUpDQkF3Y0NjUHZ0dHhNUUVNQ0NCUXZJeWNuaDVNbVRMRnUyREp2TjVreFdTM3FEZCszYVJVNU9EZ0JIamh3cGN4bXZrbUVHeDQ0ZEl5Y25oeFVyVmxUOUF4SVJRRW10aUloNGdPSERoM1BISFhmUXUzZHZubnJxS1lZT0hVcFlXQmdBUC83NEkzMzc5blgycEY2cExVQlNVaEpSVVZIMDdObVRBd2NPTUgvK2ZCbzJiQWhBL2ZyMW1UbHpKbDk5OVJYZHUzZG53SUFCMUs5Zm42bFRwenFQYjlteUpmMzY5V1BVcUZIMDc5OGYrTTh5WGlYTGdKVm8xYW9WTVRFeGpCNDltc0dEQi9PYjMveW1XcCtUU0YxV2VwUzlpTWovc2Rsc0prQjZlbnFOLzZ3b3ViWm1WVjlVOHVmdzZuNHY3cm5ubmxZV2krV1FhWnFITXpJeVdwZlgzcnpjdGw1MVNINStQcEdSa2NUR3hycXNlbEFiR0dYTnBxdEMrcHpXTGpYMWM2SzIwa1F4RVJHUlN2RDE5U1VwS2NuZFlZalVlUnArSUNJaUlpSWVUMG10aUlpSWlIZzhKYlVpSWlJaTR2R1UxSXFJaUlpSXgxTlNLeUlpSWxJTzdRSlgreW1wRlJHUnlraDFkd0J5V1h2ZEhVQmxMRnk0a1B6OC9ITGJMVml3Z0t5c3JLczY5K1RKay9uMjIyK3Y2cGo3N3J1dlZGbkhqaDFkL3Y5TE9UazVIRDU4MktYc3l5Ky81T0RCZzFkMWJha1lMZWtsSWlMWHpEQ016dTZPUVNvdkpDVGtRZE0wVCszYXRlc0xvTmpkOFJ3NGNJRDQrSGdlZSt5eEs3WXIyVEZ1MEtCQnpyTFEwRkFhTjI3czB1N2N1WE9rcEtRQXNIZnZYbmJ2M3MzNDhlTUJDQXNMSXpBd3NOUzVjM056U1U1T3J0UjluRGx6aGlWTGx2RFNTeTg1eStiTW1jTVRUenhCVUZCUXBjNHRwU21wRlJFUmtSaUx4Zkp3U0VqSUNjTXdWamdjam8rdFZ1djJ0TFMwd3BxNCtGZGZmY1h3NGNPZHIvUHo4N25oaGhzSUR3Ky83REZKU1VuTW56K2Y0Y09IazUrZnp5dXZ2TUx3NGNQeDl2Wm04K2JOTG0wdjNWSHU3YmZmWnN5WU1XUm1adEtnUVFPS2lvcll1SEZqcWZPWEhPTndPQ2paWTZTNHVCaXIxVnJ1L2Z6NDQ0L0F4UjNxZ29LQ25LL1BuVHRIWm1ibVpYdDJwWEtVMUlxSWlBZ0FobUUwQlVaWkxKWlJEb2ZqVEVoSXlDcUh3N0UyTHk4djZidnZ2aXVvcnV1MmE5Zk91WUZGZW5vNjA2Wk40NE1QUHNEYjIvdXl4NlNscFhINjlHbWlvcUtZUEhreW1abVozSHp6elZlOHpzY2ZmMHp6NXMxcDM3NDlBd1lNNElVWFhpZzN0dVhMbHhNWEY0ZmRicWQzNzk1TW56NmR4eDkvbk9KaTF3N3RraVM0YTlldUhEcDBDSURNekV6YXRHbERRa0lDQUg1K2ZoUVdGdEs5ZTNjQTh2THk4UFgxSlRBdzBObEdycDJTV2hFUkVTbkZNSXpHd0RDcjFUb3NJQ0FnSnlRazVHUGdJN3ZkL3VuWFgzOTlyanF1K2NNUFB6QjI3RmhuQWxtVzlldlhZN0ZZaUl1TEl6czdtMGNlZVlUdnZ2dU9oUXNYVXE5ZVBZcUtpaGcxYWxTWnh5NWR1aFM3M1U2L2Z2MW8zYm8xWGJ0MkxUZW1RWU1HTVdqUUlNTEN3a2hNVEFSd0RrdTR0TWUxWkhoRENkTTBDUXNMWTlXcVZRQnMzYnFWQ1JNbU1HalFJSjUrK21rQXVuVHB3aWVmZklLdnIyKzVjVWo1bE5TS2lJaVRhWm9OVE5QRU1JeFdOcHZOZEhjOFVtc0VHSVl4R0JqczQrTnozbWF6SlppbXVib3FMM0RreUJGR2pCakJtVE5uU0V0TEs3Tk5hR2lvY3lqQUs2KzhRcjE2OVJnNWNpUVBQL3d3N2RxMUE4QnF0VEp5NUVpWDQwckczQzVhdElpelo4OHljT0JBeG93WmM5VXhabVptMHJoeFl4bzFhbFJ1MjhMQ1Fnb0xDN24vL3ZzQkdEMTZOQys5OUJLZmZ2b3BBQ2RPbk1EWDExY0piUlZTVWlzaUlwZHFaQmlHdTJPUVdzdzBUUXZReERUTm13R3E0dnNsSXlPRDU1OS9uaEVqUnZEcXE2OFNIUjFkN2pHK3ZyNXMyclNKbkp3Y2wvRzRobUhRcGsyYk1vOEpDQWpnMVZkZjVlR0hINlpseTViTzhzakl5Q3RlNjkvLy9qZDJ1NTNubjMrZVdiTm1FUlVWVmFwTnlmQ0Q4ZVBIMDZ0WEx5NWN1TUJOTjkzRUo1OTh3b01QUG9qTlpxTlpzMllzWGJxVTR1SmlVbE5UQ1FrSktmYytwZUtVMUlxSVNDbW1hUlpsWkdSNHVUc09xUmtoSVNITERjTjQrQXBOOGt6VFRESk5jMjFPVHM3cWd3Y1BuZ1d3Mld4enF1TDZGb3VGUVlNRzBiZHZYMTU5OVZYbm4vbC9LVFEwMVBsMVZsWVdVNmRPNWRGSEgyWGx5cFdZcHNrZi8vakhLMTVueTVZdDdOeTVrOS84NWpmODdXOS9JeVltaG1iTm1oRWZIMStxYmI5Ky9ZQ0xTNFp0MnJRSkx5OHZQdnJvSTZ4V3EzT293WldHSC96MDAwL09IdDBMRnk1UXYzNTlBTzY2Nnk3KytjOS9zbXJWcW5KWGQ1Q3JvNlJXUkVSRXlwSURiRFZOYy9YSmt5Yy96czdPUGw5ZEYrclFvUU1kT25TNHFtT09IejlPY0hBd1AvNzRJODJiTnljNE9CZ0F1OTErMlo3ZS9mdjMwNlpORzc3NTVodmF0R2xEbzBhTmlJK1BKekV4a1R2dXVJTzJiZHV5WThjT0dqWnN5Sm8xYXdEbzA2Y1Bqei8rT0wvNXpXOHF0UEpCaVNOSGpqaVg3VHAvL2p3TkdqUUE0TUVISDJUa3lKRzBhTkdpUW1ONnBlS1UxSXFJaUFnQXBtbWVNUXhqTTdBcUp5ZG5mWFd1ZUhBbGw1c2tkcWxPblRyUnFWTW40T0o2c0NVYkduaDdlNWZxNlMwWkdsQXlRUXN1THE5VldGaElWbFlXYjc3NUpnc1hMblNlNitXWFgyYkpraVhjY3NzdDNIampqUzdubWp4NU1oczJiQ2dWVDhrMW1qUnBRbUppSXA5OTlobWRPblhDNFhCUVdGam9YTW5CeDhlSGdvSUNtamR2N2h3ZkxGVkRTYTNVR05NMHR3SVB1RHNPS1ZPcUZ0RVhxYnNNdzlqc2NEaVc3ZHExNng5QWtidmpLV3M0QUxnT1A5aTRjU01mZi93eEowNmM0S2FiYnFKZHUzYmNlKys5Vnp6dmhnMGIyTDE3Tjd0Mzd5WXZMNDh4WThidzFsdHY4ZHh6ejNIbm5YY0NFQjBkemJmZmZzdXp6ejVMYkd5c2M5aEFpWWtUSnpKeDRrVGc4c01QL3YzdmYvUFBmLzZUVWFOR2NlVElFZWZtRGw5KytTVmp4b3hoM0xoeHJGNjltai85NlUvOHYvLzMvN2pycnJ1dTR1bkk1U2lwbFpxa2hMYjI2dVR1QUVURWZkTFQweGU1TzRiTE9YSGlCSVdGaGZ6d3d3OTRlM3Rqc1ZnQWFOKytQZTNhdGVPMjIyNERvSHYzN2lRa0pHQzMyNTNyd0phdzIrMk1IRG1TRGgwNmNQZmRkL1BvbzQvU3NHRkRubnJxS2JwMjdVcWZQbjFjMm84YU5ZcWhRNGN5ZWZKa1hubmxGUzVjdU9DOGJubnk4dklZT1hJa1R6NzVKRnUzYnVYVlYxOGxKaWFHUllzV0VSc2J5MHN2dlVUMzd0M3AwYU1IcjcvK09nTUhEcVIvLy82TUd6ZXVDcDVXM2Fha1ZrUkVSR3F0NU9Sa2xpMWJocmUzTjA4Ly9iUnp0WVhtelp1N3RQdmxMbUxsT1hQbURGMjZkT0h4eHg4dlZXZTFXbm45OWRjNWR1d1ljK2ZPWmVuU3BXV3VlUERrazArNi9CK2dRWU1HVEpzMmpRNGRPbUNhSmoxNjlNRGIyNXVNakF6bXo1OVAyN1p0Z1l1N2piM3l5aXYwN3QyNzFMM0l0ZEc2TFZKalRBMGVxdFdNTXRibEtWbW5ORDA5dmNaL1ZwUmMrM0xyVmRZMUpYOTJyZTczb2tPSERsMnNWdXMyclg0Z0ZhSFBhZTFTVXo4bmFxdUs5YVdMaUlpSWlOUmlTbXBGUkVSRXhPTXBxUlVSRVJFUmo2ZWtWa1JFUkVROG5wSmF1Uzd0MzcrZnA1NTZpaTVkdW5EZmZmY3hjdVJJamh3NTRxeDNPQnpNbURHRGlJZ0l3c1BEbVRsenBzc2kySld0cjRnUkkwYXdaTW1TeXQrc2lJaUlLS21WNjA5K2ZqN0RoZzBqT0RpWWpSczNrcGlZU01PR0RYbm1tV2VjYlpZc1dVSnljaklyVnF3Z05qYVdoSVFFbDhXK0sxdWZsWlZGMzc1OXNkdnRaY2FZbFpWRlJrWkdxYlVSUlVSRTVOb29xWlhyVG5aMk5qazVPUXdhTkFoL2YzOGFOV3BFZEhRMFI0OGVkZmFtbHV6a2Nzc3R0eEFVRkVUZnZuMVp2MzY5OHh5VnJUOTc5aXhaV1ZtWGpYSGx5cFZFUmtZU0VCQlFEVTlBUkVTazd2SG96UmRzTnB1MlhhMWxUTk5NemNqSWNPdDJxNjFidDZaRml4Yk1taldMc1dQSGtwZVh4NElGQzRpS2lzSXdERTZmUHMzeDQ4ZHAxNjZkODVqZzRHQldyMTROVU9sNmdDRkRoZ0QvMlF2ODBqVWM4L1B6V2JkdUhZc1cvV2NEbjlUVVZONSsrMjB5TXpOcDJyUXA0OGVQZHg0cklpSWk1ZlAwbmxvbHRMV01ZUmh1MzI3Vnk4dUxlZlBtY2VqUUlYcjI3RWwwZERSMzNua240OGVQQitEVXFWTUFORzdjMkhsTVlHQWd1Ym01T0J5T1N0Y0RMRjY4R0xpNEYvZ3ZGeVZQU0VnZ09EaVlObTNhT012eTh2S1lNR0VDMjdadEl6dzhuS2xUcDFiVjR4QVJFYWtUUExxbnRvUjJNcWtkU25ZeXFRMTI3TmpCZ1FNSEdEaHdJSWNPSFNJeE1aSHc4SEE2ZGVwRWNYRXhnTXMrM2hhTHhibjFZbVhycjhRMFRWYXRXc1hJa1NOZHlpTWlJcmh3NFFLWm1abjQrZmx4OU9oUmlvcUtxRmZ2dXZpSWlvaUlWRHY5eHBUclRtNXVMdE9tVFdQU3BFbDA2OVlOZ0JrelpqQmx5aFRpNCtPZDQxalBuajFMZ3dZTkFQajU1NThKREF6RVlyRlV1djVLVWxKU0tDd3NwR3ZYcmk3bHMyYk5JaUVoZ2ZidDIrUGo0d1BnN1BVVkVSR1I4aW1wbGV2T0R6LzhRRUZCZ1V2UGNaY3VYVmkyYkJrT2g0Tm16WnJoNysvUHZuMzdhTmFzR1FENzl1M2o3cnZ2QnFoMC9aWEV4Y1V4WU1BQWwrUTNPenVieFlzWHMzcjFhb0tDZ2toSlNlRWYvL2hIMVR3TUVaRWFVSnYrVWlkMWw2ZVBxUlVwNWZiYmJ5Y2dJSUFGQ3hhUWs1UER5Wk1uV2Jac0dUYWJEWXZGZ3NWaW9WZXZYc1RHeG5McTFDa09IanpJbWpWcmVPaWhod0FxWFE4NGUzTjM3ZHBGVGs0T0FFZU9IQ2x6R2EraW9pSUFqaDA3Ums1T0RpdFdyS2oyWnlRaVVoVk0wMHgxZHd4U3lsNTNCK0F1NnFtVjYwNzkrdldaT1hNbTA2Wk5vM3YzN3ZqNit2THJYLythaVJNbk90c01IejZjS1ZPbTBMdDNiL3o5L1JrNmRLakxhZ09WclcvWnNpWDkrdlZqMUtoUitQbjVzWG56WnVjeVh2NysvaTd4dG1yVmlwaVlHRWFQSGszVHBrMkppWWxoKy9idDFmaUVSRVNxaHJ0WHV4RzVWUGt6VzJveG04MW1naWFLMVJZbGYzNUtUMDh2OC92S3ZOb3R0NjRqK2ZuNVJFWkdFaHNiNjdMcVFXMWlsREhUcmVRemRybjN0RHJwOCsycXZNOVhWZW5Rb1VNWHE5VzZ6VFROb295TURLL3F2SmFJU0ZWU1Q2MUlEZkQxOVNVcEtjbmRZWWlJaUZ5M05LWldSRVJFUkR5ZWtsb1JFUkVSOFhoS2FrVkVSRVRFNHltcEZSRVJFUkdQcDZSV1JFUkVSRHlla3RvYXRHL2ZQdXJ3cWxZaUlpSWkxVVpKYlEzNjR4Ly9TR0ZoWVpsMVI0NGM0ZGl4WXpVY1VZM1R6ak8xVjUzYmdTWXVMZzRBMHpUNTRZY2ZBTmk1Y3lkSGp4NTF0dm4yMjI5ZFByTWRPM1lzZFI2NzNhNHRRa1ZFYWdFbHRXN21jRGdBMkwxN040TUdEV0xMbGkwQWhJV0YwYjE3OXpML3UvLysrOTBaOGpVekRLT3pJYlZWdStwNjMyMDIyK2NoSVNGSndJM1ZkWTFyOGY3Nzd3Tnc4dVJKaGc0ZHlxRkRoemh4NG9TelBEczdtOGNmZjV6ZHUzZVhPdmJsbDEvbTg4OC9MMVZlVUZEQWlCRWpzTnZ0MVJ1OGlJaVVvczBYYXRqdTNidWR2VDJMRnkvbThPSER2UHp5eTBSSFI5TzhlWE5tejU1TjE2NWRBZGk4ZVhPWjUvRFVwRmJxSnRNMGJZWmhlSVdFaEp3MERLUFlOTTIwL1B6OG1QMzc5eDl5ZDJ3QVRaczI1ZW1ubjJiNzl1MzA3OStma3lkUFlyZmJHVHQyTE5IUjBkeDc3NzJsamdrTEMyUFNwRWw4K09HSDFLdjNueCtqOGZIeFdLMVd2TDI5YS9JV1JFUUVKYlhWSWpFeGtkZGZmOTM1MmpBTXRtM2JCc0RLbFN2cDJMRWpIMzc0SVV1WEx1WGRkOThGNE15Wk00U0VoTEJ3NFVLM3hDeFMzWXlMdS9CYURjUG8xS0JCZzRQMzNIT1B3ekNNdlNkT25CaDg5T2pSMHQyaDFXVEpraVdzV0xHQzNOeGNJaU1qT1hIaUJMZmRkaHNBcTFldkJ1Q2pqejRpTHkrUG5Kd2N0bS9mam8rUEQzYTdIWWZEUWUvZXZZbVBqK2Zqano5bTd0eTVqQmd4QXJqWVM3dGt5UkptejU1ZFU3Y2lJaUtYVUZKYkRhS2pvNG1PamdiZzRNR0RqQnMzemxtM2I5OCtYbnZ0TlhiczJNSDgrZk1KQ2dyaXpKa3pEQjQ4bUg3OStqRmt5QkFzbG91alFpSWpJOTBTdjBoTnNGejhSbTkvODgwMzcycmF0S25wY0RnT0ZCVVZQZmIxMTE5dnI4N3JEaDQ4bU1HREIvUEFBdyt3Y2VOR0huamdBZUxqNHkvYi9vRUhIaUFoSVFHNE9LYTJwTzI0Y2VNb0tDaTQ5SDRZTjI0Y3JWcTFxczd3UlVUa01wVFVWck1OR3piUXZYdDM1K3MvL2VsUHpKdzVrN1ZyMTNMampSZUhHRFp1M0poVnExYngzbnZ2c1duVEpucjA2QUhBeG8wYm1UWnRHcU5IajNZNTU3UnAwMnJ1QnE2QnpXYlRFZy9YbWVwK1R3M0RNS3hXNjM5WnJkYmtrSkFRMHpUTnc5VjV2Ukk1T1RuTW5qMmJ5TWpJTW9jTTJPMTJQdmpnQTVjeTB6UVpNR0JBcVltZEVSRVJ6cStUazVPckoyQnE3dk5sR0VhOWtKQ1EweGtaR1UxcTRub2lJcFdsaVdMVjZOeTVjNnhidDQ3ZXZYczd5NktqbzJuWnNpVWJOMjUwYWV2cjY4dHp6ejFIang0OUtDNHVMdmxUTFltSmljNDJSVVZGL1AzdmYyZm56cDJhaUNMWEpkTTArYitKYTQycjZ4cmZmLzg5czJmUDV1elpzenp4eEJNVUZ4ZVRuNTlQZkh3OGE5ZXV4Y2ZIaC9qNGVPTGo0OG5QejZkRml4YWNPWE9HYmR1Mllab21mLzd6bjFtOWVqWEp5Y2trSnlmejZhZWZBamhmVjJkQ1c5T3E4MzBRRWFscTZxbXRSdSs5OXg3aDRlSGNkTk5OempLcjFjcmt5Wk1aUEhnd3JWdTNwa3VYTHM2NkR6NzRBSWZEUVZSVUZJMGIvK2QzaWNQaFlNdVdMYnozM252ODZsZS9ZdGFzV2JWNklrcDZlcnJoN2hpa2FsemFLM2l0NzJ0SVNJamRNQXl2Y3BxWndKbkN3c0pIOSs3ZHUvNlgxNjVLQ1FrSkZCUVUwTEJoUTFhdFd1VlM5OU5QUHhFWUdPaFNkdjc4ZVFZTkdvVE5ac013REdiT25Ga2RZVlZZVFh5Kzdybm5ubFlXaTZWV1RPUVRFYWtvSmJYVjVJc3Z2bURUcGszT2lTZVhhdDI2TlpNbVRlTEZGMS9rdGRkZWM2NTJzR1BIRHFLaW9qaHc0SURMdUx5SEhucUlvS0FncGsyYlJwczJiVGgvL2p3T2g4TTU5bGJFMC94Zmo2eHBtdVp4aDhQUlovZnUzVFcyaG5ISnhLNE5HemFVcXZ2cXE2OUlUMDkzS2F0ZnY3Nno3VC8rOFE5OGZYMEpDd3NyZGV5bFpZR0JnYVgrR2lNaUl0VkxTVzAxK1A3Nzd4ay9mandUSjA2a1ljT0daYmFKaUloZ3pKZ3hqQmt6aHFlZmZwbytmZnF3Wjg4ZTNuampEZWJPblV0SVNJaXo3VnR2dlVYTGxpMmRyNU9Ta2toUFQyZjgrUEhWZmk4aVZjdzBUZlBJNmRPbkk3T3lzdmE1TzVnU2d3Y1BCbUQ3OXUwRUJBUzRsRy9kdXBYZzRHQnV2ZlZXWjNsS1NvcnphN3ZkVGxoWW1FdVppSWpVUENXMTFlQ3JyNzVpOE9EQmhJZUhjK0hDQmJ5OHZEaDgrREJlWGw0dWExbysrT0NETkduU0JCOGZIejc5OUZPQ2c0TXhUWk5QUHZtRVpjdVdBVkN2WGoyYU5IR2RwN0ZyMXk1YXQyNWRvL2NrVWduZkZ4Y1hPNHFMaTd2dDNidjNpTHVES2N1Zi92UW4vdmEzdjNIbm5YZnlyMy85aS9QbnoxTy9mbjBlZSt3eEJnNGN5UFBQUCsrUzFJcUlTTzJqcExZYWxDem5CUmZYeEp3M2J4NFdpNFZCZ3dhVkdqSnczMzMzQVJlMzdQenRiMzlMWEZ3Y0VSRVJ6blV6bzZPajZkKy9QemZjY0FOd2NYeHRZR0FndzRZTnE2RzdFYW1jakl5TU85MGR3NldPSGoxSy9mcjFzVnF0RkJZV2twU1VSR3hzTEMxYXRPRFpaNThsS3l1TFhyMTY0ZVhsUldGaElYZmVlU2QzM1hVWFAvMzBVNjBleXk0aVV0Y3BxYTFtanovK09JTUdEY0xIeHdlcjFYclpkcSsvL2pvRkJRVllyVmFLaTR1ZDVjOCsreXpQUHZ0c1RZUXFVaWZzMmJPSGlSTW4wcWRQSDQ0ZlA4NHJyN3pDbzQ4K3ltT1BQWVpoR0x6d3dndTg4TUlMTHNkRVJVWHgwMDgvdWF4a1VxSmV2WHFNR1RPbXBzSVhFWkhMVUZKYnpheFdLNzYrdnVXMnExZXZuc3ZRQkJHcEhwR1JrUzRibTJ6YXRJbjY5ZXRmOFppeUpwV1ZzRmdzUFBUUVExVVduNGlJWEJ0Tm54ZVJPcTI4aEZaRVJEeURrbG9SRVJFUjhYaEtha1ZFUkVURTR5bXBGUkVSRVJHUHA2UldSRVJFUkR5ZWtsb1JFUkVSOFhoS2FrVkVSRVRFNHltcEZSRVJFUkdQcDZSV1JFUkVSRHlla2xvUkVSRVI4WGhLYWtWRVJFVEU0OVZ6ZHdCVklUUTAxTjBoaUlqVVNhWnBiZ1VlY0hjY1VxWlV3ekE2dXpzSWtacmkwVDIxcG1tbXVqc0dLV1d2dXdNUWtScWxoTGIyNnVUdUFFUnFra2YzMUdaa1pPaGZvQ0lpSWlMaTJUMjFJaUlpSWlLZ3BGWkVSRVJFcmdOS2FrVkVSRVRFNHltcEZSRVJFUkdQcDZSV1JFUkVSRHlla2xvUkVSRVI4WGhLYWtWRXhPTTVIQTUyN2RyRjlPblRLU29xdW1MYnJLd3N4b3daUTBSRUJHRmhZUXdiTm95alI0OWUxZlZHakJqQmtpVkxLaE95aUZReEpiVWlJdUx4ZXZUb3dkaXhZMW0rZkRrT2grT0tiWk9Ta3JqMzNudUpqNDluL2ZyMWVIdDdNMkhDQkdkOVZsWVdmZnYyeFc2M2wzbDhWbFlXR1JrWjlPblRwMHJ2UVVRcXg2TTNYeEFSRVFHWU9YTW1oWVdGREJreXBOeTJBd2NPeEdLeHVMeCsrdW1uY1RnY1dDd1d6cDQ5UzFaVzFtV1BYN2x5SlpHUmtRUUVCRlJGNkNKU1JkUlRLeUlpSHE5dDI3WVZibnRwUWd0dzVzd1pHalZxNUN3dlNZekR3c0lJRFExMWFadWZuOCs2ZGV1SWlZbHhscVdtcHZMSUk0L1F1WE5uZXZYcVJVcEt5alhlaFloVWhwSmFFUkdwczRxS2lsaTJiQm45Ky9kM2xpMWV2QmlBbEpRVTB0TFNYTm9uSkNRUUhCeE1telp0bkdWNWVYbE1tRENCYmR1MkVSNGV6dFNwVTJza2RoRnhwYVJXUkVUcXJLbFRwMkt4V0hqc3NjZktiV3VhSnF0V3JYTHBwUVdJaUlnZ0tDaUl6TXhNL1B6OE9IcjBhTG1UMVVTazZtbE1yWWlJMUVrelpzd2dJeU9EQlFzVzRPM3RYVzc3bEpRVUNnc0w2ZHExcTB2NXJGbXpTRWhJb0gzNzl2ajQrQUNVTzFudGVtR3oyYllDRDdnN0R2a1AwelJUTXpJeU9yczdEbmRRVWlzaUluWE83Tm16U1U1TzV2MzMzNmR4NDhZVk9pWXVMbzRCQXdhNGpNbk56czVtOGVMRnJGNjltcUNnSUZKU1V2akhQLzVSWFdIWFJrcG9heG5ETURxNU93WjNVVklySWlKMXlyeDU4MGhLU21MKy9QbGxKclFscXhyczJyV0x0bTNiRWhBUXdKRWpSOGpJeUdES2xDa3ViVXVHR1J3N2Rvd2JiN3lSRlN0V1ZQOE4xRUsvSEhzczd2SExpWTExalpKYUVSSHhlSmYrTWc4TEMzTituWmFXeG84Ly9zaXdZY1A0NktPUHNGZ3N2UC8rK3dCMDc5N2Q1UndwS1NsNGUzdlRzbVZMK3ZYcng2aFJvL0R6ODJQejVzM09aYno4L2YxZGptblZxaFV4TVRHTUhqMmFwazJiRWhNVHcvYnQyNnZ4VGtYa2NneDNCeUFpdFpmTlpqTkx2azVQVDYvUm54Y2wxMVlQMEVVbFNWdE52QS8zM0hOUEs0dkZjcWdpMXpOTjA3eFMvZlVnUHorZnlNaElZbU5qWFZZOThBU0dZVlRyOTRzK3A3VkxUZjZjcUkzVVV5c2lJbklGdnI2K0pDVWx1VHNNRVNtSGx2UVNFUkVSRVkrbnBGWkVSRVJFUEo2U1doRVJFUkh4ZUVwcVJVUkVSTVRqYWFLWTFCalROTFh6VE8yVmFoaEduZHlCUmtSRXJnL3FxWldhcElTMjlxcXpPOUJJcGFXNk93QzVyTDN1RGtDa0pxbW5Wa1JFcnBsNitFV2t0bEJQcllpSWlJaDRQQ1cxSWlJaUl1VndPQnp1RGtIS29hUldSRVJFUE5hQ0JRdkl5c3E2cW1NbVQ1N010OTkrZTFYSDNIZmZmYVhLT25iczZQTC9YOHJKeWVIdzRjTXVaVjkrK1NVSER4NjhxbXRMeFdoTXJZaUlTQjBYRWhMeW9HbWFwM2J0MnZVRlVPeU9HSGJ1M01sVFR6MVZvYmFmZmZZWjlldlg1K0RCZzZ4WnM0WkJnd1k1NjBKRFEybmN1TEZMKzNQbnpwR1NrZ0xBM3IxNzJiMTdOK1BIandjZ0xDeU13TURBVXRmSXpjMGxPVG41V204SGdETm56ckJreVJKZWV1a2xaOW1jT1hONDRva25DQW9LcXRTNXBUUWx0U0lpSWhKanNWZ2VEZ2tKT1dFWXhncUh3L0d4MVdyZG5wYVdWbGhUQVhUczJKR2RPM2M2WHpzY0RqcDE2c1JubjMyR3I2OXZtY2ZNbnorZjRjT0hrNStmenl1dnZNTHc0Y1B4OXZabTgrYk5MdTNDd3NLY1g3Lzk5dHVNR1RPR3pNeE1HalJvUUZGUkVSczNiaXgxN3BKakhBNEhwbWtDVUZ4Y2pOVnFMZmRlZnZ6eFJ3RHExNjlQVUZDUTgvVzVjK2ZJek15OGJNK3VWSTZTV2hFUkVRSEFNSXltd0NpTHhUTEs0WENjQ1FrSldlVndPTmJtNWVVbGZmZmRkd1UxR1V0dWJpNWVYbDZYVFdqVDB0STRmZm8wVVZGUlRKNDhtY3pNVEc2KytlWXJudlBqanorbWVmUG10Ry9mbmdFREJ2RENDeStVRzhmeTVjdUppNHZEYnJmVHUzZHZwaytmenVPUFAwNXhzV3VIZGtrUzNMVnJWdzRkT2dSQVptWW1iZHEwSVNFaEFRQS9QejhLQ3d2cDNyMDdBSGw1ZWZqNitoSVlHT2hzSTlkT1NhMWNOdzRjT01EMDZkUFpzMmNQM3Q3ZVRKZ3dnVzdkdWxXbzN1Rnc4TTQ3NzVDUWtJQnBtdlRyMTQ4UkkwWmdHRWFWMUZmRWlCRWo2Tml4STRNSEQ2N0NweUlpY20wTXcyZ01ETE5hcmNNQ0FnSnlRa0pDUGdZK3N0dnRuMzc5OWRmbnF2djZXVmxaTkcvZS9MTDFjWEZ4Wkdkbjg4Z2pqL0RkZDkreGNPRkM2dFdyUjFGUkVhTkdqU3J6bUtWTGwySzMyK25YcngrdFc3ZW1hOWV1NWNZeGwwMVFJUUFBSUFCSlJFRlVhTkFnQmcwYVJGaFlHSW1KaVFET1lRbVg5cmlXREc4b1lmNy85dTQ3TEtvci94LzQrdzVOYWFJb3Nhd2xhbFlsbGpBRURZcDkyWVFFTUJKWGlTSmlRblExQ2xFVExCSFJxS3V4SmZZT1JOY29zSEVWV3hSUnNZU0lYd2FOU294dERjWFlGUVNFZ1puNys0UGYzRGd5TkNrekErL1g4K1I1TXZlY2MrK1pRZTU4T1BkenpoRkZ1THE2SWpvNkdnQVFIeCtQMmJObnc4L1BENTkrK2lrQXdNM05EVC8rK0dPcGdUdFZEb05hcWhNeU1qSXdidHc0akJrekJpdFdyRUJPVGc0S0Nnb3FYTDV0MnphY1BuMGFPM2Z1UkY1ZUhzYU5HNGMyYmRyZy9mZmZyNWJ5dExRMEJBY0hJeW9xQ3VibTVpWDZuNWFXaHBTVUZDeGN1TEFtUHlhaVNwUEw1YUsrKzBBR3dWWVFCSDhBL2hZV0ZzL2tjbm1zS0lveDFYWHlDeGN1SURBd3NNUnh0VnBkNnFQNmhJUUVtSnFhSWlnb0NCOSsrQ0c2ZGVzR0FEQXhNVUZRVUpCV1hVM09iVVJFQkxLeXNqQnExQ2lFaElSVXVwODNidHhBa3laTjBMaHg0M0xyRmhZV29yQ3dFUDM3OXdjQWZQSEZGNWd6Wnc2T0hUc0dBTGgzN3g0c0xTMFowRllqb3c1cTVYSTV0MTAxTUtJb0pxV2twTlQ2WXV6cjFxMkRtNXNiQWdJQ0FLREVUYUs4OHBpWUdFeVlNQUhObXpjSEFBd2RPaFFIRGh5UWd0S3FsbWRsWlpVNU96Y3FLZ29lSGg2d3RiV3R3cWRBVkQxTVRFd2VhM0lJaVY0a2lxSU1nTDBvaXE4QXFOUVRxZEwwNk5GREs1OFdBS1pNbVlLK2ZmdWlmZnYyNk5Hamg4N3JIRGx5Qk5uWjJaZzBhWkowVEJBRWRPalFRZWQxYkcxdHNXREJBbno0NFlkbzI3YXRkTnpEdzZQTS9sMjVjZ1ZLcFJMVHBrM0Q2dFdyOGU2Nzc1YW9vMGsvbURWckZyeTh2SkNmbjQ5bXpacmh4eDkvaExlM04rUnlPVnEyYkludDI3ZERwVkloS1NrSlRrNU9aVjZYS3Nlb2cxb3dvRFU0Z2lEVStuYXJLcFVLSjA2Y3dNcVZLMStxL09IRGg3aHo1NDcwVno0QU9EbzZJaVltcGxyS0FVakJ0T2FtbDV5Y0xKWGw1ZVZoMzc1OWlJaUlrSTRsSlNYaDIyKy94WTBiTitEZzRJQlpzMlpwVFhRZ3Frbkp5Y2xaY3JrY0FLQlFLS29lc1pEQmMzSnkrbDRRaEEvTHFKSXJpbUtDS0lyL3pjN09qcmw1ODJZV0FNamw4clUxMFovMDlIUWtKU1VoTEN3TWd3Y1BSbUppWW9tblhHbHBhVmkwYUJIR2pCbURxS2dvaUtLSTBhTkhsM25lbzBlUDR0eTVjK2pkdXpkV3JGZ0JYMTlmdEd6WkVudjM3aTFSMThmSEIwRHhrbUZIamh5Qm1aa1pmdmpoQjVpWW1FaXBCbVdsSHp4Ky9GZ2EwYzNQejBmRGhnMEJBSjA2ZGNMeDQ4Y1JIUjJOano3NnFKS2ZESlhGMklOYUFOb0JBdW1QczdPelhxNmJrWkdCZ29JQzNMMTdGME9HRE1HOWUvZmc1T1NFdVhQbndzSEJvZHp5Qnc4ZUFJRFdFakIyZG5aNCt2UXAxR3AxbGN0bE1oa2lJeU1SRUJDZzg4WWNHeHNMUjBkSHJaR0YzTnhjeko0OUd4MDdkc1RxMWF1eGFORWlUaUlnb3RxV0RTQmVGTVdZKy9mdjc4bkl5SGhXR3hjVlJSR0xGeStHajQrUHpxVzJnT0w4MUlZTkc4TFIwUkYzNzk1RnExYXQ0T2pvQ0FCUUtwWHc5UFRVMmU2MzMzNURodzRkOE91dnY2SkRodzVvM0xneDl1N2RpLzM3OTZOang0N28zTGt6ZnZycEp6UnExQWk3ZCs4R0FMei8vdnY0K09PUDBidDM3d3F0ZktDUm5wNHVMZHYxN05reldGbFpBUUM4dmIwUkZCU0UxcTFiVnlpbmx5cXVUZ1MxVkwvbDV1WUNLTTdKMnI1OU93b0xDekY5K25UTW16Y1BhOWV1TGJkY000TlZKdnR6THhLWlRDWTk2cXBxZVZsRVVVUjBkSFNKL0srQkF3Y2lQejhmTjI3Y2dMVzFOVEl6TTFGVVZBUlRVLzdLRWxITkVVWHhrU0FJY1FDaXM3T3pEOVQyaWdjQXNIcjFhdHkrZlJ0TGx5NHR0VTVvYUNnT0hEaUF0V3VMQjRvZlBYb2tiV2hnYm00dVRlalMwRHpwMGt6UUFvcVgxeW9zTEVSYVdocVdMRm1DclZ1M1N1ZWFPM2N1dG0zYmh1Yk5tNk5wMDZaYTU1by9mejRPSGp4WW9rK2FhOWpiMjJQLy92MDRlZklrZXZic0NiVmFqY0xDUW1sQXc4TENBZ1VGQldqVnFoV1k1bE85K0ExSlJrL3pTR2Y4K1BGU1RtcEFRQUNtVEprQ3RWcGRicm5tV0ZaV2x2U1g5Sk1uVDJCblp3ZVpURmJsOHJJa0ppYWlzTEN3eEYvcnExZXZSbXhzTExwMzd3NExDd3NBM0tLUmlHcU9JQWh4YXJWNngvbno1dzhES05KSEgvTHo4N0ZreVJLY1BYc1dtelp0a3VZK1dGaFk0TzdkdTJqZHVqVUE0UGZmZjRlWm1SbCsvdmxuN05tekIvZnUzVU96WnMzUXJWczN2UG5tbTJWZTQrREJnN2h3NFFJdVhMaUEzTnhjaElTRVlObXlaWmc2ZFNwZWUrMDFBSUNucHlldVhyMktLVk9tSUR3OFhQb08wUWdORFVWb2FDaUEwdE1Qcmx5NWd1UEhqeU00T0JqcDZlblNpUFAvL2QvL0lTUWtCRE5uemtSTVRBekdqaDJMTDcvOEVwMDZkYXJpcDBjQWcxcXFBMXEzYmcxTFMwdms1T1JJZjFFTGdnQUxDd3ZJWkxKeXkxdTJiQWtiR3h1a3BxYWlaY3VXQUlEVTFGUjA3ZG9WQUtwY1hwWmR1M1poK1BEaFdzRnZSa1lHSWlNakVSTVRnL2J0MnlNeE1SR0hEeCt1cGsrTGlLZ2toVUlSVVg2dG1wT2VubzZKRXllaVpjdVcrTzY3NzdSR1IwZVBIZzEvZjM4MGFOQUFRUEdxQW1QSGprWDM3dDNSclZzMy9PVXZmd0VBdUx1N0l6WTJGa3FsVWxvSFZrT3BWQ0lvS0FnOWV2UkExNjVkTVdiTUdEUnExQWdUSjA1RXYzNzlwRW05R3NIQndSZy9manptejUrUGVmUG1JVDgvdjl4QkNvM2MzRndFQlFWaHdvUUppSStQeDRJRkMrRHI2NHVJaUFpRWg0ZGp6cHc1Y0hkM3h6dnZ2SVBGaXhkajFLaFIrT0NERHpCejVzeXFmSVFFQnJWVUI1aWFtc0xiMnhzclZxekFWMTk5aGNMQ1Ftelpza1dhelZwZXVVd21nNWVYRjhMRHcvSEdHMjhnT3pzYnUzZnZ4bGRmZlZVdDVRQ2swZHp6NTgramMrZk9zTFcxUlhwNnVzNWx2SXFLaWdkSi92ampEelJ0MmhRN2QrNnMyUStRaUVqUFdyZHVqUmt6WnFCMzc5NGxVcmNtVEppQUNSTW1sSHVPRjNjUks4K2pSNC9nNXVhR2p6Lyt1RVNaaVlrSkZpOWVqRC8rK0FQcjE2L0g5dTNiZGE1NG9Pblg4LzJ6c3JMQzBxVkwwYU5IRDRpaWlIZmVlUWZtNXVaSVNVbkI1czJiMGJselp3REZUeG5uelp1SElVT0dsTGtlTDFXY1VjOXExYXlmeUlsaWhrRXpVYXkwMmRKaURTWVBLWlZLTEZteUJJY1BINGFKaVFuZWZ2dHRUSjA2VlhwMFgxNTVRVUVCRmk1Y2lQajRlTmpZMkNBd01CRERoZzJUemwvVmNnQll1SEFoOXUvZkQydHJhOFRGeFdIWnNtVlFLcFhTL3VQUFc3cDBLZjc3My8vQ3djRUJ2cjYrV0xwMHFjNUpadFZKMEpFRS9Qd2FwYlU5QzU2LzM5cksrLzJxYnByUG42c2ZVRm40ZTJwWWF2cytZV2lNK2szemw4bXc2RE9vTlRaNWVYbnc4UEJBZUhoNHFlc3AxallHdFlhTlFTMFpJdjZlR3BiNkh0UXkvWUJJRHl3dExaR1FrS0R2YmhBUkVkVVpGY3Q2SmlJaUlpSXlZQXhxaVlpSWlNam9NYWdsSWlJaUlxUEhvSmFJaUlpSWpCNkRXaU9pVXFudzVNa1RmWGVEaUlpSXlPQXdxRFV3bWcwQm50OFM5ZHk1YzFDcjFkaTVjeWNtVFpxa3I2NVZoeVI5ZDRCS2RVbmZIU0FpSXFvS0x1bFZRL3IzNzEvaHV2YjI5aGc5ZWpSZWZmVlY2Wmlmbng5R2p4NE51VnlPcVZPbklpRWhBVDE2OU1EYXRXdFJVRkFnYlJwZ1RBUkI2S1h2UGhBUkVWSGR4S0MyaGp5L0J1bjMzMytQVTZkT1lmMzY5YVhXLy9ubm41R1ltQWdBeU16TXhQLys5eis0dXJvaVBqNGUzYnAxZzB3bVE5ZXVYZEdzV1RNY08zWk1HdEVsSWlJaUlxWWYxTGhuejU3aDMvLytONlpNbVZKbXZXN2R1aUVsSlFVQWNPalFJUXdlUEJoMmRuYllzMmNQK3ZidEN3QVFCQUYrZm43WXZIa3psRXBsamZlZGlJaUl5Rmh3cExhR3JWMjdGdDdlM3ZqclgvOWFaajByS3lzc1c3WU1JMGFNZ0orZkgvTHk4aEFmSDQvcjE2L2puWGZla2VvTkd6WU1QLzc0SS83MXIzOGhMQ3dNT25ZMkpTSWlxbFdhN1ZtSjlJbEJiUTA2ZS9Zc29xS2kwS0JCQSt6Y3VWTm5IUk1URXh3N2RneVJrWkdJaVluQnZYdjNNR3pZTUFERmViWCsvdjVvM0xpeFZGOG1rK0diYjc3Qm1qVnJrSnViQzJ0cjYxcDVMNVdoMlF1Y2lJanFObEVVa3dSQjZLbnZmcENXZWp2eGwwRnREYmwxNnhZV0xWb0VVUlJ4NnRTcFV1dTV1TGdBQUFJQ0F0Q25UeC80K3ZwaS92ejVjSEp5QWdBc1diSUVMaTR1YU5HaWhUUXFtNW1aaVo5Kytnbm01dVkxLzBhSWlJaEtrWktTd2duQVpEQVkxTmFBMzMvL0hSTW5Ua1JZV0ZpbGx1QTZkZW9VVEV4TThNMDMzMkRZc0dIdzl2WkdTRWdJOXU3ZGl6MTc5a0FtSzA2QmZ1dXR0d3c2b0ZVb0ZNeUpxRU00OGs1RVJNYUFRVzBOTURjM3g2ZWZmb3BldlNyK0I2d29pa2hKU1lHOXZUM216NThQZjM5L09EczdReEFFMk52YlN3R3RTcVdDcVNsL2JFUkVSRVRQNCtvSE5hQkZpeFo0NzczM0t0VW1QajRlWGJwMEFRQzBiZHNXTVRFeGFOV3FGYzZjT1lPMzNucExxbGRRVUlBR0RScFVhMytKaUlpSWpCMkgvR3BCUlRaaVNFMU54WWdSSTdCdjN6NEFnSU9EQTVSS0pYYnQyb1ZseTVaSjlYSnljdEN3WWNNYTZ5c1JFUkdSTVdKUVd3dWUzNGpoUlpxSll2Lzg1eisxOG1TVlNpVkNRME14ZXZSb3RHblRCbzhlUFVLalJvMXc5dXhaT0RnNDFIaWZpWWlJaUl3Smc5b2FGaFlXVm1hNVpoUldFOUNHaElRQUtGNDl3ZGZYRjA1T1RsQ3BWQmd4WWdUeTgvUFJ1SEZqZlBubGx6WGJhU0lpSWlJanc2QzJobmw2ZXBaWi9tSnF3c0NCQXdGQWE3TUdFeE1UeE1YRlZYL25pSWlJaU9vSVRoUWpJaUlpSXFQSG9KYUlpSWlJakI2RFdpSWlJaUl5ZWd4cWlZaUlpTWpvTWFnbElpSWlJcVBIb0phSWlJaUlqQjZEV2lJaUlpSXllZ3hxaVlpSWlNam9NYWdsSWlJaUlxUEhvSmFJaUlpSWpCNkRXaUlpSWlJeWVxYjY3a0IxY0haMjFuY1hpSWlJaUVpUGpIcWtWaFRGSkgzM2dVcTRwTzhPRUJFUlVmMWoxQ08xS1NrcHZmVGRCeUlpSWlMU1A2TWVxU1VpSWlJaUFoalVFaEVSRVZFZFlOVHBCMFJFVkx0RVVZd0hNRWpmL1NDZGtnUkJZRm9lMVZzY3FTVWlvc3BnUUd1NGV1cTdBMFQ2eEtDV2lJaUlpSXdlZzFvaUlpSWlNbm9NYW9tSWlJakk2REdvSlNJaUlpS2p4NkNXaUlpSWlJd2VsL1FpSWlLaVNwSEw1VnphellDSm9waFVIM2RkNVVndEVSRVJWUllEV2dNbUNFSzlYTjZOSTdWRVJLUjNGeTllUkVCQWdOYXhEejc0QUxObXpRSUFxTlZxckZ5NUVyR3hzUkJGRVQ0K1BwZzhlVElFUVNoeHJ2THFsbGVlbHBhR05Xdlc0Tnk1YzhqUHowZVBIajBRR2hxS1ZxMWFWZmo5VEo0OEdTNHVMdkQzOTMvSlQ4UTRKQ2NuNjdzTDlBSm5aMmQ5ZDBGdk9GSkxSRVFHNDlTcFUwaE9Ua1p5Y3JJVTBBTEF0bTNiY1ByMGFlemN1UlBoNGVHSWpZM0YzcjE3ZFo2anZMcmxsU2NrSk9ETk45L0UzcjE3Y2VEQUFaaWJtMlAyN05sU2VWcGFHb1lPSFFxbFVxbnorbWxwYVVoSlNjSDc3NzlmMVkrRGlDcUJRUzBSRVJtOG1KZ1lqQjA3RnMyYk4wZjc5dTB4ZE9oUUhEaHc0S1hxbGxjK2F0UW9EQjgrSExhMnRtalNwQWxHalJxRml4Y3ZRcTFXQXdDeXNyS1FscFpXYWwram9xTGc0ZUVCVzF2YmFucjNSRlFSREdxSmlNaWdQWHo0RUhmdTNFRzNidDJrWTQ2T2pyaDI3VnFsNjFia1hES1o5bGZqbzBlUDBMaHhZK200SmszQzFkVzF4S1Bldkx3ODdOdTNENzYrdnRLeHBLUWtqQnc1RXIxNjlZS1hseGNTRXhNcit4RVFVUVV3cUNVaUlvUFJ0MjlmOU8vZkg3Tm16Y0tUSjA4QUFBOGVQQUFBTkduU1JLcG5aMmVIcDArZlNxT25HdVhWcmN5NUFLQ29xQWc3ZHV6QUJ4OThJQjJMakl3RUFDUW1KcGJJS1kyTmpZV2pveU02ZE9nZ0hjdk56Y1hzMmJOeDZ0UXBEQmd3QUlzV0xhcjRCMEpFRmNhZ2xvaUk5TTdSMFJGbnpweEJVbElTTm0zYWhGdTNiaUVzTEF3QW9GS3BBR2lQb01wa01wMlR4TXFyVzVsekFjQ2lSWXNnazhudzBVY2ZsZnNlUkZGRWRIUzAxaWd0QUF3Y09CRHQyN2ZIalJzM1lHMXRqY3pNVEJRVkZaVjdQaUtxSEs1K1FFUkVlbWRpWWdJVEV4TUFRS2RPbmZEcHA1OWl5cFFwVUt2VlVtNXFWbFlXckt5c0FBQlBuanlCbloxZGlWU0I4dXBXNWx6ZmZQTU5VbEpTc0dYTEZwaWJtNWY3SGhJVEUxRllXSWgrL2ZwcEhWKzllalZpWTJQUnZYdDNXRmhZQUlET1VXRWlxaHFPMUJJUmtjRlJLcFd3c0xDQVRDWkR5NVl0WVdOamc5VFVWS2s4TlRVVlhidDJMZEd1dkxvVlBkZWFOV3R3K3ZScGJOcTBTU3RWb1N5N2R1M0M4T0hEdFlMampJd01SRVpHWXVQR2pWaStmRG04dkx3cTlnRVFVYVV4cUNVaUlyMDdkdXdZTWpNem9WS3BjT25TSmF4YXRRcERoZ3dCVUp3ZTRPWGxoZkR3Y0R4NDhBQTNiOTdFN3QyN01XTEVpQkxuS2E5dVJjNjFjZU5HSkNRa1lQUG16V2phdEdtSmEyaEdlOCtmUDQvczdHd0FRSHA2dXM1bHZEUnBCbi84OFFleXM3T3hjK2ZPYXZpMGlFZ1hwaDlRclJGRmtkc3FHcTRrUVJBTWNrdkYrcnlRZUgxeThlSkZ6SnMzRDNsNWVYQndjSUNYbHhjKytlUVRxWHpTcEVsWXVIQWhoZ3daQWhzYkc0d2ZQeDZ1cnE0QWdMdDM3K0tmLy93bmZ2amhCOGhrc2pMcmxuY3VBTmkwYVJNQXdOM2RYYXVQaVltSk1EYzNSOXUyYmVIajQ0UGc0R0JZVzFzakxpNU9Xc2JMeHNaR3EwMjdkdTNnNit1TEw3NzRBZzRPRHZEMTljV1pNMmVxL2ZNaklrQjNaanhSRFJCRlVkUjNINmgwUWlrelplUnl1UWdBQ29XaVZ1OFhUazVPWncxaHEwZFJGRXVkUktRSGx4UUtSYmZ5cTFWZGFUOTMvaDZYbEplWEJ3OFBENFNIaDJ1dGVxQVBwZjBlVnpmTnZ3L3VLRlo5MUdwMWlienVsNkVaQ0tqdGU3WWg0RWd0RVJta2xKUVVneGc1ZG5KeW1pT0tZc3VVbEpSLzZyc3ZaSmdzTFMyUmtKQ2c3MjdVSy9mdjM4ZTFhOWZRdTNmdkdydUdLSW9vS0NqQXMyZlBrSmVYaDV5Y0hHUm5aME1RQkx6NTVwdFN2VUdEQnVIWXNXTXZkUTAzTnplY1BuMGFBREJqeGd4OC9QSEg2TlNwVTdYMHZ6NWlVRXRFVkRZL1FSQWFvUGpKRmtjcGlhckEyZGtaMXRiVzVkYkx5Y2twY3hSWXJWWmo3dHk1aUlpSVFLdFdyU3AwN2V2WHJ5TWtKQVRoNGVHd3M3TXJVUjRXRm9hVEowK2lxS2dJaFlXRktDd3NCRkQ4UjB2RGhnMWhaV1VGUzB0THRHM2JWaXVvZmJGZmZmcjBLWEc4dkEwMzh2UHpjZTdjT2N5ZlA3OUM3NFYwWTFCTFJGU0s3dDI3ZHhVRTRUVUFrTXZsdlJRS3hjLzY3aE9STVRNM055OHhxajFpeEFoRVJVVnBIWE56YzlONjdlenNqQll0V3BRNDEvang0MHRjNDl0dnYwWEhqaDIxanFuVmFzeVpNd2RUcGt6UkdkQUNRRkJRRUFJREEyRmhZUUVMQ3dzMGFOQUF2WHYzeHI1OSswcHQ4eUpSRktGVUtxV0FYS1ZTb1dkUDdTd3FmMzkvYk51MlRldlk4ZVBIMGJGalIybkpOM281REdxSmlFcGhhbXJxOGR4TFh3QU1hb21xMlowN2Q4cXRZMjV1anYzNzkrUFFvVVBvMWFzWExsMjZoT3pzYkhoNmVrS2hVQ0ErUGg2ZmZQSkpxY0hueVpNbklRZ0MrdmJ0VytvMTdPM3RZVzl2WCtGK0wxbXlCR2ZPbkVGV1ZwYTBVc2Z1M2J2TGJhZHJlK2ZvNkdoY3ZYb1YvZnYzQjFDOEM1MmxwU1VFUWNDbVRadVlrbEJCREdxSmlFbzM2cm4vZnhmQVovcnFDRkZkb2drQ2dlS0pkcysvTGkzd2ZQandJYlpzMlFKM2QzZWNPWE1HblR0M0JnQTRPVGtoTXpNVEVSRVJtREpsaXM2Mmh3OGZ4dHR2djExbW45YXRXNGV0VzdlV09ENTQ4T0FTeDVLVGt4RVNFb0xyMTY5anhJZ1IyTHQzTDRBL2Q2eXJqQXNYTHVDWFgzNUJhR2lvdENSY256NTljUFRvMFFwdCtrRi9ZbEJMUktTRFhDN3ZDS0RIYzRkZWs4dmwzUlVLeFMvNjZoTlJYYUVKQWdHZ2YvLytXcThCWU0rZVBTWGFLQlFLRkJVVjRZTVBQc0R0MjdmUm9rVUxSRVpHYXRVNWNlSUVkdTdjQ1V0TFM2M2pseTVkd3ZEaHc4dnMwOFNKRXpGeDRrU3RZODdPem9pUGp5OTFCUGpvMGFNQWdKMDdkOExUMDdQRWRTc2lNaklTblRwMVFucDZPb0RpSGU0c0xTMFowTDRFQnJWVVoxMjdkZzNMbHkvSEw3LzhBbk56Yzh5ZVBSdC8rOXZmQUJUblY2MWN1Ukt4c2JFUVJSRStQajZZUEhteXRIUlRWY3NyWXZMa3lYQnhjWUcvdjMvMXYzbXFNclZhL1o2TzVYWDhBSVRvb1R1R0pBbUEzcGRhSTUwdTZic0RsZUhpNG9MV3JWdkQzdDRlUGo0K1NFOVB4N2x6NTByVVU2dlZNREV4Z2J1N085emQzWkdabVlsUFB2a0VzYkd4RmI3V3ZYdjM0T0RnVUozZFIyRmhJWktTa21CcmF3dVZTZ1YvZjM5czJiSkYydTY1b3NhUEh3OVJGTEYwNlZJQXdLKy8vb3JYWDMrOVd2dGFYekNvcFRvcEl5TUQ0OGFOdzVneFk3Qml4UXJrNU9TZ29LQkFLdCsyYlJ0T256Nk5uVHQzSWk4dkQrUEdqVU9iTm0ya1J6OVZMVTlMUzBOd2NEQ2lvcUowL3JXZGxwYUdsSlFVTEZ5NHNCWStEWG9aZ2lDTWZQR1lLSXJ2b1o0SHRZYTZTUWNaSHpzN082MGMxQmMzdTlESXk4dlRHZ0U5ZVBBZzd0NjlDMjl2YjVpYUZvY3hCUVVGa01sazJMZHZuODV6MU1SNjB6Lzg4QU42OXV5Slc3ZHV3Yy9QRC8zNjlZTWdDQlZhM1FFQUhqMTZCQUJTR3NYang0OXgrL1p0bkRoeEF2MzY5YXZXdnRZWERHcXBUbHEzYmgzYzNOd1FFQkFBQUNVZUNjWEV4R0RDaEFsbzNydzVBR0RvMEtFNGNPQ0FGSlJXdFR3ckt3dHBhV21sOWsreis1Qm11MDB5TE4yN2QvK0xybzBmQkVGd2xNdmxIUlVLeFhWOTlJdW9QbnJ3NEFHYU5Ha0NvRGpBalk2T2hvK1BENW8wYVlJSkV5WUFBS1pQbjQ3dTNidVhlbzZtVFp2aTRjT0hhTm15cGM3eUxWdTJZUDM2OVRyTGRPWFVBc0N3WWNNd2NlSkVSRWRIQXdEYXRHbURwS1FrdEduVFJtZjloSVFFdEduVEJpcVZDcDkvL2psKytVVTdrMm5VcUZGWXZudzVmdnZ0TndRSEI1ZjZYcWgwREdxcHpsR3BWRGh4NGdSV3JseXBzL3podzRlNGMrY091blg3YzJNbVIwZEh4TVRFVkVzNUFDbVkxbXk5K2Z4NmkzbDVlZGkzYng4aUlpS2tZMGxKU2ZqMjIyOXg0OFlOT0RnNFlOYXNXVnJiZGxMdE1qVTFmYmVNWWo4QWMydXBLMFExeXNuSmFUQ0FvcFNVbERNQWltcnoybGxaV1ZwNXJsbFpXVHJyWGJ0MlRkcXBiZVBHamVqWHJ4OUNRa0lRR0JpSTFxMWI0OXExYTFDcjFSZzVzc1RERlVtWExsMXcrZkpscmZ2Mjh3SURBeEVZR0ZqaWVGazV0U3FWcWtTcXdkR2pSMHZkMnZ2SWtTUG8wcVVMYkcxdDhjWWJiMkRCZ2dWU1Nod0FlSHQ3WThPR0RlalhyOTlMNWVZU2cxcXFnekl5TWxCUVVJQzdkKzlpeUpBaHVIZnZIcHljbkRCMzdsdzRPRGpnd1lNSEFDRDk1UThVUHdaNyt2UXAxR3AxbGN0bE1oa2lJeU1SRUJBZzdSWC92TmpZV0RnNk9tcHRwNW1ibTR2WnMyZWpZOGVPV0wxNk5SWXRXbFNwZkRHcVhxSW9mbGpHbzBvdk1LaWx1c05ERUlScFRrNU9qd0JFQWRqOTlPblRVOWV2WHk4b3IyRlY3ZHUzRDYrODhvcjArdTdkdXpyckpTUWtvRmV2WGpoejVnd09IejZNWGJ0Mndjek1ERk9uVGtWZ1lDRHM3T3l3YTlldU10TUwzTjNkRVIwZERWOWYzM0w3bForZkR6TXpNMlJuWndOQXFlZDlNYUM5ZWZNbURodzRnTysvLzE0NkpnZ0NCRUZBVGs0T2J0eTRBWDkvZnd3ZlByekU5MEptWmlibXpKbURBUU1HNE9iTm13Z01ETVRZc1dQaDZ1cGFMVnZuMWhkR0hkVEs1Zko0QUlQMDNRLzZreWlLU2ZyZTNqUTNOeGRBOFRJcDI3ZHZSMkZoSWFaUG40NTU4K1poN2RxMTBwSXJ6OThvWkRLWmRPT3FhbmxaUkZGRWRIUTBnb0tDdEk0UEhEZ1ErZm41dUhIakJxeXRyWkdabVltaW9pSXBYNHhxVDlldVhWOFJCR0ZBR1ZYa1hidDJiWDNwMHFYMDJ1b1RVVTBUQktFSmdBa0FKdGphMm1ZN09UbjlSeFRGSCs3ZHUzZmk5dTNiZWRWMUhhVlNpVUdEeXYvYWZ2YnNHWURpUVlyRXhFU01IVHNXNDhlUHg5eTVjM0gyN0ZuRXhjWGg1czJiV0xCZ0FkTFQwekZ5NUVqMDdOa1R2WHYzeHVEQmcwc0VqWC83Mjkrd2FkTW1KQ2NubHpxU3FyRm8wU0xzMzc4ZkFLU1IxZkk4ZmZvVXdjSEJHRFpzR05xMmJTc2RsOGxrNk4yN053WU1HSUJ1M2JyaHRkZGVLeEdrYnQrK0hkdTJiY09rU1pNd1pNZ1FxTlZxN04yN1Y1cHpzWDc5ZXExelV1bU0vUnVUQWEyQjBaV0hXTnNhTm13SW9IaEdxZVptRkJBUWdDbFRwa0N0Vmt2SHNyS3lZR1ZsQmFCNENSVTdPenZJWkxJcWw1Y2xNVEVSaFlXRkpTWUJyRjY5R3JHeHNlamV2YnUwbzR4YXJhN3laMEdWOThLR0M2WFY4UU93cUJhNlE2UVB0b0lnZkNRSXdrZk5temZQYmQ2OCtSNjFXdjJmWjgrZXhmLzIyMjlQcTNMaTl1M2JhNlZxbFdiVXFPSWxvcHMwYVlJdnYvd1NIVHAwd0k0ZE95Q1R5YkIyN1ZwNGUzdkR6YzFOdXVlT0hEa1M4Zkh4eU1qSTBEazUxOVRVRlBQbXpjT0NCUXNRRVJGUjV1UDlMNy84RWlFaElSQUVvVUpwQU5PblQ0ZU5qUTArLy94em5XdnNybHExcXRTMm4zLytPYnAwNlFJUER3ODBiZG9VUUhFZ1BIVG9VSGg3ZStQS2xTc3ZIZEIyNnRUSnBpTDFYdnlaVnFYZGI3Lzk5Z3kxbk1ieVBHTVBhZ0dnelAyaHFmYVU5OWR2YlduZHVqVXNMUzJSazVNajNTUUVRWUNGaFFWa01obGF0bXdKR3hzYnBLYW1TcE1HVWxOVDBiVnJWd0NvY25sWmR1M2FoZUhEaDJzRnZ4a1pHWWlNakVSTVRBemF0MitQeE1SRUhENTh1UG8rRUtxVTgrZlBSd0tJMUx6VzNPQ3IrbVZ1ck9SeXVhanZQcEJlV1FFWUpaUEpSbGxaV2VVN09UbnRGMFV4K21WUFZwR0FGZ0IyN05nQm9IaVNyMlprVjVPcU1IZnUzQkwxTFMwdDRlWGxWZVk1dTNYcmhvaUlpSExYZnpVM042L1VHckdhVFIwMHU0RlZobVp5c1M0bUppWlZXdHJMeXNvcXU0SlZ0UjR6VnFXZFhDNi9wRkFvZENjdTF3SW1hbENkWTJwcUNtOXZiNnhZc1FKUG5qekIvZnYzc1dYTEZuaDRGQS9BeVdReWVIbDVJVHc4SEE4ZVBNRE5temV4ZS9kdWpCZ3hvbHJLQVVpanVlZlBuNWZ5c3RMVDA1R1NrbExpSmxaVVZQeEg3UjkvL0lIczdHenMzTG16Wmo4Z3FoUXJLNnZzU3R6azZ3eFJGSlAwM1FjeUxLSW95Z1JCYUNJSVFuTjk5K1ZsV1ZwYTFxZTBycndLL2xkZDdRQ2cvTkdkR2xSdmZySlV2d1FIQjJQSmtpWHc4dktDaVlrSjNuNzdiVXlkT2xVcW56UnBFaFl1WElnaFE0YkF4c1lHNDhlUDExcHRvS3JsYmR1MmhZK1BENEtEZzJGdGJZMjR1RGhwR1M4YkcrMG5PKzNhdFlPdnJ5KysrT0lMT0RnNHdOZlhGMmZPbktuQlQ0ZW9mUHJPamFmYTRlVGt0RXdRaEdsbFZIa0dJQUhBbnFLaW91aUxGeTgrQmdDNVhGNzZNM1V5Q0FxRndxbzIyeG1DNmwySnVKWnBIb3N4L2NBd2FOSVBGQXFGem45WG9palcyOGVZZVhsNThQRHdRSGg0dU5hcUI0WkVLR1dtbStiM3JMU2ZhMTFYMzk4LzFXMjZnbHBSRkhNRlFUaW1WcXQvS0N3cy9PSHk1Y3M1TDdhcnl2ZXZVcW5FOGVQSDhmZS8veDJDSUNBcUtncnZ2ZmVlemswTENnb0tjUHIwNlZMWGl0V2xzTEFRV1ZsWlV2clo4KzdjdVlNVEowNVVhQldFaXVyZnZ6OFNFaEpLTFhkMWRVVmlZbUsxWGE4ODVYMFgxeFJEdUZkeXBKYW9GbGhhV3BaNTB5TWkwck5zQUVkRlVZeTVmLy8rM295TWpHYzFkYUdGQ3hlaW9LQkF5a1V0TEN6RXlaTW44ZTY3SlplSGZ2cjBLVFp1M0FpRlFvRnAwNmJCeGNXbDFIeFhwVktKcEtRa0tCUUt6SjA3RjRzWEwwYVBIajIwNmpScTFBaTdkdTJPTS9ZREFBQU45a2xFUVZUQ2tDRkRwRW5GR2lxVkNqMTc5aXdSWE9mbDVjSFUxTFRFZFFNQ0FqQjI3RmpwdGVacDNQSGp4OUd4WThjSzVjTm1aMmNqTURBUTgrZlBSNmRPbmNxdFQyVmpVRXRFUkZSL0phclY2cUdGaFlVSEwxKytyS3pKQzZuVmFpeGR1aFEvL3ZnajJyZHZqdzgvL0JCQThmcXU3ZHUzeC9idDI3WHFyMTI3RmsyYk5zV1dMVnZ3MldlZjRlclZxd0NLMTYzVkZkaHFSaWg3OWVxRk9YUG1ZTWFNR1lpS2lzTEFnUVBScUZFanJicnZ2ZmNlZ09LZ09TWW1CdTNhdFpQS25oK0F5TW5KZ1llSEI3NzU1aHU4K2VhYld1ZVlPSEVpK3ZUcEE2QjRpOXZJeUVnTUd6WU1yN3p5Q3FaT25ZcXhZOGVXT3lKc2EydUxhZE9tSVRRMEZMdDI3ZUthdEZYRW9KYUlpS2llU2tsSithRTJycE9YbDRkWnMyWWhQejhmZ2lCb0JhVXZ2Z1lBRHc4UE5HblNCSThmUDRhdHJTM0N3OE1Cb016TkNGeGRYU0VJQWtSUmhLdXJLM2J2M2kyTnhoNDdka3huR3g4Zkg1M0hSNDRjaWR6Y1hPVG41eU12THcvejU4L1hLdCs3ZHk4R0RScUVBd2NPQUFBT0hUcUVkOTk5RnlZbUpuanJyYmNRRVJHQjdkdTNWMmhweGw2OWVzSGEyaHJIamgzVDJtR01LbzlCTFJFUkVkV29CZzBhb0VPSERnZ01ESVNQancrKysrNDdxY3pEdzBQcjlmT09IRG1Ddlh2M0lpd3NESjA2ZGNLYU5XdDBiaUYrNXN3WnJGbXpCZ0F3YnR3NERCdzRVQm9KZmpFZ2ZkN2t5Wk4xNXQ1bVptYVdtakttV2JyTDNkMGRPVGs1MkxObkQ5NTQ0dzNZMjlzREtGN3BwblhyMXBnK2ZYcXAxMzNSMy8vK2Q4VEZ4VEdvclNJR3RVUkVSRlNqWkRJWkprK2VES0Q0VWYyWU1XT2tzaGRmQThXQnJxK3ZMMGFNR0lGbXpacGgwNlpOV0w1OE9ZQS9jMmMxMjlRNk96dmorWG5JczJmUFJuQndNQjQvZm95SkV5Zmk2NisveHRkZmZ5MlY1K1RrYU9YTnpwdzVFKys4ODA2SlBnOGZQbHpuZThuTEsxN05Tck5CUkc1dUxrSkNRZ0FVNy80MWE5WXNLYWg5TWUyaE5LKy8vbnFKOUF1cVBBYTFSRVJFVkdzYU4yNWM0WkZhQUJnMGFGQ0pyWFhMMnBhOFRaczJpSXlNbExZMGYzSEUxZFhWVmVjb3JFcWxrZ0psQUlpTzFyM0hoR2FrZHYvKy9UaDE2aFErKyt3emZQLzk5OUw2NUpHUmtkaTRjU1BXclZ1SG1UTm5sdHJQNXprNE9PREJnd2NWcW11b1JGRXMwSGNmR05RU0VaWEJFRzdVUkhYSm8wZVBwTlFBQUxDenM5TjZyZkh0dDkvaWxWZGV3ZVBIanpGanhneHMyTEFCU3FVU0ppWW01VTZvVXFsVTBwcmd0Mi9meHRhdFd4RWFHbHBtRzZWU0tXMVREcFNlYjZzWnFRV0tkMGd6TXpQRGxDbFRNSExrU0F3ZVBCZ21KaVlJREF6RS9mdjNvVkFvb0ZLcEVCa1ppU2RQbnVDenp6NHJzdy9HTENVbHBZRysrOENnbG1wVEVvQ2UrdTRFNlhSSjN4MHdWSVp3b3lhcVN6WnYzb3p1M2J0THJ6MDlQYkYvLy81UzYvLzg4ODhRUlJHQ0lPRHUzYnM2YzJDQlA0Tk5TMHRMZlBmZGQ3Q3hzVUZnWUNCdTNyeUoxcTFiUy9XVVNxWFdscmFhVWR1c3JDeHB0RFVzTEF3ZE9uUkEyN1p0cGFXK2twT1RjZS9lUFZ5NlZIeTdURXhNUktOR2pXQmhZWUVsUzVaZzVzeVp5TTNOeFlZTkcyQm1ab1ptelpwSlcvdGFXbHJpcjMvOWE2bnY4Zjc5KzZXK0w2bzRCclVHSURVMUZWMjZkQ256Y1VwZElBZ0NkeWdpSXFxbnBrMmJodlQwZE9sMVFVRUJNakl5QUFCOSsvWkZpeFl0dE9wckh2K2ZPblVLZmZ2MkJRQ2NQSGxTS3lCKzNzV0xGN0ZqeHc2c1dyVUtpWW1KQ0FzTEF3REV4Y1ZwQmJYbTV1WTYwdy9TMDlQUnFsVXJxWTZmbng4T0hEZ0FLNnZpRGJhVVNpVUNBZ0l3Zi81OEtKVktmUDMxMTFpNWNpVk9uandKZTN0N2JOcTBDU3FWQ3Q3ZTNscm5QWGJzV0tuNXVScVhMMStHbzZOam1YV29mQXhxRGNEbzBhT1JtSmhZNm9MU1JFUkV4azR6MFV1dFZ1UG8wYVA0N3J2dk1HL2VQS3hidHc1ZVhsNTQvUGd4UHZyb0l6UnYzbHhxbzFRcWNlclVLWXdiTnc3WHIxL0gxcTFic1hidFdxM3pDb0tBZ29JQ3BLZW5vM256NWtoUFQ4ZWpSNC9nNk9pSVM1Y3U0ZGRmZjhYZHUzZnh2Ly85cjBSd3FWYXJVVlJVQkhOemN5UW1KcUpidDI0b0xDekVpaFVyTUhIaVJOamEya3E1dWVibTVnZ05EY1VYWDN5QmlJZ0lCQVVGb1czYnRscm5lejRudHpMaTR1THdqMy84NDZYYUdoRE5tMWZwcXdNTWFnMlVXcTNtSXN4RWhrSHZOMm9pWTZkV3EzSGx5aFdjUEhrU0owNmNRSzlldmJCdTNUbzBhdFFJR3pac3dJUUpFM0RseWhVc1hMZ1FKaVltR0RCZ0FQcjE2NGVyVjYraVNaTW1jSEJ3Z0krUER6Nzk5Tk1TSTVvdUxpNFlPSEFnR2pac2lPWExseU11TGc2dXJxN0l5Y2xCVUZBUUZpMWFCTGxjanFpb0tIejk5ZGNRQkFHOWUvZVdBdHJQUHZzTVE0Y094YjU5KzdCNTgyWnMyTEFCN2RxMWc0ZUhCNVJLSmU3ZXZZc0dEWXF6a0Z4ZFhmR1BmL3dEMDZaTnc3WnQyNnJsczFFb0ZIajA2SkhSTCtjbGw4dUxBRzZUU3dBdVhMZ0FGeGNYQU1VekoyL2R1b1c1YytmcXQxTkVaQkEzYWlKalYxQlFnT2pvYUx6eHhodll1bldyOUVnZktKNzVEd0NkTzNmRzZ0V3JjZlhxVlJ3OGVCQmR1M2JGVzIrOWhYLy8rOSt3dExURTk5OS9qeVpObXBRNDkvcjE2N1ZlZCtuU0JkbloyYkN4c2NINjlldWw3V2Y5L1B6ZzUrY0hBTkttQ0pyQm81U1VGTGk0dU9EVlYxL0YwNmRQc1dEQkFpeGF0QWdIRHg2RW1abVoxQTRvWGdmWHpNd01wcWJGSWRURWlSUExmTythcGN4MHljdkx3K0xGaXpGMzd0eVhIdVdsUHhuMVRWb3VsNHNBa0p5Y3JPK3VWTWorL2Z1eGVQRmk2YlVnQ0RoMTZoU2NuWjB4Y09CQUxGdTJEUC81ejMrd2Z2MTZyRnUzenVqMmdkWnNVY2d2LzdwRjgzdFdYMyt1OWYzOUUrbGliTisvRmFGVUtrdWtBV3JXdjYycE9TOUZSVVZRS3BXd3RMU3N0blBxNjd2WUVPNlZIS210Ulo2ZW52RDA5QVJRdk5mMTgrdlhwYWFtNGwvLytoZCsrdWtuYk42OEdlM2J0OWRYTjRtSWlPb2RYZk5hYW5vQ3Q2bXBxVFRpUzFYSFQxSlBEaDQ4Q0hkM2QrbjEyTEZqc1dyVkt2ejN2LzgxK21VOU5IK3RFUkVSRWRVV3prVFNnNXljSE96YnR3OURoZ3lSam5sNmVxSnQyN1k0ZE9pUUhudEdWQ3F1WTB0RVJBYU5JN1Y2c0dIREJnd1lNQURObWpXVGpwbVltR0QrL1BudzkvZkhxNisrQ2pjM056MzJzR3FZZTBoRVJFUzFqU08xdGV6czJiTTRjdVNJenRtU3I3NzZLcjc2Nml2TW1ERURKMCtlMUVQdmlJaUlpSXdUZzlwYTlQdnZ2MlBXckZtWU5Xc1dHalZxcExQT3dJRURFUklTZ3BDUUVHemZ2cjJXZTBoRVZDRmlCZjlqdTlwdGQxWkhIYUo2ZytrSHRlaml4WXZ3OS9mSGdBRURrSitmRHpNek05eTZkVXRydlRzQThQYjJocjI5UFN3c0xQVFlXeUlpblNvOEVWVFVySWYwLzFWMEpqbmJ2WFM3bmhVNkVWRWR4YUMyRm1tVzh3S0FiZHUyWWVQR2paREpaUER6OHl1eGUxaWZQbjFxdTN0RVJCWDJRbnhWWTIzWXJtTHRhbnJwS2FMeUZCUVUyT2k3RHd4cTllVGpqeitHbjU4ZkxDd3N1SXNJa1FFemhCdTFnUkZlSERFa0lycDgrWEtPdnZ2QW9GWlBURXhNcW5VSEVTS3FHWVp3b3lZeVZKcmRxNGdNQVNlS0VSRVJVYVdJb3Bpazd6NVFtZXJsMnVJY3FTVWlJcUpLU1VsSjZhWHZQcEJoa2N2bG1RQ2dVQ2hhNmFzUERHcUppTXBnQ0RkcUF5TUtndkRTazV1b1pvaWlDSUd6eFVpL1d1cTdBd3hxaVlqS3B2Y2JOUkVSbFk5QkxSRVIxUWxLcFJLdXJxNnd0cll1dDI1T1RnNU9uRGdCR3h1YlV0dmw1T1JvSGN2SnlVRlNVaEpYckNFeVVBeHFpWWlvVG9tTGk0TzV1WG1aZFY2Y3RTK1R5WkNRa0NDOVZxbFU2Tm16cDlZeHp2UW5NbXhjL1lDSWlNakkvZjkwV2lZNlU3M0drVm9pSXFxVG5KMmQ0ZURnSUwyK2QrOGVrcE9UZGRaVnE5VVlOR2hRaWVPNmpoR1JZV0pRUzBSRWRaSk1Kc09oUTRlazF5NHVMbVhXUFhic21QUmFrMzd3L0RHbUh4QVpOcVlmRUJGUnZhWlNxV0JtWnFidmJoQlJGWEdrbG9pSTZyV0NnZ0lvbFVxNHU3dVhLTk4xaklnTVU1MElhdmxJaUlpSVhxUldxK0hoNGFIMVdwZnM3R3gwNnRRSk8zYnNrSTVwMGcvaTR1S2tZL3l1SVNxZFNxWHFwTzgrR0hWUUs0cGlraUFJUGZYZEQ5SlNML2VicGpydFRYMTN3TUFJb3BGc0p6Wm16QmdFQlFWSnIxZXRXcVd6WG1abUpscTE0b1p4UkZWeDRjS0ZxL3J1ZzFFSHRkeDdtb2hxbWtLaDBEMWRuZ3plOHdHdHJ0Y2E1OCtmeCt1dnYxNGJYU0tpR21UVVFTMFJFZEdMM252dnZRclhMU29xd29FREI3Qm16UnFkNWFJb1FxVlM0ZkhqeDVESlpKcjFZSW5JQURHb0pTS2lPa0VtazhIVDB4T2hvYUV3TlMzNzZ5MHNMQXhtWm1aSVRVM0ZYLzd5RjdScjEwNnJYQkFFTkd6WUVHcTFHbTV1YmlncUtvS2JteHRrTWk0YVJLU0xYQzcvUHdCUUtCUjZTOW5pbjV4RVJHVXdoQnUxZ1JHQjRoSE11aUluSndmVzF0YWxsb3VpaUtLaUlvTmY5a3ZnTURMcGtWd3VGd0ZBb1ZEbzdkOGhSMnFKaU1yR0tlOTFYRmtCTFZBOGFtdm9BUzBSY2ZNRklpSWlJcW9ER05RU0VSRVJrZEZqK2dFUkVWWGFpK21iTCtiWVZqUzlrKzJxdFowSXpwV2hlb3hCTFJFUlZVWVNnQktiM3VpWXBGU2htV1JzVjYzdHVQa04xV3NNYW9tSXFESXF1dW5OeTQ0WXNsMzF0aU9xTjVoVFMwUkVSRVJHajBFdEVSRVJFUms5cGg4UUVSRVJVVlY1NmJzRERHcUppTXFtOXhzMUVaR2hVeWdVKy9YZEJ5SWlJaUlpSWlJaUlpTFNOeTRSUWtSVURpY25wKzhyVWk4bEpXVWsyN0VkMjdGZFBXM25BT0RlaSsxcUUzTnFpWWpLSVFqQ2h4V3NxblV6Wnp1Mll6dTJxMmZ0OGlwNDdockJvSmFJcUJ5aUtMN1V5QVBic1IzYnNWMTlhcWRXcTIrOHpMbUp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elgvd09MYzVRZzdmbTI4Z0FBQUFCSlJVNUVya0pnZ2c9PSIsCgkiVGhlbWUiIDogIiIsCgkiVHlwZSIgOiAiZmxvdyIsCgkiVmVyc2lvbiIgOiAiMzQiCn0K"/>
    </extobj>
    <extobj name="ECB019B1-382A-4266-B25C-5B523AA43C14-3">
      <extobjdata type="ECB019B1-382A-4266-B25C-5B523AA43C14" data="ewoJIkZpbGVJZCIgOiAiMTYyOTc3NzExNjY5IiwKCSJHcm91cElkIiA6ICIzODk2NzU3OTEiLAoJIkltYWdlIiA6ICJpVkJPUncwS0dnb0FBQUFOU1VoRVVnQUFBMklBQUFIOUNBWUFBQUI0QU04dEFBQUFDWEJJV1hNQUFBc1RBQUFMRXdFQW1wd1lBQUFnQUVsRVFWUjRuT3pkZVZoVVpmc0g4Tzhaa0UwVVJBMWNFVkY1aXhBWXpDMDFmNW9iTFc2bGxGcWFtVXF1dVpZcHIrYVNoa3VhWm1adjRyNlNLWlI3THVXQ0RvdENoa29nTGtFS0tEc0R6UG45UVhOaVpGaUZPUXg4UDlmRmRUSG5uT2ZNUFRpZW1mczh6M00vQU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ZXUUlIY0FSRVJFWlB4RVVmd1pRSCs1NHlEOEJjQkRFSVMvNVE2RWlFcW1rRHNBSWlJaXFoR1loRlVQVFFCMGx6c0lJaW9kRXpFaUlpS2ltdVdlM0FFUVVlbVlpQkVSRVJFUkVSa1lFekVpSWlJaUlpSURNNVU3QUNJaUlxbzJGRjVlWHZhaUtEb0NxQk1hR25wTzdvQ0lpR29xSm1KRVJFUzFsS3VycTVsQ29XaGVwMDZkZGdDR0FCZ25paUpFVVl3SUN3dnJJSGQ4UkVRMUdSTXhJaUtpV3NMRnhhV2VsWlZWQzBFUVBBSDRBT2dIb0U3aFkwUlJ2SzlXcTNzQnlKTWp4dkxJeXNwQ1dGZ1lBS0JyMTY3RkhuZnYzajBrSkNTZ2FkT21hTktraWFIQ0l5SXFFUk14SWlLaUdxeDkrL2JOVFV4TVhnVXdSaENFanFVY25wR2ZuOTh2S2lvcTJSQ3hsU1l2THcrelpzMkNtNXNieG93Wmc5emNYUGo3KzZOOSsvWjQ5ZFZYa1ppWWlNbVRKd01BVkNvVkFHRDkrdlZvMnJRcEJnOGVMSjBuTURBUVc3WnN3Y1NKRS9IKysrOERBSEp5Y3ZEbzBTTWtKU1hoNzcvL3h2Mzc5M0h2M2ozRXhzYmkvZmZmaDFLcE5Qd0xKcUphaFlrWUVSRlJEYVpRS0hvSWd2QjFHUTVWNStmbisxeTllald5eW9NcW80aUlDSncvZng1bno1NUZWRlFVaGd3WmdvTUhEK0tISDM2QWhZVUYyclJwbzNOOFlHQWcvdmUvLzhIRXhBVFBQZmNjUHY3NFl3QkFTa29LQUdEWHJsMzQ2YWVmMEtkUEgyemV2Rm52YzlyWjJlSHExYXM2aVZoV1ZoWTJiZHFFbzBlUElqazVHVTJhTk1IUW9VTXhZc1FJQ0lKUTRtdUlqNC9INXMyYkVSSVNndVRrWkZoWldXSG8wS0ZTQWtsRXRSY1RNU0lpb2hvc1BEeDhwNmVucDY4Z0NDOFdkNHdvaWhwQkVHWkVSRVFFR1RLMjBuaDVlV0h0MnJXWU1XTUc3dCsvRHc4UEQzenl5U2Y0N0xQUHNIVHBVbno1NVpmU3NWRlJVVmkyYkJrRVFjQ0NCUXZnNHVLQzI3ZHY2NXp2MGFOSGVQVG9FWHIyN0ltSER4L0N3c0lDdTNmdkJsQ1FwRFZ2M2h4V1ZsWTZiVVJSeFBUcDAzSDU4bVVBZ0NBSWlJK1B4K3JWcTVHUmtZSHg0OGNYRzM5b2FDZ21UNTZNN094c0FJQkNvVUJhV2hyaTR1SXE0ODlEUkVSRVJFVFZtWWVIaDRkU3FjeFRLcFdpbmgrTmg0ZkhWMC83SEdJVnVucjFxcGlZbUNnOTNyWnRteGdiR3l2R3hzWktyME1VUlRFZ0lFRGN2Mzkva2ZacjE2NFZsVXFsK08yMzMrcHNUMGhJMEdtdno1RWpSNlJqZ29LQ3hPenNiUEhERHo4VWxVcWwyTGx6WnpFMU5WVnZ1OVRVVkxGUG56NmlVcWtVUjQ0Y0tWNi9mbDNVYURSaVdscWFHQjBkWFpFL1EzbDByb3ozRFJGVnJaTDcwNG1JaUtoR1VDcVZhd0JNMWJNcktEUTA5TFduUGI4b2l1TFRudU5KdWJtNVdMSmtDWVlPSFFvM056Y2tKU1doYjkrK3BiYXp0cmJHbVRObnNIcjFhcHc3ZHc0cEtTbElUVTJGcmEwdGJHeHNzSHIxYWx5NWNnWDM3dDFEUUVBQWdJTGV0NVNVRkNRbkoyUGl4SWw0NDQwM0FBQXpac3pBNmRPbjRlam9pTURBUUFEQXBVdVg0T3ZyQ3dENDRvc3YwS3RYcnlJeGJOdTJEV3ZXcklHVmxSVU9IVHFFQmcwYVZOYWZwU3k2Q0lKdzBaQlBTRVRseDZHSlJFUkV0VUJHUnNaOEt5dXJDWUlnbUd1M2lhSjROU3dzN0hVNTR5ckovLzczUHh3K2ZCZy8vZlFUWnMyYXBaUHcyTnZiUTZGUTZCeXZWcXVSbEpRa1BmNzc3NzkxaGlkcWh5YUdob1ppNmRLbE9tMjF4VDRBSUQwOVhmcjlqei8rQUFEODV6Ly9rYmExYTlkTytyMjRZWVpuejU0RlVGRE5NVEF3RVB2MjdjUGp4NC9Sdm4xN3pKa3pCNjFidHk3MTlSTlJ6Y1pFaklpSXFJYng4dkt5RWtYeFE0MUdjenc4UER3Y0FLS2pvOU04UFQzSEFkajZ6MkZKbVptWjNRQlVlazlXWlJrelpnemk0K054NU1nUkJBY0hvM3YzN3RLK1BYdjJvRjY5ZWpySFg3dDJEYU5IajVZZUwxdTJETXVXTGNPNmRldDBxaWFHaFlXaGYvLytNRFUxUlZCUXdiUzR6ei8vSEEwYU5JQ3RyYTFPaWZ2azVJSUNralkyTnRLMndyK25wYVhwalQwbUpnWUFjUG55Wlp3NGNRSUtoUUlhalFaWHJsekJ4SWtURVJnWWlMcDE2MWJ3TDBORU5RRVRNU0lpb3ByQlZLbFVQZ2RndXlpS2JnQWdDRUlBZ05IYUE4TEN3clo1ZW5wT0F1QWhDRUxuNk9oby9WbEVOV0ZtWm9iRml4ZWpiZHUyR0RKa0NISnpjNlY5UFh2MkxMRnRkSFEwM243N2JaMXRYMy85TmI3Kyttc3NYYm9VUzVZc1FXSmlvcFNJOWVuVFJ6b3VMUzBOb2loQ0VBVGs1UlVzcC9aazc1dFdjZHUxdldyNStmbll0V3NYMnJScGcrKy8veDRiTm16QXc0Y1BjZno0Y1F3YU5LamtQd0FSMVdoTXhJaUlpSXlUMEtwVksvT0dEUnUyRWtWeEtZQkIrR2Z1dHlpS2FrRVF3bkp6Y3ovVDArNERqVWJqRUJFUmNjdVF3VmJVN2R1M1lXdHJXMlI3eTVZdGk1U09WNnZWK091dnZ3QUE1dWJtY0hSMEJBRGN1WE1IR28xR21pTVdHaHFLTzNmdVNNY0N3UERodzZXaGkzbDVlVGgxNmhSc2JHeGdiVzJOMU5SVW5aNnZSNDhlU2I4WE4vZkwzTndjbVptWjZOV3JselNVOGUyMzM4YUdEUnNBRkpTMUo2TGFqWWtZRVJHUmtmSHk4bklXUlZFRndPYUpHaG01QUdhSGhZV3RLYTV0V0ZoWUJJQ0lLZzZ4MG9TRWhHRDU4dVhZdjMrL1RybjZyVnUzbGpnMHNWV3JWZ2dNRE1URml4Zng0WWNmQWdDR0RCa0NiMjl2Nlh5RjNicFZrSmNxRkFyVXIxOGZhclVhQU9EazVJU0lpQWpjdUhGRE92Ym16WnZTN3k0dUxucmpkbkp5UWxSVUZESXlNcVJ0MmpMMkFJcVV5U2VpMm9lSkdCRVJVVFhrNnVwcVptcHEybE9oVUF3RzBDOHNMRXlxN3FCU3FXSTlQVDB0LytrUnloSkZjVU5HUnNibk4yN2NlQ2hid0ZVa0tpb0tBT0RtNXFhenZiU2hpUUR3OE9GRCtQbjVTWSszYnQySzNidDNvMCtmUHBnK2ZUb0VRY0NxVmFzQUZDd0diV3RyaTNQbnpzSEp5UW1OR3pjR0FIVHIxZzBSRVJHNGVmTW1mdm5sRjNUcDBrV3F0TmlvVVNOcDRlZUFnQUNjT1hNR2ZuNStjSFIwUks5ZXZSQVZGWVd6Wjg4aVBEd2NibTV1K082Nzc2UllPbmRtaFhtaTJvNkpHQkVSVWZtWXVMdTdPNWlhbXY2dFVxbWtTVXVlbnA2VEJVRndBRkRubng4ekFKWUFMRVZSdEJRRXdSS0FwVnF0SGhFWkdYbW5VTHNvUVJDZUsrMUpuMy8rZWVmSXlNaVlmeDVxRkFyRk15cVY2bkdsdnJKcTZPclZxd0FBZDNkM25lMmxEVTNNeU1qQWxDbFQ4UERoUXpSdDJoVDM3OS9Iczg4K2k2aW9LRnk2ZEFsejU4NUZTa3FLbElocGh6RWVPblFJS3BVS2l4WXR3aXV2dklMaHc0Y2pNREFRZi8zMUYyYk9uQWxCRUtEdGhad3hZd1pNVEV3QUFKczJiVUoyZGphQ2c0UGg2K3NMSHg4ZkJBVUZJVFkyRm1QSGpwV0tkUURBd0lFRDhmenp6MWZSWDR5SWpBVVRNU0lpb21LNHU3czNVeWdVS3dWQjZJZUN4TXBVRk1VNmdpQUl1Ym01L3dFUVhlanc4UUJjOVoybmNNSlFwMDZkZXZxT2VaSW9paHBCRUZRQWdnRUVSVVpHeGhYZVh4dVNzSWNQSDBwenFaNU14TFJERXpNeU1wQ2VuZzRURXhNY09YSUVxMWV2aGlBSUVBUUJzYkd4ZVA3NTUrSGw1WVdBZ0FCMDY5WU5iNzMxRmx4Y1hHQm1acWJ6NzVLVWxBUVRFeE5wMktHVGt4TUFvRzdkdXRpOGVUTysvUEpMWEx4NEVkbloyWEIyZHNaNzc3Mm5VMDYvZi8vK09IWHFGTHAyN1FvQXNMQ3d3S1pObTdCKy9YcWNQWHNXcWFtcGFOR2lCWVlNR1ZLa2lBZ1IxVTVNeElpSWlBcHAzNzU5WFJNVGs2MkNJUFQvcHlkTHA5dmxuNGNKcHFhbTVrODAzU1NLWWlNQWVhSW81Z0ZRS3hTS0xGRVVzMFZSekJKRk1WdWhVR1NwMVdxZEtnMm1wcWE5VTFKU01zM056VFdQSHovT3Q3R3h5WStLaXRJQXlFYzFMaTF2Q0NFaElRQ0FaNTU1QmsyYU5ORlpJMHdyTWpKU1dseFp5OEhCQVZaV1Z1amZ2ei9HakJtREgzLzhVZHJYcjE4LzZYY2JHeHZVcVZNSHVibTVPZ3RGMjl2YjY2d2I1dURnZ0dYTGxwVVk2L3o1OHpGLy9ueWRiWFoyZGtXMkVSRnBNUkVqSWlJcXhOVFU5QWlBYnY4OFZJdWl1QnJBV29WQzhRaEFya3FseW9PZUJDa3NMR3h0Ulo3djh1WExDWVVmMzcxN3R5S25xWkhzN096dzRvc3ZTbFVURlFxRnRNYVh0bXk4cDZjbnpNM05rWnViQzNOemM3UnMyUkl6Wjg0RUFNeWJOdyttcHNWLzFURTNOOGU4ZWZPd2MrZE9aR1ptd3NURUJDMWJ0c1FISDN4UWJGbDZJcUxLSXBSK0NCRVJVZTJoVkNyYmlLSzROUzh2NzVWcjE2NDlCcUNST3laaklENVJ2ckU2eWM3T1JuWjJOaXd0TFdGdS9tUkhabzNVUlJDRWkzSUhRVVFsWXlKR1JFUlVsSUJhUGl5d3ZLcHpJbFlMTVJFak1nTHNkeWNpb2xyTnc4UGpmWGQzOXlGUGJHWlNRVVJFVllxSkdCRVIxVnB1Ym00TkJFSDRTcUZRN0hOM2QvOC91ZU1oSXFMYWc4VTZpSWlvMXFwVHA4NElBT1lBZm8ySWlQaEY3bmlJaUtqMllJOFlFUkhWWmhNQlFLUFJySlE3RUNJaXFsMllpQkVSVWEzazd1N2VUQlRGWndHa2hvZUhCOGtkVHczd205d0JFQURnSVlBN2NnZEJSS1hqMEVRaUlxcVZGQXFGbHlBSWdpaUtvUUR5NUk3SDJBbUMwSzMwbzRpSVNJczlZa1JFVkN1Sm91Z0VBSUlnL0M1M0xFUkVWUHN3RVNNaW9scEpFSVEyQUNDS0lvZHhFUkdSd1RFUkl5S2lXa2tRQk50L2ZyMHZheUJFUkZRck1SRWpJcUphU1JSRkt3QVFCQ0ZkN2xpSWlLajJZYkVPSWpKV3BrcWxjcXdvaXFNQVBDc0lnbDJoZlp0Q1EwUEhheDk0ZUhpTVV5Z1VtOHB3VHJhclJlMUVVZFQrREFZUVdGM2paTHZxM1k2SXFLTFlJMFpFeHNqVTA5UHpKSUNOZ2lDOCtFUVNoc0dEQjM4Z0ZqSi8vdnl5ZkxsaXUxcldUaEFFQ0lLQW9VT0hqcXpPY2JKZHRXeVhJNHJpRlZFVTMyN1ZxcFdGbDVkWG5iSzBKU0lxVEpBN0FDS2k4bElxbGVNQmJEUTFOY1dVS1ZQUXQyOWZOR3JVQ0lMQVN4b1JHYzdWcTFjeFpjcVV2MU5UVTllRmhZVXRsanNlSWpJdTdCRWpJcU1qRmd4SHhKUXBVekJpeEFnMGJ0eVlTUmdSR2R4ZmYvMkZ0TFMwWndSQmVGUHVXSWpJK0RBUkl5S2pJd2lDQXdEMDdkdFg3bENJcUJicjJMR2o5dGRXTW9aQlJFYUtpUmdSR1NObkFHalVxSkhjY1JCUkxXWnJxMTBCQWZYbGpJT0lqQk1UTVNJeVdoeU9TRVJ5NGpXSWlKNEdFekVpSWlJaUlpSURZeUpHUkVSRVJFUmtZRXpFaUlpSWlJaUlESXlKR0JFUkVSRVJrWUV4RVNNaUlpSWlJakl3Sm1KRVpJd2luWjJkNVk2QmlBakJ3Y0ZRcTlVdDVZNkRpSXdQNjY0U2tWRVNSVkdVT3dZaUlnQVFXTWVlaUNxQVBXSkVSRVJFUkVRR3hrU01pSWlJaUlqSXdKaUlFWkhSY1hkM2Q0MkppWkU3RENJaWVIdDdRNmxVeHNzZEJ4RVpIeVppUkdSMFRFeE1Jb2NOR3laM0dFUkVTRXhNQklBV2NzZEJSTWFIaVJnUkVSRVJFWkdCTVJFaklpSWlJaUl5TUNaaVJFUkVSRVJFQnNaRWpJaUlpSWlJeU1DWWlCRVJFUkVSRVJrWUV6RWlJaUlpSWlJRFl5SkdSRVJFUkVSa1lFekVpSWlJaUlpSURJeUpHQkVabzBobloyZTVZeUFpUW5Cd01OUnFkVXU1NHlBaTR5UElIUUFSVVVXSW9paktIUU1SRVFBSWdzRHZVMFJVYnFaeUIwQkVSRVJFVkZXVVN1VkpBTDNram9PcUgxRVVROExDd2pySjlmd2Nta2hFUkVSRU5SbVRNTkpMRUlTT2NqNC9lOFNJeU9pNHU3dTd4c1RFZ1BQRWlFaHUzdDdlVUNxVjhhR2hvWnduVnMycFZDcTVRNkJxeE12TFMrNFEyQ05HUk1iSHhNUWtjdGl3WVhLSFFVU0V4TVJFQUdnaGR4eEVaSHlZaUJFUkVSRVJFUmtZRXpFaUlpSWlJaUlEWXlKR1JFUkVSRVJrWUV6RWlJaUlpSWlJREl4VkU0bGtJSW9pMXpUNVY0Z2dDTEt0NFVGRVZKM3c4MEVIUHgrb1JtTWlSaVFQZnNqK1M5WTFQSWlJcWhsK1B2eXJXbjArUEg3OEdQSHg4UUFBTnpjM21hTXhyUFBuendNQVBEMDlZV2xwV2VReFZRd1RNU0lpSWlLaVVseThlQkdmZlBJSmdOTFhKT3ZTcFV1Rm5tUDM3dDF3ZEhSODZ2YnA2ZW5JeU1nb2QzdDdlM3U5MnlkUG5nd0FPSERnQUZxMWFsWGtjV0hKeWNsNC8vMzN5LzNjQUxCNTgyYlkyZGxwbDRVb2x6cDE2c0RPenE1Q3p5c1hKbUpFUkVSRVJKVklyVlpYcUowb2lwWFNmdVBHamRpMWExZTUyMWZHb3RlNXVibTRmZnQyaGRzQ0JRdWxsMWU3ZHUwcTlKcmx4RVNNaUl4UnBMT3o4L055QjBGRUZCd2NqRDU5K3JTVU93NnFYRjVlWHVYZVAzbnlaSXdlUFJwQTBZUW1LU2tKZmZ2MkJRQnMyclNwMVBNL2JmdW5rWk9UZzBPSER1SFdyVnY0K09PUHk5VG0rdlhyK1AzMzN6Rmd3QUNkN1dWTjdLcnk5VlJuVE1TSWFwaTh2RHlzWExrU3YvMzJHeElTRW1CdWJvNjJiZHRpNU1pUjZOV3IrS2tIbVptWjJMdDNMMDZjT0lIWTJGaG9OQnEwYXRVS3c0WU53K0RCZ3czNENrb1hHaHJxcGxLcFJMbmpJQ0p5Y0hCQVpHVGtIYm5qS0l1bnZjN0h4OGRqOCtiTkNBa0pRWEp5TXF5c3JEQjA2RkJwbUJvVkx6bzZXdnE5WGJ0MlZkNSs2dFNwOFBYMUxiSzllL2Z1QUlBMzMzd1RVNlpNMGR2MjRjT0hXTDU4T1FEZ3JiZmVLakwwVUo5dDI3Ymg2TkdqT0hEZ0FGYXZYcTBUOTl0dnYxMXEyK0ljT0hBQWdpRGc4T0hEbURoeElreE1US1I5TVRFeDJMQmhBNlpObTRZV0xWcVVHbU4xeEVTTXFJYkp5c3JDM3IxN0FRQUtoUUtabVptSWlJaEFSRVFFdnZ6eVMzVHIxazF2dThPSEQyUGR1blZTTzQxR2d4czNibUR4NHNYSXlNakF5SkVqRGZZYWlJaW84ajNOZFQ0ME5CU1RKMDlHZG5hMjFENHRMUTF4Y1hHR0NGMDIzMzMzbmZRbC8vVHAwMWk2ZENrQTROaXhZOUl4Ly8zdmY2WGlGY1c1Y2VNR0FLQkpreWFvVjY5ZXVlTW9iL3M2ZGVxZ1RwMDZ4ZTQzTlRXRmxaV1YzbjNObWpWRGx5NWRjUDc4ZWV6YXRhdlVYckVIRHg3ZzVNbVRBRkFrb1RjM040ZWpvMk9KN2MzTnpZdmRsNUdSZ1k4KytnZ1BIejdFMWF0WHNYejVjalJvMEFDcHFhbVlNV01HN3R5NWc3aTRPT3pkdTFjblNUTVdUTVNJYWhoemMzT3NYNzhlbnA2ZU1ETXp3OFdMRnpGcDBpUUFCUitreFNWaUppWW1HRDU4T0h4OGZOQ2lSUXZFeHNiQzE5Y1hEeDQ4d0s1ZHU0dytFWnN3WVFJdVg3NHNkeGhVUnE2dXJ0aTZkYXZjWVpTSTd5bmpZZ3p2cWFwVzBldDhXbG9hNXM2ZGkrenNiRHozM0hPWU4yOGVYRnhja0pHUmdmdjM3eHY0VlJpV3JhMHRHalpzQ0FDd3RyYVd0bXUzQVlDWm1abmV0aSs5OUpJMDF5c3ZMdzhBa0pDUVVHd2hqZ3NYTGxScSs2Y3hlUEJnbkQ5L0hzSEJ3Y1gybkdudDJiTUhlWGw1YU5DZ0FWNS8vWFU4ZXZSSTJ0ZXFWU3NFQmdaV09JNjZkZXRpNGNLRm1EdDNMbFFxRlVhT0hJa2xTNVpnelpvMXVIUG5EcXlzckxCaXhRcWpUTUlBSm1KRU5ZNlptUms2ZCs0TW9HRFNhMXBhbXJUUHc4T2oySGF2di82NnpvZEo2OWF0OGVLTEwrTGd3WU40K1BCaDFRVmNBZTd1N3E0eE1URndkbll1Y3h0K1lUWXVVVkZSY29kUUtyNm5qRXRWdmFlOHZiMmhWQ3JqUTBORHEvMDhzWXBlNXc4ZVBJaWtwQ1JZV1ZsaDdkcTFhTkNnQVlDQ3hLUWl3K3lNU1c1dWJwRmtDTkF0cHFIUmFQUzJWYXZWUllwdWlLSlk1a0ljVDl2K2FmVG8wUU1OR2pSQVNrb0tmdnJwcDJLUFMwOVB4NzU5K3dBQVBqNCtSWHEzeWpMMzYvRGh3eVh1Nzl5NU13SUNBakIxNmxUY3VYTUhZOGVPQlZEd2ZXZlZxbFhsK2k1UTNUQVJJNnFCTGwyNmhHblRwaUUzTnhlaUtLSjE2OVo0OTkxMzBhTkhqMkxiNkx1amQrL2VQUUJBMjdadHF5eldpakF4TVlrY05teFloYW83VlVaRktLcGF4alpwbSsrcDZxOHEzMVAvbE5rMmlna3FGYjNPbnoxN0ZnRFF0V3RYQkFZR1l0KytmWGo4K0RIYXQyK1BPWFBtb0hYcjFsVVRjRFhnNCtPamQzdFp5c3RyZTZnMEdnMWVmUEZGcU5WcUxGcTBDSys4OG9wMFRGeGNISVlPSFZvbDdaK0dxYWtwdkwyOXNXUEhqaEo3dExadjM0NzA5SFJZVzF2ci9WdHBoeVhldVhNSEdvMEdqbzZPaUkrUGh5aUswajVUMDlMVEVVZEhSNnhkdXhiRGhnMlRLaXYyNk5FREw3endRa1ZlWHJXaGtEc0FJcXA4K2ZuNVVLdlZVaG5idTNmdklpd3NERGs1T1dVK3gyKy8vU2JkOFI4MWFsU1Z4RWxFUlBJcDYzVStKaVlHUUVFdjhJWU5HNUNVbEFTMVdvMHJWNjVnNHNTSkZWcXZxamI1NjYrL3BGNnMwdVpMVlVYN2l0SW1mTGR1M1NyMm1ETm56Z0FBM243N2JaMmhtMXFCZ1lIWXNtVUxBTURDd2dLQmdZR3dzTENROXZuNitwWnBlT3Z0MjdjeFpjb1U1T2JtUWhBRUFNQ0pFeWZnNStjbkpXYkdpSWtZVVEzVXRXdFhxRlFxL1BMTEw1Z3padzd5OC9OeDhPQkJyRnk1c2t6dEl5SWlNSGZ1WEFBRncyNzY5ZXRYbGVFU0VaR0JsZWM2bjU2ZURxRGdKdCt1WGJ0dzZkSWxxU0xmdzRjUGNmejQ4YW9QV0NZSERoeUFTcVdDU3FXU0NuVUFrTGFwVkNyMDdObXp4SFBFeDhkTHY3ZHNXZjRSckUvYnZxSmNYRnd3ZGVwVUhEeDRzTmhqTm0vZWpGbXpacFZZR2ZHNzc3NkRScVBCODgvcnJqcVRuNStQUTRjTzRlZWZmeTR4am1QSGp1R2RkOTdCblR0M1lHZG5oKysrK3c3RGh3OEhBQVFGQmVIRER6OUVhbXBxT1Y1WjljRkVqS2dHcTErL1BvWU5HNGFYWDM0WkFIRDA2TkZTMjF5NmRBa2ZmdmdoTWpNejBidDNiL2o1K1ZWMW1FUkVaRURsdmM1cjUvMzA2dFVMN2RxMWcwS2gwUG5pWFRoUm9LSzBpeHZiMnRxaWZ2MzZCbS8vTk41NTV4MDBhOWFzMlAxMTY5YUZqNDlQc1pVY1Y2OWVqZTNidHdNQUJnMGFCQUJTdGNaWFhua0Z2LzMyRzU1OTl0bGl6Ly9ISDM5ZzNyeDVTRTlQUjd0MjdSQVFFQUIzZDNmTW5qMGJFeWRPQkZDUUZHL1lzS0ZDcjA5dW5DTkdWQXRvUzlqbTUrZVhlTnlaTTJjd2QrNWNxTlZxK1BqNFlNYU1HVkFvZUwrR2lLaW1xTWgxM3NuSkNWRlJVVHBERUxWbDdBRVVXd2E5SnZqNzc3K2x1WFVwS1NuUzlzTEQ2Ykt5c2tvOGh6WlJyZWl3d3FkdEx5ZHQ2Zjl1M2JxaGYvLytBSUQzM25zUEd6WnNRRXBLQ2pwMzdveStmZnZpczg4KzA5ditQLy81RDVZdVhZcVFrQkRNbWpWTFo1N2orKysvajNyMTZ1SHUzYnVZUG4xNjFiK1lLc0JFaktpRzJiOS9QOHpOemRHclZ5OVlXVm5od29VTE9ISGlCQUNnZmZ2MjBuRUJBUUU0YytZTS9Qejg0T2pvaUtOSGoyTCsvUG5RYURTWVBuMjYwWmVySnlJaVhXVzl6ai81K2RDclZ5OUVSVVhoN05tekNBOFBoNXViRzc3NzdqdnBlRzJsM3BwSTIrdnlwTmRlZTYzTTU5RDJhRlYwV0dGNTIvLysrKytsenUzZXRXc1hkdTNhcFhmZmpCa3ppcDNLOEdSaEVIMkZRZ3BYV1h6ampUZVFuNStQd1lNSFMzTzdmSHg4aWkyQ1V0THpsVlEwWk9mT25RQ0FOV3ZXU0l0V0d3TW1Za1ExVEZKU0VqWnQyb1QvL3ZlLzBvS2RBR0JwYWFtekZzaW1UWnVRbloyTjRPQmcrUHI2NHROUFA1V09YYjkrUGRhdlg2OXozc3BjbjRTSWlBeXZyTmY1Sno4ZmZIeDhFQlFVaE5qWVdJd2RPMWJuczJYZ3dJRkY1djdVZHR1MmJjT2FOV3VLYkQ5OCtIQ0pwZHExMVQyblRadjJWTzIzYmR0VzNwQ3JqRGFtRlN0V3lCeEo5Y1JFaktpR2VlR0ZGM0RseWhYY3VIRURtWm1ac0xPelE4ZU9IVEZ1M0RpMGF0VktPcTUvLy80NGRlb1V1bmJ0Q2tCM0hSUkRyRkZDUkVTR1ZkYnIvSk9mRHhZV0Z0aTBhUlBXcjErUHMyZlBJalUxRlMxYXRNQ1FJVU5LTE5KZ3pMVHJvNjFjdVJKTm16WXQ4ZGpWcTFkRHBWS2hVYU5HQUFCQkVKNXFXUC9UdG0vVHBnME9IRGhRNGZaMmRuYlN2MzFGbUppWXdNYkdCa0RCdkxheTBLNTVxbDJZdWJTMXhZcFRlS0Z0WXlESUhRQlJiU1JxNjhvVEFFRFFqbGNvSTZWU0tRTGxXNzlKZTFlT2F6NVZmOGJ5YjJVc2NWTFYvbHRwengwYUdsb3AzNm40K2FDcnZKOFArbFRrTTROcXZzcit2MXNSbklWUFJNWW8wdG5aV2U0WWlJZ1FIQndNdFZwdHVKcmlSRlJqY0dnaUVSbWQwTkJRTjVWS3hidkdSQ1E3QndjSFJFWkczcEU3RGlJeVB1d1JJeUlpSWlJaU1qQW1Za1R5Q0pFN2dHb2tVdTRBcWtwMGREVDgvZjNoNys5ZnBjL3o0TUVEM0wxN3QxTFBtWldWaFhQbnp1SGN1WE9WZWw2cWZFbEpTVHFQbzZPakVSMGRMVTErTDBuaDRnMGFqUVpKU1VsRnpxZXZxRU5KMDVoeWNuTDQzbms2L0h6NGwyeWZEOVhodW5yLy9uMmNPM2RPYnh6aDRlRUlEdyt2dHNXMTh2THlpdDJYbVptSjA2ZFA0L1RwMDhVZUV4Y1hoODgrKzB4bnZicWFpRU1UaVdRZ0NFSW51V013WnU3dTdxNHhNVEdvVHZQRU5Cb054bzBiaDJlZmZSWURCdzVFMjdadEVSY1hKNjNUTW5QbXpCTGJueng1RWoxNjlKQVczd1lLdnRCbVoyY2pPenNibVptWmVQejRNUjQ5ZW9SSGp4NGhOVFVWNzd6ekRqSXpNekZseWhUY3UzY1BDeFlzd01zdnY0eUFnQUQ4K09PUHBjWmMwcG9zaVltSm1EWnRHZ0JPY0svdVB2amdBK1RtNW1MSmtpVndjM09UcXRndFhib1UvZnIxSzdiZDl1M2JFUmdZaU1tVEorUC8vdS8va0pLU2dyNTkrd0lvK0RlL2Rlc1dWcTFhaFh2MzdzSGYzeDl0MjdZRkFOeTdkdy9UcDArSHI2OHZldmJzV2VTOFNVbEp0ZXE5NCszdERhVlNHUjhhR2xvcDg4VDQrU0MvNm5KZFBYcjBLTDc2Nml2NCtQaGcxcXhaT3Z2R2poMExvS0M2WUdsVkhiVkdqQmhSNnVMVGhlT1BpNHNyMDNrTHM3R3hnWVdGQlQ3ODhFTzBhZE1HczJiTlFsNWVuazVpRmg4Zmp4a3paZ0JBa1dTc1hyMTZ5TW5Kd2JoeDQ1Q2NuSXljbkJ3c1hyd1l3TC9GTllyVHNXTkhmUDMxMStXT1dVNU14SWpJNkppWW1FUU9HemFzV24zSkN3c0xrKzVRZHVqUVFmclNXaGE3ZCsvR0YxOThBVmRYVjN6eHhSZll0MjhmdG16WlVtS3ZBd0QwNjljUGpSbzFnb2VIQjI3Y3VJRTVjK2JBejg4UHljbkowZ0tnVmVIZXZYdG8xcXhabFoyZnlrNmxVaUV1TGc1bVptWndkSFFzOXJqOC9IeXBMTFNXaTRzTDh2UHpNWFBtVEt4WXNRSWVIaDdTdnZQbnoyUHExS2t3TnpmSDBLRkRwYkxjQUxCMzcxN0V4TVJnNXN5WkdEdDJMQ1pNbUNBbGYydlhycTNrVjFqOUpTWW1Ba0FMdWVPZ3ltTnVibDR0cnFzUkVSRUFBRTlQejNLZDYvNzkrM29YbkxhMHRDdzFFU3RNMzJMTnBSazllalQ2OXUyTHVMZzRSRVJFNE5hdFd3RCtmUzFQZXZKbWprcWxncm01T1diTW1JRjU4K2JoNTU5L1JvY09IVEJvMEtCeXgySU1tSWdSa1ZIeDlQVHNEWlE4TkVvT2h3NGRBZ1lMa1FzQUFDQUFTVVJCVkZDdzNrNmJObTJRbUppSTFOUlVhZjgvWDlaME5HN2NHQXFGQXQyN2QwZFFVQkNpb3FJd1pzd1krUHI2d3NIQkFaYVdsckMwdEVSVVZCUUFvRStmUHJDM3QwZTlldlZnWTJNRGMzTnptSmlZWU02Y09XamV2RGwyNzk2TkhqMTY0UFhYWDhmMDZkTXI3YlVsSnlmRHpzNE9BQkFVRklSRml4WmgrdlRwZU91dHR5cnRPZVQwd3c4LzRObG5uNFdMaXdzcW9WSzJRWDMvL2ZjQWdMNTkrNkorL2ZwNmo4bkl5TUQ0OGVQUnVYTm4rUHI2WXQrK2ZkaXpadytBZjRjUHJWKy9YbWVZb3IrL1B6UWFEU3d0TFhXR1VnVUdCbUxhdEdtd3RyYkd4bzBiOGVEQkF3REFqUnMzQUFDNXViazZ6NTJjbkl6SXlFanBaKzNhdFRBMTVWY1BxaGlsVXRsWkZNVzZDb1hpckVxbHlpMjlSY1ZVaCt0cWZuNCt3c0xDQUFBTEZ5N0VaNTk5SnJVOWMrWk1pZWNXQkFGbVptYkl5OHVEUnFPQnFhbXB6cnBrMnB1WWhaZDE2TmF0VzdtU3RKSzR1TGdnSUNBQXZyNithTjI2TllZTUdZTDc5KzlMK3g4K2ZJZ3Z2dmdDQUxCOCtYS2R1TFg2OSsrUG8wZVA0dUxGaTlKMVJidmdlSEdlWnUwMXVmQnFTRVRHWmdCUWNNRmV0bXdaZXZYcUJVOVBUNWlabWNrV1VFcEtDbzRkT3dZQXlNN094c0NCQTRzYzQrM3RYV1NiZGtoSnMyYk44TC8vL1EvcjE2OUhyMTY5NE83dWpsZGZmVlU2VHZ0aE9XSENCSjFGdWJVZVBIaUFFU05HWU5DZ1FhaGJ0MjY1WWwrM2JoMjJiTmxTWkh2aHhVQVBIejZNZDk5OUY4SEJ3Vmk0Y0NFMEdnMSsvUEZIREJvMENKYVdsdVY2dnVwbzI3WnR1SDM3Tmh3Y0hOQ3ZYei8wN05rVHJxNnVSWHFRcXB1clY2OUtYMHhHalJxbDk1aXNyQ3hNbno0ZDE2OWZ4L1hyMTlHc1dUTThldlNveUozOTRoNG5KeWNqT1RsWlo1OGdDQmczYmh5VVNpVThQVDExdmp5RmhZVWhQajVlZXR5blR4K2R0c2I0UlltcUQxRVVYeFFFd1Y4VXhUU2xVcmtMUUdCcWF1cnBXN2R1NVZUMmM4bDlYUTBQRDBkNmVqcUFncUdTeFltSWlNQkhIMzJFeno3N1RCcUowYVJKRTF5NGNBRitmbjRJQ2dxQ3Y3OC91bmZ2am03ZHVnRUEvUHo4ZE03aDUrZFg0bHl6anovK0dHKzg4VWFaWHo4QU5HL2VITjkvL3oxc2JHeFFwMDZkWXE5UmMrYk1rWDYzdExSRTc5NjlwY2R6NTg1RlptWW1uSnljQUVEV3ovbXF3a1NNaUl6Vy92MzdzWC8vZnRTdFd4ZTllL2RHNzk2OTRlWGxaZkRrWU92V3JVODFZZnFycjc1Q2Ftb3FaczZjQ1RNek01MGtyTEFKRXlZVTZVMVl2MzQ5Um80Y2lSNDllbURPbkRrNGNlSUUxcXhaVStibkxta09rZGFlUFh0Z1ltS0NOV3ZXUUJSRnVMcTZZdDI2ZFRVaUNTc3NJU0VCQVFFQkNBZ0lnSjJkSFFZTUdJRHUzYnZEMDlPejJ2WGlhRFFhNlk0eUFMUnAwNmJJTWFtcHFaZ3dZUUlpSXd2cUhRd2RPaFNEQnc4R0FJd2ZQeDU1ZVhrNGYvNDg5dTdkaXdzWExzRFUxRlRxSWJPeXNzS3JyNzZLdDk5K0d5MWE2STY2MC9ac3paa3pCM2Z2M2tWQVFJQzBiOEdDQlRySE5tN2NHTzNhdGNOdnYvMEdRUkNZaUZGbHFRZmdBd0FmMUt0WEw5M1QwL09BSUFqNzgvTHlmcmw2OVdyRzA1Nzg5dTNic2w5WGp4dzVBZ0R3OWZYRjJMRmo4ZkRoUS9UcjF3OFdGaFk2NXpsOStqUnUzcnlKMmJOblk4ZU9IYkN5c2lyMXVZT0Nna3A4L0xSdTNyeUpUei85RkFzV0xFQ2pSbzJnVnF0MWVyNks2eEV6TlRWRmZuNCtCRUdBS0lvNlE2SkxteCttOWVxcnIyTGh3b1dWOUVxcVh2WDZaQ0VpcW9DTWpBd2NPblFJaHc0ZGdxV2xKWHIyN0luZXZYdWpZOGVPNWI2VFdWN3g4ZkhZdlhzM0FPRE5OOS9FM0xsenBYMUhqeDdGSjU5OEFxRDRpZGtKQ1FuWXVYTW5jbkp5OE1jZmYyRGx5cFg0NjYrLzlCNnJIUVpXV0ZoWUdMS3pzM0hreUJGY3VYSUZyNzMyV3JIdDlSay9manhHang0TkFJaUtpc0tISDM2SWxpMTFhdzRrSmlaaTllclZBSUFYWDN3Unk1Y3ZyM0ZKMkpPU2s1T3hZOGNPN05peEEvWHExVU9mUG4zUXMyZFBlSGw1RmZraUpJZmR1M2ZqOTk5L0wvR1lWYXRXU1RjSWZIeDhNSFBtVEtqVmFodzhlQkNob2FHNGVQRWkwdExTSUFnQy91Ly8vZy92dlBNT3hvd1pBd0RZdUhFalB2MzBVK3pkdXhjdUxpN3c4UENBbzZNamV2YnNpVldyVmlFaUlnS2pSbzNDcUZHamNQRGdRZWs1UFQwOTRlam9LRzA3Y3VRSU1qTXowYjE3ZDUxQ05FU1ZSUkFFYXdEdkFualgxTlEweTlQVDgwZEJFUGJWcVZQbnhLVkxsMUpMYTYrUDNOZlY5UFIwS1JIVGZvWWxKQ1FBS09ocEtteml4SW00ZWZNbWJ0KytqZVhMbDVjcENhbnFvWW5mZmZjZGJ0MjZoZmZmZng4TEZpekFwNTkrV3V5eGhYdkVBR0RRb0VFd016UEQzcjE3aThSYkV6RVJvMXJMdzhPanB5QUlSd1JCTUpjN0ZxbzhXVmxaK1Bubm4vSHp6ei9Eek13TTNidDNMekk4cWpLZFAzOGVhclVhRmhZV2VQLzk5OHZkM3NIQkFSczNic1RVcVZNUkZSV0ZIVHQyRlBuUTBYNVlIamh3UU8vUXhPYk5tMlBPbkRtd3RiWEZoQWtUTUduU0pLeFlzUUo3OXV6QjhPSERNWHYyN0JKajBBNzMwTTREZXVHRkYzVDJhM3RLaGc0ZGlybHo1eHFzVjZPc2QwQ3JXbHBhR2dJREF4RVlHQWdMQ3d1cDkxVVVSVm5tbE4yK2ZSdnIxcTByOVRpMVdnMUJFREJwMGlUcFM2R1ptUmxDUTBOeC9QaHgyTmpZNEpWWFhzRWZmL3lCT25YcTZCUUsyTDU5TzlxMGFZT0JBd2ZpNk5HajBweXluajE3WXYzNjlaZy9mejUrL2ZWWHRHL2ZIdlBuejVmbXJ5eGF0QWdBZEpJejdmeU82cENJVmVWN1NxbFVWcStKcTdXVHBTQUlQZ0I4MUdwMWpxZW41MkZSRlBlVzJ1b0pnd1lOa3ZXNnVuUG5UbWs0WWtSRUJIeDhmS1FiTDg4OTkxeVI1NWszYng0KytPQURCQVVGb1YrL2ZuQnpjOU1wZ2pGdDJqUTg4OHd6NWYwelZOaC8vL3RmWkdabTR2ejU4ekExTmNYS2xTdkx0SndHQUxScjEwN24rcUdsSFlZOWYvNThuRGh4QW82T2p0aStmVHZ5OHZLd1pjc1dqQmt6QnVibTVrYlg2ODVFakdvemR5WmhOWnRHbzBGcWFtcVJkWkVxVTc5Ky9iQjY5V3FNSGowYStmbjVPa1U1U2lyV1ViZHVYVmhiV3dNQTJyZHZqODJiTjJQNzl1MllQSGx5dVdQbzBLRUR0bXpaZ295TURHa0luWFk0Mm4vKzg1OHluU005UFIzQndjRUFvRE5HSHlpWTMzYm8wQ0drcGFVWjNZZGNaUk5GRVNrcEtVaE9UcGExc0lkYXJZYWRuWjNPL0syY25CeXNXclZLZW14bFpZV0ZDeGVpVjY5ZU9tMW56NTZOTjk5OEU1NmVubExKK3BpWUdDeGJ0cXpJbmZLNWMrZGk5T2pSdUhmdkh2NzQ0dy9ZMjlzREFGYXNXSUdiTjIvQ3hjVUZBSFFLQ1JTbTBXaWtTZm8xdlJlVnFoZEJFQlFBN0FBNFZLUzluTmRWYllFbVFSQnc0Y0lGNU9ibTR0ZGZmd1dnLzJhQ2w1Y1hCZ3dZQUFjSEIzVHExQWxaV1Ztd3RyWkdkblkyOHZMeVlHbHBDV3RyYXlrWmV2SWMrczZabjU4di9WN2UrYklXRmhaWXRXb1ZmdjMxVi9UczJSUDUrZm5vMkxGam1kcXFWQ3A4OU5GSEdEaHdJRWFNR0NGdE56TXpRMlJrSkU2ZVBBbWdZRWtZS3lzclRKbzBDUmN1WElBZ0NCWDYvSlFiRXpFaVlFMW9hR2psbFVLaUt1WHA2ZWt2Q01LTTR2YWJtWm5CMWRVVlBYdjJ4R3V2dlFZYkd4c0EwSmxQVTVrYU5HaUFrU05IWXZUbzBlamN1WE94eHoxWnJHUGt5SkU2RmJnZVBueUlMbDI2SUNjbkI0OGVQZEpiZXZqSlVzS0YxNCtKalkyVkptcm41dVpLVmV3V0xseW9kNmlLaTRzTGR1N2NLVDNldG0wYjB0TFMwS3haTTd6d3dnczZCUmZHalJ1SEkwZU80Tml4WS9EdzhNRHc0Y09MZloyVnlWRERVWVlNR1ZKaVdXb3JLeXQwNnRSSkd2S3FUU2kwYTlzWW1xT2pJNW8xYTRZWk0yYmdvNDgrQWdCY3VYSUZTNWN1MVhrZHMyZlBMcEtFQVlDZG5aM2VYbUo5WDhhMDY0b0JnTHU3dS9SbE1qbzZHdXZXcmNQQWdRTkw3SEgyOS9lWGV0T2VuR3NtaDZwNFQybi9icUdob2NaVmN0TUllWHA2emhBRXdiK0VRN0pGVVR3SDRBZTFXcjBuS2lvcUdRQ1VTbVdGMWxXUTY3bzZhdFFvSkNRa29IWHIxamgyN0JnQ0FnS2tlWnpkdTNmWEcrdWlSWXVraE03YTJocG56cHlSaW5Vc1c3WU0zYnQzTDdLT21QWjZvVy9waTR5TWY2ZmFWZVFtU21abUpoSVNFbkQ3OW0yZDRaUXpac3dvTW84dFBUMWRHcVlKRlBTZVB6a0VQRE16RXdzV0xJQW9pbmoxMVZmUnRXdFhBQVhsOGk5ZXZJaHQyN2FoYjkrKzBzMGhZOEZFaklpTW5vV0ZCZHpjM05DclZ5OTRlM3RMUFUyR1VobDM0UUlEQTNIaXhBa01IRGhRWjRpanZnOUlmVW1Edjc4Lzd0Ky9qMVdyVnFGRml4YkZMdkNabHBhRzVPUmtuYjlSZEhTMFZIRGgzWGZmTFhKM3RtblRwaGd6Wmd5KytlWWIrUHY3Ri90RnZpYXhzYkZCcDA2ZDhQTExMNk43OSs3VnJsclhOOTk4ZzV5Y2Z3dkZCUVlHNHZidDI5SWtkMEMzd3RqYXRXc1JIeCtQUG4zNm9GKy9mdEw3U3FQUjRNNmRPd0IwMzJ2YTkxaUxGaTJrOTBPVEprMmsvUmN2WHNTbFM1Y1FHeHRiWW1HQ0xsMjZTRU5xamZGdU5SbUZURkVVVHdNNGtKYVd0di9XclZzVm1oZW1qMXpYMVE0ZE9tRHg0c1ZJVFUzRnNXUEhwRVdLKy9idEs5MWNmRkpaUml2czJMRkQ1N0gySm9LK1JhZ0xsNXZYbHRrdmoydlhydUdMTDc2QWs1T1RkRE1HQUZhdVhGbnVjd0hBckZtenBPdlNqUnMzTUdMRUNHUm1aa3FWSmZQejgrSHY3NDl2di8yMlF1ZVhDeE14SWpKS2dpQ2djK2ZPNk51M0wvcjI3VnN0Q2lnOGViZTlMTVU2Z0lJdnc1Y3VYUUlBS0pWS25YMzZQaUNmN0xtNGUvY3U3dDI3QjRWQ2dmYnQyOFBXMWxadk82Qmc3cy9xMWF2Um9FRURBQVZGS1Q3KytHUGs1dWFpVFpzMnhTNmErZDU3NytHMzMzNURaR1FrUHZua0U2U2twR0RZc0dIRnZpWmoxS2hSSTNUczJCSDkrL2RIcDA2ZHFsMmx4TUthTkdtQ3VMZzQ2ZkdNR1ROdzgrWk56Snc1RTc2K3ZrV092M2Z2SG43NTVSZGtaMmZqbTIrK3FkQnpYcjkrSFZGUlVYQjFkWlhlcjEyNmRDbXhUYmR1M1hEcDBpVmN1SEFCbHk1ZGdwT1RVN0hyblJtcjRPQmc5T25UcDJYcFIxSmxFVVV4UXhDRTR3RDJDNEx3UTJob2FQSDEzU3RJN3V1cXRpZk96YzBOMTY1ZEF3Q3BtRTVGRlRkSHN2QjI3VWdMN1RCTVFQOE53ZEtFaDRjREtQcVp0bVhMRnRTclYwOW4yNk5IanpCMjdOZ1N6K2ZnOE84SVUyM1BKRkF3WXVHWlo1NUJjbkl5UWtORGNlellNWjJlL09xdStuN0tFQkhwSVlwaUdJQzNMMTY4dUxNNlRQNnZEQkVSRWRMWS9ZNGRPMG9seE10S08zZkEzZDBkdHJhMkpSNmJrcElDQUxDMXRZVW9pcGcwYVJKdTM3NE5Nek16TEZxMFNKb0xVSGh4WDZCZ1l2bUtGU3Z3N3J2djRzR0RCMWkrZkRrYU5XcWtkK2lic1Jrd1lJQzBKcGF4em9GcjJMQWg5dTdkcXpOdnJmRDc2TzdkdXdBS2VyaUtXeFJWWDArcnRyZE1LenM3RzFsWldZaUlpQUJRVU8ydEpOcDQvdmpqRDN6enpUY0lEdy9IaGcwYnl2Q0tqSWVEZ3dNaUl5UHZsSDRrUFMxUkZLOXFOSnJoR1JrWlAxYkYybUdGVllmcmFtUmtKRzdldkNrZHYzTGxTaXhZc0VDbmQ3b3M5dS9mancwYk5zRGUzbDducHFXK29ZbmFHMUNuVHAwQ0FOamIyMHR6UTh0RGUvUHh5VVJNV3ppb05OcHJERkJ3RStpOTk5NkRrNU1UbWpkdmptZWVlUVlOR3paRWd3WU5wSjUvZjM5L0pDWW1WcHNpVDJYRlJJeUlqRXA0ZVBnT0FLaFRwODdPMG80MWxMSmMrUFVkMDd0M2I2eFlzUUsvL1BJTEFNRFoyUm5QUFBPTXpwQVFmWXREUDBuN2dkbWpSdytkN1ZsWldVaEtTa0w5K3ZWaGJXMk5yS3dzWEw1OEdVREJsMGRCRVBEc3M4OGlPam9hOCtmUFI2TkdqUkFWRlFVTEN3dHBnZXJDeWE2OXZUMDJidHlJaVJNbm9uNzkranBWdVl6WnVISGo1QTZoVW1pVEhuTnpjK1RrNUdEUG5qM0l5Y25CZ3djUEVCMGREUUJvM2JxMTlBVXBJU0VCS3BVS2x5OWZSbVJrSk5hc1dTUE41VmkxYWhVaUl5UFJ2bjE3ZUhoNHdOM2RYYnJiZitMRUNhalZhcGlhbWtvOVl0b0tjSEZ4Y2VqYXRhdE9EL0RqeDQrbDk3aWJtNXRoL2hoVUk0V0hoeDgzMUhQSmZWME5DUW5CekpremtaMmREVHM3T3p4Ky9CZ2hJU0VZTkdnUXVuWHJoa21USnNISnlRbnA2ZW40ODg4L2tadWJpL1QwZERSczJCQkpTVWxZc1dJRi92enpUd0QvSnBYbno1K0h1Zm0vTmNxS0c1b1lHUm1Ka0pBUUFLalFkVDR6TTFQcVVYdnlzMDlmajFoU1VoSSsrT0FENmZFdnYveWlNd2ZYMTljWFU2ZE9oYmUzTjJ4dGJYVnVtR2swR3VUbDVlR0REejZBUXFFb2t1eFdkMHpFaUloa0pJb2lUcHc0QVFCNkoyRnJlektLOC9EaFE0U0ZoUUVvMmp1Um1wcGFiQ0tudlVzNWV2Um9QUC84OC9EMjlrWjBkRFRlZWVjZG5lT2VuUGpjcWxVcmJOMjZGWC8vL2JmUjloN1ZkQys4OEFKKy9mVlhSRVZGU2RYWGdJSTVZMTI3ZHNXT0hUdXdhOWN1blhXUnJLeXNjUHo0Y1l3Wk13WjVlWG00ZGVzV3JsMjdob2lJQ0d6YnRrMDY3OGFORzNINjlHa0FCZThoN2FSN1YxZFhSRVJFbERnUFRLRlFvSC8vL2xYd2lva3FsOXpYMVQxNzlzRGYzeDhhalFiMjl2YjQ1cHR2OE9EQkEzeisrZWVJaVluQjZkT25wZitIVDlxMGFST3NyYTF4NjlZdG1KbVpvWFBuem5qcHBaZHc2TkFocWNERms1NU1sa2FOR2dWUkZLRlFLUERHRzIvby95T1ZJQ1FrQlBuNStXamV2RGthTjI2c1U0R3hSWXNXc0xXMVJWaFlHSTRlUFFvek16UEV4c1lDZ0RULzdlYk5tOUJvTkhCd2NFRGR1blVSRXhOVGJHWFdKM1h2M3IxY2kyL0xqWWtZRVJrZGQzZDMxNWlZR0RnN084c2RDb0NDOWIwcVFydFFwNStmSC9idTNhdDNtSisrdVdXRlB6UlRVMVBScFVzWHhNYkdGdmw3Mk52Ym8wV0xGbmp3NEFIeTh2SmdZbUlDQndjSHZQbm1tM0IzZHdkUThLR29yV2JYdG0xYjFLMWJGOW5aMmFoYnR5N2F0bTFiWkxGTkFHamN1REVhTjI1Y29kZE1WYy9Qenc5ZmZ2a2xvcUtpa0p1YkMxTlRVN1JxMVFxalJvMUNzMmJOMEtOSEQ2eGZ2eDRPRGc3bzNyMDdldlRvZ1JkZWVFRzZTMjlxYW9vTkd6WWdOVFVWNTgrZng2Ky8vb29MRnk1SUpic2JOMjZNQmcwYTZQUVUrUG41WWVYS2xiaHo1NDdlTzlJMk5qWVlOV29Vbkp5Y0RQTkhNQ0J2YjI4b2xjcjQwTkJRemhPckllUytybmJvMEFFV0ZoWm8xYW9WL1AzOXBlZmN2WHMzTGw2OGlOT25UK1A2OWV0SVNFaEFabVltMUdvMU5Cb05iR3hzNE9ucENZMUdneVZMbHFCSGp4N1N6WkpyMTY3aDBhTkhaWHI5VTZaTVFYeDhQQm8yYklqV3JWdVgrKzlYdDI1ZGRPclVxY2ppMDRYVnIxOGYrL2J0QTFEUW05KzRjV1BwUnM2QUFRUHc0NDgvNHR0dnYwWDkrdlh4L2ZmZjQ5S2xTMGhKU1VGV1ZoWnljM09SbDVjSGpVWWpGU2NTQkFHQ0lKUllQS2c2WXFsVnFyVThQRHltS2hTS05XRDVlcU9qWFRpMVBLV290Y21Mb1VxaVA0M0M2NUhwcTlLbDNkZTRjV09wVnlvbkowZG55SWt4TTVaL0syT0pVNStrcENRMGJOaXd6TWRyTkJwcDRYTHQ0OXpjWEtONXoxWGx2eFhMMTFkL0Zmbk1BT1M5cmtaSFI4UFoyYm5NUllNMEdnMDBHazJsRlJuS3pzNkdLSXBWdXY2ZldxMkdRcUhRRzNOeWNuS0ZxaldXUjNYNHY4c2VNU0tpYXNiRXhLVFlNc2tBOUU2Y05wWXZ4RlE5bENjSkF3cUdGUmFlNUs5UUtQaWVveHBQenZkNGVkZkRVaWdVbFRwYzNCQ1ZpRXRhRnFTcWs3RHFnZ1A4aVlpSWlJaUlESXlKR0JFUkVSRVJrWUV4RVNNaUlpSWlNakwzNzkvSHVYUG45RmJYRFE4UFIzaDRPTlJxdFF5UlVWbHhqaGdSRVJFUmtaRTVldlFvdnZycUsvajQrR0RXckZrNis4YU9IUXNBT0h6NGNJbHpqZ3NiTVdJRXNyS3lTanpteVRYSDZPa3dFU01pSWlJaU1qSVJFUkVBQUU5UHozSzF1My8vUGw1NzdiVWkyeTB0TFV0TnhLaHljV2dpRVJFUkVaRVJ5Yy9QbHhhZFhyaHdJVjU2NlNYcHB6U0NJTURNekV5cXNtaHFhcXBUd1ZDbFV1bVUrbGVwVkZWYXhyNDJZeUpHUkVSRVJHUkV3c1BEa1o2ZURnREl6TXhFZW5xNjlGTllSRVFFZkh4OGNQUG1UV2xia3laTmNPSENCWGg3ZXdNQS9QMzljZUhDQldtL241OGYvUHo4ZEI1enJsblZZQ0pHUk1ZbzB0blpXZTRZaUlnUUhCd010VnJkVXU0NHFIWTVjdVFJQU1EWDF4Y3FsUXBIang0RlVIVDlyOU9uVCtQbXpadVlQWHMyTWpNenkzVHVvS0FnQkFVRjZUek96OCt2cE1pcE1DWmlSR1IwUWtORDNmYnUzU3QzR0VSRWNIQndRR1JrNUIyNTQ2RGFJejA5WFVyRTZ0YXRDd0JJU0VnQUFEUnYzbHpuMklrVEo4TFIwUkh4OGZGWXZueDVtYzdQb1ltR3cwU01pSWlJaU1oSTdOeTVVK3JkMGhicytQMzMzd0VBenozM25NNnhabVptbURkdkhvQ0NucTN6NTg4akxTME5YbDVlVXEvWHRHblRNR0RBQUVPRlQ0V3dhaUlSMVNwZVhsNXloMEExRE45VFJHUklVVkZSQUFxS2JseTRjQUc1dWJuNDlkZGZBZWkvSG5sNWVXSEFnQUZ3Y0hCQXAwNmRrSldWQld0cmEyUm5aeU12THcrV2xwYXd0clpHV2xxYTNuUHdHbGQxMkNOR1JFYkgzZDNkTlNZbXBseHRYRjFkcXlnYXFnckdNQWVRN3lualVsWHZLVzl2YnlpVnl2Z3FPVG1SSHFOR2pVS2JObTNRcDA4ZnBLV2xJU0FnQUJjdVhJQ3BxU202ZCsrdXQ4MmlSWXN3YWRJa21KaVl3TnJhR21mT25FSC8vdjBCQU11V0xjTytmZnZnNk9pbzg2T2xieHRWRHZhSUVaSFJNVEV4aVJ3MmJKak9HUGJTYk4yNnRRb2pvdHFJN3lrQ2dNVEVSQUJvSVhjY1ZIdDA2TkFCaXhjdlJtcHFLbzRkTzRhdnYvNGFBTkMzYjEvWTJOam9iYU10VlYrU0hUdDI2RHpXOW9SeEVlZXF3MFNNaUlpSWlNaUl0RzNiRmdEZzV1YUdhOWV1QVFER2pCbnpWT2NzYmdoaTRlMkhEeDlHMDZaTm4rcDU2RjhjbWtoRVJFUkVaR1FpSXlOMTFnZGJ1WElsL3ZycnIzS2ZaLy8rL1hqcnJiZGdiMjlmNnRCRVUxUDI0VlFtL2pXSmlJaUlpSXhJU0VnSVpzNmNpZXpzYk5qWjJlSHg0OGNJQ1FuQm9FR0QwSzFiTjB5YU5BbE9UazVJVDAvSG4zLytpZHpjWEtTbnA2Tmh3NFpJU2tyQ2loVXI4T2VmZndLQVZPamovUG56TURjM2w1NkRReE9ySGhNeElpSWlJaUlqc1dmUEh2ajcrME9qMGNEZTNoN2ZmUE1OSGp4NGdNOC8veHd4TVRFNGZmbzBUcDgrcmJmdHBrMmJZRzF0alZ1M2JzSE16QXlkTzNmR1N5KzloRU9IRHFGcjE2NTYyenc1WkxFODg3T3BaRXpFaUlpSWlJaU1SSWNPSFdCaFlZRldyVnJCMzk4Zjl2YjJhTkdpQlhidjNvMkxGeS9pOU9uVHVINzlPaElTRXBDWm1RbTFXZzJOUmdNYkd4dDRlbnBDbzlGZ3laSWw2TkdqQjZ5c3JBQUExNjVkdzZOSGoyUitaYlVQRXpFaUlpSWlJaVBoN095TXpaczN3OW5aV1dmT2xrS2hRTmV1WGZYMmJHazBHbWcwR2lnVUNpZ1VDcWwwdmRiOCtmT3JQRzRxaW9rWUVSRVJFWkVSY1hGeEtkZngyZ1NNcWhmK2l4QVJFUkVSRVJrWUV6RWlNa2FSenM3T2NzZEFSSVRnNEdDbzFlcVdjc2RCUk1hSFF4T0p5T2lFaG9hNnFWUXFVZTQ0aUlnY0hCd1FHUmw1Uis0NGlNajRzRWVNaUlpSWlJakl3SmlJRVJFUkVSRVJHUmdUTVNJeU91N3U3cTR4TVRGeWgwRkVCRzl2YnlpVnluaTU0eUFpNDhNNVlrUmtkRXhNVENLSERSc0dsVW9sZHloRVZNc2xKaVlDUUF1NTQ2RFNlWGw1eVIwQ2tRNzJpQkVSRVJGUmpTV0tZb2pjTVZDMUZTbm5rN05IaklpSWlJaHFyTEN3c0U1eXgwQ2tEM3ZFaUlpSWlJaUlESXlKR0JFUkVSRVJrWUV4RVNNaUlpSWlJakl3Sm1KRVJFUkVSRVFHeGtTTWlJaUlpSWpJd0ppSUVSRVJFUkVSR1JnVE1TSXlScEhPenM1eXgwQkVoT0RnWUtqVjZwWnl4MEZFeG9mcmlCR1IwUWtORFhWVHFWU2kzSEVRRVRrNE9DQXlNdktPM0hFUWtmRmhqeGdSRVJFUkVaR0JNUkVqSWlJaUlpSXlNQ1ppUkdSMDNOM2RYV05pWXVRT2c0Z0kzdDdlVUNxVjhYTEhRVVRHaDRrWUVSa2RFeE9UeUdIRGhza2RCaEVSRWhNVEFhQ0YzSEVRa2ZGaElrWkVSRVJFUkdSZ1RNU0lpSWlJaUlnTWpJa1lFUkVSRVJHUmdURVJJeUlpSWlJaU1qQW1Za1JFUkVSRVJBYkdSSXlJaUlpSWlNakFtSWdSRVJFUkVSRVpHQk14SWlJaUlpSWlBMk1pUmtUR0tOTFoyVm51R0lpSUVCd2NETFZhM1ZMdU9JakkrSmpLSFFBUlVYbUZob2E2cVZTcUhBQm1jc2RDUkxXYmc0TkRYbVJrNUIyNTR5QWk0OE1lTVNJeVZ0ZmtEb0NJQ0VDTTNBRVFrWEZpSWtaRXhtcjE0OGVQY2VUSUVhU2twRUFVUmJuaklhSmFRQlJGUEg3OEdDZFBuc1NDQlF1UWxaWDFyZHd4RVpGeDR0QkVJakpLZ2lEc0dEVnExTWlvcUtqK3BSMDdiOTQ4REJreVJIcThlUEZpL1BEREQ2VStCOXV4SGR1eFhXbUNnb0s2QWxoWjZvRkVSRThRNUE2QVNDNGVIaDVURlFyRkdnQnJRa05EcDhzZEQ1V2ZVcW1jQjJBWWdGWUE2aGQzbkVhaitTQThQUHpiUXUwMkFSaFgydm5aanUzWWp1MzBIU3VLWXJvZ0NIR2lLQjVPUzB0YmVPdldyWnpTems5RVJFVC84UER3bUtwVUtrV2xVcmxhN2xpSWlJaUlxSGJoSERFaUlpSWlJaUlEWXlKR1JFUkVSRVJrWUV6RWlJaUlpSWlJREl4VkU0bGtJSXJpU1FDOTVJNmptZ2dSQktHVDNFRVFFUkVSR1JKN3hJamt3U1RzWHgzbERvQ0lpSWpJMEppSUVSRVJFUkVSR1JnVE1TSWlJaUlpSWdOaklrWlVnejE0OEFBblQ1NlVPd3dpSWlJaWVnS0xkUkRWTUR0MzdzUzFhOWR3OWVwVkpDUWtBQUJVS2xXWjJucDVlZW5kUG1QR0RMejk5dHVWRmlNUkVSRlJiY2RFaktpR1dibHk1Vk9mUTZGUXdOVDAzOHVEaVluSlU1OVRia3Fsa3BVcWpZZ29paUZoWVdHc3BrbEVSRFVXRXpHaUdxWi8vLzVRS3BXNGZQa3lqaDgvWHFGekRCOCtIRE5uenF6a3lHVEhKTXlJQ0lMQWFwcEVSRlNqTVJFanFtR1dMRmtDQUlpTmpaVTVrdXFwck1NMFNUN0ZEWkVsSWlLcVNWaXNnNGlLMkw5L1A3cDE2NFpodzRZaEtDaEk3bkNJaUlpSWFoejJpQkZSRWJtNXVjak56VVZNVEF6OC9Qd2dDQUplZWVVVnVjTWlJaUlpcWpIWUkwWkVrdVBIanlNa0pBVG56cDNENTU5L0RuTnpjd0RBMXExYlpZNk1pSWlJcUdaaElrWkVFanM3TzVpWW1NREt5Z3A5K3ZUQnl5Ky9EQUM0ZmZ1MnpKRVJFUkVSMVN4TXhJaW9XUG41K1FBQUt5c3JtU01oSWlJaXFsbVlpQkhWVWdFQkFYanZ2ZmVrM3E1VHAwN2h0OTkrZzFxdFJuNStQazZjT0lGVHAwNEJBRHAzN2l4bnFFUkVSRVExRG90MUVOVXdYYnAwQVFEazVlVVYyUVlBRnk1Y0FBQnMyclFKMmRuWkNBNE9ocSt2TDI3ZXZJbE5tellCS0ZqUVdhUFJBQ2dZcmpocDBpUkRoVTlFUkVSVUs3QkhqS2lHVWF2VlVLdlZVaUpWZUp0YXJaYTI5ZS9mSC9YcjEwZlhybDBCQUc1dWJuanV1ZWRnYVdrSkFMQzN0OGZnd1lPeFk4Y09ORzNhMUxBdmdvaUlpS2lHWTQ4WVVRMVQxZ1dMNTgrZmovbno1MHVQdTNidEtpVmxSRVJFUkZTMTJDTkdSRVJFUkVSa1lFekVpSWlJaUlpSURJeUpHQkZSTmZYNzc3L2o5OTkvMTVuYnA4K1ZLMWQwNWdSV2hxeXNMSnc3ZHc3bnpwMnIxUE1TRVJGUkFjNFJJNUpIQ0lDT2NnZFJUVVRLSGNEVHVuMzdObng4Zk5DNmRXdnMyTEZEMnJaejUwNzQrUGpBeWNtcFF1Y2ROV29VQU9EQWdRTm8xYXFWM21OKyt1a25MRml3QUIwN2RzU0tGU3Z3eWl1dmxQbjhTNVlzUWJkdTNmVHVTMHhNeExScDB3Q1VmZDRoRVJFUmxSMFRNU0laQ0lMUVNlNFlxUEtJb2dpMVdvM2MzRndBd0xoeGcvcXZOUUFBSUFCSlJFRlU0eEFhR2dvQXVIcjFLbTdjdUtHM25iNEVKeWdvQ0U1T1RuQjFkZFhaL3VEQkF4dzllaFREaHc5SG5UcDFwTzB1TGk2d3RiWEZwVXVYRUJBUWdQVDA5RExIWFhpSmcvSzRkKzhlbWpWclZxRzJSRVJFVklCREU0bklxSGg0ZUx6bzd1N2VFZFhrUnRMczJiT2xucXZZMkZpODlOSkxVaExXcVZNbmZQSEZGOUt4bHBhVzB2SUFUOUpvTkZpOWVqWDgvUHd3ZWZKa3hNZkhTL3ZTMHRJd2NlSkVyRjY5R2o0K1Bqb0puTE96TTlhdlg0L2V2WHRqL1BqeFVLbFUwbytqb3lNQTRPVEprMmpTcEFrQTZPenYyYk5ubVY1amNuS3k5SHRRVUJBR0R4Nk1YYnQybGFrdEVSRVI2Y2RFaklpTWlpQUlnMDFNVEM0cGxjcS9sRXJsQ2c4UGp4ZGRYVjNONUlvbk16TVRtWm1aQUFxU3FjSTlVa3VYTGtYejVzMmx4ei8vL0ROT25UcFY1QnlKaVltWU1HRUN0bS9mRGdEbzNidTN6dHB0OWVyVncralJvMkZqWTRPNHVEaU1IejhlaXhjdmxwNnJkZXZXV0xGaUJVeE55NSticmx1M0RsNWVYa1YrQ2p0OCtEQUFJRGc0R0FzWExrUitmajUrL1BGSFpHVmxsZnY1aUlpSXFFQzF1S05NUkZRQmpRRE1VaWdVczh6TXpCNTdlbnB1RlVVeDhOR2pSeGZqNHVLeURSWEVWMTk5aGJpNE9Bd2RPaFRPenM3WXUzZHZrVVNtSk5ldlg0ZXZyeTlTVTFOaGFtcUttVE5uNHMwMzN5eHkzUCt6ZCtkeFZWWDcvOGRmK3dCSEFVVWtjTWg1enJRU1RQMzYxZExVckd4d3lqTDltdWgxdUdvMk9PUlFWbHJtRDRlcjZlMVdWdWJRdldXS1pXcW01WlNhSXlBcEZlWUEzalFSUXdRRVpEajc5d2VlSFVkQWNBTFI5L1B4OE5FKzY2eTE5em9uenZBNWE2M1BldXl4eDJqYnRpMHpac3pnMjIrLzVjc3Z2K1NYWDM3aHBaZGU0clhYWG1QYXRHbmNjODg5OU83ZDIwcnVjZUxFQ1FDQ2c0TTVkZW9VQUQxNjlMRE91V0xGaWlMMWNlblNwYmk1dVRGbnpoeE0wNlJKa3liTW16ZXZ3TkU5RVJFUktad0NNUkVwOVF6RHFBQ01OQXhqWk1XS0ZWUDgvUHcrY3pnY3l4d094NDgvL2ZUVHVlTHNTKzVwZkVYUnNHRkRBZ01EK2ZYWFh3a0pDZUd1dSs0cXNLNnZyeTlUcDA3bGdRY2VZTnEwYVl3WU1ZTEZpeGNURnhmSDBLRkRtVEpsQ3JHeHNYbXlMUDczdi8rMWptTmpZMTN1R3pwMEtNSEJ3UUJFUlVVeFlzUUlhdGFzNlZJbkxpNk8yYk5uQTlDbVRSdENRa0lVaEltSWlGd2xCV0p5eXpKTnMrNkZ3eGVEZ29KZUxOSE95RFZqR0VZNVlMRE5aaHRzczluU0FnTURsd09mbWFhSllSalgvSG9PaDRPWW1CZ0FZbUppZU9paGh5NnJ2WnViRzFPblR1WDgrZlA0K3ZxNjNQZmNjOCtSbloxTnhZb1ZYY283ZGVwRW16WnQ4UFQwcEZtelpyejAwa3VFaDRmajVlVmwxUWtMQzZOTGx5N0V4OGV6ZS9kdUhuLzhjZjc0NHcvQ3dzSm8zYnExRmF6WjdYYnM5cHlabmM1VTlTMWF0SEM1bnJ1N08xbFpXZlRzMlpQeDQ4ZGpzeFhQclBhZ29DQ3pXQzUwN2V3UER3OXZCbHpidlFSRVJPU21wRUJNYmxtR1lkUW82VDdJZGVjTzFEZE5zOW4xQ01JQUJnNGN5UDc5K3dISXpzNitvbUN2b0NRZTgrZlBKeU1qZzA2ZE9sR2hRb1U4YlFDOHZMeVlPM2N1MjdadGMwbEZuNUdSd1o5Ly9rbjU4dVdMMUtlVWxCVFdyRmtENUt4Unk2MUxseTU4L2ZYWEpDY25GMXNRVmtyZDFhUkpFNitvcUtpaXA2NFVFWkZibGdJeEVZZ0lEdzhQS3VsT1NORUVCZ2JPTkF4amRFSDNtNmFaWVJqR2Z0TTBWNTQ3ZCs2OWd3Y1BuZ1lJQ2dwNiszcjBKL2NvbEwrL1B6Tm56clNtK2hWVlJrWUdiZHEweVZQdTNLUTV2elZqQUh2MjdBRnlFb2JZN1hhWFRaM0R3OFBKeXNxeTloOXpCbU1GVFoxY3NtUUp5Y25KVkt0V2pSWXRXcmhrYlJ3OGVERGZmdnN0NjlldnAxbXpaano5OU5PWDlmaXVWSGg0K1BXSm5xK0RvS0NnTktEc3VYUG5ybXhQQUJFUnVlWG9wMDBSdVJta0E3c2NEc2RZbTgxV0tUdzgvTjZJaUlnM25VSFk5ZFMxYTFmZWVPTU5BQ3BVcU9DeXhpc2hJWUhObXpjWDZUd09oeVBQdjB2ZGwvditzTEF3WG56eFJWNTQ0UVdyN09PUFB3YmdubnZ1QWNEUHp3K0FCeDk4TU04YXN1am9hQll0V2dSQS8vNzk4NHg2M1g3NzdRd1lNQUNBbVRObjh0MTMzeFhwTVltSWlFakJOQ0ltSXFWVnFtbWFFWVpoZkphVmxiV3d1Sk55T0QzMDBFUFdHakhBSmNqcDE2OGY5OTkvdjNYN3lKRWpMb2t6bk94MmU3NmJPenZYY29XR2hsb2pXL21Kakl3RWNqWjMzcnQzTHdEZHVuVmozNzU5UFBqZ2d3Q01HVE9HdVhQbmtwQ1FRR3hzTEthWnMvd3FJU0dCQ1JNbWtKbVpTZjM2OWVuV3JWdSsxeGc0Y0NEYnQyL253SUVEVEp3NGtUTm56dkRVVTA4VjJDY1JFUkc1TkFWaUlsTGEvR0thNXQrU2s1UC9mZWpRb2ZNbDNabUw1YzVLbUpXVlJaMDZkYXpiYjczMUZrZU9IQUdnV3JWcTEreWF6aUN1UllzVy9QdmYvd2JnMFVjZnBYcjE2dHg1NTUwQTNIWFhYWHo0NFlmQVh3R2VhWm84OTl4enhNYkdZcmZibVRKbENtNXViZ0F1STI2UWs3QmordlRwOU8vZm4vajRlRUpDUXZEMzk2ZERodzdYN0hHSWlJamNTaFNJaVVpcEVoRVI4WEZKOXlHM2pJd01hOTJWWVJoVXIxNGRIeDhmT25YcXhLQkJnNmhjdVRJZmZQQUJrRE5OOE5TcFU5U3NXWk1YWDh4SjFMbHUzVG9tVHB4NHlXdjA3Tm16d1BzMmJOakF3WU1IOGZEd29GbXpabFo1N3YzQ0xwYVptV24xdDNIanhrUkhSek5wMGlUOC9mMkppb3FpYk5teXJGKy9IZ0FQRHcrclhlWEtsWG4vL2ZjWk5td1lQajQrdEcvZi9wTDlGaEVSa1lJcEVCTVJ1UXBUcDA1bDllclZBTlNxVlF0UFQwK1dMMS9PYmJmZGxxZnVDeSs4d0t1dnZucE5yNzl6NTA1cmsrVXlaY3BZNVJmdkYxYVE0T0JnbWpadFNwY3VYWWlPanViWlo1OTF1YjlSbzBZdXQydlhyczNpeFlzNWRlcVVNaWlLaUloY0JRVmlJaUpYNGJISEhzUEh4NGZiYnJ1Tko1NTRBaUJQRU9aY2QrWGNyeXUzVHAwNmNkOTk5MTN4OVNNaUltamV2RG5ObXpjSGNqWjlQbi8rUEJzM2JpeXd6U09QUE1MNTh6bXpPbXZVcUVHTkdqazdPVFJvMEFCdmIyL1MwOVB4OXZhbVFZTUdqQnMzTGsvN2dJQUFBZ0lDcnJqUElpSWlBcVVtTmJESXRkYXNXYk1WTnB1dE8wcGZmMHR3Ymc2Y1gxSU11YkU0ZzhyU21MNCtJU0hCTXlZbUpyMmsreU1pSWpjK3pTc1JFUkVSRVJFcFpnckVSRVJFUkVSRWlwa0NNUkVSRVJFUmtXS21RRXhFUkVSRVJLU1lLUkFURVJFUkVSRXBaZ3JFUkVSRVJFUkVpcGtDTVJFUkVSRVJrV0ttUUV4RVJFUkVSS1NZS1JBVEVSRVJFUkVwWmdyRVJFUkVSRVJFaXBrQ01SRVJFUkVSa1dMbVh0SWRFQkVwVHMyYk55L3BMb2lJaUlob1JFeEViZzJtYWU0dTZUN0laVGxRMGgwUUVSRzVualFpSmlLM2hJaUlpRllsM1FjUkVSRVJKNDJJaVlpSWlJaUlGRE1GWWlJaUlpSWlJc1ZNZ1ppSWlJaUlpRWd4VXlBbUlpSWlJaUpTekJTSWlZaUlpSWlJRkRNRllpSWlJaUlpSXNWTWdaaUlpSWlJaUVneFV5QW1JaUlpSWlKU3pCU0lpWWlJaUlpSUZETUZZaUlpSWlJaUlzVk1nWmlJaUlpSWlFZ3hVeUFtSWlJaUlpSlN6QlNJaVlpSWlJaUlGRE1GWWlJaUlpSWlJc1ZNZ1ppSWlJaUlpRWd4VXlBbUlpSWlJaUpTekJTSWlZaUlpSWlJRkRNRllpSWlJaUlpSXNWTWdaaUlpSWlJaUVneFV5QW1JaUlpSWlKU3pCU0lpWWlJaUlpSUZEUDNrdTdBMVFnS0N0b0FkQ2pwZmtqUm1LYTVPeUlpb2xWSjkrTkdZSnFtL25iL3N0c3dqT3YrZDZIM2k5SkY3eGZYbjE0VHBZdGVFeUkzbjlJK0lxWVBrRkxFTUl5V0pkMkhHNGorZHY5U1hIOFhlczVMRWIxZkZBdTlKa29SdlNaRWJqNmxla1RNS1N3c3JLUzdJSVZvM3J4NVNYZEJCTkQ3UldtZzk0dmlwZGZFalUrdkNaR2JVMmtmRVJNUkVSRVJFU2wxRklpSlNCN3g4ZkZzMkxDaHBMdHhRL25wcDU5SVNVbTU2dk1rSkNSdzVNZ1JVbE5UaTl3bUt5dXJ3UHRTVTFQWnZIa3ptemR2THJDT3crRzQ1UFcrK2VZYnZ2bm1HODZkTzFma1BvbUlpTWpWdVNtbUpvcUlxN1MwTk9iUG44KzZkZXRJU0VpZ2F0V3E5T3paazc1OSsySVlScjV0L3ZPZi83Qi8vMzUrK3VrblRwNDhDV2pLa3RQSEgzL00rKysvVDJCZ0lQLzg1eit4MisyY09IR0MvdjM3RjlqbXUrKyt5MU9XbEpURWtDRkRPSHIwS0YyN2R1VzExMTRyOU5wcGFXbU1HREdDK3ZYck0zYnNXTEt5c2x3Q3MyUEhqakY2OUdpQVBNRlkrZkxsQVpnNmRTb1JFUkhNbURHRGV2WHFZWm9tSTBhTW9FR0RCZ3dhTkloSmt5WUJFQm9haXJlM2Q1NCtaR1JrMExwMTYwTDdlckZhdFdxeFlzV0t5MjRuSWlKeUsxQWdKbktUTVUyVGwxNTZpVDE3OWdCZ0dBYkhqaDFqOXV6Wm5EdDNqcUZEaCtiYmJ0YXNXY1haelZMbGYvN25mL2p3d3c4SkN3dmo5ZGRmNSsyMzMrYmN1WE1rSkNRVStSeUppWWtNSHo2Y28wZVBBckJ5NVVwV3JseFpZUDBOR3piZzYrdkxzV1BIaUltSklUSXlra09IRGdFUUdSbVpiNXYyN2R1NzNBNExDeU0xTlpWRGh3NFJHeHRMY0hBd3MyYk53dHZibTEyN2RuSGd3QUZHamh4WjVNY2dJaUlpMTQ0Q01aR2J6UHIxNjYwZ2JNcVVLWFRxMUluUm8wZXpZOGNPRmk1Y1NKOCtmYXlSa3R3ZWZ2aGhnb0tDMkxOblQ3NmpPYmV5SmsyYU1IejRjTjU1NXgzT25qM0xtVE5uaUlxS0FzRFQwNU50MjdZQkVCY1hSNWN1WFlDY1VTUzczUTdBTDcvOHdzc3Z2OHlKRXljQXFGZXZIbzBiTjNhNVJrcEtDbHUyYk1FMFRjcVZLMmUxYmRTb0VZc1dMV0w0OE9IVXJWdVhIajE2V09jQk9IMzZORE5tekFBZ0pDVEVLbmVPZkhwNWVmSGhoeDh5ZHV4WW9xT2pxVm16Smt1V0xBRWdQVDJkenAwN1cyMkNnNE94MmY2YXNUNXExQ2dlZSt3eGwzNHVYcnlZbWpWckFqbWpjYzgrK3l6Z09ocTNiZHMyWG4zMTFTSSt1eUlpSXJjbUJXSWlONW4xNjljRE9kUENIbjMwVVFENjlldkhqaDA3eU1qSVlNK2VQWFRva0RkcjlkU3BVd0dzRVJ0eDlYLy85My9jZWVlZDNIdnZ2YVNrcExCZ3dRSUE3cjc3YnF1T2g0ZUhkZHl4WTBmS2xpM0xDeSs4d0pRcFU4ak96cVpWcTFaRVJrWnk5T2hSQWdNREdUaHdJSGE3blpVclY3Smt5UkpNMDZSKy9mcE1tellOTHk4djYxelZxMWZuazA4K29VS0ZDbmg0ZU5Ddlg3OTgremh1M0RqcjJOUFRrNDRkT3dKZ3Q5dVpOV3NXSjArZXhOZlhselZyMWdDUW5aM04yYk5uclRiSnlja3U1MHRQVDg5ekRXOXZieXVRenoyTk1YZHc3K25wV2REVEtDSWlJaGNvRUJPNXlmejY2NjhBM0hISEhWWlp3NFlOcmVPWW1Kamk3bEtwbHBLU3d2bno1d0dvVTZjT0FNdVdMZVA0OGVNWWhzR0FBUU9zdW41K2ZuVHExSWxObXphUm1wcEsxYXBWNmR5NU01R1JrYlJvMFlMT25UdHo2TkFoUm8wYXhmTGx5MW14WWdXR1laQ2RuWTJIaHdjalJvemcyV2VmeGQzOXI3Zm0zMzc3alZkZmZaWFhYbnNOZjM5L01qSXlYRWErQ2hvUmMzZDNKenM3RzRCSmt5Ymg0ZUhCMkxGaitmTExMMGxPVHFabXpacUVob1ppczltczFOaWhvYUhVcmwzN2tzOUh6NTQ5OHkxWGVtMFJFWkhMbzBCTTVDYmpYTGRVb1VJRnF5ejM4Y1dqSG5KcE0yYk1ZUFhxMWRidHNMQXcrdmZ2ejRFREIyalNwQWt0V3JSd3FSOFNFb0pwbXBpbWljMW1JeW9xaWthTkd2SFRUeit4WXNVS2Z2MzFWK3YvZ2JNZVFHWm1KdSs5OXg2aG9hRlVybHlaaWhVcjh2REREN05od3dZT0hUckVvRUdEZU8yMTF5NDU1Uy8zaUJoQXQyN2Q2TjI3Tnp0MjdDQXBLWW1JaUFpbVRKbkNxRkdqcUZHamhzczBSQkVSRVNsZUNzUkViakxPakhvRmZjbldsKytyOStlZmY3Sjc5MjcyN3QzTG9rV0xDcXkzWmNzV3dzUERtVE5uamxWV3ZueDUyclZyUit2V3JXbmZ2ajBPaDROTm16YXhaODhlOXUvZno4bVRKemw1OGlTR1lmRDg4ODl6MzMzM2tacWF5bzgvL29pN3V6dXpaczBxY2pEZHNHRkRHalJvd09MRml4azVjaVFCQVFGa1pHVHc4Y2NmNTF2LzRqVmlBQnMzYm5TNS9jVVhYMWlqWmpFeE1UejExRk1BN042OTIrVnhqeDA3dGtoOUZCRVJ1VlVwRUJPNXlaUXJWNDZrcENTWEwrdUppWW5XY2NXS0ZVdWlXNlhXcEVtVEdEeDRNRjI3ZHJYS0N0dVhLN2R1M2JyeDU1OS84dVdYWDlLb1VTUHExS21EeldianlKRWpIRGx5eEtwWHFWSWxPbmJzU0dKaUluLysrU2ZCd2NIVXFsVUxnSC84NHg5czI3YU45dTNiazUyZFRjdVdMWXQwYmVmMkF6VnExR0RCZ2dYWTdYYWlvNk5kMW9YbFZwUUF6ODNORFRjM04rczRkN21UZ24wUkVaSENLUkFUdWNuVXFWT0h5TWhJRGg0OGFKWDk5dHR2MW5HalJvMUtvbHVsbHJ1N3Uwc1NEb0RLbFNzemJkbzBwazJieGx0dnZVV2JObTJBbkttR3c0WU5ZOCtlUFZhaWpQTGx5L1BpaXkreVpNa1N3c0xDaXJRM201K2ZILy83di85cjNVNU5UZVhreVpQRXhzWlN2WHAxcTN6MDZORXVTVDBnWjAzYjdObXpYY3F5c3JJSURnNm1jK2ZPREJnd3dPcEQ2OWF0eWNqSVlNV0tGVlNvVU1IcTg4VjlkSzQxQTYwUkV4RVJ1VllVaUYyRjdPeHNqaDQ5eXJGangvTE5RcGVidytFZ01URVJQejgvcSt6WXNXUDg4c3N2MUt4Wk0wOHE2K2pvYUpjdnpJY1BINlpldlhxWHZFWmFXaHA3OSs0RjRMNzc3cnZjaHlNM2liWnQyeElaR2NsdnYvM0dwazJiYU4yNnRUVjl6dC9mbjZDZ0lBQVdMVnJFbGkxYmVQMzExNjJSRnlsY2NuSXlTNVlzNGJiYmJpTXBLWWtKRXlZd2QrNWNtalZyeGp2dnZNT2VQWHZ3OHZMaXBaZGV5cmU5TXlGRzdwR3QzYnQzNCtibVJtSmlvaFVNNWJaLy8zNW16SmhCblRwMVdMcDBxVlZlMUwzZmpoNDl5dkhqeDFtMGFCRi8rOXZmZ0p5MWhCa1pHWURyR3NMODVKYzlVZVI2TzN2MkxMLysraXRseXBTaFdiTm1MdmRsWjJlemE5Y3VETU9nZGV2V1pHWm01dm5CQkhKK21EaDkralFWS2xSd21RMFFHeHVMYVpxRkpxZkpMVFUxRlU5UFQydHJDQkdScTZWQTdDcWNQbjJhWjU1NUJvZkQ0Wkp0ekRSTmpoNDl5b2tUSnpoMDZCQS8vL3d6WVdGaCtQcjY4c1VYWDFoVGVONTY2eTNDd3NLWU4yK2V5M2xIalJyRjFxMWIrZkRERDJuV3JCbkhqaDJqVDU4K05HclVpQVVMRnJoa1ZNc3RMaTZPRjE5OEVjajdpN2JjT3A1KyttbFdyRmpCSDMvOHdaZ3hZekFNdzBvSU1YcjBhT3Z2Yi83OCthU25wN05telJxR0R4OU82OWF0Z2IvV21BRldHY0NPSFR1SzhWSGN1QVlNR0VCOGZEeWJObTFpOSs3ZGJONjhtV0hEaHRHaVJRdTJiOThPd0N1dnZFTFZxbFh6YmI5NjlXcjgvUHh3T0J4VzJXZWZmWWJOWmlNdExTM2ZOdnYyN1FPd2dtaW5oUXNYNXRrVExqRXgwUXEybkg3KytXY0E2dGF0YTZXV2Q1NnpmUG55K1ByNnVreGZCVml3WUFHTkdqV2lUWnMyTGh0WGI5NjgyUnFGMHhveHVSd2hJU0dFaDRmVHRHbFRKazJhVkdqOVR6LzlsQVVMRnRDeFk4YzhnVmhxYWlvalI0N0VNQXplZU9NTjVzNmR5N3g1ODJqVXFCSDc5KyszNm0zYnRvMlBQdnFJaHg5K21ONjllMXZsUTRjTzVmejU4eXhjdU5EbHZFMmFOTUZtc3hFZEhjM3ExYXVwVzdjdTNidDNCNkJYcjE3RXg4Znp5aXV2MExWclZ6SXlNcGd3WVFKMzNYVVh3Y0hCVi83RWlNZ3RTNEhZRlJnOWVyVEw1cVh3MTNTZGN1WEtzWHIxYW5yMTZwV25YV0ppSW12WHJ1V3h4eDVqL2ZyMVZyQTBjdVJJcTg0MzMzeEQyN1p0MmJKbEM2Kzk5aHJMbHk5bjNyeDVaR1ZsMGE1ZHV3S0RzTUljUDM2Y2F0V3FYVkZiS1YyOHZiMzU2S09QZU9lZGQ5aTVjeWZwNmVuVXExZVBnUU1IdW96Y1B2end3MnpjdU5HYUF1Y2NIY2t0djdKYjNkR2pSd2tJQ0NBdExZMDMzM3lUSjU5OGtyaTRPQ3NJYTkrK3Zjc215UmY3NUpOUDhwUmRQSlh3WXM3M2lvc0RzYUorK1hNR1lrMmJOZ1Z5Zml4eWpxd0ZCZ2JtMjJiZnZuMjgrKzY3Yk4rKzNkcnlJUGNlWWxEd0dqR05HSWhwbW5sK1dOaXhZd2YvL2U5L3VlZWVlL0pkWTVsN3RDa2xKWVhseTVjRHNHSERCcGVwcjF1M2JyV09iVFliTldyVTRPelpzN3owMGt0OC92bm4rYjR1dnYzMlc3Nzk5dHM4NVJmWDNieDVNK1hMbCtlNzc3N2pQLy81RCszYnQ2ZDc5KzZjUG4yYWt5ZFBBbjlONzQ2SWlHRHIxcTFzM3J5WlE0Y084ZnJycitjN0tpY2lVaEFGWWxlZ1VxVksxS3BWaTZ5c0xDc3dTazVPcG56NThwUXJWODZsN3FPUFBrcjE2dFdwWGJzMmQ5OTlOMVdxVk9IWXNXTzgvZmJiUU02bXUrZlBuN2ZlNEcwMkc5MjdkMmZkdW5VOCt1aWpSRVJFc0hIalJ1NjQ0NDdMK3NVdElTSEJtZ2E1ZXZWcXBreVp3a3N2dmNRenp6eHpEWjRCdWRGVnFWS0ZhZE9tWGJMT3BFbVRYSDZWTGkyanFJR0JnUjJCcklpSWlPMUFWbUgxcjRWRGh3NVp4L1hxMVdQSWtDRXNXTENBdFd2WEVoY1g1MUozOCtiTlBQTElJN1J2MzU2Nzc3NmJUcDA2VWFaTUdldit5NTJhbUpxYXlvRURCNEM4NjdEeUd4SDc4ODgvR1RKa2lFdFpaR1Fra1BOcnYybWF6Smt6eDVyRy9PU1RUd0t1d1ZOaVlpTEhqaDNEejgrUHNtWExXbjhibDVyR2xaU1V4Smt6Wi9EdzhHRGJ0bTJBYTNBbTEwOVFVRkM0YVpvUkVSRVJ6d1BuU3JvL2tEUDFyNkQxaEtHaG9ZU0dodVpiN3Z3Ym16dDNMa2xKU1pRdlg5NzZMSXVOalFWeVBpZWRlL3ZaN1hidXVlY2V4b3daZzkxdXg4ZkhoOUdqUjF2bmpJcUs0dHR2ditYZWUrK2xYYnQyVnZuY3VYUEp6TXgwcVF0WXI5VWZmdmdCZ0ZhdFdnRi92VDk2ZW5wYSt6SzJhdFdLNmRPbk0zNzhlQklTRXF5WkJ5SWlSYVZBN0FxTUd6ZU9lZlBtc1hMbFNqNy8vSFA4L2YwWk9IQWc2ZW5wZWFaYlRKa3lKVS83aFFzWGtweWNUSEJ3TUNOSGp1VFZWMTlsN2RxMTlPN2RtNENBQU92TGx2T0xFdVJzMHR1eVpVdGF0bXpKblhmZW1XYzZCZUR5d2JacTFTcjY5Ky9QbWpWcm1EeDVNZzZIZzVVclY5S3RXemRyYXBKSUtmV0lZUmlqQXdNREU0Q2x3SXJrNU9TdGh3NGRPbis5THRpd1lVTjhmSHhvMUtnUlBYcjBZUHo0OGRhWExzTXc2Tml4STA4ODhRU0xGaTBpTEN5TTA2ZFBzM3o1Y243NTVSZTZkT25pY3E3OHZweGVLZ3ZpN3QyN3ljN09wbnIxNmdRRUJMZ2t6cWhSb3dhK3ZyNUVSRVN3YnQwNjdIWTdSNDhlQmY1YTk1V1VsTVRodzRlQm5FRHM1WmRmdGxMUzkralJ3MG8wVXE1Y09leDJPeGtaR1ZZdzJMWnRXMUpTVWxpN2RpMVE4T2daUUh4OHZEVk4wYWxtelpvRjFwZHI2aTdETUFLRGdvSUdtcWFaQXF3NWMrYk0zMk5pWWhJTGJYa0RXcnQycmJYWitQLzkzLzl4OHVSSjdydnZQa2FOR2tYTm1qWHAxS21UOWZwTFMwdWpiZHUyVnR2czdHejY5T2tEd015Wk02bFlzYUwxQStTSkV5ZXNlczRmSUU2Y09NSGYvLzczUEQraU9sOHpJU0VoTGh1bHA2V2w1ZGs3RUdEWHJsMjBidDBhUHo4L3Z2dnV1MnZ4TklqSUxVQ0IyQlZJVFUzRjRYQnc1c3daUHZua0UxcTJiRWxrWkNSK2ZuNVVyRmpSWmUzSHhkTXYzTjNkdWVlZWUxaTVjaVVMRnk1MENhZysvL3h6ZHV6WVlTVk9TRXhNNU96WnMvajQrRmlMakt0VXFWS2tQaTVkdWhRM056Zm16Sm1EYVpvMGFkS0VlZlBtS1FpVG00WmhHSDdBTUdDWWo0OVBVbUJnNEhMVE5FTlBuVHExK2NTSkUwWExMVjlFQVFFQnpKNDltenZ2dkJPNzNVNWtaQ1RmZmZjZER6endBTDE2OWFKKy9mb0F0R25UaGw5Ly9aVlZxMWF4ZGV0V25uLytlV3VrcVZLbFNnRGNlKys5QmI0T3M3S3kyTEZqaDB0U0FXOXZiMXExYXVXU0xmRmlQajQrTEZ1MkRNZ0pEQU1DQXF3cHowbEpTYlJzMlpLZmYvNlpCZzBhMEtWTEY3WnMyVUtmUG4xNC92bm5yWE80dWJreGFOQWdGaXhZUUdabUpsV3FWR0hRb0VGNGVYa3hiTmd3L3ZuUGYrWUpLdTEydXpVNlVLOWVQZXJVcWNOLy8vdGZQRDA5cVZ1M0xpTkdqTGlzNTFtdW5tRVk1WUNuSzFhcytIVEZpaFZUZ1EzbnpwMGJkdkRnd2VNbDFhZkNSdHN2SHVsMVR0OGRPblFvQnc4ZVpNT0dEWHo1NVpjQVBQREFBM24yN3NzOUJUSXpNOU02L3V5eno0clV2MmVmZlRaUElKWTdnWTFwbWlRbEpRRTVQMWhjYXFUWDE5ZTNTTmNVRVFFbzFSUDVnNEtDVENqK0tWV0ZwV21lTld0V251a09Ubzg5OWhpalI0L21nUWNld052Ym03cDE2N0ovLzM0NmRlckU5OTkvVDYxYXRWaXhZZ1VBLy9yWHYvajQ0NDk1NXBsbkdETm1qSFdPakl3TWExcEdWRlFVSTBhTW9HYk5tc3llUFR2Zlg5dmJ0R2xEU0VoSWlRWmh6dWNzUER6OGh2bWJhOWFzMlFxYnpkWWRpQWdQRHc4cXRNRTFaR29PaXd2ak1oWVZCUVlHempRTUkvOFhXSTV6d0ZjT2gyTjVXbHJhaHVqbzZHUzR0dThYV1ZsWnVMbTUzVkJyb1RJeU1yRFpiQVd1STgyZFZlN1VxVk5XWUZoVXp1blh4ZUZHZkw4b1RGQlFVQnBRTmlFaHdUTW1KcVpZMDB3R0JRVmxVc2dQcTZacG5nZDJHSVl4T0R3OC9OQ0ZkdGZ0TXpRbUpzYjZQQ3JzczhjWlNEbW5KbjcvL2ZkczJyUUpMeTh2dW5mdnpwWXRXL2pvbzQ5d2MzTmp4WW9WVks5ZW5YZmZmWmNGQ3hZQWNQZmRkN3Vzdlp3NWMyYWVhN1JvMFlKMjdkcng5ZGRmczJ6Wk1nNGVQRWpYcmwzcDJiTW5hV2xwTEZ1MmpKZGZmam5mREtMZmZ2c3RyN3p5Q2w1ZVhxeGR1elpQMEZZY1N1TnJRa1FLcHhHeEs1QjdHa1JrWkNUSnljbmNkZGRkMWh0NFlhbWdmWHg4Z0p4VTR0MjZkV1AvL3YxTW1EQ0I3Ny8vSHNnYjZIMzIyV2ZXTDN2T0R5cTczUTc4dFdqNTRxa1M3dTd1WkdWbDBiTm5UOGFQSDMvRGJMRHEvT0EzVGRQNkV1czh6ajNWcTdDeWk5czZGVkRmSmVqSmRWNW53NlpCUVVHL1hhaG5Hb1poQXM1L0ZGQnVtcWJwVW5iaG5OWnQ1MzNPOXJuTERoOCtuRnl2WHIzaStWWjdnNHVQajQ4UERBeDg4OEpOeDRYbkNJZkQ0Zkw4NWpwdVZjZ3B2WUcrTnB1dHI3ZTNkM3BnWU9CcTB6Uy91Slo5dnRLa09kZVQ4ejJoSUxtVENGeHVFQVlVV3hDV1cyQmdvTU13REFmZ3VQQjZjeDQ3LzA1YzdqTk4wMEhPMzBxUmp2TTViMEgxcmV2bDF3L1ROQjJtYVpZeERJT0tGU3ZHK2ZuNU9kOXpyTGVmQy9YZ3d2dUtrL1B2M1ZuL292OWVYTzV5VW1kYjB6VGRDL3RSd0RDTU1rQjc0TGZBd01EendDNkh3MUVzbncwRlpRTXRTTWVPSGJIYjdZd1pNNGFWSzFkYWE4UjY5ZXBGOWVyVk9YdjJMTXVYTDhkbXM5R3NXVFBDdzhQWnRtMmI5ZG1jMzBpWXU3czc3ZHExWS9Ma3lkYnRpaFVyOHRGSEgxbFRkU3RXck9qeW95ZmtiRDNqRFBLeXM3TjU5dGxuQyt6MytQSGppN3padW9nSUtCQzdJdjcrL2tSRVJBQllJMU9uVHAyeXBpNDRweWxCemkrTnpzREttWTNKS1RZMmxqZmZ6UG4rbVh1Qi9xV21KdWIrTXBXU2tzS2FOV3Z5dEFmbzBxVUxYMy85TmNuSnlUZE1FSlpiN2k4Tnp1T3JLU3ZrdkhtK29WeFU1QUhVTCtpTFRGSExMNmY5eFd0cGJuRUJobUc4ZW5IaHRmaTdOVTNUZG1FS1k5SG05TXFOeGdSc2dGdFJYdmNGMWJtQzk0eXJxZTlUV1AyclZkVDNua3UwZDVpbW1WWmNJN3FYT3pYUk1BenV2LzkrcGs2ZHl2ang0NG1QajZkZXZYbzg5OXh6WkdWbE1YSGlSSktTa25qNDRZZDU0b2tuR0Q1OE9HKzk5UllMRnk2a1NwVXFoSVdGa1pHUndYLys4eDgrK09BREtsU29RSzlldmF4dEdOemMzSmd3WVlMMStldnY3OCtVS1ZPc3hCeTVMVisrM0VyV2MvNzhlU3RoU0g3eXl3UXBJbklwQ3NTdVFGeGNYSjQzNDl5WjA1eHoxQXZMR09iajQ4T2RkOTdKenAwNzZkV3JsN1hxOVZtaUFBQWdBRWxFUVZURzQrS3BpWTgrK21pZVgra0FsaXhaUW5KeU10V3FWYU5GaXhZY08zYk11bS93NE1GOCsrMjNyRisvbm1iTm12SDAwMDlmMllPOXhzTER3ejE4ZlgzTFZhcFV5YnRzMmJMbERNUHdNazJ6WEdabVpsazNON2R5ZHJ2ZEt5c3J5OU13akxJWkdSbGVkcnU5ckdtYWRzTXd5dHBzdGpMWjJkbGwzTjNkUFV6VExKT2RuVzEzYzNQek1FM1R3ekFNRDV2TjVwNmRuZTFPVG1EbGJoaUd1MkVZYnFacHVwUHpSYzdOTkUwM3d6QnNGNzZnM3dhVU5VM3prR21hRHpvY0RzTTBUY00wVGNOdXR4dTViNXVtYVFCNGVIZ1lwbWxhOXpsdlgvelB3OE9EL01yZDNkMXpuODg2cisydnFNT2x2cHViVzM3MURJRGM1N0haYkVidXRzN2pDKzB4VGRPV3U0MmJtNXRMdlF2dG5mV3M4K2MrYis3L09xL3A3TmRGNThsVFAzZGQwelJ0Ym01dVhGd25kL3VMKzNJaG1IYlc3V3dZeHY5YzRzOHNEZGdDL0pLZG5iMzZwNTkrMmdnUUZCUTA5M0wrVnFYa1JVUkVPTjlFRGNEV3ZuMTdJejQrM25idTNEbGJWbGFXNGVmblp6dC8vcnd0T3p2YktGZXVuQzB6TTlPV25aMXRlSHA2MmpJek0yMmVucDVHVmxhV0xUczcyNWFkblcyejIrMUdkbmEyemVGd3VCeDdlSGdZMmRuWk5uZDNkOXVGMTdmTjRYRFkzTjNkOHh4ZitQczFUTk8wWGJodHVMbTUyUXpEV0F1NG02YTU1Y0tvbWZVNnluMmM2L0ZjL05xaG9Qck92LzljYmNuMVdzUm1zOTJUNi81OG1UbEpQSDdQeXNyNjUvNzkrOStGdjJZbzNHalMwOU5adG13WjgrZlBCNkI2OWVyTW5UdVhjK2ZPTVhIaVJNTEN3cWhRb1FJdnZQQUNsU3BWb25YcjF1ellzWU1oUTRZd2VmSmtkdTdjeVZkZmZjWHAwNmV0UkR0ZHUzYTFaa3cwYk5pUWJ0MjZZWm9tLysvLy9UOU9uejVOU0VnSUR6endBTTg4OHd6Ky92NUF6cll2Nzc3N3JrdmZRa0pDNk5TcEU1QXpXalptekJpMmJObEM1Y3FWTlJvbUlwZE5nZGdWbURObkR1Kzk5eDRQUHZnZzA2Wk40OENCQTh5Wk00ZERodzdSdTNkdkt5QXFiQjU1eFlvVmVmREJCOW01Y3lkLy8vdmZXYlpzR1ltSmlmVG8wUVBBMm1CMXpabzEvUGpqajBETzlLUFBQLytjNk9ob2E4RnkvLzc5ODR3ZTNINzc3UXdZTUlBUFB2aUFtVE5uNHVmbng0TVBQbmhObjRjcmxKVjRRVWwzeExsR3pEQ001SWlJaUppUzdvOFVUV0Jnb0RmZ0VvaVpwbm5PTUl5TkRvY2pORE16TXpRcUtpcWxoTHBYYk5MUzBxek1xdmZkZDE4SjkrYTZNNEhzaS9kdi9QMzMzMHVrTS9rSkNncktBdHpQbkRuejhJMndSdXhDMEpGb211YVh5Y25KNHc4ZlBueXFPUHVVVzJIcnFpLzIxVmRmTVdmT0hDQm4ydjNiYjcrTm41OGZ3NGNQSnl3c0RDOHZMMmJQbm0xTnNaMDhlVEw5K3ZYaitQSGo3TnExaTlEUVVNNmRPOGZBZ1FNWlBIZ3dlL2Z1NWM0Nzc4UTBUZno5L2Eya005MjdkNmRwMDZiTW5EbVR2WHYzc243OWVvWU9IUXJrakg2TkhUdVdsSlFVS2xldXpDT1BQTUxDaFF1WlBIa3lsU3BWb25Ianhyenh4aHRzMmJJRmQzZDMzbjc3Yld1amN4R1JvbElnZGdYQ3c4Tlp1SENoeTVlQWYvLzczK3paczRlc3JDeHJqVmhoR1E3em01cVluWjJkWjdRdEtTbkptdlpvdDl0SlNFaGd3b1FKWkdabVVyOStmYnAxNjViditRY09ITWoyN2RzNWNPQUFFeWRPNU15Wk01b1NKemVUSk9CNzB6U1h4Y2ZIci96OTk5OHZieUZLS1JjWEY4ZUxMNzRJbEo0OTRPVDZ1aEI4blRaTmMrbXhZOGNtSmlRa0pKVjBuNkRveVRxY25ucnFLYlp2MzA2dFdyVVlQWHEwTmZYeTFWZGZaZno0OFV5YU5NbmFnN05NbVRMNCt2b3laTWdRSWlJaUdESmtDSGZkZFJjTkd6Yms0WWNmdGhKNjVIYnhCdXJEaGcxanpKZ3hwS2FtV2xzNGpCa3podWpvYUd3MkcyKzg4UVl0V3JRZ05qYVdUWnMyTVd6WU1HcldyTW5CZ3dleDJXeE1tVEtGWnMyYVhlV3pKQ0szSWdWaVYyRGR1blVBM0gvLy9YenhSVTRPZ0Y2OWVyRi8vMzZXTDE5dXBhOXQwS0JCZ2VkNDVKRkg4aTBQQ0FqZ2hSZGVBUExQbW1pYUpuMzc5aVUyTmhhNzNjNlVLVk9zS1pDNTArWkR6bUxrNmRPbjA3OS9mK0xqNHdrSkNjSGYzNThPSFRwY3hhTVhLWEU3SEE1SDk4ek16Rytpb3FJeVNyb3pONkxqeDQ5VHJWcTFrdTZHRkordERvY2piTisrZmErUk16WDNodUxjNExzZ0Y0K1kyV3cyZXZic3llalJvemx6NWd4OSt2UWhKQ1NFTW1YS3NIanhZcFlzV2NLQUFRUG8yN2N2UTRjT3BYZnYzaHc1Y29UNTgrZGpzOWxvM0xneFo4K2V0YkkyWm1kbms1cWFhcTNSZG01VzdweTFjdTdjT2V4MnUvV1p2WERoUW1zV3l0Ly8vbmRyeXVHSUVTUFlzMmNQS1NrcEhEeDRFTWpaaTg4NVZWRkU1SExkZUZrY2JuQXBLU21zWDc4ZXU5MU8yN1p0T1h2MkxKQ3pkOGlvVWFQbzI3ZXZ0YkEzdjRXL0FFZU9IS0ZkdTNZMGE5YU0yclZyNCt2cmkybWF4TWZIODhNUFAxd3l3NVJoR0RSdTNCaUFTWk1tNGUvdlQxUlVGSWNQSDdZQ3hOd0pQU3BYcnN6Nzc3OVBwVXFWcUYrL1B1M2J0NzhXVDROSWlZbUlpQWpkdDIvZlZ3ckMvdUpNUWdDd2V2VnF1bmZ2WHVROWxLVDBDdzhQNzdCdjM3NngzSUJCR09RRVdwZjZkekdIdzhHLy92VXZJR2NUOG1yVnF2SHJyNzhTSGg3T2tTTkh1T09PTzBoTFMrT0xMNzRnTXpPVGh4NTZDSUIvL3ZPZlFNNmVuRTgrK1NRTkdqU2dkKy9lN05temgxT25UakYrL0hpNmQrOU9SRVFFL3Y3K1RKdzRrYnAxNjdKNDhXS2VmLzU1YXptQWMyKzhidDI2MGJ0M2I3NzU1aHRHakJqQlUwODlSVXFLNjZ6bjVjdVgwN0ZqUjE1KytXVSsvZlJUalU2THlHWFJpTmhsTWd5REFRTUdFQjRlN2pLeVZLNWNPVHAwNkdCTi9TdGZ2bnlCUWMrNmRldjQ2S09QQ3J5R1djZ1dVOEhCd1RSdDJwUXVYYm9RSFIyZEo1MXVvMGFOWEc3WHJsMmJ4WXNYYytyVXFSc3lnNktJRkd6ZXZIa3VHNzg3aFlhR1dzZXJWcTJpZi8vK3JGbXpoc21USitOd09GaTVjaVhkdW5YVEp1NVM2bnp4eFJjY1BueVkyMisvblNlZmZCSzczVTZyVnEzNDhjY2ZyYUNvZXZYcS9QNzc3M3ozM1hmMDd0MmJKVXVXOE5OUFA3RjU4MmFXTFZ0R21USmw2TkNoQStYTGx5Y3pNNU45Ky9ieCtlZWY4OHd6ejlDNGNXTysrT0lMbm43NmFaNTQ0Z2xXcmx6SndZTUhHVE5tRE8rOTl4NUJRVUgwN05tVFhyMTYwYkZqUjVkTm91dldyY3VRSVVObzJMQWg3Nzc3THBzMmJTSTVPWmtOR3phd1ljTUcrdlhyZDlscjRrVGsxcVZBN0RKNWUzc3pjT0JBbm4zMldWcTNiazNac21WcDE2NGREUnMyeERBTVJvd1l3ZlRwMHhrNGNHQ0JDM2ViTkdsQysvYnQ4ZmYzSnlBZ0FIOS9mMjY3N1RiOC9QeW9XTEZpb1YrY2F0U29RWTBhTllDYzZZL2UzdDZrcDZmajdlMU5nd1lOR0RkdVhKNDJBUUVCQkFRRVhQMFRJQ0kzbktWTGwrTG01c2FjT1hNd1RaTW1UWm93Yjk0OEJXRnlRN2c0eWNyRkx2N1I4dTY3NytiZWUrK2xWNjllMXY1NC9mcjFvMjNidHJScTFRckRNSGo5OWRmeDlQVGtqanZ1d0RBTWhnNGRTbkp5TWhVcVZLQldyVm8wYjk2YzIyNjdEWURldlh1emZmdDJxbFNwZ21FWWpCdzVrclZyMStMcjY0dVhseGN6WnN4Z3dJQUIxbjZjUGo0K1RKdzRFWUIyN2RyeHd3OC8wTFp0VzdwMzcwN3IxcTJ0Tld2VHAwL245OTkvWjgyYU5XemV2Sm5UcDA4emVQRGdhL2pNaWNqTnJsVHYwTzVNdlh1alRRV0lqWTJsUm8wYTF1alRuMy8rQ1lDZm45ODEyMGVtdEhIK1FoZ2VIbjdEUEFIT3JJbEFSSGg0ZUZCSjkwZXVyeHYxL2FJd0dSa1oxbjZGVVZGUmpCZ3hncG8xYXpKNzlteHJEVXh1YmRxMElTUWtwRlFIWVRmaSswVmhnb0tDMG9DeUNRa0puc1dkTmZGS1hjL1h4Tm16WjYwdFdRWU5HblRKdXM0UjN4NDlldURqNDNQSnVrVmhtaWFabVptRmJuS2VXMFpHUnI3MWs1S1NjSGQzTDFKR3hNek1USmVsQWRkU2FYeE5pRWpoTkNKMkhUZzNaSFp5L2lvbkluSzU3SGE3OVFWeDY5YXRBTll2OTA3dTd1NWtaV1hSczJkUHhvOGZyeW5JVXVJcVZLaFFhQURtRkJ3Y2ZFMnZiUmpHWlFWaFFJSDFMeWN3dkY1Qm1JamN2UFJwTFNKU0NxU2twTEJtelJyZ3IrMHVuSno3SWlVbkp5c0lFeEVSS1NYMGlTMGlVZ29zV2JLRTVPUmtxbFdybG1kRWJQRGd3ZGp0ZHRhdlg4L1NwVXRMcUljaUlpSnlPUlNJaVlqYzRLS2pvMW0wYUJFQS9mdjN6elBxZGZ2dHR6Tmd3QUFBWnM2Y3lYZmZmVmZzZlJRUkVaSExvMEJNUk9RR2xwQ1F3SVFKRThqTXpLUisvZnAwNjlZdDMzb0RCdzZrYWRPbU9Cd09KazZjYUcwMkx5SWlJamNtQldJaUlqY28welI1N3JubmlJMk54VzYzTTJYS0ZOemMzSUNjVFc5emMzZDNaL3IwNlFRRUJPQndPQWdKQ1dIanhvMGwwVzBSRVJFcEFnVmlJaUkzS01Nd2FOeTRNUUNUSmszQzM5K2ZxS2dvRGg4K3pMcDE2d0RYVEcyVksxZm0vZmZmcDFLbFN0U3ZYNy9BVGVWRlJFU2s1Q2w5dllqSURTdzRPSmltVFp2U3BVc1hvcU9qZWZiWloxM3ViOVNva2N2dDJyVnJzM2p4WWs2ZE9xVU1paUlpSWpjd0JXSWlJamV3R2pWcVVLTkdEUUFhTkdpQXQ3YzM2ZW5wZUh0NzA2QkJBOGFORzVlblRVQkFBQUVCQWNYZFZSRVJFYmtNQ3NSRVJFb0ptODNHRHovOFVOTGRFQkVSa1d0QTgxWkVSRVJFUkVTSzJVMHhJdGE4ZWZPUzdvS0lsQko2dnhCeHBkZUVpRWpKS05VallxWnA3aTdwUHNobE9WRFNIWkJibDk0dlNoMjlYMXhuZWsyVU9ucE5pTnhrU3ZXSVdFUkVSS3VTN29PSWxBNTZ2eEJ4cGRlRWlFakpLdFVqWWlJaUlpSWlJcVdSQWpFUkVSRVJFWkZpcGtCTVJFUkVSRVNrbUNrUUV4RVJFUkVSS1dZS3hFUkVSRVJFUklxWkFqRVJFUkVSRVpGaXBrQk1SRVJFUkVTa21Da1FFeEVSRVJFUktXWUt4RVJFUkVSRVJJcVpBakVSRVJFUkVaRmlwa0JNUkVSRVJFU2ttQ2tRRXhFUkVSRVJLV1lLeEVSRVJFUkVSSXFaQWpFUkVSRVJFWkZpcGtCTVJFUkVSRVNrbUxtWGRBZEVia1dtYVc0QU9wUjBQMjRRdXczRGFGWFNuUkFSRVJFcFRob1JFeWtaQ3NMKzByS2tPeUFpSWlKUzNCU0lpWWlJaUlpSUZETUZZaUlpSWlJaUlzVk1nWmlJaUlpSWlFZ3hVN0lPa1ZJdUxTMk4rZlBuczI3ZE9oSVNFcWhhdFNvOWUvYWtiOSsrR0laeFZlMmFOMjkreVd1SGhZVmQwOGR5UFFVRkJTbEJTaWxpbXVidWlJZ0lKWEVSRVpHYmxnSXhrVkxNTkUxZWV1a2w5dXpaQTRCaEdCdzdkb3paczJkejd0dzVoZzRkZWxYdDdIWjduclpaV1ZrNEhBN3ExS2x6blI3VmRhTWdyQlF4REVOSlhFUkU1S2FtUUV5a0ZGdS9mcjBWVEUyWk1vVk9uVG94ZXZSb2R1ell3Y0tGQytuVHB3L2x5NWUvNG5ZN2R1ekkwM2Jnd0lGRVJrYnl4Qk5QWE44SGQ1MlVwbEc4VzFWaEk3RWlJaUkzQTYwUkV5bkYxcTlmRDBDdFdyVjQ5TkZIS1ZPbURQMzY5UU1nSXlQRENyYXVWYnVEQnc4U0dSbUptNXNianozMjJMVitPQ0lpSWlLM0RBVmlJcVhZcjcvK0NzQWRkOXhobFRWczJOQTZqb21KdWFidGxpMWJCa0NiTm0zdzgvTzdvajZYUmpFeE1iejU1cHVrcDZkZlVmc3paODd3NmFlZkVoNGVudS85VVZGUnJGcTFpaTFidGhSNnJvU0VCSVlNR2NMVXFWTkpTa29xMHZVM2JOakEvUG56K2ZQUFB5K3IzN250MnJVcjM5SEVxS2dvcS96Nzc3OW41ODZkVjN3TkVSR1JXNG1tSm9xVVlna0pDUUJVcUZEQktzdDluSnljZk0zYW5UdDNqclZyMXdMUXRXdlhxK2gxNlhMKy9Ia0dEeDVNUWtJQzU4K2Y1NjIzM2dJS256N1hzbVZMM252dlBRQU9IejdNN05tekNRNE9KaWdveUtYZTJiTm5lZUdGRnpoejVnek5temZuL3Z2dnYyU1NsVFZyMWhBV0ZzYTVjK2Z3OGZFcDBtUDQ1cHR2Mkx4NU05Mjdkd2RnK1BEaFJFVkZGZG91ZDJBNGZQaHd5cFVyeDVZdFc5aTZkYXRWUG0zYU5PTGk0cGd6Wnc3anhvMmpjdVhLVEpnd0FZQWFOV3BRdTNidEl2VlJSRVRrVnFOQVRLUVV5OHJLQXNCbXkzOXd1NkR5SzJtM2F0VXEwdExTcUZpeEltM2J0cjJTN3BaS1pjcVVZZlRvMGJ6eXlpdXNYYnVXZSsrOWwyN2R1bDNXT2Y3NDR3OGdKekRKTFNzcml3a1RKbkRtekJrZ1ovM2FPKys4dzRzdnZtalZhZGV1blVzYjU2amM0Y09IODl5WDI1bzFheWhYcmh3QXYvLytPMTVlWGdRRUJBQTVRWFZLU3NwbFBZYmNjdmZ2NHJLNHVEanJPRGc0bUpFalIxN3hkVVJFUkc1bUNzUkVTckZ5NWNxUmxKVGtNb0tWbUpob0hWZXNXUEdhdFZ1K2ZEa0FYYnAwd2QzOTFucnJlUGpoaDFtM2JoMDdkKzRrTXpNVElOOUVKcms1ZzlsWFgzM1ZHa2w4ODgwM2VmUE5Od0hZdG0wYkV5Wk1ZTmV1WGRTdFc1Y2hRNFl3ZmZwMGxpeFpRa1pHQnFOSGo4Yk56YTNBZ0Nrek05UHFTMzVNMHlRakk0UFdyVnRiWmM1UnZILzk2MSswYXRYS0t1dmN1VFBUcGsyamE5ZXV1TG01c1dMRkNxdk5qQmt6ck1lYW1wcEtqeDQ5Nk5ldkgrZlBud2RnN2RxMUpDY244OVJUVC9IRkYxOVF2bng1SG5ua0VTQW5zWXVJaUlqazc5YjZOaVZ5azZsVHB3NlJrWkVjUEhqUUt2dnR0OStzNDBhTkdsMlRkbnYzN3VYbzBhUEFyVFV0TWJmeDQ4ZVRtcHBxcGUzUEw3Vi9mZ0lDQXJEYjdXUmxaVmtqWW9tSmlmVHIxODk2VHMrZlA4OTc3NzJIYVpvQUxGMjZsS2lvS0NaT25PaXlMdXY1NTU5bisvYnREQnMyakVHREJoVjY3Y3pNVENwWHJreGNYQndWSzFhMHBqSjZlbm9XK1hISHg4Y1RHeHNMZ01QaElEWTJsblhyMW5IcTFDa2FObXhvQldUNzl1MnpIc3RYWDMxRlJrWUc0OGFOSy9KMVJFUkVialZLMWlGU2lqbW5DUDcyMjI5czJyU0o5UFIwRmkxYUJJQy92NysxSG1uUm9rVU1IRGpRK2tKZDFIWk96aVFkZDk1NUovWHExYnYrRCt3RzRuQTR5TTdPeHQvZm41bzFhd0k1bzBoRitmZjY2Ni96L1BQUFU3WnNXZXJWcTBmOSt2VjU0b2tuR0Q1OE9FZVBIcVY2OWVvQUhEOStuTmpZV0d1SzR0MTMzODJCQXdmWXZYdTMxWSs0dURoMjdOaUJ6V2JqOGNjZkI2QjE2OWEwYnQzYSt2OTZNUThQRDRZTUdRTGtUSXQwZDNkbjh1VEozSDMzM1ZZZklTZUxadlBtemZuOTk5K0pqWTExdVcvNjlPbk1tREVEeUJsSkRRc0xzd0s1eno3N2pLcFZxMXJIQUZXclZyWEtSRVJFcEdBYUVSTXB4WjUrK21sV3JGakJIMy84d1pneFl6QU13eHBWY1U1dEE1Zy9mejdwNmVtc1diT0c0Y09IRjdrZHdPblRwOW0wYVJOd2E0Nkd6Wmd4Z3krKytNSzZmYm43a0IwOWVwU2twQ1E2ZE9qQVYxOTl4Zm56NTNubm5YZjQ0NDgvYU5ueXJ6MkxQVDA5dWZ2dXU0R2NOV1hyMTYrM3RoUUErT3FycjNBNEhOeC8vLzFVcmx3WnlObHFBTEQrMytVbklpSUN3ekNvVmFzV3ExYXRJalUxMWJxdmJObXlwS2VuNCtYbFJZVUtGWWlMaThQTnpZMnlaY3U2VEZ2ZHNHRURrTE9tTFhmbXlOd0pTNXpIQlFXRklpSWk0a29qWWlLbG1MZTNOeDk5OUJHZE8zZkd4OGNIRHc4UEdqZHV6SXdaTStqY3ViTlY3K0dISDhiSHg0Zi8vZC8vdmF4MkFDdFdyQ0E3T3h1NzNjNUREejFVckkvdlJyVmp4dzUyN05oQnAwNmRnSno5MkxadTNjcW1UWnZvMzc4L216ZHZac2VPSFV5YU5JbTllL2NDY08rOTk3cWNZK0hDaFF3ZlB0ejY5OFliYi9ENjY2OFRIaDdPaUJFam1EdDNybFUzTXpQVFdxUFhxMWV2eStycjd0MjdhZENnZ1V0V1RDZm4rckVlUFhydzlkZGY0K2JteGozMzNFTndjTEJWNTl5NWMvend3dzlBVHFLUWwxOStHWWZEQVVCb2FDalZxbFd6amdHcVZhdG1sWW1JaUVqQk5DSW1Vc3BWcVZLRmFkT21YYkxPcEVtVG1EUnAwbVczQXhneVpJZzF2ZTFXTkdyVUtMcDI3VXJmdm4ydE1ydmR6b0VEQjZ5Um9qRmp4dURsNWNWenp6M0hqaDA3TUF6RHloWVlGeGNId09MRml3SDQ2YWVmV0xseUpaQXpqVy82OU9uV3lOZnExYXNKREF6TTA0ZkRodzliV3c3a2w0V3daOCtlZWNxY0kzZW5UcDNpMUtsVDFuckE0Y09IV3lOOHp0R3hRNGNPOGQvLy9wZk16RXo4L2YxZHpyTml4UXFybm9lSEJ4RVJFVmJXemR6WGRSNGZQMzQ4NzVNb0lpSWllU2dRRXhHNUJBOFBEOHFXTGV0U2xwcWF5bXV2dllacG1qejIyR1BXU0dOd2NEQTdkKzVreVpJbGRPN2MyU1hwaVRNUVNrcEs0dVRKazBCT2tQYmNjODhWMmdmRE1LeFU5TGs1TXlwNmVYa1Z1QlZCclZxMWdKeE5wWk9Ta3FoY3VUSWVIaDVBemg1bUFEdDM3bVR5NU1sQXptaGY3czI2TjI3Y1NKMDZkVGg2OUNobHlwUmgvdno1bEN0WDdwSVpHMFZFUktSd0NzUkVSQzdUMkxGanJiVlFCdzhlcEcvZnZxU21wbHFCVVhaMk5qTm56dVRERHo5azZOQ2hCQWNIazVTVXhCTlBQRUhyMXEwWk1HQUE4K2ZQeDl2Ym00Y2Vlc2hsRFZwK0dqVnE1TEs1c3BOelhkYVNKVXNLM0RqWm1ZcCs5dXpaZlBycHA3eisrdXRXMHBGVHAwN2g2ZWxKeDQ0ZHJaRzdzMmZQV3RNZ0lTZkpSOTI2ZFprM2I1N1ZsOXpYTGtqVnFsVlp2WHIxSmV1SWlJamN5aFNJaVloY3BpcFZxbGpIdWJjQThQTHlvbEtsU2lRa0pCQWVIczc2OWV1cFVLRUNQLy84TTZkUG53WWdPanJhQ280TXd5ZzBEZjZsTm0xMjZ0ZXZYNzRqWXA5Ly9qay8vUEFEeWNuSlJFUkVBUERlZSs5Wm8yc0pDUWwwNk5DQlBuMzYwTGR2WC96OC9IajAwVWRac21TSmRZNG1UWnJ3eUNPUFdJRllicjYrdnJ6ODhzdDV5aWRPbkZob24wVkVSRzUxQ3NSRVNzWnVvR1dodFc0TkIwcTZBNFdKakl5MGpuLzU1UmNHRGh4SW5UcDFxRjY5T3BVcVZlSzIyMjZqWXNXS1ZsQTFjK1pNNHVMaWFONjhPZlBteldQVnFsVlcrNFNFQkdKaVlvQ2NhWXFmZnZycEphOWQwSWJPdWVYT2hKaGJkblkyMDZkUGR5bmJ2MysvdFhtMzNXNm5lL2Z1ckZxMUN0TTBlZnp4eHhrNGNDQzdkKzhtT2pvYXlFbms0WnpLZUxIRXhFUUZYU0lpSWxkSWdaaElDVEFNbzFWSjk2RzBDZ3dNdkRjcksrdjgvdjM3ZndheXIvZjFObTNheEZ0dnZXWGRIajU4T0MrODhBSmR1blRCMTlmWFpTVEs0WENRbFpYRmtDRkRzTmxzT0J3T09uWHF4QjEzM0lIZGJtZnExS2swYjk2Y1ljT0dzV3paTW1yVnFrVm9hS2lWVVhIUG5qMDRIQTdlZmZkZDY1eVhTcGZ2bkI0WUdocGE0TlRFUVlNRzRldnJ5NDgvL3NpUFAvN0l4SWtUclgzaUtsZXVUT3ZXcmJuMzNudUpqNDhuT0RpWWN1WEtVYU5HRFNzUUt5Z0lnNXpOcXQ5Ly8vMDg1ZmtsRHhFUkVSRlhDc1JFcExUcDdlSGhNVG93TVBDVVlSai95czdPL3RyZDNmMUFXRmpZZGNrZThkdHZ2K0Z3T0toU3BRcmUzdDRjUG55WU45OThzMGh0Nzd2dlB1Yk1tUVBrakI1Tm5Ub1ZUMDlQbDFUeWZmcjBBYUJNbVRJTUhqeVluMzc2Q1lmRGdaZVgxelhwLzdCaHd3QTRlZklrUC83NEk5V3JWN2MyWkxiWmJOYjB5SkNRRUtLam8rbmJ0eThuVDU0c2RNb2tRSHg4dklJdUVSR1JLNlJBVEVSS0pjTXdLZ0Z2dUxtNXZlRndPTTRFQmdaK1lKcm1pcFNVbEo4T0hUcDAvbHBkNTVGSEhtSGx5cFY4K09HSCtQajQ4TWtubjdCcjF5N09uRGxEV2xvYW1abVpaR1ZsNFhBNHJJMlZEY1BBTUl4TDdydG1zOWx3ZDNlbmF0V3FRTTQ2cjMzNzlyRnYzejQ4UER6bzM3Ly90WG9JUlZhN2RtMU9uejVOK2ZMbDZkMjdkNkgxdFVaTVJFVGt5aGtsM1FHUmt0S3NXYk1WTnB1dE94QVJIaDRlVk5MOWthSUpEQXljYVJqRzZFdFVTUVlXbUthNU5ENCtmdC92di8rZUJoQVVGR1RDcGFmNkZTUWhJY0VscGZ1dEtERXhFWnZOaG8rUEQ1Q3pMczFtcytWSjdWL1lmVVhobkhJWkhoNWVhajZqZ29LQzBvQ3lDUWtKbmpFeE1la2wzUjhSRWJueGxab1BPWkZyTFZjZ0pqZXZOTk0wbHdPZkFkOFlobkZGZ1pnVXI4SlM0OS9JRklpSmlFaFI1YjhEcU1ndHdHYXpuUzdwUHNoMTV3N1VOMDJ6V1VsM1JHNStwbWtlajRtSnlTcnBmb2lJU09tZ05XSnl5M0k0SEZFWE10N05DUThQZjZtayt5TkZVNFNwaWVuQUh0TTB2OHJJeUZnWUZSV1ZBQkFVRlBSMjhmUlFycFhTTkRWUlJFVGtjaWtRRTVHYlFTcXcwK0Z3aEtha3BIeDY2TkNocEdLOStJVjl2UExMZEJnVEU4UDU4K2RwMUtnUmtMT2hjNWt5WlZ6U3pXZGxaZUh1bnYvYmNXcHFLcnQzN3dhZ2ZmdjIrZFp4T0J5a3A2Y1htR254bTIrK0FYSTJoL2IyOWk3U1kwcExTMlB2M3IxQVR2WkhFUkVSdWJZVWlJbElxV1NhWm9waEdOdUJwWVpoTEEwTEM4dC9WK05pOFBYWFh6Tmp4Z3dtVEpqQWswOCtDY0RXclZzQm1EWnRHbkZ4Y1ZZYSt4ZGZmSkhLbFNzelljSUV2TDI5YWR5NE1TTkdqS0IrL2ZxTUhUdVdyS3dzc3JMK210MTI3Tmd4Um8vT0dRRGN2SG16eTNYTGx5OFB3TlNwVTRtSWlHREdqQm5VcTFjUDB6UVpNV0lFRFJvMFlOQ2dRVXlhTkFuSTJXK3NxSUZZWEZ3Y0w3NzRJbkJsQ1U1RVJFVGswaFNJaVVpcFlwcG1CTkFuSXlNak5Db3FLcU9rK3dQdzY2Ky9BdkRKSjUvd24vLzhoK3JWcTdOOSszYVhPczZnQnY0S2N1clZxOGViYjc1SlRFd01rWkdSSERwMENJREl5TWg4cjNQeGlGaFlXQmlwcWFrY09uU0kyTmhZZ29PRG1UVnJGdDdlM3V6YXRZc0RCdzR3Y3VUSWEvaEljeHcvZnB4cTFhcGQ4L09LaUlqY1NoU0lpVWlwc20vZnZuK1hkQjh1NWd5Y1RwNDhhWlV0V2JJRWdKZGZmcGsvL3ZqRHV0MnZYeitxVnEzSzlPblRLVk9tRFBYcTFXUFJva1VNSHo2Y3VuWHIwcU5IRDA2Y09HR2Q1L1RwMDh5WU1RT0FrSkFRcTl3d2NwWlBlWGw1OGVHSEh6SjI3RmlpbzZPcFdiT21kYTMwOUhRNmQrNXN0UWtPRHViQ3VrZ0FSbzBheFdPUFBWYm80OHVkdm4vMTZ0Vk1tVEtGbDE1NmlXZWVlZVl5bmlVUkVSSEpUWUdZaU1oVk9IbnlKTWVPSGVQamp6L21iMy83RzdWcTFXTEZpaFY4OU5GSHZQZmVlMWE5SDMvODBicjl4eDkvMEs5ZlA0WU1HVUs5ZXZXb1hyMDZuM3p5Q1JVcVZNRER3NE4rL2ZybGU2MXg0OFpaeDU2ZW5uVHMyQkVBdTkzT3JGbXpPSG55Skw2K3ZxeFpzd2FBN094c3pwNDlhN1ZKVGs1Mk9WOTZlanJ6NXMxajRjS0ZlYTRWR2hwcUhhOWF0WXIrL2Z1elpzMGFKaytlak1QaFlPWEtsWFRyMWcxUFQ4L0xmTVpFUkVRRUZJaUppRnlWNU9Sa0huamdBWm8xeXo5RGZtaG9LRDE3OXJSdVAvUE1Neno1NUpOVzJXKy8vY2Fycjc3S2E2KzlocisvUHhrWkdTNGpYd1dOaUxtN3U1T2RuUTNBcEVtVDhQRHdZT3pZc1h6NTVaY2tKeWRUczJaTlFrTkRzZGxzMXI1Y29hR2hMa2xDQU9iTm0xZm9ZMXk2ZENsdWJtN01tVE1IMHpScDBxUUo4K2JOVXhBbUlpSnlGUlNJaVloY2hkOS8vNTBqUjQ3UW8wY1BBRTZjT0VHUEhqMnNrYWpjUVJqQVo1OTl4bWVmZldiZC92ampqemwwNkJDREJnM2l0ZGRlNDlWWFh5M3dXcmxIeEFDNmRldEc3OTY5MmJGakIwbEpTVVJFUkRCbHloUkdqUnBGalJvMVhLWWhGbVRvMEtFRUJ3Y0RFQlVWeFlnUkk2aFpzNlpMbmJpNE9HYlBuZzFBbXpadENBa0pVUkFtSWlKeWxSU0lpWWhjaFpTVUZHSmpZNjNibVptWnhNYkdNbW5TSktLaW9saTllalgvK01jL2lJcUtBcUJqeDQ0TUh6NGNBRjlmWDhxV0xVdHFhaW8vL3Znajd1N3V6Sm8xSzg4VXdvSTBiTmlRQmcwYXNIanhZa2FPSEVsQVFBQVpHUmw4L1BISCtkYS9lSTBZd01hTkc3SGI3Y0JmbVI1YnRHamhVc2ZkM1oyc3JDeDY5dXpKK1BIaml4VGdpWWlJeUtVcEVCTVJ1UXFQUC80NGp6LytPQURObXplMzFvZ2RQSGlRa0pBUU1qSXllTzY1NTZ6Nkd6WnNZTU9HRFVET2FIOEJTZlFBQUJlVVNVUkJWTm5FaVJQNXh6Lyt3Ylp0MjJqZnZqM1oyZG0wYk5teVNOZDJwcFd2VWFNR0N4WXN3RzYzRXgwZDdiSXVMTGRMQlhncEtTblcyakxuMmpPbkxsMjY4UFhYWDVPY25Ld2dURVJFNUJwUklDWWljaFZpWW1MbzJiT255MTVielpzM3g5dmJtNHlNRERwMTZzU3dZY09Bbk1DcldyVnF6SjA3RndBZkh4OGdaOVBta3lkUEVoc2JTL1hxMWEzempCNDlPczhtelNrcEtkWTBRYWVzckN5Q2c0UHAzTGt6QXdZTXNQclN1blZyTWpJeVdMRmlCUlVxVkxBQ3JQejJCVnV5WkFuSnljbFVxMWFORmkxYWNPellNZXUrd1lNSDgrMjMzN0orL1hxYU5XdkcwMDgvZmNYUGw0aUlpT1JRSUNZaWNoMllwZ25BOTk5L3ovZmZmMitWSHo5KzNGbzNObnIwYVByMDZjUCsvZnVaTVdNR2RlclVZZW5TcFZiZFdiTm1GZWxhUjQ4ZTVmang0eXhhdElpLy9lMXZRRTdLK1l5TW5HM1dLbFNvY01uMjBkSFJMRnEwQ0lEKy9mdm5HZlc2L2ZiYkdUQmdBQjk4OEFFelo4N0V6OCtQQng5OHNFaDlFeEVSa2Z3cEVCTVJ1UTVlZi8xMXhvMGJkOGtSTWVmZVhQdjI3UU1nS0NqSTVSd0xGeTZrZlBueUxtV0ppWWxXc09YMDg4OC9BMUMzYmwwcmlZYnpuT1hMbDhmWDE1ZkV4RVNYTmdzV0xLQlJvMFkwYnR5WUNSTW1rSm1aU2YzNjllbldyVnUrajJmZ3dJRnMzNzZkQXdjT01ISGlSTTZjT2NOVFR6MTFlVStLaUlpSVdCU0lpWWhjQi9YcjF3ZUtOaUxtbkNwNGNTRG16R1pZR0djZzFyUnBVeUJuTk00NXNoWVlHSmh2bTMzNzl2SHV1Ky9Tc0dGRFltTmpzZHZ0VEpreUJUYzNOd0FjRG9kTGZYZDNkNlpQbjA3Ly92MkpqNDhuSkNRRWYzOS9PblRvVUtRK2lvaUlpQ3NGWWlJaTE0QXpmWDN1dFZWQW9TTmlxYW1wSERod0FNRGE3OHNwdnhHeFAvLzhreUZEaHJpVVJVWkdBdENrU1JOTTAyVE9uRG5zM2JzWGdDZWZmQklBd3pDcytvbUppUnc3ZGd3L1B6L3V2UE5PRGg0OHlLUkprL0QzOXljcUtvcXlaY3V5ZnYxNkFEdzhQS3gybFN0WDV2MzMzMmZZc0dINCtQalF2bjM3eTN5V1JFUkV4RW1CbUlqSVZiRGI3VFJwMG9TeVpjdFNyVm8xeXBZdHk4YU5HNjM3THpVaTV1Zm54eXV2dkVKMmRqYlZxMWNuSUNEQTJxUVpjckloK3ZyNkVoRVJ3YnAxNjdEYjdSdzllaFQ0YTkxWFVsSVNodzhmQm5JQ3NaZGZmdG02Zm84ZVBXalRwZzBBNWNxVncyNjNrNUdSWVNYdGFOdTJMY0hCd1RSdDJwUXVYYm9RSFIzTnM4OCs2L0w0R2pWcTVISzdkdTNhTEY2OG1GT25UaW1Eb29pSXlGVlFJQ1lpY2hWdXYvMTJGaTllN0ZLMmZQbHlicnZ0TnNCMVJPeGlibTV1bkR4NWtsYXRXcmxrUzd5WWo0OFB5NVl0QTNKR3RnSUNBaGc1Y2lTUUU0aTFiTm1TbjMvK21RWU5HdENsU3hlMmJObENuejU5L245Nzl4NFUxWG4vY2Z4ekZseUpwS1FTQ0VhSHhGaXB6YlNUd0ZvVHEwMXJZbXdjNmpReGlqRXA4VUxGakVHSjFOb1lKNDdSa21SeWNkUW9NOFk2SnBpMEdocFRJL3J6OGlOZVdqSFJoTnVvZjJDMEFZMjFnS2hoQVpHRlBiOC8rTzBXWkJIa2NsYmcvWnBoQmpqUE9mdkZPV2M4bi9NODUzbVVuSnpjNUxObXpacWxqUnMzeXVWeWFjQ0FBWm8xYTVZaUl5TVZHUmtwU1lxS2lsSndjTEJxYW1vVUhCeXNxS2lvWm90SVMxSjRlTGpDdzhOdjRGOEpBQUJjeTJpOUNkQXpSVWRIdjJDejJWWkpXcFdibTV2aTczclF0UndPaHluNW5ycTlxMVJYVnlzd01OQzdZSEpIMU5iV3ltYXpLVERROS9Nemw4dmxIVVpZV2xxcU8rNjRvOE9mNlMrZUlacTV1Ym44SHdVQTZMSG9FUU9BTG5MdEdtQWQwVnFZYS93dVYzY09ZUUFBOUJZRU1RQzl5clVUWWdBQUFQZ0RiMW9ENkJWTTB6enE3eHB3UTQ3N3V3QUFBTG9TUFdJQWVvVzh2THdIL1YwREFBQ0FCejFpQUFBQUFHQXhnaGdBQUFBQVdJd2dCZ0FBQUFBV0k0Z0JBQUFBZ01VSVlnQUFBQUJnTVlJWUFBQUFBRmlNSUFZQUFBQUFGaU9JQVFBQUFJREZDR0lBQUFBQVlER0NHQUFBQUFCWWpDQUdBQUFBQUJZamlBRUFBQUNBeFFoaUFBQUFBR0F4Z2hnQUFBQUFXSXdnQmdBQUFBQVdJNGdCQUFBQWdNVUlZZ0FBQUFCZ01ZSVlBQUFBQUZpTUlBWUFBQUFBRmlPSUFRQUFBSURGQ0dJQUFBQUFZREdDR0FBQUFBQllqQ0FHQUFBQUFCWWppQUVBQUFDQXhRaGlBQUFBQUdBeGdoZ0FBQUFBV0l3Z0JnQUFBQUFXSTRnQkFBQUFnTVVJWWdBQUFBQmdNWUlZQUFBQUFGaU1JQVlBQUFBQUZndjBkd0ZBYjJTYTVtZVNIdkYzSFRlSm80WmhQT2p2SWdBQUFLeEVqeGpnSDRTdy8zckEzd1VBQUFCWWpTQUdBQUFBQUJZamlBRUFBQUNBeFFoaUFBQUFBR0F4SnVzQWVwaTZ1anF0V0xGQzJkblorczkvL3FPK2Zmc3FLaXBLOGZIeGV1U1JsbDlOcTY2dVZrWkdockt5c3ZUTk45L0k3WFpyOE9EQm1qSmxpaVpPbkdqaFg5QTFIQTRIRTZSMEk2WnBIczNMeTJNU2wwN0MrZCs5Y1A0RHZRTkJET2hocmx5NW9veU1ERW1TeldaVGRYVzFDZ29LVkZCUW9OV3JWK3ZuUC8rNXovMHlNek8xWnMwYTczNXV0MXNuVDU1VWFtcXFxcXFxRkI4ZmI5bmYwRVc0Q2UxR0RNTmdFcGZPeGZuZmpYRCtBNzBEUVF6b1lmcjI3YXUwdERURnhNVElicmZyaXkrKzBOeTVjeVZKdWJtNUxRYXhnSUFBUGZYVVU1bzZkYW9pSXlQMXpUZmY2UG5ubjFkWldaazJiOTdjRTRLWUpDa25KOGZmSmFBVnc0Y1A5M2NKUFJibi84MlA4eC9vUFFoaVFBOWp0OXMxY3VSSVNaTEw1WkxUNmZSdWk0Nk9ibkcvMy96bU43TGI3ZDZmaHd3Wm90R2pSMnZidG0yNmNPRkMxeFVNQUFEUUN4SEVnQjdveUpFam1qOS92bHd1bDB6VDFKQWhRelI5K25UOTRoZS9hSEdmeGlITTQ5eTVjNUtrcUtpb0xxc1ZBQUNnTjJMV1JLQUhxcSt2VjIxdHJVelRsQ1I5KysyM3lzdkwwOVdyVjl0OGpPenNiSDM1NVplU3BHZWZmYlpMNmdRQUFPaXRDR0pBRHpScTFDamw1T1JvLy83OWV2SEZGMVZmWDY5dDI3WnB4WW9WYmRxL29LQkFpeFl0a2lURnhzYnFzY2NlNjhweUFRQUFlaDJDR05DRGhZU0VhTXFVS1hyMDBVY2xTWHYyN0dsMW55TkhqaWdwS1VuVjFkVWFPM2FzbGk1ZDJ0VmxBZ0FBOURxOEl3YjBBbjM2OUpIVU1HVHhlZzRlUEtoRml4YXB0clpXVTZkTzFZSUZDMlN6OGJ3R0FBQ2dzM0dIQmZRd0gzLzhzVEl6TTFWVlZTWFROSFg0OEdGbFpXVkprdTY3N3o1dnUvVDBkQ1VrSktpNHVGaFNRMi9ad29VTDVYSzVsSktTb29VTEZ4TENBQUFBdWdnOVlrQVBVMTVlcnZYcjErdVZWMTd4THN3c1NiZmNjb3VTazVPOTdkYXZYNithbWhydDNMbFR6ei8vdkY1KytXVnYyN1MwTktXbHBUVTU3dWVmZjI3ZEh3RUFBTkREOGJnYjZHRkdqQmdoaDhPaFcyKzlWWklVR2hxcThlUEg2OE1QUDlTUGZ2UWpiN3Z4NDhjckpDUkVvMGFOa2lSdkNKT2sydHJhWmw4QUFBRG9QUFNJQVQyTXcrSFFuLy84NTFiYkxWbXlSRXVXTFBIK25KT1QwNVZsQVFBQW9CRjZ4QUFBQUFEQVl2U0lBVUFYS1N3c1ZHWm1waVRwRDMvNHd3M3RlL255WlczZnZsM0Z4Y1dLaTR0ck1xelVDbGV1WE5GWFgzMGxTWHJvb1ljcy9XejBibGV2WHBYTDVmSU9yMjRQZjE4L0FOQVdCREVBNkFSdXQxdUppWW02OTk1NzlmampqeXNxS2twRlJVWGF2SG16cEJzUFl2MzY5ZE43Nzcybmlvb0szWEhISGRlOWtheXRyZFhQZnZhekc2NzU3cnZ2MWllZmZPSnpXMGxKaWViUG55K0pZYXU0dnM4KysweGJ0MjVWYW1xcVFrTkRKVFZNR3ZTclgvMUswbi9QbitIRGgwdVM5dTdkcTl0dnY5M25zZmJ1M2F0VnExYnArOS8vdmpaczJLQisvZnExcTZZYnVYNGtxYmk0V0ZPblRtM1RzYmRzMmFLNzc3NjdYWFVCUUdNRU1jQS9qa3A2d045RjNDU08rN3VBenBDWGw2ZjgvSHpsNStmcnB6LzlxYUtpb3RxOGIwc2h5dVZ5U1pJMmJOaWc5OTkvdjluMmtTTkhhdVhLbGUycXR5UE9uVHVuUVlNR1dmNjV1UG1ZcHFtTWpBeDk5ZFZYbWp0M2JvZkNreVJWVkZTb3RMUlVKU1VsZXZYVlYvWHFxNisydWs5blhEK21hYlo1VWlMVE5OdlVEZ0JhUXhBRC9NQXdqQWY5WFVOM0ZSMGRQZG8wVFZkQlFVR3VwRHAvMStPeGZmdDJTVkpRVUpDR0RoMnFrcElTVlZSVWVMZVhsSlEwMnljOFBGdzJtNjNWRzBDMzIrMnpqZWRHczdGTm16YnBycnZ1a2lTZE9YTkcwNlpOa3lRZE9IREEyK2JRb1VONitlV1hXLytqL3QvRml4ZTlQUjA3ZHV6UTh1WExsWktTb3FlZmZyck54MERuaUltSmVkcnRkcDh1S0NqSWtYVDlGZG90WUJpR2xpMWJwcmk0T0JVV0Z1cU5OOTVRY1hHeFNrdEx2VzBtVEpqUVpKOW5uMzFXTnB0Tk8zYnNhSGE4eVpNbnkrbDBhdTNhdGRxOWU3ZkdqUnVuTVdQR1hMZUd6cngrcEpaN2dEMDllZ0RRV1FoaUFMb1Z3ekFtMm15MkJRNkg0NEtrOTl4dTk2Y3VsK3ZMRXlkTytHMk8vVXVYTG1udjNyMlNwSnFhR2ozKytPUE4yc1RHeGpiN1hXWm1wZ1lPSE9pOThhdXVydGJxMWF1Vm41K3Y5UFIwQlFVRmVkdWVPblZLeWNuSlNraEkwTVNKRXhVUUVPQ3psdURnWUgzdmU5L3pmdS9oK1ozVXNLYWN4NW8xYTN6MkZtemR1clZKbmRPblQ5Zk9uVHUxYk5reXVkMXVmZnJwcDNyaWlTZWFIQXVXbUIwUUVEREc0WENjTnd4anM5dnQvalF2TCsrdy9QaFFZc0NBQVVwT1RsWlJVWkhtekptanVMaTRKa0hzL1BuelRkcjdlaWpSMk15Wk01V1hsNmZzN0d5dFdMRkNvMGFOa3QxdWI3RjlaMTQvQUdBbGdoaUE3aXBNMGtLYnpiYlFicmQvRnhNVHM4azB6VTh1WDc3OFJWRlJVWTJWaFd6YXRLbFQxbG83ZS9hc01qTXpkZlhxVmFXbXBpbzFOVlZTdzFDbzExOS9YU1VsSlZxM2JwMGVldWdoUlVSRStEekdwRW1UZlA2K0kwL3pQL3JvSXdVRUJHalZxbFV5VFZNLy92R1B0V2JOR2tLWWY5MXBtdWJ2RGNQNHZjUGhLSmUweFRUTnZ6dWR6a09uVHAyNmFuVXhjWEZ4M3U5MzdkclY3bmZFUEg3OTYxOHJPenRiLy83M3Y1V1JrYUg0K1BoV2EraU02MGRxZWFnakFIUTJwcThIME8wWmhuR2JZUmp6YkRiYi92NzkrNWM1SEk3MTBkSFI0KzY3Nzc3ZzF2ZnVtRE5uem1qTGxpMlNHbTVHYzNKeXZGK3Z2ZmFhdDEzajMzdStCZzRjMk9SWXc0WU4wMHN2dlNTcFlRS0UwNmRQUzJyb25jclB6MWRnWUtEZWZQUE42OTVFM3Fqbm5udE9CdzRjMElFREI1U1dsaVpKM3FHTkhpVWxKVnE1Y3FWTTA5VG8wYVAxN3J2djZyYmJidXUwR3RCaHQwdEtNZ3dqS3lRa3BEUTZPbnJqL2ZmZlAySDQ4T0h0ZjFtcmpkNTU1eDJOR0RIQysrWGhlWS9LWm12ZmJjYnUzYnU5MzcvLy92dXFycTV1ZFovT3VuNThMV2pQb3ZZQXVnSTlZb0EwMytGd3pQZDNFZWdjaG1IY0tpblJack1sMm15Mkt6RXhNUjlMMm15YXBnekQ2UFRQTzN6NHNHcHJheFVVRktSWnMyYTEremkvL09Vdm05enMxZFhWZVhzQjZ1b2FScDNWMTljcktTbkoyMmJldkhsNjVwbG5taHduSXlORGd3Y1BsaVFWRlJWcHlwUXBrcVNqUjQ5NjJ4dzhlRkFMRnk2VUpObnRkdSt3cjMvKzg1K1MxT1NHV3BJQ0F3TlZWMWVuU1pNbWFkR2lSZTIrdWI1UkRvZURXUkZ1WElqTlpwc3BhYVpwbXRVeE1USGJUTlA4VzFlZC8vWDE5WEs3M2MxKzczbi9xajNueXIvKzlTL3Z1U2cxRFAxTlQwL1huRGx6V3R5bm85ZlA0TUdEbVIwVWdPVUlZdWkxRE1NNEthbFdVc3N2SDZCYk0wMHp3RENNUWFacER1MkttMUJKZXV5eHg3Unk1VXJObURGRDlmWDFUZDUvdWQ1a0hjSEJ3VTNXU2JyMnFidXZDUWF1bmRtdHZyNzVYQTBCQVFIZTkxOGF2d2ZUK0h0Zk44ZVZsWlhhdVhPbkpHbnMyTEZOdHNYR3htcjc5dTF5T3AyV2hUQjBDcHRoR0xjYmh0RjVYYWpYU0VsSjBYUFBQZWRkYTY3eGtFU3BJUVJkT3l5MjhYWmY0V2YxNnRVeVRWTVJFUkVhTm15WS92R1BmK2pERHovVWswOCsyV0p2Vm51dm42cXFLajN4eEJNK2o3bHg0MFpKVWtKQ2dzL3RtemR2VmxoWW1NOXRBTkFXQkRIMFdubDVlYnNrOWZWM0hiZ3hNVEV4Ynh1R3NlQTZUYTVJT2locFcxMWRYY2F4WThjdVNaTEQ0WGluSytycDM3Ky80dVBqTldQR0RJMGNPYkxGZHRkTzFoRWZINitVbEJSSkRUZU5ucWYyV1ZsWjZ0Ky8vdzNWMERpUXRmY2RzUTgrK0VCT3AxT0RCZzNTaUJFamRPYk1HZSsyeE1SRTdkNjlXM3YzN2xWMGRMU2VldXFwRzZxdnZYSnpjN3NtUFhkak1URXgrdzNER0hPZEpsV1M5a3Y2cEtxcTZ1UEN3a0tuSkRrY2puVlcxR2V6MlhUbm5YZks2WFNxc3JKU2RydmQrejZZWjlLT2lJaUlGZ1A5bmoxN2RPalFJVW5TdEduVE5ITGtTQjA2ZEVnMU5UVmF0bXlaMHRMU212WHNkZVQ2Y1RxZHVuanhvczl0bnV1cXRlMEEwRjRFTVFEZG5tbWFWWVpoN0hPNzNWdGRMdGZXRXlkT1ZGcjUrZlBtemV2US9xV2xwZDdoWFkxbk9teXJtcHFPelUxU1dGaW85UFIwU2RMMDZkT2IzU1FQSERoUU0yZk8xTHZ2dnF1MzMzNWJvYUdoR2pkdVhJYytFNTNITk0zTGtyTGNidmZmeXN2TE03Lzk5dHNyL3FxbGYvLysyckZqaDJiUG5xMmNuQnlOR3pkT3k1Y3ZsL1RmaHdFZmZQQ0J6OGs2aW91TDlmcnJyMHVTSWlNak5XblNKUFhwMDBlVEowOVdSa2FHamh3NW92VDBkTTJZTWFQSmZoMjlmanc4azRpMDlOQWlKeWRIMWRYVjN0NC9BT2dvZ2hpQTdxcENVcFpwbW44ckt5djcxSjgzbng3WERyUGFzMmVQRmk5ZTdITmJZOGVQTjZ4cEhSRVJjZDFwdWx2UytJbjlnUU1IdkF2cXR1VWRzWXNYTCtxbGwxNlN5K1hTMEtGRFd4eW1sWkNRb096c2JCMC9mbHlMRnkvV3BVdVh2TWVHWDF3d1RmTi9UZFA4eU9WeTdmTG44ZzNYT25Ma2lQZDh2L1o5dzVaY3VIQkJMN3p3Z3B4T3B3ekQwT0xGaTlXblR4OUpEUTg2RGg0OHFKS1NFcTFkdTFZREJnelErUEhqdmZ0MjlQb0JBSDhoaUFIb2JqNTN1OTBUWFM3WC85eE1ONThkc1gvL2ZrblMvZmZmMzY3OWk0cUtKRFZkUTB4cStSMnh4a083NXM2ZHErTGlZdG50ZGkxZnZ0emI3dG9KR0R3enprMmZQbDFsWldWNjQ0MDNGQllXcGtjZWVhUmROYU45VE5QY1pwcm1hL241K2Z0MWt5eG9mdTdjT2UvMzFkWFZLaXNyVTkrK2ZXV3oyZlR3d3crM3V2LzU4K2VWbEpTa3MyZlBTbXBZOFBtQkJ4N3didS9YcjUrV0xsMnF1WFBueXUxMmErblNwWEs3M2Q3aHZoMjlmZ0RBWHdoaUFMcVZ2THk4cmEyM3NsWmIxdWp5MVdiczJMSDY0eC8vcUgzNzlrbFN1ME9OcC9mQk0xdWlMeFVWRmJwMDZaTDY5T25qZlFjbklDQkE5OTU3cndvTEM3Vmt5UktGaFlYcHhJa1RDZ29LOGk1UTdlbVZrQnA2SE5hdFc2YzVjK1lvSkNSRVk4YU1hVmU5YUwvOC9QelYvcTZoc1dQSGppazVPZG43ODI5Lysxc2xKQ1RvcmJmZTB0bXpaNXRNU0pPWW1DalROQlVZR0tnclY2Nm90clpXWDMvOXRSWXZYcXp5OG5KSjB1alJvMzBPOVgzd3dRYzFlL1pzclZ1M1RuVjFkVnF5WklrcUtpcjA2S09QZHZqNjhaZzhlZkoxWjVia29RT0F6a1lRQXdBLzJyZHZuMnByYXhVV0Z0YXVZRk5aV2FsZHUzWkprbUppWWxwc1YxWlcxbXdvNFYxMzNhVVpNMmJvSnovNWlXSmpZMVZZV0tocDA2WTFhVE5zMkxBbVB3OGVQRmliTm0xU2FXa3BNeWhDdWJtNXFxaW9VRmhZbUVKRFEzWHk1RW05OHNvcjN1MXZ2ZlZXczMwMmJOZ2dxZUg4KzkzdmZ1Y2RXanRpeEFpOStlYWJMWjVYczJiTjBxbFRwNVNWbGFXSWlBZzkvUERESGI1K0dtczh5Nmt2MzMzM1hZZU9Ed0RYSW9nQlFBZHQzZHErVHJyZzRHQ0ZoWVhwOU9uVEdqcDBhSlBlcDdicTE2K2Y1c3labzdWcjF6YWJtZEZ1dCt1SFAveWhKT2tIUC9pQjdybm5IcDA5ZTFhMzNIS0xoZ3dab3FTa0pFVkdSaW95TWxLU0ZCVVZwZURnWU5YVTFDZzRPRmhSVVZGNjhjVVhtMzFtZUhpNHdzUEQyL0VYbzZlSmpZM1ZYLzd5RjYxYnQwNkRCZzNTdG0zYmxKV1ZwYSsvL2xxVmxaVSsxeGp6aUkrUDE0UUpFM1Q1OG1VZE8zWk1mL3JUbjY3N2pwZGhHRXBOVFpWcG1rcE1URlJFUklUaTR1STZkUDMwN2R0WEN4WTBUTUw2NUpOUEtpZ29TSC85NjE4bFNhR2hvWkxrM2Y3TU04K29ycTVPR1JrWmt0UmtHREFBdEFkVEF3UG9GVHlMQTkrTWk3YWFwaW5UTkR2VXcrUjBPbnZNamFGbkdDZlQxM2Vlcmp6L3k4dkxmYzZDYUpwbXN5RG1HZnJYbWIycG5YSDkzRXc0LzRIZWd4NHhBUEF6d3pDdSsyNUtXL1NVRUlidXgxY0lreHJPNjhhVHhIU1Z6cmgrQU1BZmVzYmpJd0FBQUFEb1JnaGlBQUFBQUdBeGdoZ0FBQUFBV0l3Z0JnQUFBQUFXSTRnQkFBQUFnTVVJWWdBQUFBQmdNWUlZQUFBQUFGaU1JQVlBQUFBQUZpT0lBUUFBQUlERkNHSUFBQUFBWUxGQWZ4Y0FBRllhUG55NHYwc0EvSWJ6SHdCdUh2U0lBZWdWVE5NODZ1OGFjRU9PKzd1QW5vVHp2OXZoL0FjQUFBQUFBQUFBQUFBQUFBQUFBQUFBQUFBQUFBQUFBQUFBQUFBQUFBQUFBQUFBQUFBQUFBQUFBQUFBQUFBQUFBQUFBQUFBQUFBQUFBQUFBQUFBQUFBQUFBQUFBQUFBQUFBQUFBQUFBQUFBQUFBQUFBQUFBQUFBQUFBQUFBQUFBQUFBQUFBQUFBQUFBQUFBQUFBQUFBQUFBQUFBQUFBQUFBQUFBQUFBQUFBQUFBQUFBQUFBQUFBQUFBQUFBQUFBQUFBQUFBQUFBQUFBQUFBQUFBRFFYdjhIeE1WM0tqNU5QMEVBQUFBQVNVVk9SSzVDWUlJPSIsCgkiVGhlbWUiIDogIiIsCgkiVHlwZSIgOiAiZmxvdyIsCgkiVmVyc2lvbiIgOiAiNDUiCn0K"/>
    </extobj>
    <extobj name="ECB019B1-382A-4266-B25C-5B523AA43C14-4">
      <extobjdata type="ECB019B1-382A-4266-B25C-5B523AA43C14" data="ewoJIkZpbGVJZCIgOiAiMTYyOTc1MzE5MDc4IiwKCSJHcm91cElkIiA6ICIzODk2NzU3OTEiLAoJIkltYWdlIiA6ICJpVkJPUncwS0dnb0FBQUFOU1VoRVVnQUFCQjhBQUFNVENBWUFBQURwWGI5ZEFBQUFDWEJJV1hNQUFBc1RBQUFMRXdFQW1wd1lBQUFnQUVsRVFWUjRuT3pkZVZ4VVZmOEg4TThkaGwwSlZ4UVZUYzBORlJod3dWM1JTbnZNcGRTMFV0TkhUWExIdlZCYzBrck55dEx5U1MyWE5KZHkzOUpFY1lPRUFRUUxGMFJja0VWUlpITVk3dm45UWN6UGNRQzFaQzdMNS8xNjlZbzU5NXg3djNlY3VUUHp2V2NC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5aDFKNlFDVW90Rm9qZ0xvcG5RY1paRVFJa1NyMWJaUk9nNGlJaUlpSWlJcUdWUktCNkFnSmg2S2lTUkpyWldPZ1lpSWlJaUlpRW9PdGRJQktDMDBORlRwRU1vVVQwOVBwVU1nSWlJaUlpS2lFcVk4OTN3Z0lpSWlJaUlpSWpOZzhvR0lpSWlJaUlpSWloV1REMFJFUkVSRVJFUlVySmg4SUNJaUlpSWlJcUppeGVRREVSRVJFUkVSRVJVckpoK0lpSWlJaUlpSXFGZ3grVUJFUkVSRVJFUkV4WXJKQnlJaUlpSWlJaUlxVmt3K0VCRVJFUkVSRVZHeFVpc2RBRkZ4RTBJY0JkQk42VGpvWHd1UkpLbU4wa0VRUFUrOFBwVVp2RDdSTStGN3Y4emdlNS9vR2JEbkE1VUgvSEF2RzFvckhRQlJNZUQxcVd6ZzlZbWVGZC83WlFQZiswVFBnTWtISWlJaUlpSWlJaXBXVEQ1UVdXYmg2ZW41d3UzYnQ1R2RuYTEwTEVSRVJFUkVST1VXNTN5Z1VzUFYxYld5cGFXbGkwcWxxaWpMY2tWSmtod0FPQUtvTGttU2t4Q2krdDkvVnhkQzFKRWt5VTRJZ2YvOTczLzQ2S09QRkk2ZWlJaUlpSWlvL0dMeWdVb05TMHRMYjVWS3RSY0FWQ3JUVGp1U0pEMytkNDRzeS9QOC9mMFhtaXRHSWlJaUlpSWlNc1hrdzNPVW1abUp3TUJBK1B2N3c4SEJBWU1HRFVKOGZEeXlzckl3WnN3WU5HblNwTUIySzFhc3dMdnZ2Z3RIUjBlVGJZbUppZmp1dSs5UXNXSkZWSzllSFVsSlNSQkNZTlNvVWFoWXNlSXoxVXRJU01BdnYveUMwTkJRckYyN3RuaWVoR0lVSGg1K1VLUFIzQVpRNHltcVA1QmxlV1I0ZVBnMkFFdytFQkVSRVJFUktZaHpQanhIZG5aMjZOV3JGd0RBd2NFQjc3Ly9QaFl0V29TNmRldml2ZmZlUTNSMHRFbWJsSlFVL1BUVFQ5aTRjYVBKdHV2WHIrUHR0OTlHM2JwMU1YbnlaTHo5OXR1WVBIa3ljbk56TVd6WU1LU2xwVDExdlZ1M2J1SGt5Wk5ZdTNZdDd0eTVVN3hQUkRGcDJiSmxUU0hFSDA5UjlaWk9wK3Z3ZCtLQmlJaUlpSWlJRk1ia2d4bU1HREVDT1RrNVdMbHlwY20yWDM3NUJYcTlIbHUzYnNXREJ3K010aTFmdmh6Mzc5L0hnQUVEak1vSERoeUlhOWV1WWMyYU5VOWR6OW5aMldSN2FlSHA2ZW1pMFdpK1VLdlY4WklrOVg1QzliQ0hEeCsyaUlxS2lqUkxjRVJFUkVSRVJQUkVURDZZZ1lPREE2cFdyWXFJaUFpajhydDM3OExCd1FIZHVuVkRSa1lHdG16WllyVDlqei8rUUxWcTFXQm5aMmRVN3V6c2JOaitMUFZLRzFkWDF3b2VIaDcrUW9ockFDWUMwQXNoemdBbzhJU0VFUHZEd3NKYVIwZEgzelZyb0VSRVJFUkVSRlFrSmgvTXBLQUpFbmZ2M28zWFgzOGRJMGFNQUFEODlOTlB5TXpNZk9LK2hCQlBkY3luclZjU3RXelpVbU50YlIwclNkSjhJWVFzaERnS29KbFdxMjBueTNMQVk5VnpoUkRMdEZydGF3Qnl6Ujh0RVJFUkVSRVJGWVhKQnpQSXpzNUdTa29LM04zZERXV3BxYW1JaW9yQzFxMWJjZWJNR2RTclZ3OXBhV25ZdW5Xcm9VNnJWcTJRbkp5TWpJd01vLzFkdTNZTkFOQzJiZHRucWxlYVNKSWtBRlFTUWtRRDBHaTEydTVoWVdHWGdieUpKd0hjL3J0cWxoQml0RmFybmFwVXJFUkVSRVJFUkZRMEpoL01ZTmV1WGJDd3NNRFlzV01OWlZ1M2JzWGN1WE14ZlBod0RCOCtIQjk5OUJFQVlOT21UY2pPemdZQVRKdzRFUlVyVmpSS1NBREFsaTFiVUxkdVhRd2ZQdnlaNnBXbW5oQVJFUkhhM056YzlscXR0cmxXcTQxNGJMTXN5L0pYQU83SXN0eGRxOVVxdG5USHc0Y1A4ZkRoUTVOeVdaYi8xWDYzYjkrT2xKU1VaMjRuaEVCZ1lLRFJ2M1ZJU0FodTNyejUxTzBMNjMzenBGNDVNVEV4Qlpibko4R0lxR3pMLyt3cUNxOFRSTXA1K1BBaDFxNWRpNVNVRkd6WnNzVm9yckhBd0VEczNidjNpZDhWSDM4UDUwOStiaTdoNGVGbVBSNFJQVjljYXZNNXlsOXFFOGhieFdMMTZ0WEl6TXpFN2R1MzhjTVBQNkJ4NDhZQWdMMTc5Mkw3OXUxbzNydzUycmR2RHlEdng2cTF0VFh1M3IyTHhZc1hZK3JVcWFoYnR5NDJiTmlBMWF0WFkvbnk1YWhVcVJKdTNMZ0JhMnRyckYyN0ZnNE9EZ0R3VlBWU1VsSVFGQlFFQUVoT1RrWmdZQ0RhdFdzSEt5c3I4ejlSQlhCMWRYV3hzcktxcnRWcXorV1hSVVJFaEJSV1B5Y25aNTJOamMwUDRlSGhDYzg3bHBpWUdDUWtQTjF1Zi83NVo5U3BVd2V6Wjg4MmxNbXlqTkdqUjJQdzRNR3dzTEFvdEcxUVVCQTZkdXlJTGwyNm1HemJ1blVyZHUzYWhUVnIxc0RTMGhJelo4N0VLNis4WWhpKzg4Y2ZmOERSMFJFalI0NDBHdElqU1JLbVRwMktuajE3WXNHQ0JRQ0E3Ny8vSHVmUG44ZXlaY3ZRcmwyN0o1N1RtMisraVI0OWVwaVVIenQyREpNblQwYlhybDBMYkxkczJUSllXRmhnMGFKRnFGU3BFZzRlUEFpOVhvOU5temFoWThlTzhQWDFmZUt4aWFqMGtHVVoyZG5aaHZtR1pzNmNpVXFWS21IR2pCbXdzYkVwc0EydkUwVEtVYWxVK09hYmJ4QWJHNHREaHc3aHdJRUQrUExMTCtIbzZJaHo1ODVoMjdadGNIUjBSSWNPSFl6YVpXVmx3ZGJXRmdBd2E5WXNXRmxaWWZ6NDhXamZ2ajNHakJtRDJyVnJZKzdjdWFoUW9ZTEpNUzlkdW9RWFhuZ0IxYXRYQjVDWHJNai8vdm9vV1paeC9mcDExSzFidDhoejhQUHpRKy9ldlRGcDBpUUFlVGROYnR5NGdUcDE2dnlqNTRTSXpJdkpoK2NvZjZuTi9PVTJDL09mLy93SC8vblBmNHpLUEQwOWNmcjBhWk82dFdyVndyeDU4NTU0N0NmVnExcTFLdnIxNjRkKy9mbzljVi9tNXU3dTdpaEowamtBdGkxYnRtd2FHUmw1NDBsdG9xT2pieitwemo5MS8vNTkrUG41UFhYOWtKQVF0RzNiRnQyNmRRT1E5K0VlSFIyTjZkT25QN0d0VnF0RnAwNmRUT1lFc2JTMGhMZTN0eUU1ZE96WU1SdzVjc1NrdmIyOVBZWU1HV0pVcGxhcjRlM3REU0R2UXo0eU1oTGUzdDdRNlhRSURBekUvdjM3TVdiTUdEUm8wTUJrZjVJa0lUVTFGY2VQSDBmbHlwV1JrNU1EUzB0TEFNRE5temR4NU1nUm8rUkRUazRPdnZqaUMweWNPQkZXVmxhb1Y2OGUxcXhaZytUa1pGaFlXT0RNbVRPb1g3OCthdFdxOWNUbmdvaEtyb2lJQ0Z5OWV0V283TXlaTTZoUW9RS21UWnNHR3hzYlRKbzBDUU1HREVDelpzME1pWFZuWjJkZUo0aEtnS0NnSU9UbTVrMkxWYVZLRmFqVmFqUnMyQkJUcGt6QjExOS9qVXVYTHNIRHc4TWs4UUFBTzNmdXhNNmRPekY5K25SWVdWbkJ6YzNOY0RORHJWYkR3Y0VCRlNwVVFGcGFHdlI2UFNwWHJteG9tNXFhaXBFalIyTHUzTG53OGZIQnJGbXpVSzFhTlpORVJWeGNIT0xpNHJCdDJ6YlkydG9pSmlZR0lTR205NkJ5Y25JUUd4dUxEUnMyQUFDaW9xSVFGUldGTFZ1Mm9HTEZpcy90K1NLaTRzSGtBeWt1UER6OGdZZUh4eCtTSkxsRVJrWW1LaDFQNjlhdHNYLy9mbFNyVnMwb0tUQnMyREJrWkdSZzY5YXRCVTRnK2lpMVdvMFpNMmFnYjkrK0p0dDBPaDFTVWxJd2ZmcDB1THU3Rjdpdi9MS2JOMitpWnMyYXNMUzBSRUJBQUdSWlJzK2VQVEZxMUNnMGFOREFKUEh3YU51VWxCUWNQMzRjT1RrNU9ISGlCRTZjT0dHb1U2RkNCY3laTTZmUTJKMmRuVkcvZm4yY1BYc1dyVnExd3JoeDQ5Q3FWU3ZERDRwOGxwYVdTRXhNeE1TSkV5RkpFakl6TTNIczJERzg5OTU3K09tbm45QzdkMis0dWJuaGwxOStRWjgrZllwOHpvaW81TEt6czhQeTVjc0JBT25wNmJDenM0T2xwU1VrU2NMT25UdngxbHR2UVpJa3lMS01rSkFRYk5pd0FmWHExY05YWDMzRjZ3UlJDWkRmMHdFQU5tN2NDQ0F2cVFBQW4zenlDUzVjdUdBWXBwdVRrNE5MbHk2aFdiTm1BSUMzM25vTFo4NmN3Y0tGQzJGcmE0dkl5RWlzV3JVS1FGNXZXa21Tc0hMbFNnUUZCYUZtelpyNC9QUFBEY2R0M2JvMU9uVG9nQjkrK0FGZVhsNFFRdURreVpPb1g3OCtRa05EWVd0cmF6aU9zN016QWdNRDBiTm5Uemc3TzJQdDJyVUZEdXM0ZGVvVVRwMDZaWGhjcTFZdGJOaXdnVDJuaUVvQkpoK29KTWo5ZTZVS0M1U1ExU3Fjbkp5TUhvZUVoQ0FxS2dyKy92NVBURHdBZVFtQXExZXZZdW5TcFNiYlFrSkNDdXgxa0ptWmlXKy8vUmF5TENNeE1SRm56NTdGM3IxNzhjNDc3eGlPT1cvZVBHemV2QmxxdFJyVzF0YUd0c25KeWZqeHh4OEJBTG01dWRpNGNTTTJidHlJckt3c09EZzRZT0xFaWVqYnR5K1dMVnVHb0tBZ28yRWkrZks3UWtxU2hOdTNiME92MStQYXRXdjQ2NisvVENZenpjM05OUXdwR1RCZ0FIeDlmZkhpaXk4aU9EZ1kzYnAxUTVzMmJmRGxsMStpVDU4K3FGT25Eajc1NUJPRWg0Y2JUYnBLUktYSFN5KzloT1BIanlNb0tBaVRKazNDeG8wYkRkMmp2Ynk4Y1Bic1dWU3BVZ1dlbnA2NGYvOCthdFNvZ2V6c2JNVEV4S0J4NDhhOFRoQXBiUGJzMlFnSUNFQ2JObTJ3YU5FaUxGaXdBRE5tekVEdjNyM3g1NTkvWXQrK2ZiaHc0UUtXTGwySzJOaFl4TVhGWWZ2MjdiQ3pzNE1rU2ZEejg4T3BVNmV3YytkT3ZQamlpOWk1Y3llcVZhdUc5UFIwNU9ibTR2VHAwN0N3c0VCU1VoTEN3c0tnMFdpUW1KaUlTcFVxWWRpd1liaCsvVHJHang4UFNaTGc2ZW1KVHovOUZFT0hEb1ZlcjhlQ0JRdE12bmRWckZnUmh3OGZ4cHR2dm9rYk40cnVFTnVxVlN1TUdqV3FPSjgrSW5wT21IeWdrcVJFSkI0ZXA5ZnJEVm44OWV2WHc5cmFHbDI3ZGkxMFRITytldlhxNGVUSmswaE5UWVZhbmZkV3k4N09ocU9qSSs3ZnYyOHlVV1grdU9tb3FDaGtaV1hoenAwN3FGMjdOa0pDUXFEVDZRejFYbjMxVlJ3N2RzeW9iYlZxMVpDWW1Jams1R1RvOVhvOGZQZ1FjWEZ4QUlEVnExZGo1c3laVUt2VjJMSmxDMWFzV0dHSUo1OFFBb01IRDBiWHJsMmgwK2xRbzBZTjFLOWZIeEVSRVpCbEdkOTk5eDBBWVAvKy9RZ09Ea1p5Y2pLKy92cHI3Tml4QTNGeGNYQnljaktjei9uejV6RnUzRGgwNmRMRmtHUVpOMjRjWnMyYWhSVXJWcUJodzRaUC9kd1RVY2x5NHNRSnVMbTVvVzdkdXBCbEdTcVZDcElrWWVUSWtZVU9PZHkyYlJ1dkUwUUsrdXV2djdCMzcxN0Q0MzM3OWlFbkp3Y0hEaHhBVUZBUWJHMXRZV3RyaXdjUEh1RGl4WXRJU1VsQml4WXRFQmdZaUY2OWVrR24weUU4UEJ5Ly9QSUw0dVBqNGVQamcwOC8vUlJBWHEvUUZpMWFZT3JVcWJoejV3NnFWS2xpT003WnMyZXhaczBhZlB6eHgzQnhjWUdqb3lPRUVJaU9qa1pnWUNBeU1qSlFxMVl0L1Bubm45aTllemZxMTY4UEh4OGZBRUJvYUNnZVBIaUE5OTU3RDdhMnRvWWJMdlBuejBlSERoME1RMTBCNFBqeDQxaTRjT0ZURFZNbUltVXgrVUJLc1hCemMzdERyVmJ2RFEwTkxYb1pCWVd0V3JVS2NYRnhxRml4SXRxMWE0Zms1R1M4OWRaYm1EZHZIdHpjM0FwdEowa1NsaTVkaW1IRGhobTZGS2FrcENBcEtRa1RKMDdFNHNXTGplckh4OGREbzlGQW85SGdxNisrd2tzdnZZUm16WnFoU1pNbUNBME5oU3pMa0dVWkZ5NWNBR0M2b3NhU0pVdHcrdlJwakI4L0h2WHExWU9Ua3hNV0xseUl5cFVydzgzTkRYUG56a1gvL3YwTFhIcDF6NTQ5U0VwS1FreE1ESEp5Y2hBY0hJemc0R0FBZVpOYi92SEhINFlZejV3NWc2cFZxK0x3NGNOd2RuYkd6cDA3NGVUa2hNaklTS2pWYXFTbXBrS3YxNk5WcTFhR0NWZ3RMUzFoYTJ1TGQ5OTlGLzcrL2srY0Y0V0lTaDZkVG9lalI0K2lYcjE2V0xwMEtjNmVQWXRwMDZZQnlMdmVGWWJYQ1NKbDFhOWZIN0d4c1liUDlmd2hDOEhCd1dqY3VERmlZbUxRckZremZQZmRkMWkrZkRuT25UdUgxYXRYQThpYmkySDQ4T0hRNlhUdzkvYzN6TFd3Y3VWS1pHWm1JaUVoQVRrNU9WaXdZQUVPSFRxRUgzNzR3WkE4N05PbkQvYnYzNCtsUzVlaVJZc1c2TjY5T3c0Y09JQ0VoQVREM0ZweGNYR0dlRjU0NFFWNGUzdkR6czRPTjI3Y3dQejU4d3M4bjMzNzltSGZ2bjBtNVY1ZVh1amR1L2R6Zk9hSTZIbGo4b0VVNGVIaE1VQ1NwTTFDaUQ4Qk5GTTZuc0w4OXR0ditQSEhIekZyMWl6OC9QUFBBSUNoUTRmQzF0WVdvMGFOd3VqUm96Rnk1TWhDdjNoTGtvU0xGeThpSXlQRGNEY2dJaUlDNTgrZk42bHJZV0dCbVRObklpY25CMERlMG5OSGpoeUJnNE1ETWpNekRVTWZEaDgrRENzcks3ejAwa3NtK3poeDRnVHM3ZTBSSFIwTkd4c2J2UERDQ3poNDhDQzBXaTFhdFdxRmd3Y1B3dHJhR3AwNmRVS2pSbzBNZHlGV3JGZ0JIeDhmZlBMSkoyalZxbFdoUzRWV3Jsd1pzMmZQUnV2V3JRMURRZHEzYjQvZzRHRDQrdnBDcFZKQnI5ZWpkdTNhV0xKa2lWSGJDaFVxWU5PbVRhaGZ2LzdUUFBWRVZNSWNQbndZOSsvZlIwSkNBdFJxTmE1ZXZRcXRWZ3RabG90YzJhZDkrL2E4VGhBcHlNcktDaXRYcmtUcjFxME5rMDdtUzA5UGg2ZW5KNXljbkhENThtVWtKU1hCMmRuWnNMMWV2WHBvM2JvMWZIeDg4TW9ycjJEZHVuVUFnRFZyMWdESW16QWRBSzVmdjQ1R2pScGg4K2JOOFBmM043UWZQWG8wWW1OanNYcjFhb3dlUFJvN2R1eEFyMTY5TUduU0pJd2RPeFpkdTNiRjJMRmpNV1hLRk5qWTJCaDZnZmJwMHdjOWUvYUVsWlVWaGd3WlV1Z3l2WTBhTmNKUFAvMVVaQUtVaUVvT0poOUlLZjRBSU12eUYwb0hVcGpUcDA5anpwdzVHRGR1SE41NDR3MUQ4Z0hJbStjZ1BUMGRYMy85TlJJU0VvdythQituVXFtTXVpUjdlbnFpVXFWS0p2VnExYXFGM2J0M28wcVZLbmpycmJmUXZYdDNqQmt6QmdEUXBrMGJKQ2IrLzF5Y09wM081QXRFVmxZV2dvT0Q4ZEpMTDZGOSsvYjQ1cHR2TUh2MmJGeStmQm0rdnI2b1VxVUtUcDgramMyYk4yUHo1czF3Y25MQ3Q5OStDeGNYRit6WnM4Y3dqTVRLeWdwdDI3WkYwNlpOamZhL2F0VXF2UG5tbXdYMm5GaS9majJjbkp6ZzdlMk5ZOGVPb1hmdjNzakt5c0x4NDhleGZmdDIrUHI2b25MbHl2eEJRVlJLNWVibUd1YVY4Zkh4d2RTcFUrSHA2WW5hdFdzRGdHRVp2cUx3T2tHa0xBc0xDN1J0MnhZdnZ2Z2lnTHlKSndjTkdvU09IVHRpMzc1OU9IbnlKSzVldldxMHF0V3RXN2VnVnFzUkdSbUo4K2ZQNDhxVks3QzN0NGUzdDdlaEoyVCs2aGJCd2NGNDhPQ0JZVWdXa1BlZDUvYnQyMmpVcUJFY0hCeVFtcG9LTHk4dlZLbFNCYW1wcVlhMkdSa1pKdCtOOGxmOFVxdlY2TkNoZzBtdmhxKysrZ3FlbnA1TVBCQ1ZJa3cra05tMWJObXl1U1JKelFEY0NROFBYNjEwUEFVNWRPZ1FQdm5rRTh5Wk13YzllL1lzc001Nzc3Mkg4UEJ3N05xMUN4OSsrR0doRTFGS2tvVDkrL2NiaGtzVXBYcjE2cEJsR2JkdTNjTDY5ZXNoeXpMR2pCbURidDI2d2M3T0RuWjJkaEJDb0UyYk5wZzhlYkpSMjIzYnR1SFZWMTlGVUZBUWR1ellnVmF0V3VIU3BVdTRkdTBhRmkxYVpGUzNTNWN1bUQ5L1B1enQ3UUhBYVA2Sy9LVkNyMSsvYmhKZlFlZDQ1c3daeE1URXdOdmJHN2EydGxpd1lBR2FObTJLcjc3NnlyRHVkbnA2T2x4Y1hKNTQva1JVTXYzNjY2K29XN2V1NFpxUjcrN2R1d0JRWUVMMVVieE9FQ2xQcFZMaHhvMGJTRTlQTjVRNU9UbkJ4Y1VGYm01dW1EOS9QbEpTVWpCbHloVEQ5cG8xYStMT25UdTRjZU1HYkd4czRPbnBpWlNVRkVSR1JnSUFidCsralpTVUZJU0doZ0xJdXhZY1BYb1VQWHIwUUVKQ0FpUkp3bzgvL29qQmd3ZERwOU1oSVNFQkxpNHVTRWxKd2QyN2Q5R2tTUk1BZWNtSHg1ZmZ6R2RoWVlGVHAwNlpMRWxmV0M5TklpcTVtSHdnczFPcjFYMEFRQWl4OTBsMWxmRHp6ei9qd0lFRFdMZHVIZXJWcTFkazNWbXpabUh6NXMxRnJvQWh5eklTRWhLTUpvMHM2Z016SWlJQ0R4OCt4UExseXpGdDJqUllXbHBpOGVMRkdEMTZORHAxNm9TVEowL0N4OGNIa3lkUFJ2UG16VEZod2dRa0p5Zmp3SUVEV0x0MkxRNGNPSUMrZmZ0aTFLaFJHREZpQk5xMWE0ZXBVNmNhOXUvcDZZaytmZnFZL0lqSXAxS3BVTDkrZlpPN2oxZXVYREdwbTVhV2hzV0xGOFBmM3grLy9mWWJnTHd1MWtJSWhJU0VZT0RBZ1FEeWZsUVU5cVdDaUVvK0h4OGY5Ty9mSDZOR2pjS05HemNNOHpURXhNUkFwVklWZWEza2RZS29aSkFrQ2M3T3pvYjNhMFJFaEdHYmw1Y1hzck96VWJGaVJXZzBHcU0yK1pOT0EzbnpSY3lkT3hmZTN0NW8wcVFKOUhvOWV2VG9nVEZqeHFCeTVjcVlOV3VXb1dmRjd0MjdzWEhqUm1SbVpxSjkrL1k0Zi80OFpGbUdsNWNYZnZ2dE4xU3JWZzB0V3JRQUFOeS9meDh2dlBCQ29YRTNhdFRJS0M0ZzcwWVJFWlV1VEQ2UUVvYi8vZjhOU2daUm1PN2R1MlBBZ0FFbUNZV0NFZ1kxYXRRdzZZSHd1SmRlZWdtelo4ODJaUGZuelp0bm1JQ3lJRC8vL0ROZWZ2bGxkT3pZRVcrODhRWXlNek94ZS9kdVJFVkZZZE9tVFRoNThpU0F2THNFOSsvZkI1QTNUdnF6eno2RHJhMHRNak16VWF0V0xRQjVxMWdVNVBFaEc0K2ZaLzVTbTAreWR1MWF2UC8rKytqY3VUTisvZlZYT0RvNkFnQ09IajJLdTNmdkducU5GUFdsZ29oS3Z2eWVEVUlJQkFVRklTZ29DQUJ3NU1nUmVIcDZGcGswNEhXQ3FHUVFRcGpjRE1tWGtKQmcrRzRRSHg5dnNpVDRsU3RYc0dyVktwdzZkUW82blE1OSsvWkZwMDZkTUdUSUVPemN1Uk96Wjg4Mm1TUjJ6Smd4c0xlM3g3ZmZmb3ZxMWF0ajFhcFY4UFQwaEwyOVBkYXVYWXR4NDhaQnBWSkJwOU1oT1RrWjFhdFhMelQyMU5SVVhMeDQwYWdzT3p2N256NFZSS1FRSmgvSXJEdzhQT29DYUFnZ1Y2dlZIbFU2bm9JOHVrelVvL0pYbTNnYStaTkdBbm5qblBQZHUzY1BYYnAwUVdabUp1N2Z2MitTNEFnTURFUmtaQ1EyYmRvRUFCZzdkaXpXckZtRHBVdVg0cE5QUHNHTEw3NElLeXNyN04rL0g5ZXZYMGQ4ZkR6R2poMkxxbFdyR3JvdTUrVGtHT0tVWlJsaFlXRll1blNwMFhHS1Npeklzb3loUTRlaWI5KytBUElta2JLM3QwZVBIajFNNm80Yk44NndiR2RHUmdaa1dVWnNiQ3dXTDE2TVFZTUdZZHEwYWFoV3JScnUzYnRuc29ZM0VaVStlcjBlZ3djUHh0U3BVOUdtVFJ2bzlYcjQrdm9XMlliWENhS1NRWlpsakJ3NUVxKysraXBVS3BYUlpKRWZmUEFCbWpadGl0dTNiMlAwNk5HWU8zY3VPblhxaEppWUdLeGF0UXF4c2JIbzJiTW5ac3lZZ1ZkZmZSVm56cHpCdG0zYjBMWnRXeHcvZmh3Yk4yNUVXbG9hdkx5ODRPTGlZcGl2NGM4Ly80UzF0VFV1WGJxRUkwZU9ZTldxVlpnMmJScTZkZXVHOVBSMERCdzRFQ3FWQ2prNU9TWnpUZVhMemMwMXpEVURBQmN1WElCS3BZSy92ei9uZXlBcVpaaDhJTE1TUWpTU0pBbENpQ0NsWTNsV2VyMit5Qm5kODhteWJGakx2cUJ0ZS9ic3diRmp4d0RBcUFmRWhRc1hzR0xGQ3F4YXRRcVZLbFZDY0hBd1B2MzBVelJxMUFnYk5teEEzYnAxQVFBalJvekEwYU5IOGRKTEw4SGIyeHRWcTFZMU9zYWprMUhxOWZvQzd4WmtaV1VWR3YramlSTUErT0tMTDNEaXhBa0FNRXdNbFMvL0J3VUFaR1ptNHVMRmkvRHo4OE9zV2JQUXZYdDN4TWZIWS9Ma3lmRHk4a0xIamgwTFBTWVJsUTRkT25SQXIxNjlrSkNRQUNjbko0d2RPeFl0VzdZc3NnMnZFMFFsUS81M2c2MWJ0K0w3Nzc4SEFKdzdkdzRmZi93eGV2WHFoWWtUSitMMjdkdnc5ZlhGNU1tVE1YNzhlSFR2M2gyK3ZyNW8xS2dSQU9EZ3dZTUFnUER3Y015Yk53L05temZIZi8vN1h5eGN1QkJMbGl5QkpFa1lQbnc0eG8wYkJ3QndkWFZGZUhnNDVzeVpnN2x6NStMTEw3K0V0N2MzUm93WUFTQnZ0WW9wVTZaZ3dvUUpKcjB0OGoxK3crVE1tVE5ZdjM0OTB0UFRNV1RJa09mL1JCRVJQVzhhalVab05CcEJ6MWYrODFyWTgrN2g0VEgrN3pyZm11dmYrbm1kMjRVTEY1NnFYa1pHaHBnNmRhcUlqWTB0dE02bVRadkVwazJiak1wU1UxTkZVbEtTNFhGY1hKeTRjK2ZPTThjNWVQQmdFUmtaS1lRUTRvTVBQaEJIamh3eDJqNXUzRGh4OGVMRkF0dktzaXdXTFZva2J0MjZaVlIrOXV4WjhmMzMzd3RabGdzOWJuSnlzcmg1ODZiSXlNZ3dLcjkvLy80em4wTmh6UFdhSVRLWDUvYm1NTE1MRnk2SVAvLzg4NW5ibWVNNm9SU2xYMHRVdXBqNzlTbkxzdWpYcjUrSWpvNFdRZ2p4di8vOVQzend3UWRpM3J4NTR2TGx5MFoxNzk2OUszNzc3YmNDOS9QdzRVTXhZOFlNa1o2ZWJyTHRqei8rS0xSZC92ZUsyN2R2bTJ6THpzNHVNdmJQUHZ2TTVIb1RGaFltZnZubGx5Sy9sNWlMMHE4bG90S2szUFpWeXYrQm5EODdMejBmK1YzNHdzTENDbnh0ZVhoNGZDOUowa2hKa2o0SURRMWRhWTZZK01GUWRranNYMGxsREs5UFpRZXZUL1FzK040dk8vamVKM3A2SEhaQlppVkowbyt5TE1kS2toU29kQ3hFUkVSRVJFUmtIdVUyVTFmVTBBRDY5d3JyK2FBRTNsMG9PM2gzZ2NvYVhwL0tEbDZmNkZud3ZWOTI4TDFQOVBSVVQ2NVNOZ2toUXBTT29ReUxVam9BSWlJaUlpSWlLam1ZcVN2Qk5CcU5aMjV1cmtORVJNUXhwV01welhoM29lemczUVVxYTNoOUtqdDRmYUpud2ZkKzJjSDNQdEhUNDV3UEpaZ1E0bldWU3VVTW9Fd2tIeG8zYmx6UnpzN3VCd0NYdEZydFRLWGpJU0lpSWlJaUl2Tmc4cUVFa3lUcGJTR0VEZko2cUpUNkRMbGFyYmFYSktrL2dOc0FtSHdnSWlJaUlpSXFKOHJ0bkE4bG5VYWphUW1nZ1NSSnRkemQzZHNwSGMvellHRmg4UURBK3dBQ0ZBNkZpSWlJaUlpSXpJZzlIMHF1M3ZsL3FGU3FJUUJPS1JqTGN4RVpHWmtCNER1bDR5QWlJaUlpSWlMellzK0hrdXZ0L0QrRUVMMlVESVNJaUlpb0hMSlVPZ0Fpb3JLRXM3T1dRQnFOcGltQUM0K1dDU0ZhYWJYYWN3cUZWS3B4UnVteWd6TktVMW5ENjFQWndldFQyZEcwYWRPYU5qWTJveVJKeWcwTEMvdTRPSTdCOTM3WndmYyswZFBqc0lzU1NKYmwxMVFxNDA0cGtpUzlEYUJVSng5YXRHaFJYNjFXK3dLNG9OVnExeW9kRHhFUkVWRStUMC9QRnJJc1Q1UWthU2lBRkwxZS81TFNNUkVSbFNVY2RsRUMvWjFvTUZJV2hsNm9WS3E2a2lUNUZYUit4U3pFek1lajRoR2xkQUJFeFlEWHA3S0IxNmZTUytYdTd0NURvOUVjRWtKRVNwSTBFb0NsTE10ei9wNnJxcmp3dlY4MjhMMVA5QXpZODZHRThmVDBiQ0NFY0grOFhKS2tScDZlbmkxQ1EwUFBLeEhYODJCaFlXSDk5NTg2Y3g1WGtxUTI1anllRWpRYWpRQ0FzTEF3ZHYwaktrVjRmU0pTUnUzYXRXMnJWYXMyQU1BTVNaS2FQYnBOQ0JFZUhoNytmWEVldjZ5LzkvbStKNktDTVBsUXdzaXkvSngvQWIwQUFDQUFTVVJCVkZwaFE4ZGtXWDRid0V6elJ2VDh5TEpjNWUvaEpQZVZqb1dJaUlqS0h3OFBqMm9BUmdLWUlrbFN0Y2UzQ3lGa1daYkhtejh5SXFLeWo4bUhFa2FTcENGRmJQNFBTbkh5UVpJa0p3QVFRaVFxSFFzUkVSR1ZIMjV1Ym8wc0xDd21DQ0grSzBtU2RXSDFKRW5hRVJFUmNkS2NzUkVSbFJlYzg2RUVjWFYxZFFGUWFEYzhTWkpjM2R6Y0dwa3hwT2RLQ0ZFYkFGUXExWFdsWXlFaUlxTHlRNUtrbHdDTUtTcnhJSVRJME9sMGZtWU1pNGlvWEdIeW9RU3h0cmJ1K2FRNktwWEszSk0xUGplU0pOVUJBTDFlSDY5MExFUkVSRlIraEllSDc1TmxlUlNBUXBlNGxDVHB5NmlvS040Z0lTSXFKaHgyVVlLRWhZVjlCK0M3L01kbGNMSWVid0FRUWx4UU9oQWlJaUlxWDhMRHczL1FhRFF2QVpoZHdPYnJkKy9lWFdEdW1JaUl5aFAyZkNDemFONjhlUjFKa21vSkllNUdSa1pHS3gwUEVSRVJsUzhlSGg2ZEFieFgwRFloeElkeGNYSFpaZzZKaUtoY1lmS0J6TUxLeXFvVkFFaVNkQTVGZEhra0lpSWllczRzTlJwTmdDUkp4d0RVQkhBU3dNNUh0cC9WYXJVYmxBbU5pS2o4NExBTE1ndWRUbmZLMHRKeXBCQ0NkeFdJaUlqSUxKbzNiMTdIMHRKeUk0Qk9BSEtFRUo5cXRkbzVycTZ1bHRiVzFnY0JkTXJOeloyb2NKaEVST1VDa3c5a0ZsRlJVWWtBMWlvZEJ4RVJFWlVQSGg0ZXJ3UDRVWklrUnlIRVRVbVNobXExMnQ4QklEbzZXdGV3WWNPK0RnNE80eU1pSWtJVURwV0lxRnhnOG9HSWlJaUl5cFNHRFJ0YVM1TDBHUUJISWNRQm5VNzNUblIwOU4xSDYxeStmRGtOd01mS1JFaEVWUDV3emdjcWR0N2UzclpLeDBCRVJFVGx4K1hMbHgvcWRMcUJzaXhQMDJxMXZSNVBQQkFSa2ZreCtVREZTcVBSak1yT3prN3k4UEQ0VnVsWWlJaUlxTXl5OFBEdzZQbG9RVlJVVkdSNGVQaFNwUUlpSWlKalRENVFzUkpDMUpRa3FRS0FDS1ZqSVNJaW9yTEozZDE5cHlSSit6MDhQQVlySFFzUkVSV015UWNxVmxxdGRuNXVicTVHcTlXeTV3TVJFUkVWQzVWS3RVTUljUXRBaHRLeEVCRlJ3Wmg4b0dJWEVSR2hCU0NVam9PSWlJaktoaFl0V2xSNjlIRllXTmdQbVptWlRiUmE3VzZsWWlJaW9xSXgrVURQblllSHg2SkdqUnBWVlRvT0lpSWlLbHRjWFYydDNOM2RaNm5WNm5pTlJ0UDAwVzB4TVRFUGxJcUxpSWllakV0dDBuUGo2ZWxwSjh2eWRrbVNldHJiMjc4R3dFM3BtSWlJaUtoc2NIZDNkNWNrYVowa1NlNEFjb1VRcndQNFUrbTRpSWpvNlRENVFNK0ZScVB4RkVKc2tpU3BNWUJNSWNSVXBXTWlJaUtpMHE5ZXZYbzJsU3BWbWkxSjBtd0FGZ0JpOVhyOXFNakl5TitWam8ySWlKNGVrdy8wcnpnN085dlZxRkZqaVJEaXY1SWtXUWtoTHVUbTV2YVBqSXlNVVRvMklpSWlLdDNjM054YXExU3FIeVJKYWdwQUw0UllrWnFhT2owdUxpNWI2ZGlJaU9qWk1QbEEvMGpEaGcydEsxU29NRVdsVWswQlVCV0FMSVJZbHB1Yk96Y3lNcEl6VFJNUkVkRS8xckpsUzN1MVdoMEF3QStBQkNCR2x1VVI0ZUhocHhVTmpJaUkvckd5a0h4UWF6U2FrVUtJZHdFMGxTU3A4aVBiVm9lRmhZM0pmK0R1N2o1S3BWS3Rmb3A5bHFoMkdvMm1zSlVpRklsVG85RjRBdGdMb0ViK0JrbVNWQUQ4MUdxMW4wYWpLUkZ4bHFkMitYOFg4Vm9wRVhHV2tIWm5aRm5lbXBPVHN6STZPbHIzRlBzbElpSXpzN1MwblBEM0VFNmRMTXRmV2xoWWZCZ2VIcDZqZEZ4RVJQVFBsZmJWTHRRZUhoNUhBWHdyU1ZMN3h4SVA2TmV2MzJqeENIOS8vNmY1QWNOMlQyaDM2dFNwYzFXcVZLbmg1T1QwTk0xSzNmbXhYWmx2NTYxU3FaWmJXMXVmY1hWMXRYcWFmUk1Sa1hrbEppWitJWVRZQTZCZGVIajQ5TkRRVUNZZWlJaEtPVW5wQVA0TmpVWXpCc0MzYXJVYUV5Wk13TXN2djR5cVZhdENra3IxYVpVS0NRa0pxRkdqQnAvckVzTFQweE1BRUJvYXFuQWtKWmNRQW5mdjNzWFJvMGV4ZlBseTZIUTZDQ0htYUxYYUJVckhSbFNXNWZmSUNnc0w0d2NHRmNyZDNkMDlLeXZyQ3BmTExCdjR2aWVpZ3BUcW5nOGliNmdGSmt5WWdMZmZmaHZWcWxYamoyRXpxVm16SnA5cktsVWtTVUtWS2xVd2NPQkF6SjA3TjcrNHY1SXhFUkVSb05GbytxdFVxai9zN096V0toMExFUkVWbjFLZGZKQWtxUVlBdlB6eXkwcUhRa1NsU05ldVhiRnAweVo5Y25KeU82VmpJU0lpUkFMSUFIQWJwZnk3S1JFUkZhNjBYK0FiQUVEVnFsV1Zqb09JU2hGcmEyczBhZEpFZmVQR2pTeWxZeUVpS3UvQ3dzSXU2L1g2UmxxdGRqd0FXZWw0aUlpb2VKVDI1QU1Bc1BzL0VSRVJVU21oMFdqYWVuaDRESDYwTERJeU1rbXBlSWlJeUR6S1JQS0JpSWlJaUVvK2QzZjNBUUNPQTFqWHNtWEw1a3JIUTBSRTVzUGtBeEdWUzcxNjlZSkdvNGxYT2c0aW92TEN3OFBqWFpWSzlUTUFLeUhFOTVHUmtkRkt4MFJFUk9iRDVBTVJsVXVKaVlrQVVFZnBPSWlJeWdPTlJqTUl3STlDQ0FnaC9NUER3OGNCRUVySFJVUkU1cU5XT29CL0thcEJnd2Jzc2tmbFRraElDRTZkT21WU3ZuejVjc1BmTFZ1MmhJK1Bqem5ESWlJaU11SG01dFpQQ1BHVEpFbVNFR0t1VnF0ZHFIUk1SRVJrZnFVNitSQVdGdFlpTkRTVVdYTXFkeXdzTExCeDQwYVQ4a2ZMbGl4WllzNlFpSWlJVExpNXViVzJzTERZaXJ6ZXRvdTBXdTE4cFdNaUlpSmxjTmdGVVNuazV1WUdCd2VIUXJmYjI5dWpZOGVPWm95SWlJaklXS05HamFwYVdGaHNSOTdOcnRWaFlXRWZLaDBURVJFcGg4a0hvbEpJclZiajVaZGZMblI3bXpadFlHbHBhY2FJaUlpSWpGV29VQ0VBZVhQckJJZUZoZmtxSEE0UkVTbXNWQ2NmM056Y1hLOWN1YUowR0VTSzZOYXRXNkhidW5mdmJzWklpSWlJVEdWa1pNd0NzRFkzTi9jTkFMbEt4ME5FUk1vcTFYTStXRmhZUkEwY09CQ2hvYUZLaDBKa2RoNGVIckMzdDBkR1JvWlJ1WTJORGJwMDZhSk1VRVJFUkgrTGlZbDVBR0NrMG5FUUVWSEpVS3A3UGhDVloxWldWZ1d1WnRHNmRXdFlXMXNyRUJFUkVSRVJFVkhCbUh3Z0tzVUtTajRVTlJ5RGlJaW9PR2swbXJZYWplYlRGaTFhVkZJNkZpSWlLbG1ZZkNBcXhUdzlQV0ZyYTJ0NGJHMXRYV0JDZ2t6dDI3Y1BPcDNPUmVrNGlJaktFaUhFTWdEVDFXcjFGS1ZqSVNLaWtxVlV6L2xBVk43WjJ0cWlTNWN1T0hEZ0FJQzhaSVNkblozQ1VaVU9OV3JVUUZSVTFIV2w0eUFpS21ObUN5RkdKQ2NuTDFJNkVESWZEdzhQSHdBOUN5aGYrc2pETTFxdGRvZjVvaUtpa29iSkI2SlN6c2ZIeDVCODRFU1RSRVNrSksxV2V4ekFjYVhqSUxQVFM1TGs5M2pobzJXNXVibjl6UnNTRVpVMEhIWkJWTXExYnQwYVZsWldVS3ZWNk5Hamg5TGhFQkVSVVRtajFXcFBDU0h1RmxFbFRhL1g3ek5iUUVSVUlqSDVRRlRLMmR2Ym8yUEhqdkR3OElDRGc0UFM0WlFhdlhyMWdrYWppVmM2RGlLaU1zSkM2UUJJVVhvQVB4ZXgvVWgwZExUT1hNRVFVY25FWVJkRVpVQ1BIajF3NTg0ZHBjTW9WUklURXdHZ2p0SnhFQkdWQlI0ZUhwOUxrdFFMd09Td3NMQzlTc2REaXZnRndOaUNOZ2dodHBrNUZpSXFnVXA3OGlHcVFZTUd6UXZhNE9ucCtWUTdDQTBOL1VmdDl1N2RpNW8xYXhvZUR4NDhHQmN2WG54aXU0Q0FBUFR1M2R2d2VObXlaZmpwcDUrZTJLNTM3OTRJQ0Fnd1BBNE1ESVNmbjhuUU9oTTFhOWJFM3IzLy94MGdQVDBkblR0M2ZtSTc0SjgvTjQrM1U5cjc3NytQUC83NFEra3d6R0xKa2lWS2gxQnNYRjFkc1g3OWVxWERJQ0tpQWtpUzFBRkFRNzFlZjEvcFdFZ1pEeDQ4Q0hKd2NFZ0RZTlFOVXdpUmtacWF1bE9oc0lpb0JDblZ3eTdDd3NKYWJOMjZWWkZqQ3lITXVwL0g2LzNUNHordnVFdVQ4cEo0S091aW82T1ZEb0dJaUFyZzZlbHBCOEFOZ0M0ek16TkU2WGhJR1pjdlgzNG9oTmorZUxra1NiL0h4Y1ZsS3hFVEVaVXNrdElCL0Z1aVBQNmFwbWVTMzJPanBQWElvS2RYSFArRytmc01Dd3NyOWRkQm9wSk1vOUVJZ08rMXNxeGx5NVp0MUdyMVdTRkVoRmFyZFZjNkhsS091N3Q3TDVWS1pUU3hwQ3pMdzhQRHczOVVLaVlpS2psS2RjK0h3Z1FFQkJnTlVTQWlJaUtpNHFGV3E5Mysvak5TMFVCSWNVbEpTWUVBTWg0cHlzckp5ZG1oVURoRVZNS1U2dVNEbTV1YjY1VXJWMHpLOSt6Wmd6MTc5aWdRRWQyOGVSUHg4ZkhRNi9WS2gwSkVSRVJtSU10eS9pUlljVXJHUWNxN2RldFdKb0JINTNjNEhoMGRuYTVVUEVSVXNwVHE1SU9GaFVYVXdJRURsUTZESGpGbXpCajA2OWNQeWNuSlNvZENSRVJFWnFCU3FTb0JnQ1JKZDVXT2haUW55L0tqOHo1d29ra2lNaWpWeVFjaUlpSWlVcFlRb3ZMZi8rZWF6NFNzckt5akFMS0ZFTHFjbkJ4bFpvWW5vaEtKeVFjaUlpSWkrc2NrU2FvTUFDcVZpajBmQ0RFeE1RK0VFSHNsU1RwNS92ejVWS1hqSWFLU2c4a0hJaXFYOXUzYkI1MU81NkowSEVSRXBaMFF3Z0VBWkZsbThvRUFBRUtJclVJSURya2dJaU5xcFFNZ0lsSkNqUm8xRUJVVmRWM3BPSWlJOHVVdlMvb2tqeTliV2xMYVNaSjBXcVBSbFBnNG45VE9IRFFhelZFQTNjeDlYSFBUYURSZktSMURjUkpDaEdpMTJqWkt4MUdZOHZJNm8yY2poSWpXYXJWdUFITE5mV3oyZkNBaUlpSXFSY1JqMk81ZnQzTjdjcTNuamo4SXl3QkprbG9ySGNNVDhIVkdKaVJKY20zU3BJbWpFc2RtendjaUlpS2lFaUEwTkpUdFNrQTdjeW9OTVZMQlBEMDlsUTdocWZGMVJ2azZkKzZNOVBSMDZIUTZ2UkxIWjg4SE00aUppU213L05xMWEyYU9oRW9xSVFRdVhyd0lBTkRwZElpTmpTMnkvcFVyVndyZGR2NzhlY2l5L0Z6aks0dDY5ZW9GalVZVHIzUWNSRVFBNE83dXZqWWdJRURwTUlpSWlJcE5tVXcrQkFRRVlPN2N1VXFIWWJCczJUS01IVHNXcWFsNUUvNGVQSGdRZS9mdXhjeVpNN0Z5NWNxbjNvOFFBa09IRGtWUVVGQnhoVXBtOHVtbm4rTFlzV09HeDVJazRaMTMzc0hjdVhPUms1T0RnUU1IWXQ2OGVZVzJEd2dJd0lnUkk1Q2RuVzJ5YmY3OCtSZ3laQWpTMDlOTnRuM3p6VGU0ZWZObWdlWEJ3Y0gvOEd4S3A4VEVSQUNvbzNRY1JFUUFvRktwM3R1elo0L1NZWlE3Q1FrSldMTm1qWXVycTZ1VjByRVFFWlYxcFQzNUVOV2dRUU9Ud3Q2OWUrUDExMTlYSUp6L2w1T1RneVZMbGtDbjA4SEt5Z29OR2pUQW1qVnJNR1BHREp3NGNRTExsaTJEblowZGF0V3E5Y1I5M2IxN0Y3SXNRNUlrWExwMENVZU9IREhER2Z3ek5XdldSSjA2ZFdCaFlhRjBLQ1hhcTYrK2lxbFRwMkw3OXUyR01nc0xDN1JvMFFJMk5qWVFRcUJ0MjdZbVBSaSsrT0lMcEtXbHdkTFNFazJiTnNYcTFhdHg2dFFwN05xMXk1QlVVS3ZWOFBMeVFvVUtGVXlPYTJOamc3ZmVlZ3ZSMGRGRzVlZk9uY00zMzN5RGpJeU1ZamhiSWlLaWttbnk1TWxZdVhMbGJpc3JxNlpLeDBKRVZOYVY2dVJEV0ZoWWk2MWJ0eW9kUm9Fc0xTMlJtSmlJaVJNblFwWmxaR1ptWXQrK2ZYQjFkVVZZV0JoNjkrNk5JVU9HNFBEaHcwL2MxMmVmZllaSmt5WWhNek1UYXJVYWpSczN4dkxseTdGczJiSUM3MjRyNlgvLyt4OTI3dHlKNnRXclAzV2IyN2R2WThlT0hjVVlWY25qNXVZR056YzNSRVZGSVRBd0VJR0JnUUR5aGxQazkyeUpqbzdHTysrOGcrVGtaRU83OVBSMFRKNDhHU3BWM2x2M3dJRUQyTDkvUCs3ZHU0YzMzM3dUUjQ4ZU5Xd3J5TkNoUTJGblo0ZmZmLzhkdTNmdnhvY2Zmb2o0K0hpb1ZDcTBiTmtTOXZiMkhMSkJSRVJFUkVUUFhhbE9QcFIwQXdZTVFFaElDSktTa3JCcjF5NTRlWG1oVFpzMlNFNU9ScDgrZmRDeFkwZGN2SGdSNGVIaGhlNGpPRGdZUjQ0Y3diMTc5M0R0MmpWSVV0NXFVTDYrdnJoMjdScmVlT01ObkQxNzFseW45TnpjdUhFRG16ZHZ4ckJody9EYWE2OWgwYUpGU29ka2RwOTg4Z2ttVFpxRWVmUG13Yy9QRHpxZERsdTNib1dmbng4QVlOT21UWWlKaWNHQ0JRc01iYnAyN1lxSWlBZzhlUEFBWjgrZWhhT2pJK2JNbVlOMzMzMFhMaTR1aUk2T0xyRFhTV1ptSnJadjN3NUprdkQ1NTUvRDBkRVI5KzdkdzhHREIzSG8wQ0ZEd3VMQmd3ZjQrT09Qc1czYk52TThDVVJFUkVSRVZDNlV5ZVJEUUVBQWxKNjBhZHUyYlRoeDRnU2NuSnp3OE9GREFIa1RBWTRiTnc1ZHVuUkJnd1lOWUdWbGhYSGp4bUhXckZtNGZQbXl5VDVTVWxJUUVCQ0FWMTU1QmV2V3JVUFRwazBoaElBc3k3QzJ0c2JTcFV2aDdPeU04ZVBISXl3c3pOeW4rTXl1WHIyS0gzLzhFWU1IRDBhZlBuMndkT2xTUkVWRktSMldXZDI2ZGN2UTAySFZxbFc0ZmZzMmR1M2FoWkNRRU5qYTJzTGYzOTh3SS9Hbm4zNkswTkJRZlBWVjNoTFpTVWxKU0UxTlJkdTJiU0ZKRXVMaTRsQ3hZa1dzWDc4ZUtwVUtNMmJNd050dnYyMUlVRDNLeHNZR3YvLytPNFlOR3dabloyY2NPM1lNWGJ0MkJaQTNST2pPblR2WXUzY3ZSbzhlalJNblR1RGN1WFBtZTFLSWlJaUlpS2pNSzlWTGJicTV1YmxldVhJRmo4LzdrRDloazVJSkNHZG5aK3pjdVJOT1RrNklqSXlFV3ExR2Ftb3E5SG85V3JWcVplaG1iMmxwQ1Z0Ylc3ejc3cnZ3OS9kSHIxNjlBQUJwYVdrWU4yNGNPbmJzaUprelp4cnVUT3YxZXVUazVBQUFyS3lzc0dqUklnd1lNQURSMGRIUWFEU0tuT3VqYnQ2OGlkemNYRGc3TzBPdFZ1UFNwVXM0Y2VJRURodzRnS3RYcnlvZG51SnNiR3pnNysrUHpNeE1BSGs5RFpZdVhWcG8vZXpzYktoVUtsaFpXY0hHeGdhZmZmYVowYndNb2FHaENBOFB4Lzc5KzdGbzBTSlVxVktsd09TRFNxWEMzTGx6OGZycnIyUERoZzJJaUlndzlEYUppb3FDWHEvSGE2KzlobW5UcHNIWDF4Y09EZzdQK2N5SmlJaUlpS2c4SzlYSkJ3c0xpNmlCQXdlV3lMVnIyN2R2ai9idDJ5TTRPQmkrdnI1UXFWVFE2L1dvWGJzMmxpeFpZbFMzUW9VSzJMUnBFK3JYcjI4b1c3SmtDZnIxNjRkQmd3WVp5bVJaaGs2blE2TkdqUXhsTld2V3hEZmZmR1BVVmtsanhveEJRa0lDQmc4ZWpLQ2dJTnk0Y2VPcDJ6NXB2ZVJWcTFhaGRldldoc2RqeDQ1RlNFaklFL2NyaENqd0I3a1NLbGV1akYyN2RzSEJ3UUZ0MnJTQkVNS1FmTWpKeWNIaHc0Y052V0QyN05tRGRldldRYVBSd00vUER3NE9EdGkvZno4dVhicUUvLzczdjJqZXZEbG16WnFGSmsyYTRJY2Zmc0R3NGNPeFlzV0tRcy9WeWNuSjBNdm16VGZmUlAvKy9URmt5QkQwNmRNSE8zYnNNTFRMeWNtQmxSVW4vU1lpSWlJaW91ZW5UQTY3S0VuV3IxOFBKeWNuOU9yVkN4VXJWa1R2M3IweGZQaHd2UGppaXdnTkRVV2JObTNRc1dOSGsrVEIvUG56alJJUEFBeDN3TmVzV1dQby9YRGx5aFUwYmRvVUZTdFdOTnM1RlVVSUFTRUU3dHk1WXhodVFzWXFWNjRNdFRvdjcxZW5UaDBFQlFYaHI3LytnbDZ2UjNKeU1pNWV2QWdnYjRpR3ZiMDlMbDY4YUZqSm9rS0ZDdGkrZlR1Y25KeVFtcHFLZDk1NUI5OS8vejJHRGgyS09uWHFJQzB0elpCRVdMWnNHZTdldld0MDdENTkrdURreVpQbzFhc1hHamR1WEdCOER4OCtoS1dsWlhHZFBoRVJFUkVSbFVPbHV1ZERTWGZtekJuRXhNVEEyOXNidHJhMldMQmdBWm8yYllxdnZ2b0tkZXJVQVpDM2VvR0xpNHRKVzBtU3NHdlhMbHk2ZE1tb1hBZ0JDd3NMZlBubGx3Q0EvZnYzNDlWWFg4WDA2ZE9MLzRTZWdpUkprQ1FKRXlaTVFJMGFOUkFSRVlHREJ3L2k1TW1UU0VoSUtMTHRzL1pnV2JWcTFWUFZlMUtQQ2lVMWJkb1VreVpOd3ZYcjE5RzNiMThzV0xBQWpSczNocGVYRjhhTUdZUHUzYnNiMWI5OCtUTE9uVHVIenAwN3c4cktDaXFWQ3ZIeDhjak96c2J3NGNOeC8vNTlKQ1ltR25wUHBLYW1ZdTdjdVFDQXNMQXdYTDE2RldscGFXalJvb1hSZm9VUTJMeDVNMDZmUG8wYk4yN0F5OHNMOSsvZnh3c3Z2R0NlSjRLSWlFcXM4UEJ3dUx1N1AzWDluVHQzNHZYWFh5OXk5YVhDeE1mSEl5MHREYzJiTjMvbXRtUSt6L3FheUY5Ni9sRkpTVWxQWEIwdEl5TUQ5dmIyUm1VNU9UbDQ4T0FCS2xldWpMUzBOQTRWTFVXdVhidUd1blhyUG5YOWh3OGZ3dHJhdXNCdDJkblpzTEd4S2JSdFRrNE9rcEtTVUt0V0xVUFp2M205UEcxUDZwaVlHSk1iZkRrNU9kRHI5YkMxdGYxSHh5NUwyUE9obUtTbHBXSHg0c1h3OS9lSEVBSkEzbENNU3BVcUlTUWtCRzV1YmdEeWtnOFZLbFFvY0IvNVA5NHZYcnhvK0M4M054ZEpTVW1HeHcwYk5zVGx5NWRMNUh3S2tpVEIzZDBkTTJmT3hONjllN0Zod3dZTUdUS2t3R1JMZVNiTE1qNy8vSE4wN05nUlRabzBNYnhlSGwveVVwWmxMRnk0RUZPbVRJRmVyNGRPcDBOR1JnWU9IejZNUVlNRzRmZmZmMGRTVWhMVWFqVmVlZVVWSEQ5K0hBc1hMb1NscFNXRUVEaDA2QkErLy94enRHclZ5dVFMWVc1dUx0NTg4MDBNSGp3WXI3enlDczZlUFl1VksxZWE3VGxRd3I1OSs2RFQ2ZmhpSktLUzRyMzhaUEcvZGVuU0pTUWxKUmtlcDZXbEZWaFBsbVZjdTNidGlmdno4L1BERjE5OFlYZ3NoTUQxNjljTHJiOWd3UUlFQkFSQWxtVjg4TUVIK1AzMzN3MlRMZWYvOTlGSEh5RXVMczZrN2JGanh6QjgrSENzWDcrK3dIM2Z2My8vaWZHU0thVmZFMU9uVHNYS2xTdWgwK2tNWlpNbVRjTDgrZk9OeWg3MzBVY2ZZY0tFQ2JoMTY1WlJqSys5OWhxQ2dvSXdjZUpFK1BuNUlTc3JDMWxaV1UrTW01UTFjK1pNVEpnd3dkQ0QrMGtHRGh5SWI3LzlGdDkvLzczSmY4T0dEVFAwRmk2SUxNdm8wNmNQUHZua0UwUFptREZqTUdQR0RNUGNhNDhUUWhqTnJmYW8vT3RTVWE5WEFIam5uWGN3WmNvVTVPYm1Hc3JDd3NMUXIxOC9CQWNIRjltMlBHRFBoMkt5ZHUxYXZQLysrK2pjdVROKy9mVlhPRG82QWdDT0hqMkt1M2Z2b21mUG5nQlE1TjNsTm0zYW9FMmJOa1psblR0M3hxQkJnekJreUJCRFdXWm1acW5JcERWcjFnek5taldEbjU4ZkxsKytqUDM3OXlNb0tBaXhzYkZLaDJaV1FnaHMyclFKZG5aMjJMMTdOM2JzMklHS0ZTc2FsdFRVNi9VQVlISnhXN3QyTGJ5OHZQREtLNi9neUpFamNISnl3dnZ2djQ5aHc0WVpKWFNDZzROaFpXVmxsSjIxc3JMQ25EbHpFQlVWaFpvMWE1ckU5T0tMTDZKcjE2NW8yN1l0Qmd3WWdMZmZmcnRFSnJTZXB4bzFhaUFxS3Fyd2IwcEVSR1lVRmhiMncrdXZ2Nzd1ZWV3ck5UVVZJMGVPeE55NWMrSGo0NE5aczJhaFdyVnFKamM3NHVMaUVCY1hoMjNidHNIVzFoWXhNVEVGenFXVWs1T0QyTmhZYk5pd0FVRGVSTVZSVVZIWXNtVkxnY00rSlVsQysvYnRvVktwRUJJU1V1aVM0SHE5M3VpSEFRRDgvdnZ2cUZPbkRseGNYQXlUYytlN2QrOGV2dnp5UzN6MzNYZEc4MS85R3pWcTFNQzFhOWZpTXpJeXl2UllVU1ZmRS9mdTNjUFpzMmR4L2ZwMVhMdDJEWXNYTDRaS3BZSmFyWVlRQWprNU9UaDE2aFJzYkd6ZzdlMXRhQ2VFUUZSVUZEcDE2Z1JuWjJkY3VuUUp1M2J0QXBEM0hXbkhqaDI0ZmZzMk1qSXlNR25TSk5TcVZRdHo1c3g1M2s4ZFBVZFdWbGFvVmF2V1V3L3ZUVTVPeHM2ZE93dnNyWERseWhXY1BYdTIwR3RCL3MwM0x5OHZ5TElNbFVvRkN3c0xWS2hRQVhaMmR0RHI5WVpoMFBrU0VoSXdiTmd3akJ3NUVtKzk5WmJSdHBTVUZGeTdkdTJKODZKWldGaWdYYnQyaHNkQ0NMUnAwd1lOR2pUQWpCa3pUSzVyNVEyVEQ4VmszTGh4aGhkMFJrWUdaRmxHYkd3c0ZpOWVqRUdEQm1IYXRHbW9WcTBhN3QyN0J5Y25KNVAydi8zMm04bWRieUR2Z3pvbUpnYUhEaDBDa0hmSGV2WHExZWpSb3djKytPQ0Q0ajJwNTZoaHc0YVlNR0VDSmt5WWdHdlhydUhBZ1FOS2gyUVc2ZW5wbURGakJ1TGo0N0Y3OTI1czJiSUYzMy8vUGJwMDZZSTFhOWFnWXNXS2hxVERIMy84Z2F0WHJ5STFOUld2dlBJSyt2ZnZqOHFWS3dQSVN6Z0pJVkNoUWdXVEx3NnlMQnRsVy9QbDVPVGc2dFdyUmgvczF0YlcrUFhYWDlHd1lVT2NQSGtTSjArZWhCQUNzYkd4ME9sMHVIRGhBcG8xYTFhTXp3Z1JFVDF2clZ1M1JvY09IZkRERHovQXk4c0xRZ2ljUEhrUzlldlhSMmhvS0d4dGJRM1hkbWRuWndRR0JxSm56NTV3ZG5iRzJyVnJDN3dyZnVyVUtadzZkY3J3dUZhdFd0aXdZUU44ZlgxTjZrcVNCRm1XOGRGSEgwR1daY05xWHQ3ZTNuam5uWGN3ZWZKazlPalJBNjZ1cmtidFltTmpEVXR3Ky9uNUZYcCtzMmJOd3FaTm00cnNjdjIwL3I1Ny83b2tTWC85NjUyVllFcStKdkpYb1Z1eFlnVW1USmlBNmRPbm8wYU5Ha2hNVE1UMTY5Y1JIUjJOZS9mdVFaWmwvUGpqajRadThuLzk5UmZ1M3IyTEJ3OGVZT0hDaGNqS3lrSklTSWhoUHF0YnQyNGhLU2tKU1VsSmhodDVOMi9lTk9wbVg5SzR1cnBXdHJhMjdoa1dGclpKNlZqTTRjTVBQMFNIRGgwTU4wblQwOU9Sa0pCZytBRisvdng1Vkt0V3plU0hmajRMQ3d0MDd0elo2THRyUGo4L1B5UWtKT0R5NWN0bzJMQ2hvZno4K2ZOR3ZYQisvLzEzYk55NEVaTW1UVUpXVmhadTNicUZiNy85RnNlT0hjUG5uMzl1OUhweGRuYkdlKys5aHlWTGxxQmx5NVp3Y25KQ2xTcFZETEhrMzhBcnF1ZTZoWVVGMUdvMVB2cm9JMHlmUGgzVHAwL0g0TUdEOGNJTEw2Qnk1Y29JREF6RXI3LytpbW5UcHFGMjdkclA4R3lXRFV3K0ZKTkhNMm1abVptNGVQRWkvUHo4TUd2V0xIVHYzaDN4OGZHWVBIa3l2THk4MExGalI1UDJKMDZjd1A3OSt3dk1yaDArZkJpSER4ODJLdHU0Y1NNYU5HaUFWMTk5OWZtZlRER3JXN2N1M24vL2ZhWERNQXM3T3p1NHVMaGc5T2pScUZTcEVzYU9IWXRPblRwaDI3WnRPSDM2dEdHaVRsdGJXOE8vOFlBQkErRHU3bTQwNWkwcks2dlFibDg2bmE3QTdteHF0Um8rUGo1R2R5U21UcDJLd01CQWs2NnZyVnExUXJ0MjdaaDRJQ0lxWlJJVEUxR3BVaVVNR3pZTTE2OWZ4L2p4NHlGSkVqdzlQZkhwcDU5aTZOQ2gwT3YxV0xCZ2djbk5qNG9WSytMdzRjTjQ4ODAzbjdoYVZhdFdyVEJxMUNpanN2UG56K1BodzRlUUpBbS8vUElMb3FPakRkdnl2eGUxYU5HaTBDNy8rWGZSL2YzOVlXRmhZYlF0S3lzTGUvZnV4YXBWcTB6bUFLQ2lLZm1ha0dVWk8zYnNRSThlUFZDN2RtMjBiOThlcWFtcGlJeU1SRlpXRnV6dDdYSGx5aFVBd083ZHU0MStDTzdjdVJPVktsWEMwYU5IMGFCQkF6ZzZPaHBOcEozZlV4VEkrekZZbzBhTkVwbDQ4UER3Y0JaQzlKSWthYUFrU1QzK0xpNFh5WWU0dURnY1BIalFwQ3dvS01qdzJNSEJBYjE3OXk3d2ZTMUpFclp2MzQ3dDI3Y1h1UCt0VzdjQ0FHYk1tR0VvMCtsMDhQZjNOL3lHT25ic0dIUTZIVWFPSEFrZ2I2NlJ2Lzc2QzVhV2xnWDJxQmc0Y0NEKyt1c3ZuRDU5R3F0V3JjSWJiN3dCS3lzcjNMOS9INmRPbmNLOWUvZHcrdlJwREI0OEdBTUdEREMweThqSWdFNm5nMHFsUW5oNE9BNGZQZ3hKa2hBUkVZR3dzREJEdmZ6RWFxVktsUkFRRUZEazgxY1dNZmxnQmw5KytTVjBPaDBjSFIxaFoyY0hBSEJ4Y2NHNmRlc0tuZlJrMXF4WitQRERENTlMVnA5S0RwVktaWFNCQkFCWFYxZVR1ejlQMHJkdlg1UEpLUE9OSERrU2JkdTJOU21YSk1ta2Uydi8vdjNSdjMvL1p6cDJXZEdyVnk5b05KcjRzTEF3enZ0QVJJcHpkM2RmR3hBUThLKy9qSjQ5ZXhacjFxekJ4eDkvREJjWEZ6ZzZPa0lJZ2Vqb2FBUUdCaUlqSXdPMWF0WENuMy8raWQyN2Q2TisvZnJ3OGZFQmtEZng4NE1IRC9EZWUrL0IxdGJXa1BTZVAzOCtPblRvZ0c3ZHVobU9reit2MEx4NTh3eGxRVUZCME92MVVLbFVpSWlJd0JkZmZJR3BVNmRpeTVZdFNFeE1CQUNzVzdjT1c3WnNNWW43eXBVck9IandJQll2WG95QTJMdGJ0Z0FBSUFCSlJFRlVnQUJERitsOHVibTVzTEN3d09lZmZ3NS9mLzkvOVJ5Vk4wcStKZzRkT29UcjE2L0R6czRPYVdscGVQbmxsM0huemgwQXdOZGZmNDE3OSs0QnlQdnVzbnIxYXZqNitzTEp5UWszYjk3RS92Mzc4ZlhYWDJQRWlCSHc5ZlUxSE0vSHh3ZkJ3Y0hvM3IwNzFxeFpnNEVEQjJMcjFxM28wcVhMLzdGMzUyRlJsZTBEeDc5bjJFUk1CWGRjU056RkRkQ1MzRkpEVFhOTE15WE5YVFBUY3F2WDBrUnh5YTFNTEhyRkpkZk0xRXlVM0VYSkxXVndSWEhGQlFGQkFWbVViZWIzQnovTzZ3Z29LakFnOStlNnV2S2NPYzg1OTh5Y09jemM1M251SjU5ZTBXZHIyTENodlltSlNTZEZVZHdVUldsUlVLWjh6MittcHFiMDY5ZVBpUk1uQWpCa3lCRHExNit2THZmdjM1OG1UWm84TmFFNGVmSmtldmZ1bldtOXA2Y252cjYrQnJWTUlMM1EvUDc5K3lsVnFoVE96czU0ZUhoZ1oyZUhoWVVGRXlaTW9HUEhqcGlhbW5MbzBDR0RHM0o3OSs3bDl1M2J1TG01NGU3dVR1L2V2YWxac3liKy92NVVyVnFWNU9Sa29xS2kxRm5vVHA4K2JaQjgyTE5uRHpkdTNFQlJGTFp2MzA3SGpoMzU5Tk5QT1hEZ0FGOS8vVFU5ZXZRd2lQR05OOTU0c1JlMWtIc2xrdy91N3U1cTBiNkNvR3pac2xtdWYxcTExWXdraFJCWjZkYXRXN2FQdWJxNlp2dVkrSi8vL3lKYzFkaHhDQ0VFZ0Vhakdlemo0L1BTeVlmdTNidmo2K3ZMZ2dVTGFOaXdJZSs4OHc1Ly8vMDNZV0ZoNmgyM2tKQVF0YnQ4cVZLbGNIRnhvWGp4NHR5K2Zac1pNMlprdWQ4ZE8zYXdZOGVPVE91Yk5tMUsxNjVkMGV2MUhEaHdBRWRIUjdYUTVGdHZ2WVdpS0NRbko3TnQyellndmRDaFRxY3p1SU90MCttWU5Xc1dwVXVYNXN5Wk0zVHAwaVZUaGZ1elo4OWlaMmVYNjdON2hZV0Y0ZXZyVzgzQndlSEMrZlBubjE1SnJwQXkxam1Sa3BLQ3Q3YzN4WXNYSnpRMGxLVkxsNnAzb1orY0NuejU4dVVBNm5ZSER4NmtlUEhpN05tekI0QXRXN2F3Y09GQ0VoSVMxSE1wbzgzT25Uc3hNelBMY3NocGZuSjBkS3dQZEZJVTVTUEF5YWpCRkJBYWpRYXRWc3VDQlF1QTlLRXlqeDQ5VXBjemtwTFpzYkN3WU51MmJWa1dwOVhyOWNURXhPRHY3MDk0ZURnVksxWlVIN095c2xKN0c4eWFOWXZ5NWNzVEh4OVBkSFEwRlN0V0pDd3NMRlBkQ1JjWEYvcjI3Y3VCQXdjWU1XS0VtbkJvMXF3WkV5ZE9wSHYzN25UdDJwVmh3NGJoNnVxYXFYZHdSbTBVUlZINDZLT1BHRGR1M1BPOVdFVkVZVTgrbkt0Um8wYW11Wmk2ZHUxcWpGZ0VVS2xTSlV4TlRUTjFseFJDQ0NGRS9oZ3hZZ1RYcmwxajZkS2xqQmd4Z3MyYk45TzVjMmUrK09JTFJvMGFSZHUyYlJrMWFoVGp4NCtuV0xGaTZnMlA3dDI3OCs2NzcySnVibzZibXh2QndjRlo3cjkyN2Rxc1g3L2VvTEJ4UWtJQzlldlhwMnZYcm16ZXZCbDdlM3NnL1l2NHh4OS9qS3VySzYxYnQrYnJyNy9HeGNYRklGSHU2K3RMdlhyMTZOT25EOHVXTGNQYTJqclRsSFloSVNHWW1wcG1LaEQzc3NhTkc4Zmx5NWUzbVp1Yk53Rk9aNngzY25MSzBWMHNyVlpyRUdoTzIrVTNZNXdUNjlhdG8yWExsbHk4ZUJHOVhrOVFVQkRoNGVHTUhqMmFjdVhLOGZQUFAxT3FWQ21HREJuQ2d3Y1AxTUxrQUQxNzltVGh3b1djUHAzK2xvU0hoM1BuemgxYXQyNk52YjA5di83Nks1QStkUGVycjc3aTRzV0xORzNhTkE5ZndldzFhZExrRzQxRzB4K29tOU0yQmZVOHlXMktvaEFkSGEzT1NwR1ltSWlpS09yeW8wZVBubnJEK1BQUFA4ZlgxOWRnVm92RXhFUXVYTGdBcEJmbmI5R2loVUhpNFlzdnZ1RGt5WlBxdGVMenp6K25SNDhlckYrL25vVUxGeElZR0VpdFdyV0lqSXdrSWlJQ2IyOXZwa3laZ3BXVkZhTkhqOGJUMDVPTkd6ZlNzV05IZkh4OHVIMzdObjUrZmp4OCtKRHIxNi9qNStlWGFYaHpVbElTKy9mdjU5TlBQK1hRb1VNR1JUQjFPaDI3ZCsvbXlwVXJCbTJNblN3emxrS2RmTkJxdFEwREFnS0t4SWUzc1BEMjlqWjJDRUlJSVVTUjV1enNUSGg0T0xWcjE2Wmt5WkpFUjBmVHRHbFR5cFFwUTNSMHRGcThPQ0VoQVd0cmE0TzJHZU9rVFUxTmFkbXlaYVliT29zWEw4YloyVGxUY3FCRWlSSk1uejZkeU1oSUFQVVlHVDhzTW1aUTh2UHp5OVRkdUhQbnpyejMzbnNBMmRhdUdqNThPRFZyMXBTYkd5L0lHT2RFdTNidHFGcTFLaU5IanFST25UcE1uRGdSWjJkbk5Cb04zMy8vUFE4ZVBPRHUzYnRNbmp3WlNFOGtiTml3QVhOemN5d3RMV25Zc0tGYWZQM1RUejlsd29RSk5HN2NtRldyVnFuSHVISGpobHJnOHVEQmcvenl5eS9QbkkwZ04rbjFlaFJGcWF6WDY0c1YxYUVWVDVPV2xrYjc5dTJmT3V6aXllUkRRa0tDT3FzSlFNdVdMUTBlMSt2MVhMaHdnY2FORzJOdWJzNmVQWHZvMWF1WE9sUzlUWnMyMk5yYTh0bG5uOUdxVlN0S2xDaUJUcWRqNTg2ZHRHclZpbTNidHVIbTVzYU5HemZZc21XTFFlMlFEaDA2WUcxdHpmang0NWs5ZXpZK1BqNzQrL3VyTlNwMjd0eVpxWVlGcFBmUTJMOS9QOFdLRldQeDRzWHFNSktVbEJSU1UxT0ppSWd3T0E1a250V3VxQ2pVeVFjaGhCQkNDUEUvWVdGaEtJckNxbFdyNk5ldkg4bkp5WVNGaFZHdFdqV2lvcUs0Zi84K2RldW0zNkJOU0VoNGFzWDJ3NGNQYytUSUVZUDFXYzNFOWJpTUt2TStQajVVcjE1ZFhlL241MGVkT25VNGZ2dzRYMy85dFVFYmpVYnp6T2RsWVdGQlltTGlNN2ZMTFUvMmFNanRkdmw1NTl0WTU4VGowNEEvenRQVEUwVlJhTldxbFRvTy9vY2ZmcUJWcTFZR2lRTVRFeE1hTkdoZ1VMajA5OTkvNThHREI3UnMyWkpMbHk1aGJXMU52WHIxQ0EwTlpjbVNKYm5lTStaWkZFVkJxOVYrQ3RDa1NaTm1HbzJtSDlBWnFQTzBkaTk2ZmowdlkvZXcwT2wwenh4MjhXUVBBQ3NySy96OC9MaHk1UXJKeWNrOGZQZ3d5Mm5pYjl5NG9jNmk4ZU9QUDZvMTFYcjI3SW1YbHhjelo4NEUwcE5uMzMzM0hjV0tGV1BldkhuTW1qVUxSMGRIZ29LQ1dMRmloVm9yNU42OWU4VEh4L1BYWDMvUnZIbHpOWUdRVWJQaXlXRVhUeXBldkRqaDRlSG85WG8xMFJBVkZRWEFtREZqREdxU0xGaXdJTXNaUElxQ1Z6TDVrREZlc2loV0VCVkNDQ0ZFMGJWdDJ6YldybDFMWW1JaUxWcTA0T3pacytoME9wbzJiY3FlUFhzb1Y2NGNEUnMyQkNBMk5sYWRvdkJKaXFKUXUzWnRuSndNaDY1blRQV2RuWFBuemxHMWFsWE9uVHZIa0NGRFNFbEpJU29xaXMyYk43Tmd3UUpDUTBQeDhQREk5Z2R1ZHNxVUtVTllXQmlRWHEyK2RPblMrWHFIdXpBejlqbnhwQW9WS2hBUkVXRndSemtyanllbE1oSWNpcUpRckZneC92bm5IeUQ5WE1nWUNySjM3MTZqenZwMjZ0U3BFOEFKWUh6anhvMGRURXhNM1BSNmZSZEZVUm9iTFNnankwZ2VaRGZzb2x5NWN0U3JWNCtXTFZ2aTRlRkIyN1p0QWZEeThzTEV4SVJIang3UnUzZHZIQndjbUQxN3R0cnp5ZG5abVFrVEp0QzVjK2Nzai92QkJ4L1F0MjlmR2pSb3dKa3paMUFVaFVXTEZoRVpHY25reVpOSlRFekUwdEtTblR0M0VoQVFBTURObXplWk0yY09WNjllelpRZ3phbU01elZqeGd3dVhyeUlvNk1qQURWcTFERFlMcVBuUjFIMDdGUnpBZGE0Y1dPSGpPbDVIdWZqNDZQT0tTenlWMmhvS0RkdjNzelV0VWdJSVlRUWVXL2t5SkdNSERrU1MwdEx5cGN2ei9idDIzRjJkc2JLeW9vVksxWXdhdFFvTkJvTnljbkpSRVpHVXI1OCtXejNsVEZXKy9IL0hqMTY5TlRqNzk2OW0wNmRPakYxNmxTdVhMbENXbG9hWGw1ZXZQbm1tOFRGeFdGcWFvcWRuZDF6Rndhdlc3Y3VRVUZCSkNVbDRlWGxwWTc1RnM5bTdITWk0NzIrY2VNR0FHWm1aamc0T05DcVZTc1dMbHpJd29VTHFWS2xTcVoycWFtcDZvKzVqQmxPSmsyYWxPVXhGRVVoS1NucDJTOUdQamw5K3ZSNXJWYjdUV0JnWUpQVTFGUjd2VjcvTFhEYzJISGx0NisrK29xdFc3ZXlkT2xTbGk1ZFNzMmFOV25mdnIyNnZINzllcnAzNzg2alI0K0lqWTFWMjJVa0dZb1ZLOGFnUVlQWXUzZnZVeE5WVHdvTURLUjI3ZHFzWExtUy9mdjM4L2JiYjVPWW1NaVFJVU80Y3VVS09wMk9LVk9tMExScFU3V0FxYU9qSXg0ZUhnQUdVN2JtcE9aREJqOC9QK3JWcThlWU1XTll0V29WKy9mdnAwYU5HbFN0S3ZYTk14VHFuZzhtSmlibit2VHBvMmFzaFBHTkhEbVNzTEF3dG0vZm5tVVhLU0dFRUVMa3JRc1hMbUJoWWNIbHk1Zlp1M2N2WGw1ZVRKbzBpWGJ0MmhFZkgwK2ZQbjNRYURTa3BLUlFyMTY5TFBmeDVGanRvS0FnTkJvTlU2ZE96VFMyUDhPaFE0ZUlpb3FpZi8vK2xDaFJndVhMbHpOeTVFaFNVbExZczJlUE9uTkJobWNONFhpY3E2c3JucDZleko4L24zUG56bVU1OVo3SW5ySE9pWXgyT3AyT0tsV3EwS0JCQXdZTUdNQ0dEUnN5OVh4NE1pRlZyRmd4Z29PRGNYTnpvMjNidG93ZVBaclhYbnNOblU1bk1PekN5Y21KSzFldWNQUG16Vng0cFhMZm1UTm5yZ01lZ0VlREJnMHFtSm1aOVRkMlRQbmx5VjR5R28yR2tKQVEvUHo4MUhVeE1USG85WHJXcmwxTDU4NmRNL1ZvNnRDaEEzNStma1JHUnZMamp6K3FQWE95RzY2Vm1Kakl6ei8vakl1TEN4cU5oaFl0V2pCdDJqUjI3ZHBGOCtiTitmTExML0gxOWVXamp6N0MzZDJkK3ZYcnEwUEVMbCsrREtET2hKR1dscFp0elljbnIxOTM3dHpoNzcvLzVvY2Zmc0RKeVltNHVEaTh2YjJsSi80VENuWHlRUWdoaEJCQ0dISndjT0RVcVZOOCsrMjNUSnMyalI5Ly9CRVhGeGVHREJrQ3BNOU1NSDc4ZU1hT0hadXBPM0NHSjNzd0hqMTZsTldyVnhNZkg0K2JtMXVtN2FPam8xbThlREVMRml4UWgxUTBidHlZdExRMHBrNmRhakRIUGFRbkU1Nm40RnJac21YNTl0dHZtVDU5T3NuSnlZU0hoK1BnNEpEajlrV2RNYzZKRERxZGpuTGx5bUZpWXNKMzMzMUhoUW9WV0xObURjT0hEK2VUVHo0QjRPT1BQNlowNmRJRzdkemQzU2xWcXBSYVNORFgxeGRyYTJ2UzB0SzRjK2VPZWpjNW8zZEVVRkFRa1pHUmxDdFg3Z1Zlb2Z4eDd0eTVDR0Noc2VNd2xsYXRXdkhMTDc5dzlPaFJnL1htNXVhOCtlYWJXUTZsS2xteUpFdVdMT0hXclZ2ODhjY2YvUFRUVDVRc1dWSWQwdkNrTld2V0VCb2FTcHMyYlFDb1hyMDZaY3VXUlZFVW1qZHZyaGJGZmUrOTkxaTZkS25CRUxENjlldGpaMmVubm5OSlNVbU1IajFhL1p4azZOU3BFeVZMbGxTWGRUb2RNMmZPeE0zTmplYk5tNU9XbHNhUkkwZm8zTGt6SFR0MmZJRlhTaFJJVGs1T2VpY25KLzJUc2xzdjhsNlhMbDMwVGs1TytqdDM3aGc3RkpXY0Q0VmZYcnlIR2ZzMDluVk1pRmVkZk5aeUppK3VjeGwvaThQRHd6TTk5dWpSbzZlMm5UZHZudjdDaFFzRzY3UmFyWDdMbGkxNm5VNlhhZnNiTjI3b0wxNjhhTEJPcDlQcGYvLzlkMzE4Zkh5bTdVK2NPS0ZQUzB0NzVuTjQwdTNidC9XTEZ5L1cvL0hISDgvZE5pc2ZmdmloM3NuSlNlL282Sml2NC9LTjlkMGtQOCtKREhGeGNablczYng1ODVuYlpFV24wK2tYTEZpZ3YzZnZYbzYyejB1RjRkcjJLbjRIUG5EZ1FKYm43K05TVWxMVWZ5Y2tKS2pYb0xTME5IMVNVcEw2V0VoSXlGUDNrOTF4SWlJaURKWkRRMFAxM3Q3ZTZ2TEpreWYxUC8zMDB3dGQ0L0phNjlhdDlVNU9UbnA3ZS91c2k3dmtNZW41SUlRb2tuYnMySUdycTJ2V3BiaUZFQ0wvRFo0MmJkckszTnhoeHZESENoVXFaSHJNd3NMaXFXMnpHbHZ2Nk9pWTdkM0dyR1kyVUJTRlBuMzZaTGw5MDZaTm4zcjg3RlN1WEpreFk4YThVRnVSditkRWhxeUtpejQ1Qmo2bkJVZ1ZSV0hDaEFrNTJsYThtaDZmTlNJN2o4OTZVcng0Y2ZYZkdvM0dvSGVGblozZFUvZVQxZWNFeUZRWHhkYldsbUhEaHFuTHpzN09PRHM3UHpQT29xaFFGNXdVUW9nWFZiRmlSYzZkTzNmTDJIRUlJUVNBVnF2OXRWdTNic1lPbzhpcFdMRWk1dWJtTjFOVFV3dE90VUloaEhoRnZkSTlINXlkblEzR2t3R3NYcjJhSDMvODhabHQyN2R2ejd4NTg5UmxQeisvSEdWYW5aeWM4UGIyVnBkUG56NmRhWnhRVnFwWHI4Nm1UWnZVNVpzM2I5S3paODludGl0ZHVqVDc5dTFUbCtQaTRuS2NFVHgrM0xEb2Jvc1dMWjVac1JoZzQ4YU5CdU1CQnd3WVFGQlEwRFBiR1p0a0lJVVFRZ2p4dUVXTEZnRjBVeFRsb3JGakVVS0lWOTByMmZNaEwzNWtQcTJLNzlPMkt5enRYc2FUKzZwWXNhSkJFUlpqazRKVXI0YnNDbUFKSVlRUVFnZ2hDcjdjK3dWcUJCbEZYbVNxVFZIVVpTVGM1TE9RYzUwN2R5WWlJdUtXVnF1VnVnOUM1S0dNdjlWYXJiWlFmK2ZJYTAyYU5GblJ2WHYzd1RJdG0xRTBVUlRsZEg0ZVVMN0RGbjRaMzcwSzhyVk56alB4cERadDJoQWZIMDlNVEV6cGE5ZXV4ZWIzOFYvSm5nOUNDUEVzRVJFUkFGV2Z0WjBRUXVRSGpVWXoyTWZIeDloaEZEbGhZV0VzWDc2OG1vT0RRK1k1L29RUVF1U3F3bDd6NFZ5TkdqVWFHRHNJSVlRUVFnaFIrSXdiTjQ3TGx5OXZNemMzYndMa2ErOEhJWVFvYWdwMThrR3IxVFlNQ0FnbzBQUHJDaUdFRUVJSUlZUVFSWjBNdXhCQ0NDR0VFRUlJSVVTZWt1U0RFRUlJSVlRUVFnZ2g4bFNoVGo0MGJ0elk0ZXJWcThZT1F3Z2hoQkJDQ0NHRUVFOVJxR3MrbUppWW5PdlRwNDlNSHlPRUVFS0lWNEt6c3pQVHBrMmpXN2R1NmpwM2QzZHlNaE9HdE12ZGR2a2hZN3BHSWZLU25HZWlvQ2pVUFIrRUVFSUlJVjRGZXIzKzM0eC9UNTgrZmJEeW1MLysrbXRsVHZZaDdWNnNuVjZ2djZ2UmFFSnpzcS9jOHZqN0xRcTFjOFlPNEdua1BCUFp1SHJ0MnJVRVl4eFlNY1pCYzR1VGs1TWU0T1RKa3loS29YNHFRcnlVakl5MjlBTEt1WXpYVEt2VnlzVkRpRHlVOGJkYVBtdENGQjN5dVJkQ1pLV3c5M3lJQWJoLy83Nng0eEJDRkRKSGpoeEoxZXYxVFl3ZGh4QkNDQ0dFRUVWQllVOCtYQURZdDIrZnNlTVFRaFF5RmhZV1Z3TURBMDhiT3c0aGhCQkNDQ0dLZ2tLZGZORHBkQnNCZnZqaEIzYnUzRWwwZERSNnZkN1lZUWtoQ2lDOVhrOXNiQ3ovL3FzT2YvekZtUEVJSVlRUVFnaFJsQlRxMlM1U1VsSit0ckN3R0pDY25PejB6VGZmQVBEcHA1OHlkT2hRZFp1Wk0yZnk1NTkvUG5OZjMzenpEZSsvLzc2MGszYUZ1dDJUMVl3TGFwekdidmZaWjUrdEhqSmt5S0puYmlpRUVFSUlJWVRJRllXK0NJeURnNE81dWJuNVY0cWk5QVplMStsMEUwK2RPdVdkOGJpVGs5TlNZUGl6OXFQVDZVWklPMmtuN1Y3dGRucTlQbDVSbEJCZ2hWYXIvZUZaK3hkQ3ZEd3BQQ2RFMFNPZmV5R0VFT0lWNWVUa3BNLzRReStFRUFXSlhKK0VLSHJrY3krRXlFcWhydmtnaEJCQ0NDR0VFRUtJZ2srU0QwSUlJWVFRUWdnaGhNaFRrbndRUWdnaGhCQkNDQ0ZFbnBMa2d4QkNDQ0dFRUVJSUlmS1VKQitFRUVJSUlZUVFRZ2lScHlUNUlJUVFRZ2doaEJCQ2lEd2x5UWNoaEJCQ0NDR0VFRUxrS1VrK0NDR0VFRUlJSVlRUUlrOUo4a0VJSVlRUVFnZ2hoQkI1U3BJUFFnZ2hoQkJDQ0NHRXlGT214ZzRnbDVnNk9Ua04xZXYxQTRCNmlxTFlQUGJZVXExV096SmpvVW1USnNNMUdzM1NIT3hUMmttN1F0TXVnNU9Uazc0Z3h5bnRwSjIwSzdydG5uSjlLbEJ4NW5LN2E4QTJyVlk3TGdmN0YwSUlJVjVwcjBMUEIxTkhSOGQ5d0MrS29yUjRJdkZBejU0OVIrZ2ZNM1hxMUp4OHdaQjIwcTVRdGN0Sm00SVFwN1NUZHRKTzJoV3hkdmJ0MjdkMzBldjFKWEp5RENHRUVPSlZwaGc3Z0pmbDVPUTBFdmpGMU5TVXNXUEgwcUZEQjhxV0xZdWlGUHFuSmtTT09UczdBeEFRRUdEa1NJUVF3bEJSdlQ0OWZQaVF3TUJBbWpadGlybTUrVzVGVVRvYU95WWg4a3RHVHlldFZpdGZ5SVVRcWtJLzdFS3YxdzlRRklXeFk4ZnkwVWNmR1RzY0lZUVFRZ2dzTFMxNTY2MjNNaFk3NlBYNnVvcWlYRFJtVEVJSUlZUXhGZnBoRjRxaVZBVG8wS0dEc1VNUlFnZ2hoTWdrT2pxYTFhdFg5MjNVcUZFVlk4Y2loQkJDR0V1aDcvbWcxV3ByUmtkSDYwdVZLbVhzVUlUSU4vLysreStIRHgvT3RQNkhIMzVRLzkyb1VTUGF0MitmbjJFSklZUmNuN0l3Zi81OGR1M2FOYzNVMURRRStOWEk0UWdoaEJCR1VlaVREd0NsUzVjMmRnaEM1Q3NURXhQV3JsMmJhZjNqNitiUG41K2ZJUWtoQkNEWHA2eVltNXNiT3dRaGhCREM2QXI5c0F0SFI4Zi9yRnk1MHRoaENKR3ZHamR1VE1tU0piTjkzTXJLaWxhdFd1VmpSRUlJa1U2dVQwSUlJWVRJU3FGUFBpaUtNbWZKa2lYR0RrT0lmR1ZxYXZyVU9pZHZ2dmttWm1abStSaVJFRUtrayt1VEVFSUlJYkpTNkpNUFFoUlY3ZHExeS9heGQ5NTVKeDhqRVVJSVEzSjlFa0lJSWNTVEpQa2dSQ0hsNk9pSWxaVlZwdlhGaWhYajdiZmZ6ditBaEJEaS84bjFTUWdoaEJCUGt1U0RFSVdVdWJsNWx0WGkzM2pqRFN3c0xJd1FrUkJDcEpQcmt4QkNDQ0dlSk1rSElRcXhyTDdjUDYyN3N4QkM1QmU1UGdraGhCRGljWko4RUtJUWMzWjJ4dExTVWwyMnNMREk4Z3UvRUVMa043aytDU0dFRU9KeGtud1FvaEN6dExRMEdEL3Q3T3hNOGVMRmpSZVFFRUw4UDdrKy9ZK3RyUzAyTmpiWGdYdkdqa1VJSVlRd0ZraytDRkhJUFg0blVRcTVDU0VLRXJrK3BSc3hZZ1I3OXV5Wm9kVnFmWXdkaXhCQ0NHRXNwc1lPUUFqeGN0NTQ0dzNNemMzUjZYUzR1cm9hT3h3aGhGREo5VWtJSVlRUUdRcDk4a0d2MTM4M2VQRGcveGc3RGlHTXhjcktpbGF0V3ZIZ3dRTktsaXhwN0hDRUVFSWwxeWNoaEJCQ1pDajB5WWZBd01ESldxMVdrZytpU0hOMWRlWGVQUmxLTElRb2VPVDZCS0dob1J3N2RxeDYzYnAxeTF5OGVMRm92eGhDQ0NHS0xNWFlBZVFHdlY2dmY5WTJ6czdPT2RwWFFFREFDN1hidm4wN2xTcFZVcGY3OWV2SHBVdVhudG5PM2QyZHJsMjdxc3NMRnk1ay9mcjF6MnpYdFd0WDNOM2QxV1UvUHo4bVRKand6SGFWS2xWaSsvYnQ2bko4ZkR4dDJyUjVaanQ0OGRmbXlYYjU3Wk5QUHVIRWlSTkdqVUc4UEFjSEIxYXZYbTNzTUo1S3pyVlhRMzZlYTNMT3ZCcWVkYzY0dTd2ajQrTURNRmlyMWY2YVgzRUpZU3hPVGs1NkFLMVcrMHI4MWhCQzVBNHBPSmxMY3BEL3lOWDlQTG5kaXg0L3QrSXV5T1NML2F2aC9Qbnp4ZzdobWVSY2V6WGs1N2ttNTh5cm9UQmNuNFFRUWdoaksvVERMaHdkSGYremN1VktCZzhlL05UdFh2VHUrNHUyKysyMzMxNm8zY1NKRTVrNGNlSnp0MnZidHUwTHhmcmFhNi9sKzJ0akxJVXRYdkUvT2UxbFUxREl1Vlo0R2V0Y2szT204Q3BzMXljaGhCRENXQXA5endkRlVlWXNXYkxrcWR1NHU3c2JERkVvU0pLVGsvSDM5MGVuMCtYcGNYNy8vWGR1M0xnQlFGaFlHQWNPSEZBZk8zejRNSW1KaVhsNmZDR0VFRUlJSVlRUVJWZWhUejdraEkrUFQ4Wll5enp4M1hmZnNYbnpadlU0WDMvOU5WZXVYTWx4K3krKytJS3BVNmNhck12dFpJQ3ZyeStUSmswaU1UR1I0T0JnSms2Y2lKK2ZId0NyVjYrbVZhdFdYTGh3SVZlUENlbEZ0bTdldkVscWFtcXU3MXNJSVlRUVFnZ2hST0ZRNklkZDVMZi8vdmUveE1YRkVSc2JTL1hxMWVuZnZ6ODNidHhnNjlhdFdGaFlBSkNRa0VEVnFsV3BXYk9tUWR2VHAwOFRIUjF0c0M2ajVvS05qWTJhRElpTmpjWEx5NHZseTVkVHVYTGxYSW5ieE1TRXRtM2JFaEVSd1pVclZ5aFhyaHdoSVNGNGUzdVRtcHBLbzBhTkdENThPRk9tVEtGVHAwNjVja3lBa1NOSEVoWVdscWtncHhCQ0NDR0VlRFU0T2pxMkI5N05ZdjJDeHhhUEJnWUdiczYvcUlRUUJZMGtINTdUUC8vOHc3MTc5NGlQaitmZXZYc01HalFJalVaRC9mcjFhZDI2TlFEZTN0NVVxRkFoVTl2cjE2L2o0ZUdSNVg3WHIxK2ZhWmFMeVpNbnMyTEZDa3hOWC81dDBtalNPN21NR2pXSzh1WExFeGtaaWFlbkorWExsOGZFeElUT25UdGphMnVMdjc5L3JpWWZoQkJDQ0NIRUt5OVZVWlJNMDY0OXZpNHRMZTM5L0ExSkNGSFFTUExoT1ptWm1lSHE2c3JaczJleHQ3ZEhvOUdRa3BMQzlldlhpWW1KQWRMck9DUW5KMmRxMjYxYk4yclVxRUZVVkJTSzhyK1poeVpNbUlDYm14dk96czdjdjM4ZlB6OC9GaTVjaUptWldhN0VQR3JVS0I0OGVNRFpzMmRKU0VqZy9QbnpkT25TaGZEd2NLeXRyVGx6NWd4Mzc5N0Z5c3FLdExTMFhEbW1FRUlJSVlRb0dnSURBdzg3T2pyZVZ4VEZKcHROSHFTbXB1N0kxNkNFRUFXT0pCK2VVMFlQQW9DWW1CZ0dEQmhBVWxJU05qWTJkTzNhRmExV1M2bFNwZkR6OHlNNU9abVBQLzdZb0cyVktsWDQ1Sk5QZVBUb2tjRituK3o1TUcvZVBMNzU1cHVYampjeE1aRlRwMDVoWVdGQmRIUTBBd1lNWU5ldVhmajcrL1Bnd1FOMXU0eWFHQnFOaHU3ZHU5T29VYU9YUHJZUVFnZ2hoQ2dTVW9IZmdWSFpQTDczL1Buem1lL01DU0dLRkVrK1BLZkhleXlVS0ZHQ29LQWd0VGZENmRPbnVYWHJGanFkanBpWUdCSVRFL25vbzQ4d01URlIyMWhiVzZQWDYrblZxeGZtNXVaWkh1UGt5Wk5VcTFZdFYrTGR0bTBicWFtcFdGdGIwNjVkTzA2ZE9rVmlZaUsxYXRYaTZ0V3JyRisvbnM2ZE93Tnc0TUFCU3BZc21TdkhGVUlJSVVRNlcxdGJiR3hzcnQrL2YvK2VzV01SSWc5dEladmtnMTZ2L3lPZll4RkNGRUJGWXJhTDNQUjQ4aUdqRjRTdHJTM0ZpeGVuWXNXS0FKUXZYNTdpeFl2ajRPQmdrSGpJb05mck9YNzhPSmN1WGVMU3BVdjg5dHR2SEQxNlZGME9DUW5oNXMyYnVSSnZ1M2J0K1BQUFA3RzJ0dWJPblR0WVdscmk1T1JFUUVBQS9mcjE0K2pSbzVRdFc1WnUzYnJoNit1Yks4Y1VRZ2doeFArTUdER0NQWHYyek5CcXRYazM5WllRUmhZWEYrY1BQSGh5dlY2dlQ0aU9qdDVxaEpDRUVBV01KQitlazA2bjQrVEprOXk1YzRmNCtIZ3NMQ3k0Zi84K2xwYVdiTnk0a1pzM2I1S1VsSVNscFNWUlVWRlo3a09qMGVEbzZFaWZQbjNvMDZjUEFNMmJOMWVYTFMwdGMyMldpL0xseTFPbFNoVmlZMk5wMkxBaDgrZlB4OXJhbXZMbHk5T25UeDlXcmx6SndJRUQ2ZFNwRTh1V0xTTXlNakpYaml1RUVFSUlJWXFPSzFldUpPbjErazFQcmxjVVpYOUlTTWlqck5vSUlZcVdRcDk4ME92MTN3MGFOQ2pmanFmVDZZaU9qaVl4TVpFZE8zYncvdnZ2MDZoUkk5NTY2eTFLbGl4SjZkS2xhZFNvRVZXcVZPSG8wYU5jdVhMbHlYaEpUazVteDQ0ZFRKNDhtY21USjZQUmFOaTRjYU82L09EQkExSlNVZ3phQlFRRXNHblRKdTdmdi8vY01hZWxwUkVaR2NtZVBYdll0bTBiQnc4ZVpPblNwY3lkTzVmWFgzK2R2bjM3OHVhYmIySnJhOHV3WWNNSUNncDZxZGRJUEp0T3A4djBIcWVtcHViTHNTOWZ2b3hPcHpOWUZ4OGZuMjJ5VEJRY2o5ZHAwZXYxQnN2UEsyT2EzNmY1L2ZmZnVYSGpCZ0JoWVdFY09IQkFmZXp3NGNNa0ppWSt0WDFzYkt6QjhlN2V2ZnVDMFFwank4bjVrdUhxMWF2WlBuYjI3TmxNMTUvY1BMWVF3cmowZW4ybXFUUjFPcDFNcnltRUFGNkI1RU5nWU9Ea01XUEdQSFViZDNkM3BrMmJsaXZIUzAxTnhkWFZGUmNYRndZTkdvUy92ejlCUVVIODl0dHZQSGp3Z0ppWUdNNmNPY09qUjQrb1g3OCs2OWV2Ti9paWRmLytmWFE2SFI0ZUhwdzRjU0xMLzc3NTVwdE0wMTIrL3ZycjdOKy9ueTVkdXJCcTFhcm5pdm5hdFd1a3BxWmlZMk9EaDRjSE0yZk94TXZMaTJMRml2SDExMStUbUppSVRxZGoyTEJoMk52Ynl4ZTlmSkNjbkV6UG5qM1p0bTJidW03bzBLSDQrUGlnMCtsd2MzTmozNzU5TDdUdjFOUlVRa05EczN4TXA5TXhZY0lFK3Zmdno3MTc5MGhNVE9UUm8wZnMzYnVYWHIxNnNYZnZYZ0NpbzZOZjZOZ2liNDBlUFpxNWMrZVNuSnlNb2loMDdkb1ZMeS9nM05JSkFBQWdBRWxFUVZRdmREb2RjWEZ4bWJiWDYvVWtKQ1JrdWE5Qmd3YXhldlhxTEdmbXllRHI2OHVrU1pOSVRFd2tPRGlZaVJNbjR1Zm5COERxMWF0cDFhb1ZGeTVjeUxLdFhxL252ZmZlWThXS0ZVRDZrTFdSSTBjeWJOaXdaeVpScDArZnpzNmRPL0h6ODJQV3JGa0VCUVVackpzL2Z6NUhqaHg1Nmo3RTh6dDkralIrZm42Wi9wczJiUm9MRml3d1dQZmRkOSt4ZmZ2MkxQZmo3dTdPa0NGRE1oVldCcGd4WXdadWJtN0V4OGRuRzhlVHlZblBQdnZNSVBGVkdJV0docko1OCticWRldldMV1BzV0lUSVMzZnYzdlVESHYvRDh6QWxKVVdTRDBJSW9JZ1VuT3phdFd1dTdhdE5telowNk5DQnlwVXJvOUZvR0RObURNdVdMZVBLbFN1WW01dno4T0ZEcksydG1UTm5Ec1dMRjgvVVBqQXdFSTFHUTlPbVRiTTl4dnZ2WjU0R3VVeVpNbmg2ZWpKcTFDZ1dMMTZNdmIwOXJWcTF5bEhNaHc0ZG9ucjE2c3lZTVFOWFYxYzhQVDJwVTZjT1ptWm1uRHQzanBVclZ6SnYzanhtelpyRnRHblRjSEJ3eVBrTDhneVZLbFhDMU5RMHk5b1hSWmxHb3lFc0xNemdSMWgwZERUbno1K25hOWV1WEx0MmpiQ3dzRXp0Tm0zYVJFaEl5RlAzZmVuU0phS2pvMW0zYmwybW9xWitmbjZFaG9iU3JsMDdmSDE5OGZmM3g4bkppU05IanFEUmFMaDE2eGFMRnkvR3g4ZUhQLzc0ZzlLbFMrZks4eFV2WjlLa1NYVHMySkhVMUZRZVBueW8xcHRKVFUzRjNOeWMrUGg0aGd3WndzY2ZmMHkzYnQzVWRtRmhZUXdjT0pDaFE0ZlN0MjlmZzMxR1JVVng0OGFOYkF2ZkFwaVltTkMyYlZzaUlpSzRjdVVLNWNxVkl5UWtCRzl2YjFKVFUyblVxQkhEaHc5bnlwUXBtUkttaXFMdzZORWpMQzB0MVhWT1RrNWN2MzRkRzV2MG1kZ1NFaEtZT1hNbW8wZVBwa3FWS3VwMk4yN2NNRWpNQlFjSFkycHFhckR1MzMvL3hjWEZ4YUFPajNnNU4yN2NZUHIwNmRrK3ZtSERCb1BsSFR0MlVLdFdMZXJVcVFQQW9rV0xHREprQ0dabVp0U3JWNCtsUzVmaTdPeE1WRlFVVFpzMnBYTGx5cGlhbXVMczdFeUpFaVd5UEVaY1hCd0RCZ3hneUpBaDZya2NHaHJLcjcvK3lwdHZ2cG5sMzlYQ3dOdmJHeDhmbjIrTEZ5OStIZmpWMlBFSWtWZnUzTG1UV0xGaXhhM0FSLysvNnVENTgrZXp6ellLSVlxVVF0L3pJYjhOSFRxVXFsV3JxbC8rVjY1Y3licDE2MWl5WkFrMk5qYjA3ZHVYbUpnWSt2WHJ4OTY5ZXcyNjF1dDBPdGFzV1VQdjNyMHBXN2JzY3gvYnhNUkVIYVp4NzE3T0NtYW5wS1N3ZWZObVJvOGVqWTJORGM3T3poUXJWb3dXTFZxd2R1MWFYbi85ZGNMQ3d0aXdZUU9kT25YaXl5Ky9mS211M0UveTl2Wm02OWF0bEM5ZlBzZHR3c1BEMmJ6NTFVNlNaeVJqU3BjdXplclZxOUhwZEppWW1LaEZTelVhRFRZMk5zVEV4QmkwcTFTcEVrZVBIaVU0T0ZndFVMcDE2MWIyN2R1bkxrUDZyQ3A3OXV3eGFKdWNuTXlTSlV1d3NyTEMzOStmNWN1WEV4RVJnYmUzTitmUG4wZWowYkI1ODJaQ1FrS29WcTNhSy9FZW5EMTdsaWxUcGhnN2pKZDI5ZXBWZHUvZWpVYWo0ZWJObTN6MjJXY3NYNzRjVTFOVDB0TFMrT1NUVDdDMnRpWTVPZG1nNTVLdHJTMkRCdzltL3Z6NUJBVUZHVnczVEV4TXFGU3BFa0MyZDZFenJuT2pSbzNpMEtGRFJFWkc0dW5weVpZdFc0aUlpS0JaczJhMGFkTUdmMy8vTE51Ym1wcGlabWJHTDcvOHdvVUxGekF6TStQQ2hRdE1uejZkb1VPSDBycDFhN1JhTFhQbXpESG9yV05pWWtLL2Z2MElDQWlnU3BVcXRHdlh6bUJkdlhyMWFOdTJyU1FlY3RsNzc3M0h1blhyT0hIaWhMcXVYNzkrK1BuNUVSQVF3UGJ0MnpsMjdCZ0JBUUUwYU5DQTd0MjdxNGtIU0QrUHhvMGJwNTQzZi8vOU43Nit2c1RFeE5DN2QyLzI3ZHRuTUYxMVZsNTc3VFdHREJuQzlPblRXYlpzR1pCK0hqWnMyTERRSmg2RUtHcDBPdDNqZFIrazBLUVFRbFhvZXo0NE9qcitaK1hLbFF3ZVBEaGZqeHNaR2NtY09YT0lpNHRqN2RxMVZLNWNXZTBxK3VPUFB6Sm16QmkrK3VvcjJyVnJ4L3o1OHdIdzh2TEN3c0tDY2VQR3ZmQnhxMWV2enZyMTY2bFJvMGFPdHQrOGVUTmR1blNoYmR1MkJBY0hjL255WmNhT0hZdWRuUjFXVmxhVUxGa1NaMmRucWxhdFN1M2F0ZG0rZlR0bVptWXZITitMdW4zN052NysvdXpjdVpOejU4NEIwS3RYcjN5UEl6OUVSMGR6N05neEFIYnYzczN4NDhkWnQyNGR5Y25KSERwMGlLaW9LTkxTMGxpelpnMi8vdm9yNjlhdFU5K1RGaTFhMEtKRkM0UDk5ZXZYRDJkblp5Wk9uUGpVNC83NDQ0OUVSVVd4WnMwYTFxOWZqMWFyWmVYS2xiaTV1ZkhoaHgvU29VTUgzbnZ2UGZyMzc1L3BMbmxoY3ZMa1NUWnMyTUN4WThkNCtQQWhBRE5uempSeVZDL0gxTlNVcWxXckVoNGV6dlhyMTdHMnRzYlgxNWY0K0hqKy9mZGZKazZjU08zYXRWbXpaazJtSCtSOSt2VGg0c1dMSERseUJDOHZMM1dhMzlqWVdBNGZQa3hNVEF4SGpoeWhYNzkrZlBEQkIycTdVYU5HOGVEQkE4NmVQVXRDUWdMbno1K25TNWN1aEllSFkyMXR6Wmt6WjdoNzl5NVdWbGFrcGFVWkhETWxKWVh0MjdkalltTEN6cDA3Q1F3TXhOdmJtMTY5ZXFsRHdNcVhMMDlRVUJBelpzeWdWcTFhYW04SVNCK3lvZFZxV2JCZ0FURXhNYVNscGFIVDZkUjFFUkVSbVk0cFhwNUdvMkhCZ2dXOC92cnI2anF0VnN1SEgzN0krUEhqZWVlZGQ1N2F2bTNidG16ZHVwVWFOV3B3N05neFNwY3V6YmZmZm91Wm1SbSt2cjZjUDM4K1I3M2dNbVpmeXFoREkwa21JUXFYaHc4ZjdyT3lzbnFrMStzMXFhbXBHNDBkanhDaTRDajB5UWRGVWVZc1diTGtxY2tIZDNkM2cvL25odVBIajlPOWUzZmF0R21qcnF0WnN5Yk5taldqZE9uU3JGeTVraU5IanRDNmRXdjE4UklsU3VEcDZmblViczQ1VWF0V3JSeHYyN05uVHl3c0xBQ29VNmVPd2JqWlAvLzhFeHNiRzZaTW1VTEpraVhSNi9Xc1diUEdvSnQwWHJwKy9UcUhEaDFpNTg2ZDZoMzdvbUQvL3YxcVQ0UGp4NDh6ZWZKa2ZIeDh1SHo1TWxGUlVWeTZkQW1kVGtkeWNqSmx5cFRobjMvK29XM2J0czk5bk9Ua1pQVmNPM3o0TU1lT0hjUEN3b0oxNjlaeDhPQkJvcUtpR0RCZ0FFbEpTWVNGaGJGcTFTcFNVMU9aUDM4K0ZTdFc1TzIzMzg3bFo1NTMvUDM5K2VPUFB6aDU4aVJKU1VuR0RpZlhQZjdqcTNYcjFyUnMyWkswdERUbXpKbkRlKys5aDVPVEUzZnYzdVg0OGVPTUdwVSt4ZnJldlh1NWZmczJibTV1dUx1NzA3dDNiMnJXckltL3Z6OVZxMVlsT1RsWlBkOUNRME01ZmZxMG1ueElURXprMUtsVFdGaFlFQjBkellBQkE5aTFheGYrL3Y0R1BhTjhmTkpuRGRSb05IVHYzcDFHalJvQjZVTi9ObXpZZ0VhaklUZzRtRVdMRnFuRHhPN2R1OGV1WGJ1SWlvcWlmZnYyS0lyQ25EbHoxQ1F0cEE4bmlZNk81dEtsU3lRa0pQRHp6ejlqWVdGQlVsSVN3Y0hCYURRYXRaZUgvREROWGFtcHFSdytmRmhkam82TzV1N2R1MXk0Y0lHb3FDaTFkMVpjWEp4Qkw1dTdkKzhTSFIxTjgrYk5pWXFLSWlRa0JHZG5aMWF2WHMzdzRjUDU2cXV2c0xPekl5QWdJTnRqaDRTRXNHL2ZQbnIyN0ltSGg0ZjZ0MHZlWXlFS2wrRGc0RGhIUjhmdGlxTFluRDE3Vm9wSUNTRlVoVDc1a0JNWlg1QnpNL253M252dlpWcjMzWGZmcWY4Mk5UVTFTRHdBREJ3NE1OZU9uMU1aWDk2eWtuR25zV1RKa2tENkZ6eGJXOXRjUFg1b2FDaHBhV25ZMnRwaWFtcks1Y3VYT1hUb0VILy8vVGZYcjEvUDFXTVZCbkZ4Y1N4ZHVwUXVYYnBnWW1MQ1J4OTlSTy9ldmVuZHV6ZnZ2LzgrM2JwMVk5Q2dRYlJzMlpLaFE0ZlN1WE5udGUzSmt5ZXo3QjRmSHgvUDdkdTMxVUtBQUJjdlhtVGZ2bjM4K3V1dldGbFpVYmR1WGRhc1djT3dZY1BZdW5XcmV0ZjQ1czJiQVB6MjIyOEFPRG82RWhnWXlMbHo1d3A4OG1IZnZuMXMzcndaclZhYmFlYVFWNFZPcCtQVXFWTWtKQ1RnNStkSFpHUWtVVkZSbEM1ZG1zNmRPNlBSYURoNjlDaXBxYW1FaFlVUkZCVEUyYk5uYWRpd0lTNHVMdlR0MjVjREJ3NHdZc1FJTmVIUXJGa3pKazZjU1BmdTNlbmF0U3ZEaGczRDFkV1YrdlhycThmZHRtMGJxYW1wV0Z0YjA2NWRPMDZkT2tWaVlpSzFhdFhpNnRXcnJGKy9YajAzRHh3NG9GNURNdno5OTk4OGZQZ1FSVkVZTTJhTW1uaTRlUEVpOSsvZkp5d3NqTEpseTlLMmJWc2lJeVBWb3BkQlFVSDQrdnB5Ly81OW5KMmRLVjI2TkRkdjNpUXlNcEtrcENTY25aM1JhclZZV1ZseDZOQWhkRG9ka3laTnlxZDNvMmd3TVRHaFZhdFdiTjY4R1kxR1EvdjI3Zm50dDkrb1Y2OGVreWRQTmlnRzJheFpNL1hmeFlvVlk5NjhlUVlGVGdNQ0FqaDE2aFMrdnI3TW5qMmJNbVhLUERXUllHdHJ5NWt6WjFpeFlnVXpac3lnZmZ2MmdDUWZoQ2lNOUhyOVJxQ2lzZU1RUWhRc1JTTDVJSXhuNU1pUmhJV0YwYTlmUC96OS9ibDkrM2FPMnpvN094c3MvL0hISDlqYjI2dkxIM3p3QWRldVhjdTFXUE9EVHFlalhyMTZkT3ZXalZXclZobjg0TXZLNDcwWHpwdzV3MDgvL1pUbGRuZnUzTWx5M1AyVUtWUDQvdnZ2S1ZNbXZjQzZpWWtKUFhyMDRPalJvOXk1Y3lmVDlnNE9EZ1FHQmxLM2J0M25mV3I1d3RmWGx6Ly8vSk16Wjg0ODE5U2tUNTVMT1ZFUTdxcHJOQnFXTFZ0R1RFd01YYnQycFZPblRqUnExSWdGQ3hZUUhCeU1pNHNMQVFFQmFMVmFGRVhCeWNsSjdUSnZaV1hGNk5HajhmVDBaT1BHalhUczJCRWZIeDgxVWZYdzRVT3VYNytPbjU5ZnB1Uk51M2J0YU5teUpWOTk5UlYzN3R6QjB0SVNKeWNuZHU3Y3lhaFJvemg2OUNobHk1YmxyYmZld3RmWE45TXduWHYzN3RHblR4OSsvdmxuU3BRb3daOS8vc25XclZ0NTlPZ1JuVHQzWnRLa1NTeGR1cFN2dnZvS1NQL2hldlhxVmV6dDdkRnF0WlF0VzFhOTJ4NFpHVW10V3JWSVRFd2tJQ0FBQndjSGloVXJCcVJQRzN2dzRFR0RIbWppNVdnMEdxNWR1NGFWbFJYVnExYzNtTTNFMU5TVXFWT24wcmx6Wjc3Ly9udURJV0FsUzViRTE5ZVh5NWN2TTJ6WU1CbzBhTURreVpPcFc3Y3V2Lzc2SzRNR0RjTFQwL09wbnlsemMzUG16cDJMbTVzYi92NythdkxoY2ZIeDhZU0doaHJVbW5pVk9EazU1V2k2S2ExV2EvQkNTcnZjYlpjZm5KeWM5Z0h0OHZ1NCtjM0p5V214c1dQSVMzcTkvdC9Bd01BM2pSMkhFSVdGSkIveVNVNS95R3pkdXBWdTNibzlzeWhYVm03ZXZNbURCdzlvMEtEQmk0U1lKL1I2UFhxOW5udjM3cjJTM2VHZlY2bFNwVmkwYUpGNmR6QStQbDR0cWhZYkc4dUpFeWRJVFUwbE5UV1Znd2NQc21IREJycDE2MGJ2M3IzcDM3OC8zYnAxeTNUM01LYzFIeUQ5RHFLNXVUay8vL3d6NDhlUDU2MjMzZ0xTaDhEWTI5dnorZWVmczNidDJqeDQ1cm5qL3YzNzNMdDNMOU5VZkhsQlVSU2pKeUFpSXlOeGNYR2hkZXZXVkt4WWtlam9hQTRlUE1qaHc0Zlp0V3NYcnE2dVRKNDhHVWl2bTNMbzBDR0RvbndkT25UQTJ0cWE4ZVBITTN2MmJIeDhmUEQzOTFjVFZUdDM3bVRuenAyWmpwdFJJRFkyTnBaMzNubUhnUU1IOHYzMzMxTytmSG42OU9uRGdBRURHRGh3SURWcTFPQ2JiNzZoZmZ2MmxDdFhUbTAvWjg0Y2twS1MrT0dISDRpTmplWDQ4ZVBVclZ1WGN1WEtrWktTd3BFalIyalFvQUZYcmx5aGR1M2FEQjgrbkNwVnFtQmhZY0g2OWV1QjlDS2I0OGVQcDMvLy9ueisrZWZFeDhmenhSZGZFQjRlem9jZmZraWJObTJvVnEzYUMxMHJ4ZE9kT1hPR0dUTm1FQmtaeVo5Ly9xbXVmN3hldy9qeDR6TzFLMUdpQkpzMmJhSkNoUXBFUjBmVHYzOS9Qdm5rRTRZTUdjTDI3ZHQ1OE9DQitubGF1SEFoZ3djUE5xajFBZW1KcU5telo2TW9DZ2tKQ1lTSGg1T1VsTVRGaXhmNThjY2ZPWG55SkZldlh1WGJiNy9OTk1OS1VhSi9ZazdzbkNaWXBWMjI3Um9yaW5JNlJ4dm5ubGMrOFZBVUtJcnlockZqRUtJd2tlUkRMdExyOVNRbUptSmxaWlhwc1VHREJ0RytmWHY2OXUzNzFKb1BIaDRlYUxWYTNOM2RHVE5tREwxNjljcjA1WHJ2M3IwTUd6Yk1vQ2dZcEhkLzl2VDBaT3pZc1h6ODhjZVo5aDBiRzB1cFVxVmU3TW05SUVWUlVCU0ZzV1BIVXJGaVJVNmZQczNPblR2NTU1OS9zcHhLOG5GUEd4c002VDBoY3VKRjducm50UnMzYmdCUXZIaHhObTNhUkVKQ0FqcWRqdkR3Y0hidjNvMnRyYTA2TEdYYnRtMjBhOWNPR3h1YkY1b2w1WEVaWC93clZhckV0V3ZYME9sMGxDcFZpaXRYcmhnOFhsRDE3OStmL3YzN285UHAyTHg1TTMvODhRZlhyMTkvWmpMaVdlZlNrenAxNmtSa1pDUTdkKzU4cnBsYWN2dGNLMWFzR011V0xjdDJOb3FOR3pleWNhTmhMUzlQVDArKytPSUw3dDI3UjN4OFBILzk5UmZObXpkWHIwdjkrdlhMY3RqRms5TFMwb2lNakdUUG5qMVlXMXR6OE9CQmxpNWR5dHk1YzNuOTlkZnAyN2N2R28wR1cxdGJoZzBieHB3NWN3eDY4bVQwY2twS1NpSXlNcExyMTY5ejY5WXRLbFNvUUV4TURKYVdscFFwVTRidzhIQktsaXlwRGhHTGo0OW56Wm8xK1BqNDRPenN6Smt6WjFpM2JoMWFyWmJxMWF0eit2UnBGaTllek9MRml6RTFOYVZIang1cUFrYThQRVZSZVAzMTE5WEN2Mis5OVpaNnZYcnkrbkQ2OUduczdPelVLWG12WExuQ3laTW5hZE9tRGVibTV1cnNMSThlUFdMUW9FSEV4c2FxMDdaQ2VqMkphZE9tY2ZYcVZZNGRPMFpZV0JqaDRlR0VoNGNUR3h1TGxaVVZGU3RXSkRZMmxnb1ZLbENqUmcxYXRHaEIrZkxsMWRvVHI1cm52VlpKdTd4cGw1OEtRNHdpYXdYeCs2VVFCWjBrSDNKUldGZ1lBd2NPWk9qUW9abTZJVWRGUlhIanhvMW5GcHRVRklVV0xWcWcwV2o0OTk5LzFWa1JucFNhbW1wUVl3TFNDeGxXclZxVmF0V3FHWXovQjRpSmllSEhIMy9rdi8vOUw3VnIxMzcrSjVjTEZFV2hTWk1tTkduU0JFZ2YzLzMzMzMvenp6Ly9xTFVIaW9wTGx5NWhZV0hCenovL1RNZU9IUms5ZWpRVEprd2dLU21KT1hQbThKLy8vRWZ0WnArYk1tNEtaZHpCYk5PbURZMGFOV0xKa2lWVXExWXRWNCtWbHpRYURSOTg4SUZhSUhISGpoMnNXN2VPcTFldlB0ZHdqSUx1dGRkZVk4ZU9IWlFvVVFLQUV5ZE84TmxubjZIUmFMQ3pzK1BCZ3dkNGVucG1PZnZOelpzM21UTm5EbGV2WHVYcnI3OSs3bU5mdTNaTm5abkN3OE9ERlN0VzRPWGxoYVdsSldQSGppVXhNWkhpeFlzemJOZ3cvdnp6VDU2NDRjalpzMmN4Tnpmbjk5OS94ODdPamlWTGx0QytmWHVtVHAzS0w3LzhRdE9tVFJrelpnd0FpeFl0b2t1WExodytmSmk5ZS9jU0VSR0JxYWtwRVJFUlhMMTZGVXRMUy9YdXQ3T3pNeGN1WEVDajBkQzhlWE4xNkliSUhYcTlucmk0dUV4RmdIVTZYYWJrdzZlZmZzck1tVE5wMjdZdE9wMk9tVE5uTW43OGVJNGZQdzZrSjdCMjc5NU5ZR0FndFdyVm9sYXRXcGlhbXRLeFkwZSsvdnByZFgvMjl2WWNQWHFVWnMyYVlXdHJTNlZLbGJDMnRsYVA4OEVISDFDblRwMHNheTI5U3BvMGFiTEMzZDA5Vit0VENTR0VFQVdKSkI5eWthMnRMWU1IRDJiKy9QazBhdFNJQ2hVcUdJeTFyMVNwRXBCK1p5L2p4OFNURkVWQnA5TXhaY29VZERxZE9yN1d4Y1dGL3YzN00yN2NPRnhkWFhGd2NEQm9kKzNhTmZWTzFZUUpFN0tOY2ZMa3lheGJ0MDRkTTIxTTlldlhwMzc5K2t5WU1JRXJWNjdnNit1THY3OS9vYXZqOENKMjdkckZ1KysraTZ1cks2TkhqOGJFeEFRL1B6L2MzTnpRYURSOCtlV1g5Ty9mbjhqSVNBWU1HUERVZmIzSWxJTVpQOUJYclZxbHJudThlRnhoMDZWTEY3cDA2UUtrSitGV3JWcEZjSER3SzFHSU11TmFzV3ZYTHFaUG44NndZY1B3OS9lblljT0cxS3BWaTRFREIvTGhoeC9TcTFjdmc0S3hqbzZPZUhoNDRPYm1SdVhLbGRYMU9hbjVBSERvMENHcVY2L09qQmt6Y0hWMXhkUFRrenAxNm1CbVpzYTVjK2RZdVhJbDgrYk5ZOWFzV1V5Yk5pM1ROV24zN3QyMGE5ZU9MbDI2TUdiTUdQYnMyWU5HbzhtVS9FeExTMlB0MnJVMGFOQUFOemMzQmcwYXhLaFJvN0N3c0tCSGp4NHNXYklFZTN0N2dvT0RxVk9uRGoxNjlPQ0hIMzZnWmN1V1Vtd3lEK2gwT3FwWHI4Njc3NzZycmdzSUNNalV1eWc1T1psSGp4NnBROGhXckZoQjA2Wk42ZGl4STN2MzdxVkNoUXA4OHNrbkRCdzQwQ0N4ZWZ6NGNjek56UTBTR2VibTVrK2RzU290TFMxVGNxdXdzYlcxeGNiRzV2cjkrL2Z2WmJlTlJxTVo3T1BqSThtSGZCWVdGb2F2cjI4MUJ3ZUhDK2ZQbjA4MmRqeENDUEVxaytSREx1dlRwdzhYTDE3a3lKRWplSGw1MGF0WEw4ek56WW1OamVYdzRjUEV4TVJ3NU1nUit2WHJwOTYxaGZTN2hFbEpTU2lLd3BZdFd6aC8vcno2bUtscCt0dlVzR0ZEZzJudUhyZG16Um9BcGs2ZG1ta2U5WWNQSDdKOSszYTh2THl5SEJKU0VOU3NXWk94WThjeWR1eFlidHk0d2Q5Ly8yM3NrUExNeVpNbkNRb0tZdnIwNlpRdlg1N09uVHV6ZlBseSt2WHJweWFPckt5cytQVFRUMW13WUFIVnExZW5aY3VXMmU0dkxTMHR4elVRTXJaTFRrN20zWGZmWmRTb1VWU3VYQmt2THk5Q1FrTFlzR0VEUUtFZVI5K3VYVHZhdFVzZlNudjA2RkZXckZoaDVJaGV6dDI3ZDFtMGFCRW5UcHhnNXN5WnRHdlhqb01IRDVLV2xrYVBIajJvVUtFQ0hoNGVyRnExaW1yVnF0RzdkMi9jM055QTlJS01BR1ptWmtENnVaSmR6WWZIejZHVWxCUTJiOTdNcEVtVHNMR3h3ZG5aR1hOemMxcTBhTUhZc1dQNS9mZmZDUXNMWThPR0RYVHExSWt2di93U1gxOWZkZGFMOCtmUGMrYk1HVFpzMkVDVktsV1lPSEVpYTlhc29VZVBIcFFwVXdhTlJzT2xTNWZZdTNjdmQrL2VSYS9YYytEQUFkNTU1NTBzNDJ6YXRDazZuYzVnM2F2VXc2VWcwZXYxYUxWYWc3OUJrUDU2VzFsWnNYYnRXbzRmUDY0bUhWYXZYazNIamgxNS8vMzMxZm9OaVltSjZQVjZTcFFva1NuUnJ0UHBuanRocXRQcENuM3lZY1NJRVl3WU1XS0dvaWcreG81RkdCbzNiaHlYTDEvZVptNXUzZ1RJNzdvUFFnaFJwRWp5SVpmczNidVgyN2R2NCtibWhydTdPNzE3OTZabXpacjQrL3VyVTl4RlJVVng2ZElsUWtORE9YMzZ0RUh5d2QvZm45VFVWRFFhRGFkUG4yYlJva1ZNbkRpUkRSczJFQkVSQWNES2xTdlZINGVQdTNyMUtqdDM3bVRPbkRtNHU3dWowV2dNRWhCcGFXbVltSmp3L2ZmZk0zWHExTHgvTVY2U25aMGRuM3p5aWJIRHlCTnhjWEhNbmoyYkdUTm1VTDU4ZVdKall3a09EbWI0OE9HTUdESENZTnRldlhxeFlzVUtnb09EbjVwOFNFMU56WEV4ejVTVUZCUkZ3Y3JLaXBrelo2cnJCdzBheEcrLy9jYlBQLy9NYTYrOVZxQ0tscjRNRnhjWFhGeGNqQjNHQ3p0MDZCQ0xGaTJpVzdkdVRKa3lSUzBtK2ZoNzd1TGl3cVpObTlpMGFSTmFyWmEyYmR1cTdldlhyNCtkblozYTB5a3BLWW5SbzBjelpNZ1FnK04wNnRUSllMck16WnMzMDZWTEY5cTJiVXR3Y0RDWEwxOW03Tml4Mk5uWllXVmxSY21TSlhGMmRxWnExYXJVcmwyYjdkdTNHeVE0NXM2ZHk5U3BVeWxldkRoejU4N0Z6OCtQUG4zNnFOTU51N3E2c25yMWFtYlBuZzJrZitZZm43RkNyOWZ6bi8vOGh3OCsrQUIzZDNjYU5XcEVVRkNRR3Z1RUNSTm8yTEJoYnIvY2d2UnpxMi9mdm56eHhSZnF1bWJObW1GbFpjVzRjZVBZdFdzWE1URXhBTHo5OXR1ODk5NTdtSm1aR1JTT2ZQandvVHA5NnBPU2s1T2Z1MGRTYW1wcWdhOUhJNFFRUW9obksvVEpCNzFlLzkzZ3dZUC9ZK3c0WEZ4YzZOdTNMd2NPSEdERWlCRnF3cUZaczJaWkZuZDd2REJieGwwL1IwZEhkRG9kbzBlUDVxMjMza0pSRkpLVGs5bTJiUnNBRHg0OFFLZlRjZi8rZmJXdFRxZGoxcXhabEM1ZG1qTm56dENsU3hlMWNGdUdzMmZQWW1kbng1ZGZmcGsvTDRiSVZseGNIQk1uVGxSbm1RZ05EZVh6eno4M21MSXVnN201T2Q5KysrMHpFd0U5ZS9ZMDZDTDlOQU1HRE1oeVdrSkxTMHVHREJsQ2t5Wk5xRktseW5NVldSUjVwMW16Wm16YXRDbFRUNVMrZmZ1cXZUc2d2WERweHg5L25LblFyTDI5UFZ1MmJGR1g1ODJiUjRVS0ZUSWRaL1hxMVFidmVjK2VQZFhyU0owNmRUaHc0SUQ2Mko5Ly9vbU5qUTFUcGt5aFpNbVM2UFY2MXF4Wmc2V2xKWkQrUTdGLy8vNTA2TkNCeU1oSVdyUm93Ymh4NHd6cTNiaTV1YW05TTdMaTVlV2w5dmpLNklMZW9rVUx0V0R1d29VTHMyMHJYczZVS1ZPb1diT213YnF0VzdlcVEzYzZkT2p3ekgzMDZORkQ3Y1h5cEtGRGg5SzhlZlBuaXNuRHc0UEdqUnMvVnhzaGhCQkNGRHlGUHZrUUdCZzRXYXZWUGpYNTRPN3VudWRkTnEyc3JCZzllalNlbnA1czNMaVJqaDA3NHVQams2UHgxUWtKQ2RTdlg1K3VYYnV5ZWZObTdPM3RnZlQ2RHg5Ly9ER3VycTYwYnQyYXI3LytHaGNYRjRQSzlMNit2dFNyVjQ4K2ZmcXdiTmt5cksydE05MGhDZ2tKd2RUVVZQMHlMNHpIMXRiV1lGeis0MG1vckxScTFlcVoreHcwYUZDT2ovK3NnbTFPVGs0NTNwZklleGsvNkovVW8wZVBGOXBmVm9rSElGT3k2Y2tFNXVNeTduQm45SlJRRk1YZ25MYXdzRkIvb0pZclY4NWdDczZjeXVwYWxkOHo5UlJWV1JVa2ZyeG1TRTUwNjlZdDI4ZXltbG5sV1J3ZEhaKzdUVUVUR2hyS3NXUEhxdGV0VzdmTXhZc1hzNjM3SUlRUVFyektpc1N2MGE1ZHUrYkxjVHAwNklDMXRUWGp4NDluOXV6WitQajRaRHUrK25FbFNwUmcrdlRwUkVaR0F2LzdjcCtSTU1tWWN0SFB6NDgzM2pDY1RyaHo1ODdxRDhyc1prWVlQbnc0Tld2V3pGUUxJajlVcWxRSlUxTlRveHhiQ0NHRUtBaTh2YjN4OGZINXRuang0dGVCWDQwZGp4QkNDR0VNaGJlcVhBRno3OTQ5YnQyNnhWOS8vVVh6NXMzVndvNzkrdlVqSUNDQUtsV3FNR3JVS0FJQ0Fnekd4ajd1MXExYkFQajQrSkNZbUtpdTkvUHpvMDZkT2h3L2ZqelRsSGs1S1F4b1lXRmhzTC84NU8zdHpkYXRXNlVidnhCQ0NDR0VFRUlVWVlVKytlRG82UGlmbFN0WEdqc01idDY4eWFSSms5aTFhNWM2bnY5NW5UdDNqcXBWcTNMdTNEbUdEQmxDU2tvS1VWRlJiTjY4bVFrVEpqQmt5QkQyNzkvLzNGWGV5NVFwUTFoWUdKQmVPVCs3UW1CQ0NDR0VFRUlJSVVSZUtQVEpCMFZSNWl4WnN1U3AyN2k3dStmNXZObU9qbzU0ZUhnQWh1TmpjMUx6SWNQdTNidnAxS2tUVTZkTzVjcVZLNlNscGVIbDVjV2JiNzVKWEZ3Y3BxYW0yTm5aUFhmOWlycDE2eElVRkVSU1VoSmVYbDVjdUhEaHhaK29FRUlJSVFxbGlJZ0lMbDI2Wk93d2N1elVxVlBHRGtHOG9MeDQ3MlNLWlNFS3Z5SlI4OEhISjMxYTdieE9RRnkrZkJuQVlNcTU3R28rNkhRNmc3YUhEaDBpS2lxSy92MzdVNkpFQ1pZdlg4N0lrU05KU1VsaHo1NDk3Tm16eDJEN0o5cy9qYXVySzU2ZW5zeWZQNTl6NTg3UnUzZnZGMzZPenlzME5KUzB0RFJzYlcybDRLVVFRZ2lSdmNIVHBrM0xsYTZjMGRIUnpKZ3hnL0hqeDFPMWFsVjF2VjZ2NTVOUFB1R0REejVnMUtoUlFQcjNpY2VIY09wME9pWlBuc3lBQVFOd2NIQmc5T2pSZE9yVUtWTXg2N0N3TUVKQ1FwZzFhNWI2Mk9YTGx5bFZxcFE2MVBMQmd3Y0cwL2crZm94YnQyNWhaMmYzMU9jeFljSUV1bmJ0cWs3OXF0ZnJ1WDM3dHNGekVybkRHTzlkZEhRMHAwK2Z6bEY4a1pHUi9QdnZ2OHlmUHorblQwa0lVUURKcjhGY1ZMOStmZXpzN0NoV3JCZ0FTVWxKNnJ6MGordlVxWlBCQlQwNk9wckZpeGV6WU1FQ1NwUW9BVURqeG8xSlMwdGo2dFNwbVNyYnU3cTZQdGZRaWJKbHkvTHR0OTh5ZmZwMGtwT1RDUThQeDhIQjRVV2Y1bk1aT1hJa1lXRmhiTisrblVxVkt1WExNWVVRUW9qQ1JxdlYvdHF0VzdkY1NlTUh2SVlBQUNBQVNVUkJWRDVZVzF0alkyTkQvLzc5R1RObURHWExsbFVmczdPelk5bXlaZFNyVjQvVTFGU1dMMS9Pb2tXTDFObHdOQm9ORFJvMFlQRGd3U3hac29TVEowOXkrdlRwVERjUUVoTVRzYlMwNU1LRkMrck1UZEhSMFF3ZE9wUnAwNmJSdm4xN0prK2VUTGx5NWRUdk5obENRa0lJQ1FuaGp6Lyt3TkxTa3VEZ1lQNzk5OTlNenlNbEpZVnIxNjZ4WnMwYUlIMTQ2cmx6NTlpd1lRT3Z2ZlphYnJ4VVZLeFlrUnMzYnR4TVNFaEl5cFVkRmxMR2VPK3NyS3o0L3Z2dkNRME56WEdjSjA2Y29GbXpaaS94VElVUXhpVEpoMXhrYjIvUGxpMWIxT1Y1OCtabE9iWGQ2dFdyRFFvd3hzWEZNV3ZXTE9yVXFhT3UwK3YxVEpvMEtjdHB5ZWJNbWZQY1V5SjI2dFNKaGcwYnNtWExGcUtqbzUrcnJSQkNDQ0VLbDFHalJ1SHI2OHYyN2RzNWUvWnNwc2NuVEppZy9udm16Smw0ZW5xcXkzMzc5bVgxNnRXc1c3ZU90TFEwMnJkdmIvQWRCV0RUcGsyMGF0WEtZTXJvTjk1NGc1WXRXL0xycjcvU3RHbFQ5SG85Ly96ekQvYjI5Z1FFQkdCcGFhbHViMnRyaTUrZkgrKysreTYydHJhc1dMR0NCdzhlWklyejhPSERIRDU4V0YydVhMa3lhOWFzNGROUFAzM3hGK2N4aXhZdEF1aW1LTXJGNTJuWHBFbVRKaHFOcG90V3E1MlZLNEVZbVRIZU8zTnpjOWF1WFl1bHBTVm1abVpzM2JxVldiTm04Zm5ubjFPbFNoVzFYV0JnSUgzNjlIbnVhWCtGRUFXUEpCL3lVRmFKQnlEVHpBL1ZxbFhMdEkyaUtQVHAweWZMOWsyYk5uMmhlQ3BYcnN5WU1XTmVxSzBRUWdnaENqNmRUc2VwVTZkd2NuSmkrL2J0ckY2OW1nOC8vQkJiVzF0R2pCakJ6Smt6Y1hSMFpOQ2dRUXdZTUlEZXZYdXIwMkVuSnljVEVCQkE4K2JOOGZiMlpzcVVLUUJvdFZxQ2c0TU5qblAvL24zdTM3K3ZMa2RFUkdCdGJjM0FnUU81ZGVzV1k4YU1RVkVVbkoyZG1UdDNMaDkvL0RHcHFhbDRlSGhrK243MDJtdXZzWHYzYm5yMzdzM3QyN2VmK3Z5YU5Xdkc4T0hEYytPbGVtNk5HemQyTkRFeDZRNE1BT3ovZjNXaFR6NFk4NzNMNkFuODIyKy84ZjMzMzZQVDZmamhoeDh5dFEwUEQyZnUzTGt2K1V5RkVNWW15UWNoaEJCQ0NDTnIwcVRKaXR3b2tKMlNrc0tDQlF1b1ZLa1NIaDRlSER0MkRCOGZIOTU5OTExU1UxT1pNbVVLVmF0V3hkcmFtdjM3OTNQcjFpMG1UcHlvdHYvcHA1OVl0bXdaNDhlUHg4ek1ESE56YzJyVnFzWHJyNzl1Y0p5N2QrK2kxV3JadVhNbm5UcDE0dGl4WXl4ZnZweFpzMlpSclZvMVNwY3VqVjZ2NS96NTgvajUrWkdRa0VEbHlwVzVjT0VDMjdadHc5N2VudmJ0MndNUUVCQkFYRndjZ3djUHh0TFNFZ3NMQ3dCbXpKaEJ5NVl0YWRldW5YcmNnd2NQTW5QbVRLWlBuLzVTcjFOT09UbzZOdFhyOVQwMEdzMEFJUFBkb2xlQU1kKzd1M2Z2TW5mdVhJS0NndERyOWJpNXVlSHM3R3dRMzFkZmZVWExsaTN6NFpVUVF1UTFTVDRJSVlRUVF1UWhXMXRiYkd4c3J0Ky9mLzllZHR0b05KckJQajQrTDUxOHNMQ3dZT2JNbVh6NDRZY3NYTGdRS3lzcnJsMjd4ckZqeDZoVHB3NDNiOTdFeE1TRTh1WEw4ODgvL3hBVkZVVnFhaXFtcHFhWW01c3pmZnAwUHZ6d1F6dzlQV25Sb2dWbnpwemg2TkdqSEQxNk5NdmpiZHEwaWViTm05TzllM2Q4ZlgxWnNHQUJEUnMyNUoxMzN1SHZ2LzhtN1AvWXUvKzRHdS8vZitDUDYzUk9QMDQvSkNaQ2xMRm9RNTM4K3RCS0dOdjczWmpaNXZkazcxVjgvUDd4bmo0YkdrWWZsakhlZUd1RVdXYkRHNWxmTTlybVY2WVNZeEVTV2tzVS9kU3BydXY3UjkrdWo2TVNxYTVPUGU2MzIvdjI3bnBkMSt0NlBUc25yZXQ1WHEvbkt6VlZYdUp4NDhZTmVScCtvMGFOMEt0WEwyaTFXdHkrZlJzTEZpd285LzQvL1BBRGZ2amhoekx0SGg0ZThQWDFmYTdYQ2lncG5MbC8vMzVIVjFmWFB5NWV2S2dISUhUdTNMbUhScU1aSW9yaWFFRVFXajVlYkxPK1VlcTl1M2p4SWo3OTlGUDQrdnBpMGFKRjZOT25EeUlpSWhBUkVWR21EM2U2SUtvZkdsVHlRYWZUNGNNUFAwUmdZS0RjdG1YTEZxeGN1YkxTdnYzNjljUFNwVXZsNDZpb0tJUDFraFZ4ZDNkSFdGaVlmQndmSDErbUFHVjVuSnljc0dQSER2bjQ1czJiZU91dHR5cnRaMnRyaTU5Kytrayt6czdPaHJlM2Q2WDkxR28xb3FPakRkcDY5KzZOaHc4ZlZ0cjN1KysrUTd0MjdlVGpNV1BHNE5LbFM1WDJxMjJQWjlLSmFncC8xdWhaOFdlbWZ2UDM5NGUvdi84Q1FSQWlhMk04WjJkbmVRcDlyMTY5OE1jZmY4REV4QVR1N3U1SVMwdUR1Yms1Y25KeVVGUlVoSzVkdXhvVWsyelhyaDJDZzRQeDFWZGZ3YzNOcmRLeG1qZHZEbHRiV3dBbDMrZjE2OWV4ZnYxNitQdjdZK2ZPblhqampUY3diZG8wVEpnd0FYMzc5c1dFQ1JNd1k4WU1tSnViUTZ2VkFpaDUrSDM5OWRkaGFtcUtrU05IbGxuaVVhcERodzZJaUlnb3MvUEc4NWcrZlRvU0V4UDNtcHFhdnUvbTV0WlpFSVJSQUpwTGt2UlU0N2k3dXovYi91Y0FKRW1hV3BWWWE1SVM3OTFMTDcyRTdkdTNReEFFRkJRVXdNbkpDVE5tekVCWVdCaXlzN094WmNzV2FMVmFmUG5sbDlpelp3L2MzTnpLek1BaEl1UFNJSklQT3AwT01URXgxWHJQcC8wUDMrUFhHVXUvNS9INHZabzNiMTd1ZGsyMXhkWFZGUmN2WGxSc2ZLb2VqeWE0NmlyK3JOVVB0Zm16eHArWitxRXUvbjZhTkdrU2hnNGRpdEdqUnlNOFBCd3VMaTdZdG0wYkFPRCsvZnRQN051bVRSdms1ZVhKU1lWUy92NysyTFJwRS9SNlBRSURBN0Z1M1RwNGVucks1M1U2SGY3NjZ5OTA2TkFCTmpZMnlNek1oSWVIQjVvMGFZTE16RXpZMmRrQkFISnpjOUc0Y1dPRGU1dWFtZ0lvK1RDa1Q1OCtaV1kxZlBubGw5RHBkTlg2OTBvcFNaSWdTWksxU3FWcURrQlQ3UU1ZQVNYZU83VmFqZkR3Y1BubnNYZnYzZ2dKQ1lHVmxSVnNiVzJoMVdxUmw1ZUhxMWV2NHZMbHk5aTdkeSttVEpsU1V5OEJFZFVDbzA4K1NKSVU0dWZuTitkSjE2eGZ2NzdDYzJQSGpzWFlzV09mZVZ3dkw2OHFKVFE2ZCs1Y3BYNnRXN2V1VWo4cks2c3FKMTRlclZEOExMWnMyVktsZmpXbHJzVlRFMG8vTmEzdUpCczltNGJ3czBiVnF5SDh6UEQzVSswcUxpN0d5Wk1ua1pLU2dzek1UTGk2dWtLbFVxRm56NTc0OGNjZm43aFZkMXBhR25idDJvWGp4NCtqWjgrZStQUFBQNkZXcXlHS0lrYU9IQ2tuSGthT0hJbk5temNiOUUxTlRZVWdDTmk4ZVROR2pCZ0J2VjZQMU5SVU9EbzY0dTdkdThqSXlJQ0xpd3VBa2dmWXg3ZHdMR1ZpWW9JVEowN2c1TW1UQnUyaUtEN25LMU94Ly85UWZEdzJOdlpmQUFSM2QvZlhKRWthS1FqQzZ3QmVlRkxmMk5qWUttVkQzTjNkSzU5MlcwdVVmTzlNVFUzeDY2Ky93dGJXRm5mdjNrVm1aaWF5czdQeHlpdXY0Ri8vK2hlT0hUdUd6cDA3WTgrZVBXVUt0aE9SOFRINjVFTmNYRnhRYkd6c0U1TVBSRVJFUkVwSlNVbkI2ZE9ublZ4Y1hKb2tKQ1JVV1BlaHVzVEh4MlBidG0zbzNyMDdWQ29WSktsa1pZQkdvOEd3WWNPZzArbktYVHBxWTJPRHhvMGJJeUVoQWErLy9qck9uVHVIVjE1NUJRa0pDZGk2ZFN1NmRPbUMrUGg0UkVSRTRLV1hYaktZWXI5MzcxNXMzYm9WZVhsNTZOMjdOeTVjdUFCUkZPSGg0WUVmZi93Ukw3endBbDU1NVJVQXdJTUhEOUNvVWFOeVl4Y0VBUjA2ZENpenBmaWhRNGVxNitXcGpCUWJHM3NJd0NFQTZOeTVjeisxV2owS3dPc0FtdGRXRUxWSnlmZHUxS2hSR0RWcUZJcUxpekZtekJpTUh6OGVodzRkZ3FlbkozYnUzSW0zM25vTG8wYU5xcjV2bG9nVXBWSTZBQ0lpSXFMNkxDd3NESXNYTDU2bjFXcWZ2MEppSlV4TVREQnAwaVE0T3p2TG54U1hmdklzaWlJaUlpSXFyRmxsWVdHQjExNTdEVURKRm9vSER4N0VHMis4QVVtU01IejRjUHorKys4QWdPSERoK1A2OWVzR2ZRTUNBaEFRRUFBTEN3czBhOVlNKy9idGcwNm5nNldsSlRadTNJZ0pFeVpBcFZKQnI5Y2pQVDM5aVo5aVoyWm00c3FWS3diL2U1b2FWRFhoL1BuelA4WEd4bzZQalkxdElVbVNGNEF3U1pKU0ZBbW1oaWo5M29taWlIbno1cUY5Ky9ZWU1tUUlnSklaRmlFaElmam1tMi93MVZkZkdXenJTa1RHeStoblBoQVJFUkhSL3hGRkVWZXVYSkdueW91aUNGRVU0ZWpvaVBuejUrUDA2ZFA0OHNzdllXSmlVbVlkZmxKU0VnQmcvLzc5c0xDd2dLK3ZMNVl0V3daWFYxZm9kRG9FQlFVaEtpb0tkbloyY3ZIS1VuLzg4UWZNek15UW1KaUlJMGVPWU8zYXRaZzllelo4Zkh5UWs1T0RkOTk5RnlxVkNvV0ZoZWpZc1dPNXNSY1hGNk5mdjM3eTlwK1hMbDJDU3FYQzNMbHphNlRldzdPSWk0djdCY0F2QU5DNWMyZFBFeE9Ua1lvR1ZJMlVldS9TMDlNeGQrNWN0R2pSQWtPR0RNSGx5NWVSbDVlSDdPeHN0RzNiRnF0V3JjTHMyYk94YnQwNk9EbzZZdXpZc1hLQ2dvaU1qOUhQZkhCemM1c1RIaDZ1ZEJoRVJFUkVkWUpLcGNLd1ljUGtUNmlMaW9xZ1Vxbms1Ukp0MjdaRmx5NWRVRnhjaks1ZHV4cjBkWE56dzdoeDQzRDI3RmtzVzdZTUdvMEd4Y1hGc0xLeWdvK1BEeHdkSFRGNzlteW8xV3A0ZTN1alY2OWVjbDlYVjFlWW01dGozcng1bUQ5L1BsYXVYSWxldlhvaEtDZ0lvMGFOd3V6WnM1R1Nrb0lwVTZaVVdLVHo4UzBWVDUwNmhZQ0FBRnkvZmgzT3pzN1YvRXBWM2ZuejUzK05pNHVib0hRYzFVV0o5eTQ2T2hvVEprekE0TUdETVgvK2ZDUWxKV0hDaEFuNC9mZmZZVzl2RDZDa21PdTMzMzZMV2JObXdjM05EVDQrUHRYL3pSTlJyVEg2all0THR6aGlJU3RxeUZqUXJYb05HalFJNmVucE9IRGdBQXRjRVQwbi9uNENnb09ERVJrWkNRQitzYkd4bThxN3BxYitucEVrQ2IvODhndDY5KzV0c0tWbWNYRXhvcU9qOFYvLzlWL2w5c3ZJeUpCM09Qanp6ei9oNE9BZzMwOFFCRHg4K05CZzFzT2pVbE5UMGFKRkM2U2xwY2tQa2FVS0NncGdabVpXWWJ6TGxpMkRyNit2UEdzREFPTGk0bkRqeGcwTUdUS2sybWMvREI4K0hJbUppWkFrcVd0Y1hGeDh0ZDc4Q2VycTM2KzErZDVsWjJmRHdzTEM0T2Z5eXBVck9IUG1ERWFPSEFtVnFtNS9SbHI2dTYycVJVZUpHaUl1dXlBaUlpSlNudC84K2ZPcmZTcW5JQWp3OHZJcTAyNWlZbEpoNGdHQW5IZ0FJQ2NlU3U4SG9NTEVBd0MwYU5FQ0FNbzh2QUo0NHNNckFNeWVQYnRNbTV1Ykc5emMzSjdZajZwSGJiNTMxdGJXWmRvNmRPaUFEaDA2UEUyb1JHU0U2blpLa1lpSWlLZ0JpSTJOM2ZUbW0yOHFIVWFEMDd4NWM1aWFtdDRzS2lvcVVEb1dJcUw2ampNZmlJaUlpS2hCV3JGaUJRQzhLUWhDZ3RLeEVCSFZkNXo1UUVSRVJFUkVSRVExaXNrSElpSWlJb1YxN2RwMVkzQndzTkpoRUJFUjFSZ21INGlJaUlocWtJT0RBK3pzN0pJQTNLdm9HcFZLNWZmL2Q4U2dXcFNhbW9vTkd6WTR1cnE2bWlvZEN4RlJmY2VhRDBSRVJFUTF5Ti9mSC83Ky9nc0VRV0Iyb1k2WlBuMDZFaE1UOTVxYW1uWUZVR3RiYlJJUk5VU2MrVUJFUkVSRVJFUkVOY3Jva3crU0pJV01HemRPNlRDSWlJaUlpSWlJcUFKR24zeUlpNHNMbWp4NXN0SmhFQkVSRVpVckpTVUZPM2Z1ZEhKeGNXbWlkQ3hFUkVSS1ljMEhJaUlpb2hvVUZoYUd5TWpJZVZxdE5nbkFKcVhqSVNJaVVnS1REMFJFUkVSMWhFNm53L3o1OC9IbW0yL0tiY0hCd1hpYW5URFlyM3I3MVFhZFRxZDBDRVJFdGNib2wxMjR1Ym5OQ1E4UFZ6b01JaUlpb2lxVEpPbE02ZGVmZnZxcG4vQ0lQWHYyUE5VZk91eFh0WDZTSk4xUnFWUXBUM092NnZMbyswMUc3WGVsQXlBeUpvTFNBVHd2ZDNkM0NRQmlZbUtVRG9WSU1hV2ZuUERmUWZVWU5HZ1EwdFBUY2VEQUFUUnIxa3pwY0lpTUduOC9HWHpTN2hjYkc3dEo0WENJYWx6cDMrZXhzYkZHLzZ4QlJOWEg2R2MrRUJFUkVSRVJFVkhkeHVRREVSRVJFUkVSRWRVb0poK0lpSWlJaUlpSXFFWXgrVUJFUkVSRVJFUkVOWXJKQnlJaUlpSWlJaUtxVVV3K0VCRVJFZFVnQndjSDJOblpKUUc0cDNRc1JFUkVTbEVySFFBUlBic3paODdneElrVFpkcS8rT0lMK2V2T25UdWpYNzkrdFJrV0VSR1Z3OS9mSC83Ky9nc0VRWWhVT2hZaUlpS2xNUGxBWklSTVRFeXdkZXZXTXUyUHRpMWJ0cXcyUXlJaUlpSWlJcXFRMFMrN2tDUXBaTnk0Y1VxSFFWU3J1blRwQWhzYm13clBXMXBhd3RQVHN4WWpJaUlpSWlJaXFwalJKeC9pNHVLQ0prK2VySFFZUkxWS3JWYmp0ZGRlcS9COGp4NDlvTkZvYWpFaUlpS3FTRXBLQ25idTNPbms0dUxTUk9sWWlJaUlsR0wweVFlaWhzckh4NmZDYy8zNzk2L0ZTSWlJNkVuQ3dzS3dlUEhpZVZxdDFsZnBXSWlJaUpUQzVBT1JrWEp6YzRPbHBXV1pkbk56YzNoN2U5ZCtRRVJFUkVSRVJCVXcrdVNEbTV2Ym5QRHdjS1hESUtwMXBxYW01ZTVtMGIxN2Q1aVptU2tRRVJFUkVSRVJVZm1NUHZrZ0NNS1MxYXRYS3gwR2tTTEtTejQ4YVRrR0VSRVJFUkdSRW93KytVRFVrT2wwT2xoWVdNakhabVptNVNZa2lJaUlpSWlJbE1Ua0E1RVJzN0N3TUtqdm9OUHBvTlZxbFF1SWlJaUlpSWlvSEV3K0VCbTVSMmM2c05Ba0VSRVJFUkhWUldxbEF5Q2k1OU85ZTNlWW1wcENGRVVNR0RCQTZYQ0lpSWlJaUlqS1lQS0J5TWhaV2xyQzA5TVRXVmxac0xHeFVUb2NJaUlpSWlLaU1waDhJS29IQmd3WWdIdjM3aWtkQmhFUmxjUEJ3UUYyZG5aSkdSa1ovRVZOUkVRTlZyMU5QdWgwdXFlNkxpWW1wa3I5OXUzYmh4WXRXc2pISTBhTXdKVXJWeXJ0Rnh3Y0RGOWZYL2s0TkRRVUVSRVJsZmJ6OWZWRmNIQ3dmQndWRllXWk0yZFcycTlGaXhiWXQyK2ZmSnlUa3dNdkw2OUsrd0ZWZjIwZTc2ZTB3TUJBL1BiYmIwcUhVU3VXTFZ1bWRBZzF4dFhWRlZ1MmJGRTZEQ0txeEprelozRGl4SWt5N1Y5ODhZWDhkZWZPblJ2VXpqeisvdjd3OS9kZklBaENwTkt4RUJFUkthWGVKaDlxbWlSSnRYcWZ4NityNnZqVkZiY3hhU2lKaC9ydTRzV0xTb2RBUkUvQnhNUUVXN2R1TGRQK2FGdDlUcFFTRVJGUitRU2xBM2hlYm01dVMvejgvT1pNbmp4WjZWQ29qaXFkc1ZIWFptVFEwNnZ0OTNEUW9FRklUMC9IZ1FNSDBLeFpzMW9aazZpK0tDb3F3b0FCQTVDVmxWWHVlVXRMUy96MDAwL1FhRFMxSEpuaS9BUkIyS1IwRUVTMXdkM2RYUUtBMk5oWW8zL1dJS0xxWS9SYmJjYkZ4UVU5bm5nSURnNDJXS0pRbCtqMWV2ejY2NjhRUmJIR3g3cDgrWEs1N2NuSnlUVStOaEVSTlV4cXRScXZ2ZlphaGVkNzlPalI0QklQS1NrcDJMbHpwNU9MaTBzVHBXTWhJaUpTaXRFbkg4b1RHUm1KeU1pYVcxWVpFaEtDblR0M3l1UDh6Ly84RDY1ZXZmclUvYWRObTRhNWMrY2F0T1hsNVZWM21BZ05EY1dFQ1JPUW1aa0pBRGg0OENEMjdkdUhPWFBtWU0yYU5kVStIbER5QjliTm16ZFJWRlJVSS9jbklxSzZ6OGZIcDhKei9mdjNyOFZJNm9hd3NEQXNYcng0bmxhcjlhMzhhaUlpb3ZxSk5SOHE4ZTkvL3h2WjJkbDQ4T0FCbkp5Y01IcjBhQ1FuSjJQMzd0MHdNek1EQU9UbTVxSjE2OVo0OGNVWERmckd4OGZMRC82bFNtc3UyTm5aSVNvcUNnRHc0TUVEckYyN0ZoczJiRURMbGkyZks5N0N3a0tzV0xFQ1U2ZE9oYW1wS2RxMmJZc05HellnUFQwZEppWW1PSFhxRkp5ZG5aOTduSW9FQkFRZ05UVzFURUZPSWlKcU9OemMzR0JwYVluYzNGeURkbk56YzNoN2V5c1RGQkVSRVNuSzZKTVBibTV1YzhMRHcrSG41MWNqOXo5Ky9EanUzYnVIbkp3YzNMdDNEK1BHallOS3BVS25UcDN3NnF1dkFpajVSTVBlM3I1TTM2U2tKQ3hjdUxEYyswWkVSSlRaNVNJb0tBZ2JOMjZFV2wzMXQwV2owU0F0TFExVHAwNkZJQWpJeTh2RHNXUEg0T2ZuaDRpSUNQajYrcUpMbHk3WXRXc1hCZzhlWE9WeGlJaUlLbUpxYW9wKy9mcGg3OTY5QnUzZHUzZVhFL2RFUkVUVXNCaDk4a0VRaENXclY2K3VzZVNEUnFQQmdBRURjT0hDQlRnN08wT2xVcUd3c0JCSlNVbTRmLzgrZ0pJNkRucTl2a3pmTjk5OEUrM2F0Y1BkdTNjaENQOVhiMmZtekprWU9YSWtkRG9kTWpJeUVCVVZoZERRMEdwYkEvdk9PKzlnNHNTSmNISnlRblIwTkh4OGZOQ2pSdytzWExrU2d3Y1BSdXZXclJFU0VvSno1ODZoYTlldTFUSW1FUkhSbzhwTFBqeHBPUVlSRVJIVmIwYWZmS2hwS3RYL2xjVzRmLzgreG93Wmc0S0NBdGpaMmNIWDF4ZXhzYkZvMUtnUm9xS2lvTmZyTVhic1dJTytyVnExUW1CZ0lCNCtmR2h3MzhkblBpeGR1aFFmZi96eGM4ZjcvZmZmNDhhTkc3QzN0MGRCUVFFQTRNS0ZDNWcwYVJLOHZiM1JybDA3QU1Da1NaTVFGQlNFVmF0V2xWa3VRa1JFOUx4ME9oMHNMQ3lRbjU4UEFEQXpNME8vZnYwVWpvcUlpSWlVd3VSREpSNmRzV0JsWllWTGx5N0pzeG5pNCtOeDY5WXRpS0tJKy9mdkl5OHZENk5HallLSmlZbmNwM0hqeHBBa0NXKy8vVFpNVFUzTEhlUHMyYk53ZEhTc2xuZ2RIQnl3ZS9kdTJOdmI0L3o1ODFDcjFjak16RVJSVVJHNmRlc20xNW5RYURTd3NMREFtREZqTUhmdVhMenh4aHZWTWo0UkVSRUFXRmhZd052Ykd3Y09IQUJRa296UWFyVUtSMFZFUkVSS1lmS2hFbzhtSDBwblFUZzRPQ0E3T3h2Tm16ZkhqUnMzMEt4Wk0rajFlcmk2dWhva0hrcEprb1RvNkdpNUxrUk1UQXphdG0yTEprMUtkdHk2Y2VNR2J0NjhXUzN4OXU3ZEc3MTc5MFowZERRbVRwd0lsVXFGb3FJaXRHclZDc3VXTFRPNDFzcktDdDk4OHcyY25aMnJaV3dpSXFKSDlldlhUMDQrc05Ba0VSRlJ3OGJrUXlWRVVjVFpzMmR4Nzk0OXRHclZDbVptWnNqSXlJQ0ZoUVcrKys0N0FJQzF0VFVzTEN4dzkrN2RjdStoVXFuZzV1YUdQbjM2QUNoSlB2VHMyUk51Ym00QWdNVEV4R3JmZldMTGxpMnd0N2RIcjE2OWNPellNZmo2K2lJL1B4OC8vL3d6ZHV6WWdZa1RKOExPem82SkJ5SWlxakhkdTNlSHFha3BSRkhFZ0FFRGxBNkhpSWlJRk1Ua1F5VkVVVVJtWmlieTh2THd3dzgvWU1TSUVmSzV6TXhNcUZRcWRPN2NHVGR2M3NTcFU2ZHc5ZXBWZ3hvS2tpUkJyOWZqaHg5K3dBOC8vQUNnSkJueDNYZmZ5Y2tMVVJSUldGaG9NRzVNVEF5U2twTGc0K01ET3p1N1o0cjUxS2xUdUh6NU1ucjE2Z1VMQ3dzc1hMZ1FIVHQyeEpkZmZvbldyVnNEQUhKeWNxcHRxUWVWcjdDd0VIZnUzREZJTEdWbFpjSEd4cWJTdnRldVhaUHJjenp1d29VTGNIVjFOYWhIVXFxb3FBZ3BLU2xvMDZaTjFRTi9oQ2lLa0NRSm9paFdXMEZVSW1vNExDMHQ0ZW5wK2RTLys0aUlpS2orcXBmSmgrRGdZRWlTVkMzM0tpb3F3b0FCQS9EWFgzK2hWYXRXT0hMa0NKbzBhWUw0K0hqNW12UG56OFBjM0J5ZE9uVkNSRVFFUHZua0UvbkJNQ01qQTZJbzRyUFBQc09nUVlQS0hXUFhybDNvMXEyYlFWdmJ0bTJ4WWNNR2hJYUdJakF3RU8rLy8vNVR4WnVWbFlVbFM1Wmc3dHk1K1BISEh3R1VMTVdRSkFsbnpwekJ1KysrQzZBaytXQmxaZlhNcndjOVBWRVVNWGp3WUF3Yk5neHo1c3dCQUFRRUJNRFIwUkh6NTg5LzR0cm40T0JnYURRYXJGbXpCdWJtNWdibkZpeFlBQk1URTN6MTFWZGwzc1BpNG1JTUd6WU1ZOGFNd1pRcFV6Qi8vbnowNnRYTDRCNjdkKy9HUC83eEQ3ejg4c3NWam4vbnpoMXMzcndaQ1FrSldMNThPWVlORzRhaFE0Y2lJQ0NnM0tRSEVWRkZCZ3dZZ0h2Mzdpa2RocUljSEJ4Z1oyZVhsSkdSMGJCZkNDSWlhdERxWmZMQjE5ZTMydTdsNWVXRjExNTdEUzFidG9SS3BjTGt5WlB4MVZkZjRlclZxekExTlVWK2ZqNGFOMjZNSlV1V2xQc3dHUmNYQjVWS0JROFBqd3JIR0RwMGFKbTJKazJhWU5XcVZaZ3dZUUsrL1BKTE9Eczd3OVBUczlKNE4yN2NpTURBUUhoNWVlRS8vL2tQYkcxdEFRQS8vZlFUTWpJeThQcnJyd01BSGp4NGdFYU5HajN0eS9EVVdyUm9BYlZhWFc3dGk0WkdvOUZBa2lSNGVIaEFGRVdvVkNxWW1KakF5c29LV3EwV1JVVkZVS3NOL3dtdVdMRUM0OGVQaDBhalFjZU9IYkYrL1hyb2REcmN2WHNYSGg0ZWFObXlKZFJxTlhRNlhibkpJNDFHQTFFVTVkazN0Mjdkd3I1OSs4cGM1K0xpWXBCOHVILy9QaElURXhFZkg0OHpaODRnTGk0T1ZsWldhTnUyTGM2ZVBZdU1qQXpZMmRreDhVQlV6UUlEQS9IYmI3OHBIVWF0ZUx6dVVIM2k2dXFLTFZ1MlZIamUzOThmL3Y3K0N3UkJpS3pGc0lpSWlPcVVlcGw4cUU0ZmZQQ0J3WEY0ZURpKytlWWJyRjY5R29zV0xZS25weWZPbmoyTEVTTkdZUExreWZEeThwS25wNHVpaUsrLy9ockRoZzFEMDZaTm4zbHNFeE1UQkFVRjRkMTMzMzNxVDQwbVRab2tQOURtNXVaQ0ZFVmN2MzRkUzVZc3dYdnZ2WWZaczJmamhSZGV3UDM3OStVQ21OVXBMQ3pzbWZ2ODlkZGZPSEhpQk41KysrMXFqMGNKRnk1Y3dLMWJ0K1RqbzBlUFl1dldyWmcyYlJyeTgvUHg1NTkvWXQyNmRUaDI3QmlXTDE5dXNDd2pKeWNIMDZkUGx4L3lEeHc0Z0xTME5IVG8wQUhEaGczRG9rV0x5azBBWkdWbElUWTJWajZPam82R0tJb1FCQUhkdW5WRC8vNzk1WE5MbGl3eFdCcFVXRmlJT1hQbXdON2VIcTFidDhhZmYvNkpvVU9ISWlnb3lHQU1hMnZyNTM5eGlNaEFRMGs4MUhjWEwxNVVPZ1FpSXFJNnoraVRENUlraGZqNStjMnA2WEhTMDlPeFpNa1NaR2RuWSt2V3JXalpzaVZFVVFRQXJGeTVFcE1uVDhaSEgzMEVIeDhmK2RPZHRXdlh3c3pNRE5PblQ2L3l1RTVPVG9pSWlLaHcvZi9qSHYwa1BTOHZEMWV1WE1ITW1UTVJGQlNFL3YzNzQrYk5tNWcrZlRvOFBEeWVhaVpGVGJsOSt6WisvZlZYSER4NEVMLy8vanNBMUp2a2cxNnZ4OXk1YytXdFZZOGRPd2E5WGk4bnN1N2N1WU9FaEFSb05Kb3lhNkQ3OXUyTDNidDNvMTI3ZGpoOStqUnNiVzB4Yjk0OGFEUWE3TisvSHhjdlhpeDNWb2xXcThYeTVjdVJrcElDQU5pM2J4K09IRGtDclZhTHZMdzhYTHQycmNKNE5Sb04xcTFiSng5SFJVV3h2Z05STFl1SmlWRTZCS29pblU2bmRBaEVSRVJHd2VpVEQzRnhjVUd4c2JFR3lZZmc0R0NELzY4TzBkSFJHRHg0TUx5OHZPUzJGMTk4RWQyNmRZT3RyUzNDdzhOeDh1Ukp2UHJxcS9KNUt5c3JyRnExU240SXJhcjI3ZHRYcWQvS2xTdWgxK3RoYTJzckx3bHhkSFJFZUhpNElvVy9rcEtTOE1zdnYrRGd3WU80Y3VWS3JZOWZXM1E2SFk0ZVBZcEdqUnBCcDlOaDRjS0ZhTk9tRGN6TXpEQno1a3dNSERnUWFyVWF2L3p5aThGc2dqdDM3aUF6TXhNOWUvYkUzYnQzY2VQR0RlaDBPbXpac2dVZmZ2Z2hQdnJvSTdScDA2YmNoeFMxV28xdnYvMFdGaFlXOFBEd3dPTEZpekZ3NEVCODhNRUhVS2xVNk51M3IzeHRhR2dvaW9xS3F2UzlpYUtJaElRRWRPclVxVXI5aVlnYW9wU1VGSncrZmRySnhjV2xTVUpDQXVzK0VCRlJnMlQweVlmeVJFYVdMS21zenVURDMvLys5ekp0SVNFaDh0ZHF0ZG9nOFFEZ3FZdEUxcFNLbG5yVVpPSWhKU1VGeGNYRmNIQndnRnF0Um1KaUluNzU1UmNjT0hBQVNVbEpOVFp1WFdOcGFTa3ZnL2pzczgvUXJGa3o1T1RrSURNekU4MmJOMGRxYW1xWjJRWG01dVpZdW5RcGNuTno1YmFZbUJpY08zY08rL2Z2eCtMRmk5R2tTUk1JZ2xEdW1JL1dITGw4K1RMaTQrTlJVRkNBNU9Sa3BLYW1HbHlibFpXRndzSkNhRFFhYk51MkRabVptZks1OVBSMG5EOS9IbXZXckRIbzg5TlBQK0h3NGNPSWpZM0Z0bTNicW4xN1dDS2kraW9zTEF5UmtaSHp0RnB0RW9CTlNzZERSRVNraEhxWmZDRGxCQVFFSURVMUZTTkdqTUN2di82SzI3ZHZQM1hmeXFhdXJsMjdGdDI3ZDVlUEoweVlnRE5uMTBMUjRnQUFJQUJKUkVGVXpsUTUxcG95YmRvMG5EMTdWbDRDTTNYcVZBd1pNZ1FSRVJFSURRMUZYRndjMnJkdmovVDBkS1NscFNFc0xBeWZmUElKYkd4c3NILy9maVFtSnNxN1VRUUZCY0hGeFFXYk5tM0N1SEhqc0dyVnFncVRENUlrNGRDaFF3Q0F6WnMzdzkzZEhZbUppZkR3OElDVGs1TjgzY21USjdGanh3N2N2bjBiTTJiTUFGQ3lUS054NDhZUUJBRjVlWGxJU1VuQnlaTW5EZTZmbUpnSUd4c2JPRG82WXN1V0xXVnFRaEFSRVJFUkVWWEU2Sk1QYm01dWM4TER3K0huNTZkMEtJU1NCMkJKa25EdjNqMFVGQlFvSFk0aXZMeTg0T0RnZ0VtVEpzSFQweE5XVmxZUVJSRUhEeDZFcDZjbjl1N2RpNUVqUnlJNU9SbTdkdTB5V0FKaFpXV0ZIVHQyd043ZUhwbVptUmc5ZWpRQ0F3TXhmdng0N051M0QxbFpXWEx5SVRRMEZINStmckN6czhPdFc3Y3dhOVlzdWJiRDFLbFRzV25USmhRVkZTRS9QeDlYcmx4QlRFd01uSnljNUJreGx5OWZSbkp5TWthTUdJRVJJMGJJTVl3Y09SSWVIaDV5WWdJb1NRd0ZCZ2JpalRmZXFJMlhrSWlJaUlpSTZobWpUejRJZ3JCazllclY5U0w1SUVrUzNuLy9mWHo0NFllS0ZvTjhIb0lnUUJBRVRKa3lCYzJiTjBkOGZEd09IanlJNDhlUGw1bjYvN2huTGJpMmR1M2FwN3F1dG91QnZmWFdXMWk3ZGkwV0xWb0VBREExTlVWSVNJaThyT0t6eno2RG01c2JMbDI2aEkwYk44TGIyMXZ1ZS9YcVZadzlleFplWGw0d05UV0ZTcVhDelpzMzhmRGhRNHdiTnc0UEhqeEFXbG9hcmw2OUNnREl6TXpFL1BuejBicDFhL2o0K0dEUm9rVVlQbnc0N08zdDhmbm5uOFBmM3gvRGh3L0hhNis5QnAxT0J4Y1hGN1J2M3g2blRwMUNhR2dvTEMwdERXSVhSUkhKeWNrWVBIaHdyYjFlUkVSRVJFUlUveGw5OHFFK3lNaklnSzJ0TFZRcUZSSVRFM0hreUJHalRUNDhTaEFFZE8zYUZWMjdkZ1VBWExwMENRY09ITUR4NDhkeDgrWk5oYU9yV2UrODh3NkdEeCtPbDE5K0dlZlBuNGNnQ0ZpeFlnWFMwOU1SRkJTRXZMdzhXRmhZNE9EQmczTFNSUlJGTEZxMENETm16RUIwZERRQW9MaTRHSWNQSDVhWGFyUnYzeDVxdFJvREJ3N0UvL3pQL3hnc3dRZ0lDRENJSVRFeEVjMmFOY09BQVFQa3R1am9hRnk0Y0FGQXlkS01pUk1uR3ZUNTdiZmY4UERoUS9UczJiTkdYaGNpSWlJaUltcVlWRW9IUU1EU3BVc3hiZG8wNU9YbFFhMVc0NldYWHNJWFgzeUIwTkJRNU9Ua0tCMWV0ZW5VcVJObXpweUovL3puUDlpK2ZUdmVmLzk5T0RzN0t4MVdqWWlMaTBPSERoMFFIaDZPbzBlUHd0dmJHM2w1ZVJnL2ZqeXVYcjBLVVJUeHlTZWZ3TVBEQTN2MzdnVUFiTnk0RVI0ZUhoZzRjQ0N5czdOaGFtcUs2ZE9uNDd2dnZrTmtaQ1NXTDErT0NSTW1vSEhqeGpBMU5hMnc5a09wbjMvK0dZV0ZoWmd6Wnc2eXNySUFBTE5temNLZVBYdXdaOCtlTW9tSDR1SmlyRnUzRG4zNzlrV2JObTFxNW9VaElpSWlJcUlHaWNrSGhVVkhSK1BJa1NPNGYvOCtrcE9UNVFmS2lSTW5Jams1R1crLy9UWk9uejZ0Y0pUVjc4VVhYOFNVS1ZQdy9mZmZZOWV1WGZqd3d3K1ZEcW5hNU9YbFljMmFOV2pidGkxVUtoVjY5KzZOK2ZQbm8wbVRKdWpac3lmKytjOS9vbW5UcGhnMWFoU0NnNFBsWFVDR0RoMktTWk1teWZlUUpBbFdWbFp3ZEhRMHVMOG9paWd1TGk0ejd2YnQyL0g5OTk4REFCSVNFcENRa0lDdFc3Y2lPenNiZi92YjN3QUFGeTVjd05telp4RWRIWTM5Ky9mTHUxdzhmUGdRYytiTWdWNnZ4N3g1ODJyc3RTRWlJaUlpb29hSnlRY0YzYjE3RjhIQndSZzRjQ0RDdzhQUnNXTkhTSklFVVJSaFptYUd6ei8vSEE0T0RwZzhlYks4YldOOTFLWk5Hd1FHQmlvZFJyWDUrdXV2a1pLU0FpOHZMd0NRaXp3S2dvQ2VQWHVpYmR1MkFFcTJiOVZvTkxDeXNnSUEyTm5aeWZmSXo4K0hYcTh2OS81NnZSNkZoWVZsMnUzczdMQisvWHBZVzF2ajBLRkRtRGR2SHV6dDdiRnExU29FQkFUQTBkRVIyN1p0UTBCQUFDWk9uSWpkdTNmRHhNUUU1OCtmeDlpeFk5R3NXVE5zMkxDaHpGYXNwWW1PUnd0akVoRVJFUkVSUFF2V2ZGQklWbGFXdkJ2Q25EbHpvRktWNUlHS2lvcmtCMHRUVTFNc1hyd1k3N3p6RGk1ZXZBaDNkM2NsUTZhbkZCQVFnQTgrK0VEZWFuUFFvRUVZT0hBZ0FHRGd3SUhvMTY4ZkFLQnAwNmJZdG0wYlhuamhoVEwzR0RKa0NQcjM3MS91L1QvNDRJTnlheklNR0RBQXJWcTFna3Fsd3JWcjErUkNsaVltSmhnOWVqUkdqeDZON094c3BLYW1JanM3Rzg3T3pyQ3hzY0hEaHc4UkVoSlM0UklZdlY2UEdUTm1HQlRHSktLNjcvTGx5M2pwcFpmS3RDY25KMWU2dE9yYXRXdG8xNjVkdWVjdVhMZ0FWMWRYK2I5Ymp5b3FLa0pLU2txMUxkMFNSVkZPeW1zMG1pZGVtNTJkRFd0cjYyb1psNGlJaUtwZnZVdytCQWNIUTVJa3BjTjRvbVhMbHVHdHQ5N0NlKys5SjdlSm9naTlYbzhPSFRySWJTMWF0TUMvL3ZXdmVsc2JvYjRxVFR3QWdGYXJsYjlXcVZRd05UV1ZqeXY2QS8zTk45K3M4TjZQRnBCOFhNZU9IUUdnM0FjT0FMQzJ0aTd6eDNuMzd0MHJ2QjhBV0ZoWVlOU29VVSs4aG9qcW50RFFVSmlZbUdEeDRzVm8zTGd4RGg0OGlLS2lJbnp6elRmdzlQUXNVL2ZsVWNIQndkQm9ORml6WmczTXpjME56aTFZc0FBbUppYjQ2cXV2NUpsYnBZcUxpekZzMkRDTUdUTUdVNlpNd2Z6NTg5R3JWeStEZSt6ZXZSdi8rTWMvOFBMTEwxYzQvcDA3ZDdCNTgyWWtKQ1JnK2ZMbEdEWnNHSVlPSFlxQWdJQnlreDRBOFBycnIrUHR0OS9HOU9uVElVa1NNak16NVJsbE9UazVaV0t0VFE0T0RyQ3pzMHZLeU1pNHAxZ1FSRVJFQ3F1WHlRZGZYMStsUTZqVWdnVUx5aFFNTEgwdzNiQmhBN3AzN3c2TlJvTnIxNjZoWThlT0JnK3NkVm1MRmkyZ1ZxdGhZbUtpZENoRVJBMU9ZV0VoVnF4WWdhbFRwOExVMUJSdDI3YkZoZzBia0o2ZURoTVRFNXc2ZFFyT3pzNW8yYkpsdWYxWHJGaUI4ZVBIUTZQUm9HUEhqbGkvZmoxME9oM3UzcjBMRHc4UHRHelpFbXExR2pxZHJ0eUhlWTFHQTFFVThlS0xMd0lBYnQyNmhYMzc5cFc1enNYRnhTRDVjUC8rZlNRbUppSStQaDVuenB4QlhGd2NyS3lzMExadFc1dzlleFlaR1Jtd3M3T3JNUEVBbENRK1dyZHVEYUJrdDZWMzMzMFhBd2NPaENBSU9IbnlKUHo4L0JUNys4RGYzeC8rL3Y0TEJFR0lWQ1FBSWlLaU9xQmVKaCtNZ1NBSTJMTm5EeElURXczYUpVbUNpWWtKVnE1Y0NRRFl2MzgvQmcwYWhILys4NTlLaFBuTXdzTENsQTZCaUtqQjBtZzBTRXRMdzlTcFV5RUlBdkx5OG5EczJESDQrZmtoSWlJQ3ZyNis2TktsQzNidDJvWEJnd2VYNlorVGs0UHAwNmZMRC9rSERoeEFXbG9hT25Ub2dHSERobUhSb2tYbEpnQ3lzcklNYWhORlIwZERGRVVJZ29CdTNib1pMQ05ic21TSm5Kd0FJTy9LWTI5dmo5YXRXK1BQUC8vRTBLRkRFUlFVWkRCR1pVc3ExR28xMUdvMVJGR0VTcVZDYm00dVRwMDZoYVpObStMV3JWczRkZXFVVVh3NFFVUkVWRjhaZmZKQmtxUVFQeisvT1VySFVSWE5temZIamgwN1lHRmhJYmNWRnhmanpwMDc4cXlJRjE5OEVWZXZYa1ZTVWhLY25KeVVDcFdJaUl6RU8rKzhnNGtUSjhMSnlRblIwZEh3OGZGQmp4NDlzSExsU2d3ZVBCaXRXN2RHU0VnSXpwMDdoNjVkdXhyMDdkdTNMM2J2M28xMjdkcmg5T25Uc0xXMXhieDU4NkRSYUxCLy8zNWN2SGl4M0psdFdxMFd5NWN2UjBwS0NnQmczNzU5T0hMa0NMUmFMZkx5OG5EdDJyVUs0OVZvTkZpM2JwMThIQlVWVldsOWgxTEp5Y255TGorRmhZVTRkT2dRTm03Y2lJVUxGMEtsVW1IczJMRVlNbVFJK3ZUcHc3cEpSRVJFQ2pQNjVFTmNYRnhRYkd5c1FmSWhPRGpZNFAvcnFoNDllcUJIang0R2JWNWVYbmp2dmZjd2N1Ukl1UzB2TDg4Z1FVRkVSRlNlNzcvL0hqZHUzSUM5dlQwS0Nnb0FsQlNJbkRScEVyeTl2ZVVpa3BNbVRVSlFVQkJXclZvbHowSzRjK2NPTWpNejBiTm5UOXk5ZXhjM2J0eUFUcWZEbGkxYjhPR0hIK0tqano1Q216WnRFQk1UVTJaY3RWcU5iNy85RmhZV0Z2RHc4TURpeFlzeGNPQkFmUERCQjFDcFZPamJ0Njk4Yldob2FKVjN6eEZGRVFrSkNlalVxUk1Bb0ZXclZyaHk1WXE4QzFCYVdocWFOMitPaUlnSVBIejRzRXBqMUlTVWxCU2NQbjNheWNYRnBVbENRZ0xyUGhBUlVZTms5TW1IOGtSR2xpeXByTXZKaHg5Ly9CR2lLSlpwTHlvcXd1WExsM0hvMENFQUpUTWgxcTlmandFREJ1Qy8vL3UvYXp2TVo1YVNrb0xpNG1JNE9EZ1lGRjBrSXFLYTUrRGdnTjI3ZDhQZTNoN256NStIV3ExR1ptWW1pb3FLMEsxYk4wUkZSUUVvbVcxZ1lXR0JNV1BHWU83Y3VYampqVGRnYm02T3BVdVhJamMzVjc1ZlRFd016cDA3aC8zNzkyUHg0c1ZvMHFSSm1YcEZwUjR0cm52NThtWEV4OGVqb0tBQXljbkpTRTFOTmJnMkt5c0xoWVdGMEdnMDJMWnRHekl6TStWejZlbnBPSC8rUE5hc1dXUFE1NmVmZnNMaHc0Y1JHeHVMYmR1Mm9XWExsakF4TWNINjlldHg0c1FKVEpreUJUNCtQcGc0Y1NKVUtoWDY5T256dkM5bnRRa0xDME5rWk9ROHJWYWJCR0NUMHZFUUVSRXBnVStIQ3ZubGwxK3dmLy8rY2d0SkhqNThHSWNQSHpabzI3cDFLOXExYTRkQmd3YlZWb2hWRWhBUWdOVFVWT3pidHc4dFdyUlFPaHdpb2dhbGQrL2U2TjI3TjZLam8rV0g4S0tpSXJScTFRckxsaTB6dU5iS3lncmZmUE9Odkp1U2pZME45dS9majhURVJIazNpcUNnSUxpNHVHRFRwazBZTjI0Y1ZxMWFWV0h5UVpJa09YRytlZk5tdUx1N0l6RXhFUjRlSGdiTEJrK2VQSWtkTzNiZzl1M2JtREZqQm9DU1pScU5HemVXNjFTa3BLVGc1TW1UQnZkUFRFeUVqWTBOSEIwZHNXWExGb09hRU1lUEg0Y2dDTmkrZlR1T0hqMktrSkNRNTM4eGlZaUlxRm9aZmZMQnpjMXRUbmg0T1B6OC9KUU81WmtFQlFYaDQ0OC9Mck9GR1JFUjBmUGFzbVVMN08zdDBhdFhMeHc3ZGd5K3ZyN0l6OC9IenovL2pCMDdkbURpeEltd3M3TXJzNDJ6bFpVVmR1ellBWHQ3ZTJSbVptTDA2TkVJREF6RStQSGpzVy9mUG1SbFpjbkpoOURRVVBqNStjSE96ZzYzYnQzQ3JGbXo1Tm9PVTZkT3hhWk5tMUJVVklUOC9IeGN1WElGTVRFeGNISnlRdE9tVFFHVXpJNUlUazdHaUJFak1HTEVDRG1Ha1NOSHdzUERRMDVNQUlCT3AwTmdZQ0RlZU9PTk10OXJZV0VoRGg4K2pCZGZmQkcrdnI3WXZuMDdvcUtpVUZCUThOUzFJNGpvK2JpNXVZMEE0RjlPKzdIU3J5VkoybjN1M0xtVnRSb1lFZFVwRmU5WlpTUUVRVml5ZXZWcXBjTjRabHF0bG9rSElpS3FkcWRPbmNMbHk1ZWgwK2xnWVdHQmhRc1hZdWpRb2JoMzc1NjhGV1ZPVGs2NVcyVmV2WG9WWjgrZVJaOCtmZkRxcTY5aTVNaVJ1SG56Smg0K2ZJaHg0OGJod1lNSFNFdEx3OTY5ZTdGbnp4NHNYNzRjaFlXRmFOMjZOWHg4ZkxCdDJ6WUFnTDI5UFQ3Ly9ITUlnb0RodzRkai9mcjFBRXEyMk96ZHV6ZFVLaFdXTDErT05tM2FHSXd2aWlLU2s1TXIzQXEwUEh2MzdrV1hMbDJnMVdwaGFXbUpKVXVXb0dQSGpoQkZFYzJiTjYvcXkwaEV6MEFVeFd1Q0lIaVgvcSswL2JHMlM0b0ZTRVIxZ3RFbkg0aUlpS2hFVmxZV2xpeFpncmx6NTBLU0pBQWxTekVhTjI2TU0yZk9vRXVYTGdES1R6Nklvb2hGaXhaaHhvd1pLQ29xZ2w2dlIyNXVMZzRmUG96MzNuc1BSNDhleFowN2Q2QldxekZ3NEVEOC9QUFBXTFJva1R5N0lDQWdBTzNidDVmdmw1aVlpR2JObW1IQWdBRnlXM1IwTkhidDJvWFUxRlJzM3J5NVRQeS8vZlliSGo1OGlKNDllejdWOTV1Zm40K3RXN2RpeXBRcHlNbkpnU1JKY0hWMVJWcGFHc3pOemVIcTZtcHdmVWhJQ0RadTNQaFU5eWFpcHhjZkgzOVdrcVNVaXM1TGtwUis3dHk1bzdVWkV4SFZQVWEvN0lLSWlJaEtiTnk0RVlHQmdmRHk4c0ovL3ZNZjJOcmFBaWdwMXBpUmtZSFhYMzhkQVBEZ3dRTTBhdFNvVEY4UER3OE1IRGdRUjQ0Y2diMjlQUUlEQS9IKysrL0QwZEZSdmk0Nk9ocW1wcVlWMW40bzlmUFBQNk93c0JCejVzekJ4eDkvREFDWU5Xc1dCZzRjV083MXhjWEZXTGR1SGZyMjdWdG1Sc1NUeGhnM2JoemF0bTJMM054Y2lLSUlVUlN4ZmZ0MkRCa3lwTXdNdyt2WHI2T3dzUENwN2sxRXowUVVCR0ViZ0ZubG5SUUU0VENBNHRvTmlZanFtbnFkZk5EcGRQand3dzhSR0Jnb3QyM1pzZ1VyVjFhKzNLeGZ2MzVZdW5TcGZCd1ZGWVdaTTJkVzJzL2QzUjFoWVdIeWNYeDhQTWFQSDE5cFB5Y25KK3pZc1VNK3ZubnpKdDU2NjYxSys5bmEydUtubjM2U2o3T3pzK0h0N1YxcFA3VmFqZWpvYUlPMjNyMTdQOVhXWk45OTk1MjhYUnNBakJrekJwY3UxZjJaZERxZFR1a1FpSWhxMUtSSmsrU2Roa29meHE5ZnY0NGxTNWJndmZmZXcrelpzL0hDQ3kvZy92MzdzTGUzTitnN2RPaFEyTm5aQVNqWjRsbVNKRmhaV1pVN1E2SzR1T3d6eFBidDI2RlNsVXlvVEVoSVFFSkNBclp0MjRaUFAvMFVmL3ZiM3dDVWJQdlpwRWtURkJjWDQ5NjllK2pWcXhjYU4yNk1odzhmWXU3Y3VkRHI5WmczYjk1VGY3K1BGbUV1alRrc0xBeDZ2UjRUSmt5UXo2bFVLaHcrZkJoWHIxN0Y3Ny8vRG45Ly96TGZQeEU5SDFFVWQ2dFVxbktURHdDK3JkVmdpS2hPcXBmTExtcmlJYk95VDNncXVzNVkrajJQeCsvVnZIbHoyTmpZVk52OW45ZmowMjdKT0QyYThDS2k4ajI2eFhGZVhoNnVYTG1DbVRObklpZ29DTk9uVDhlaVJZdHc0OFlOZUhoNHdOUFQwNkJ2YWVJQktGbk9vTmZyeXgxRHI5ZVhPM3ZBenM0TzY5ZXZoN1cxTlE0ZE9vUjU4K2JCM3Q0ZXExYXRRa0JBQUJ3ZEhiRnQyellFQkFSZzRzU0oyTDE3TjB4TVRIRCsvSG1NSFRzV3pabzF3NFlORzhyODk2TTAwVkZVVlBURTd6MC9QeC9idDIvSDRjT0hzV2JOR29Pa3lmang0eUVJQXRxM2I0OXg0OFl4OFVCVUE4NmRPeGNONE43ajdaSWszUmNFNFpBQ0lSRlJIVk45VDZBS2NYZDNsNENTdmNpSkdxclNoQnYvSFZTUFFZTUdJVDA5SFFjT0hFQ3paczJVRG9mcXNacjh0M3YzN2wzbzlYclkydHBDcTlYSzdWbFpXWlVtaVBmdTNZdisvZnNiOUN2MTQ0OC9vbWZQbnJDMnRpNXo3bzgvL29CS3BjSzFhOWZLM1praU96c2JxYW1weU03T2hyT3pzMXlMb21uVHBtVjIzaWlWbjUrUFhidDJ3ZGZYOTRseHIxMjdGbTV1YnVqY3VYTzVjZGVVcDNrUGc0T0RFUmtaQ1FCK3NiR3htMm9sTUNJRnVMdTdyd2J3MzQrMlNaSzBJeTR1N2gyRlFpS2lPcVJlTDdzZ0lpSnFxRXEzdEh6YzA4eE1lL1BOTnlzODkyZ0J5Y2QxN05nUkFQRFNTeStWZTk3YTJycE0wcUo3OSs1UGpNWEN3Z0tqUm8xNjRqVUFESlpaMURVT0RnNndzN05MeXNqSUtQT3BNRkY5SWtuU2Z3UkJNRWcraUtMNHZWTHhFRkhkd3VRREVSRVJVUTN5OS9lSHY3Ly9Ba0VRSXBXT2hhZ202Zlg2WDgzTXpCNEFhQVFBa2lUbFBIandZSy9DWVJGUkhWRXZhejRRRVJFUkVWSHR1bmp4b2w2U3BFZG5PaHk5Y2VORzVkWE1pYWhCTVBya2d5UkpJZVBHalZNNkRDSWlJaUtpQms4VXhUMmxYd3VDc0Z2SldJaW9iakg2WlJkeGNYRkJzYkd4YzVTT2c0aUlpS2c4S1NrcE9IMzZ0Sk9MaTB1VGhJUUUxbjJnZWsydFZoK1ZKQ2tQZ0NvM04zZEhwUjJJcU1Fdytwa1BSRVJFUkhWWldGZ1lGaTllUEUrcjFmb3FIUXRSVFl1SmljbVRKR2szZ0o4dlg3NmNyWFE4UkZSM0dQM01CeUlpSWlJaXFqc2tTZnBlRUFSN3BlTWdvcnJGNkpNUGJtNXVjOExEdytIbjU2ZDBLRVJFUkVSRWxYSjNkLzhKZ0kvU2NkUVVTWklBQU83dTd1c1VEcVZHU1pKMEppNHVyb2ZTY1JBWkM2TmZkaUVJd3BMVnExY3JIUVlSRVJFUjBkT3F0NGtIQUJBRVFla1Fhb1VnQ04yVmpvSEltQmo5ekFjaUlpSWlJbU1VRXhPamRBaFVSVHFkVHVrUWlJeU8wYzk4SUNJaUlpSWlJcUs2alRNZmlJaUlGTVpQMElpSWlLaSs0OHdISWlJaWhiaTZ1aW9kQWxXRGR1M2FLUjBDRVJGUm5jZVpEMFJFUkFyWnNtV0wwaUhVdU5KWkhWemJUa1JFMUxCeDVnTVJFUkZSRFhKd2NJQ2RuVjBTZ0h0S3gwSkVSS1FVem53Z0lpSWlxa0grL3Y3dzkvZGZJQWhDcE5LeEVCRVJLWVV6SDRpSWlJaUlpSWlvUmhsOThrR1NwSkJ4NDhZcEhRWVJFUkVSRVJFUlZjRG9rdzl4Y1hGQmt5ZFBWam9NSWlJaW9uS2xwS1JnNTg2ZFRpNHVMazJVam9Xb09wdzdkKzZacms5TVRLenlXSVdGaFVoSlNURm95OHJLcXZMOWlFZzVScDk4SUNJaUlxckx3c0xDc0hqeDRubGFyZFpYNlZpb1lVcE1UTVNkTzNmazQ0b2Uza1ZSUkhKeWNxWDNtemx6Smxhc1dDRWZTNUtFVzdkdVZYajkzTGx6OGY3Nzd5TTdPL3Nab3Y2L21BWVBIb3lRa0JDNUxTQWdBQjk5OUJIeTh2S2UrWDVFcEJ3V25DUWlJaUlpcXNjeU16UHh3UWNmWVA3OCtlalhyeCtDZ29Md3dnc3Z3TXJLeXVDNkd6ZHU0TWFORy9qKysrOWhZV0dCeTVjdjQ4eVpNMlh1VjFoWWlPdlhyK1Bycjc4R0FQeisrKy80L2ZmZjhlMjMzOExhMnJyTTlScU5CcTZ1cmdiblJGR0VTbFg1NTZBYWpRYVNKTUhEdzBQdVkySmlBaXNySzJpMVdoUVZGVUd0NWlNTmtURXcrbitwYm01dWM4TER3K0huNTZkMEtFUkVSRVJFZFU3Mzd0M1JwMDhmYk5xMENSNGVIcEFrQ2NlUEg0ZXpzek5pWW1KZ1lXR0JUcDA2QVNqWkdqWXFLZ3F2di80NkhCd2NzSEhqeG5KblNwdzRjUUluVHB5UWoxdTJiSW12di80YUV5ZE9CQURjdm4wYlY2OWVCUURrNU9UZ3p6Ly9SRlJVRks1ZXZZb2hRNFpnenB3NThQWDFoVWFqQVFBY1BYb1Vnd1lOUXYvKy9RRUFGeTVjTUpoTmNmVG9VV3pkdWhYVHBrMURmbjQrL3Z6elQ2eGJ0dzdIamgzRDh1WEwwYkpseTVwNThZaW8yaGg5OGtFUWhDV3JWNjltOG9HSWlJaUk2REZwYVdsbzNMZ3gzbi8vZmR5NmRRdVRKMCtHSUFqUTZYVDQzLy85WDR3ZE94WkZSVVZZdUhBaDdPM3REZnBhVzF2ajhPSERHRFpzR0c3ZnZ2M0VjYnAxNjRZUFAveFFQbGFwVlBqb280OVFWRlFFQUxoNTh5WisvZlZYQU1ENTgrZHg4K1pOTEZteVJKNjFrSitmRHhjWEY3bS9YcS9IM0xsellXcHFDZ0E0ZHV3WTlIbzlQdmpnQXdEQW5UdDNrSkNRQUkxR0F4c2JtK2Q4bFlpb05oaDk4b0dJaUlpSWlNcDMrdlJwYk5pd0FaOTk5aGtjSFIxaGEyc0xTWkp3OGVKRlJFVkZJVGMzRnkxYnRzUWZmL3lCdlh2M3d0blpHZjM2OVFNQXhNVEVJRHM3RzM1K2ZyQ3dzSUNabVJrQVlNR0NCZWpUcHc5OGZIemtjWDcrK1djc1dyUUluMzc2S1lDU0dSUkhqaHlCdGJVMVJvOGVqWjQ5ZTJMU3BFbm8xYXNYK3ZUcGc4VEVSRXlaTWdValI0NEVBT2gwT3JSdTNWcStuMDZudzlHalI5R29VU1BvZERvc1hMZ1FiZHEwZ1ptWkdXYk9uSW1CQXdkQ3JWYmpsMTkrS1hlcEJ4SFZQVXcrRUJFUkVSSFZVNE1IRDhiKy9mdngrZWVmNDVWWFhrSC8vdjF4NE1BQnBLYW1ZdWJNbVFCS2FqMlVMcUZvMUtnUmV2WHFCYTFXaTl1M2IyUEJnZ1hsM3ZlSEgzN0FEei84VUtiZHc4TUR2cjRsdFZWTGt3SUZCUVd3c0xBQUFCUVZGY0hjM0J5Q0lGUWF1NldsSldKall3RUFuMzMyR1pvMWE0YWNuQnhrWm1haWVmUG1TRTFObFpkdEVGSGR4OTB1aUlpSWlJanFNWDkvZi96OTczL0hvVU9INE8zdGpieThQTHp4eGhzNGZQZ3cyclZyaDMvODR4K0lpWW1CbDVjWGV2YnNDYTFXQzZBa2NYSHExQ25FeE1UZ3BaZGVxdkQrSFRwMHdObXpaeEVURXlNbkhoNTEvLzU5TkdyVUNNWEZ4UkJGOGFtU0Q5T21UWU8zdHpkbXpKZ0JBSmc2ZFNxMmI5K09VYU5Hb2FDZ0FIRnhjYkMydGtaNmVqclMwdEt3YU5HaTUzaUZpS2cyY09ZREVSRVJFVkU5cHRQcDhOZGZmNkZEaHc2d3NiRkJabVltUER3ODBLUkpFMlJtWnNMT3pnNEFrSnViaThhTkd4djBMYTI1b0ZhcjBhZFBuekxKaFMrLy9CSTZuYTdDWk1MRGh3OXgvLzU5Mk52Ym82Q2dBQUJnWVdGUmFmTEJ5OHNMRGc0T21EUnBFanc5UFdGbFpRVlJGSEh3NEVGNGVucGk3OTY5R0RseUpKS1RrN0ZyMXk2NXRnUVIxVjFNUGhBUkVSRVIxVk9wcWFrUUJBR2JOMi9HaUJFam9OZnJrWnFhQ2tkSFI5eTlleGNaR1JseW9jZmMzTnd5MjIrV01qRXh3WWtUSjNEeTVFbURkbEVVbnpqKzFhdFhJWW9pT25ic2lQejhmQUNBbFpVVkpFbDZZciszM25vTGE5ZXVsV2MwbUpxYUlpUWtCT2JtNWxpNmRDaysrK3d6dUxtNTRkS2xTOWk0Y1NPOHZiMmY1dVVnSWdVeCtVQkVSRVJVZ3h3Y0hHQm5aNWVVa1pGeFQrbFlxT0hadTNjdnRtN2Rpcnk4UFBUdTNSc1hMbHlBS0lydzhQREFqei8raUJkZWVBR3Z2UElLQU9EQmd3ZG8xS2hSdWZjUkJBRWRPblNBdTd1N1FmdWhRNGVlT1A3eDQ4ZlJzV05ITkczYUZOZXVYUU1BMk5yYVBsWHM3N3p6RG9ZUEg0NlhYMzRaNTgrZmh5QUlXTEZpQmRMVDB4RVVGSVM4dkR4WVdGamc0TUdEaUltSmVhcDdFcEZ5V1BPQmlJaUlxQWI1Ky92anh4OS9YQkFiR3h1cGRDelU4QVFFQkNBZ0lBQVdGaFpvMXF3Wjl1M2JCNTFPQjB0TFMyemN1QkVUSmt5QVNxV0NYcTlIZW5vNm1qVnJWdUc5TWpNemNlWEtGWVAvUFh6NHNNTHJSVkhFZ1FNSDhQYmJid01BYnQyNkJRQm8xcXdaSkVuQ3NXUEg4UG5ubitQenp6OEhnREt6SWVMaTR0Q2hRd2VFaDRmajZOR2pjcjJLOGVQSHl6TXFQdm5rRTNoNGVHRHYzcjNQKzFJUlVRM2p6QWNpSWlJaW9ucnNqei8rZ0ptWkdSSVRFM0hreUJHc1hic1dzMmZQaG8rUEQzSnljdkR1dSs5Q3BWS2hzTEFRSFR0MkxQY2V4Y1hGNk5ldkgyYk5tZ1VBdUhUcEVsUXFGZWJPblZ0aC9ZYmR1M2REcTlWaXo1NDlPSGJzR1A3NjZ5KzBiTmtTbHBhV0VFVVJkKzdjTWVqN2FQSWhMeThQYTlhc1FhOWV2YUJTcWRDN2QyL01uejhmaHc0ZFFzK2VQZkhQZi80VCsvZnZ4NmhSb3hBY0hJeE9uVHJCeWNtcEdsODFJcXB1UmovelFaS2trSEhqeGlrZEJoRVJFUkZSbmVUcTZncHpjM1BNbXpjUDgrZlB4OHFWSzlHclZ5OEVCUVZoMUtoUm1EMTdObEpTVWpCbHloUzBhOWV1M0hzOFh0RHgxS2xUQ0FnSXdQWHIxK0hzN0Z6bSt0VFVWR3pjdUJFaElTRll2bnc1Y25OemNmdjJiWG4zaXVMaVlyejMzbnRZdjM0OTFxOWZENkNrcUdXcHI3LytHaWtwS2ZEeThnSUFPRGs1b1duVHBoQUVBVDE3OWtUYnRtMEJBSC8vKzkraDBXZ3FyRlZCUkhWSDVSdnNHZ0dwc29vMVJQV2NUcWNEQUs1M3JDYURCZzFDZW5vNkRodzQ4TVRwcDBSVU9mNStBbEpTVW5ENjlPa0ZuM3p5eVpjSkNRbXMrMEJ3ZDNlWGdOci9kNUdhbW9vV0xWb2dMUzBOOXZiMkJ1Y0tDZ3BnWm1aV1lkOWx5NWJCMTlkWExrNEpsQ3lMdUhIakJvWU1HVkptOXNNdnYvd0NhMnRydUxtNUFRRFMwdEtnMFdqa25UVTJiZHFFdDk1NlM2NHhrWlNVVkdibVFsRlJrWnlReU12TGd5Uko4cXlKb3FJaWVTZU81T1JrdEduVHBpb3ZTWldWL202TGpZMnRGODlUUkxXQnl5NklpSWlJYWxCWVdCZ2lJeVBuYWJYYUpBQ2JsSTZIR3E0V0xWb0FRSm5FQTRBbkpoNEFZUGJzMldYYTNOemM1T1RDNDE1OTlWV0Q0OGZIZkh6bWNubExKaDZkQ2FIVmF1V3ZWU3FWbkhnQVVPdUpCeUtxR3FOZmRrRkVSRVJFUkVSRWRadlJ6M3h3YzNPYkV4NGVEajgvUDZWRElhbzFaODZjd1lrVEo4cTBmL0hGRi9MWG5UdDNScjkrL1dvekxDSWlJaUlpb25JWmZmSkJFSVFscTFldlp2S0JHaFFURXhOczNicUoya3N2QUFBZ0FFbEVRVlMxVFB1amJjdVdMYXZOa0lpSWlJaUlpQ3JFWlJkRVJxaExseTZ3c2JHcDhMeWxwU1U4UFQxck1TSWlJaUlpSXFLS01mbEFaSVRVYWpWZWUrMjFDcy8zNk5FREdvMm1GaU1pSWlJaUlpS3FHSk1QUkViS3g4ZW53blA5Ky9ldnhVaUlpSWlJaUlpZWpNa0hJaVBsNXVZR1MwdkxNdTNtNXVidzl2YXUvWUNJaUlpSWlJZ3F3T1FEa1pFeU5UVXRkemVMN3QyN1Y3cFhOeEVSRVJFUlVXMWk4b0hJaUpXWGZIalNjZ3dpSXFwOURnNE9zTE96U3dKd1QrbFlpSWlJbEdMMFcyMFNOV1E2blE0V0ZoYkl6ODhIQUppWm1aV2JrQ0FpSXVYNCsvdkQzOTkvZ1NBSWtVckhRa1JFcEJUT2ZDQXlZaFlXRmdiMUhYUTZIYlJhclhJQkVSRVJFUkVSbGNQb1p6NUlraFRpNStjM1IrazRpSlRTcjE4L0hEaHdBQUJZYUpLSWlNaUk2SFE2cFVNZ0lxbzFSai96SVM0dUxtank1TWxLaDBHa21PN2R1OFBVMUJScXRSb0RCZ3hRT2h3aUlucE1Ta29LZHU3YzZlVGk0dEpFNlZpb2JwQWs2WXpTTVZDMStGM3BBSWlNaWRIUGZDQnE2Q3d0TGVIcDZZbXNyQ3pZMk5nb0hRNFJFVDBtTEN3TWtaR1I4N1JhYlJLQVRVckhROHFMaTR2cm9YUU1OY25kM1YwQ2dOallXRUhwV0lpbzdtRHlnYWdlR0RCZ0FPN2RZeEYxSWlJaUlpS3FtNHcrK2VEbTVqWW5QRHdjZm41K0J1MVB1NFl1SmlhbVN2MzI3ZHVIRmkxYXlNY2pSb3pBbFN0WEt1MFhIQndNWDE5ZitUZzBOQlFSRVJHVjl2UDE5VVZ3Y0xCOEhCVVZoWmt6WjFiYXIwV0xGdGkzYjU5OG5KT1RBeTh2cjByN0FWVi9iUjd2cDdUQXdFRDg5dHR2U29kUks1WXRXNlowQ0RYRzFkVVZXN1pzVVRvTUlpSWlJaUtxQXFPditTQUl3cExWcTFmWCtyaVNKTlhxZlI2L3JxcmpWMWZjeHFTaEpCN3F1NHNYTHlvZEFoRVJFUkVSVlpIUnozeW9TRlUvZmE5cXYyM2J0bFdwMzZ4WnN6QnIxcXhuN3RlM2I5OHF4V3B0YlYzcnIwMWRZZXp4TjJTc0JrNUVSRVJFWk55TWZ1WkRlWUtEZ3cyV0tOUWxlcjBldi83NkswUlJyUEd4TGwrK1hHNTdjbkp5alk5TlJFUkVSRVJFVktwZXpueUlqSXdFZ0JwTFFJU0VoS0I5Ky9Zd05UVUZBSnc2ZFFyang0L0hpeSsrK0ZUOXAwMmJoa0dEQnVHenp6NlQyL0x5OHFEVmFxczF6dERRVUppWW1HRHg0c1ZvM0xneERoNDhpS0tpSW56enpUZnc5UFRFeElrVHEzVThvR1E3c2VMaVlqZzRPRUN0cnBjL1hrUkVSRVJFUlBTTStIUllpWC8vKzkvSXpzN0dnd2NQNE9Ua2hOR2pSeU01T1JtN2QrK0dtWmtaQUNBM054ZXRXN2N1azN5SWo0OUhabWFtUVZ0cHpRVTdPenRFUlVVQkFCNDhlSUMxYTlkaXc0WU5hTm15NVhQRlcxaFlpQlVyVm1EcTFLa3dOVFZGMjdadHNXSERCcVNucDhQRXhBU25UcDJDczdQemM0OVRrWUNBQUtTbXBwWXB5RWxFUkVSRVJFUU5GNU1QbFRoKy9EanUzYnVIbkp3YzNMdDNEK1BHallOS3BVS25UcDN3NnF1dkFpalp2OXZlM3I1TTM2U2tKQ3hjdUxEYyswWkVSSlRaNVNJb0tBZ2JOMjU4cmhrREdvMEdhV2xwbURwMUtnUkJRRjVlSG80ZE93WS9QejlFUkVUQTE5Y1hYYnAwd2E1ZHV6QjQ4T0FxajBORVJFUkVSRVQwdEpoOHFJUkdvOEdBQVFOdzRjSUZPRHM3UTZWU29iQ3dFRWxKU2JoLy96NkFram9PZXIyK1ROODMzM3dUN2RxMXc5MjdkeUVJZ3R3K2MrWk1qQnc1RWpxZERoa1pHWWlLaWtKb2FDZzBHazIxeFB6T08rOWc0c1NKY0hKeVFuUjBOSHg4Zk5DalJ3K3NYTGtTZ3djUFJ1dldyUkVTRW9KejU4NmhhOWV1MVRJbUVSRVJsYy9Cd1FGMmRuWkpHUmtaOTVTT2hZaUlTQ2xNUGxSQ3BmcS9tcHozNzkvSG1ERmpVRkJRQURzN08vajYraUkyTmhhTkdqVkNWRlFVOUhvOXhvNGRhOUMzVmF0V0NBd014TU9IRHczdSsvak1oNlZMbCtMamp6OSs3bmkvLy81NzNMaHhBL2IyOWlnb0tBQUFYTGh3QVpNbVRZSzN0emZhdFdzSEFKZzBhUktDZ29Ld2F0V3FwNjVWUVVSRVJNL08zOThmL3Y3K0N3UkJpRlE2RmlJaUlxVXcrVkNKUjJjc1dGbFo0ZEtsUy9Kc2h2ajRlTnk2ZFF1aUtPTCsvZnZJeTh2RHFGR2pZR0ppSXZkcDNMZ3hKRW5DMjIrL0xSZW9mTnpaczJmaDZPaFlMZkU2T0RoZzkrN2RzTGUzeC9uejU2RldxNUdabVltaW9pSjA2OVpOcmpPaDBXaGdZV0dCTVdQRy9ELzI3anlzcVROdEEvaDlRZ1NKaWhnVkFWZGNVVDliSUs1VmkrTXlMbE5xcWR1bjFRcDFpaXRXU3p1VmRsUmNXclRxdUdHdHBRcDFxMVdwMDhhdExoVjNRUWx1V0JFS2lQS2hJcUNDSUJCeXZqOFlNMFpBUUFrbmdmdDNYVjQxSitjOTU1YkNJWG55dnMvQjNMbHpNV3pZc0VvNVB4RVJFUkVSRWRIenpMNzRJSXJpRW05djd6bkdPdjZ6eFllbnN5QWNIUjJSbFpVRmUzdDdKQ1Vsd2M3T0R2bjUrZWpjdWJOQjRlR1pqSWlJaU5EM2hZaUtpa0tyVnEzUXNHRkRBRUJTVWhLU2s1TXJKVy92M3IzUnUzZHZSRVJFWU5xMGFaREpaTkJxdFdqV3JCbVdMVnRtc0cvZHVuV3hiZHMydEc3ZHVsTE9UVVJFUkVSRVJGUVNzeTgrUkVkSCsyczBHcU1WSDNRNkhTNWN1SUQwOUhRMGE5WU1WbFpXeU1qSWdMVzFOWGJ1M0FrQXFGZXZIcXl0clhILy92MFNqeUdUeWVEcTZvbytmZm9BS0NvKzlPelpFNjZ1cmdDQXVMaTRTci83eE9iTm05R2tTUlAwNnRVTHg0NGRnNGVIQjNKemMzSDgrSEhzM3IwYjA2Wk5nMUtwWk9HQmlJakl5RkpTVW5EdTNEa25aMmZuaHRldlgyZmZCeUlpcXBITXZ2aGdiRHFkRHBtWm1jakp5Y0crZmZzd2R1eFkvWE9abVptUXlXUjQ3YlhYa0p5Y2pMTm56eUkrUHQ2Z2g0SW9pc2pQejhlK2ZmdXdiOTgrQUVYRmlKMDdkK3FMRnpxZERnVUZCUWJuallxS1FtSmlJdnIzN3crbFVsbWh6R2ZQbmtWc2JDeDY5ZW9GYTJ0ckxGcTBDQjA3ZHNTYU5XdlF2SGx6QUVCMmRuYWxMZldnNHZMejgvSExMNy9BdzhNRHRXdlhoaWlLQnJOb25zck56WVcxdFhXNWozdjM3dDBTNzZ6eXJJeU1ETlN0VzlkZ21ZOU9wOE85ZS9kZ2IyOWYvbjhFZ0NkUG5rQVFCUDF0WlltSXFPS0NnNE9oVnF2bktSU0tSQUNoVXVjaElpS1NncXpzWGN4UFFFQUE1cytmWHluSDBtcTFHRFJvRUhyMTZnVXZMeStjUEhrUzE2NWR3NDgvL29oSGp4N2h3WU1IdUh6NU1wNDhlWUpPblRwaCsvYnQwT2wwK3ZFWkdSblE2WFJZdEdnUnpwOC9YK0tmTDc3NEFrT0dEREU0YjZ0V3JmRDc3Ny9qYjMvN0czNzQ0WWR5NTMzMDZCRUNBd014ZCs1Y2lLSUlvR2dwUm9NR0RSQVpHWW5YWDM4ZFFGSHhvVzdkdXBYd0ZhTFNMRm15QkY5ODhRVkVVY1RreVpOeCtQQmhoSWVINi8vczI3Y1A3Nzc3TG03ZXZQbkM0eno3L1RSOCtIQ3NXN2Z1aGZzSEJ3ZGp6Smd4U0V4TVJHNXVMbEpUVTNIaHdnVjRlbnJpeHg5L0JGQlVIRWxKU1NseGZGNWVIajcrK0dQY3UzY1ArZm41R0RwMEtJNGVQVnJCZnowUkVSRVJFZEYvbWYzTUIxZFgxemtoSVNIdzl2YldiL1B3OEtpMDQ3dTd1K092Zi8wcm1qWnRDcGxNQmw5Zlgzei8vZmVJajQrSHBhVWxjbk56MGFCQkF3UUdCa0toVUJRYkh4MGREWmxNaHE1ZHU1WjZqbmZmZmJmWXRvWU5HMkx0MnJXWU9uVXExcXhaZzlhdFc2TnYzNzVsNXQyMGFST21USmtDZDNkMzdObXpCN2EydGdDQW8wZVBJaU1qQTBPSERnVUFQSHo0RVBYcjF5L3ZsNkhjSEJ3Y0lKZkxTK3g5VVpQSTVVVS9XZ01HRElBZ0NJaUxpOE9jT1NXdkR2TDM5MGRvYUNnc0xTMFJFUkdCM054Yy9YTlhybHhCVGs0T1B2dnNNd0JGUFVnY0hCeEtQZS85Ky9meDY2Ky9vbjc5K2dnTEM4UFZxMWNoQ0FKc2JHeVFuNStQYTlldVlmbnk1YmgyN1JxMFdpMUNRME1ON3VnQ0FJY1BIOGJ4NDhmUnJsMDdUSjA2RlEwYk5xenc3QnNpSWlJaUlxSm5tWDN4UVJDRXdLQ2dJSVBpUTJXYU5HbVN3ZU9Ra0JCczI3WU5RVUZCV0x4NE1mcjI3WXNMRnk1ZzdOaXg4UFgxaGJ1N08yclZxZ1dnNkJQckxWdTJZT1RJa1dqVXFGR0Z6MjFoWVFGL2YzK01IajBhNmVubFd5STZZOFlNL1J2Zng0OGZRNmZUSVNFaEFZR0JnUmd6Wmd3Ky9mUlRORzdjR0E4ZVBDaHordjdMQ0E0T3J2Q1lPM2Z1NFBUcDB4Z3hZa1NsNTVISzB5VVdvaWppOXUzYmtNdmw4UEh4d2VUSmt3MzJlMzRHaWthandmZmZmMS9zZUgzNjlFSHYzcjBoQ0VLeFlzR3psaTFiQmt0TFMxaFlXT0RNbVRQNk81eGN2bndaN2RxMXc4bVRKOUdzV1ROMDZOQUJqeDQ5UW5SME5GUXFsY0V4dG0vZmp0ZGZmeDFUcDA0RlVGU0EyN1p0bTc1SENSRVJFUkVSVVVXWmZmR2hxcVNscFNFd01CQlpXVm5ZdW5Vcm1qWnRxcDhPdjNyMWF2ajYrdUt6eno1RC8vNzk5WGVWV0w5K1BheXNyREI3OXV5WFBxK1RreE8yYjkrT05tM2FsR3YvcDRVSEFNakp5Y0dOR3pmZzUrY0hmMzkvREJ3NEVNbkp5Wmc5ZXphNmR1MWFycGtVeG5MNzltMmNQSGtTQnc4ZXhOV3JWd0dnV2hRZmJ0NjhpVjI3ZHVrZmg0U0VRS2ZUUWF2Vklpb3FDc3VYTDljL2QvLytmY1RGeFdIcjFxMzZ2ZytUSmszQ2hBa1REQW9TdWJtNVdMOStQYzZlUFl2Q3drSWNPblFJOGZIeHVIejVNdDUvLzMwTUhEZ1FBUERUVHovaDBxVkxDQTRPeHUzYnQrSG41NGZaczJmai9QbnplUFBOTitIdjc0ODllL2JncTYrK3d2ejU4MUcvZm4zWTJka1o1RDk2OUNqaTR1SVFHaHFxMyticDZRbFBUMC9zMzcrZnQyUWxJaUlpSXFLWFVpMkxEd0VCQVFiL3JRd1JFUkVZUG53NDNOM2Q5ZHZhdG0yTGJ0MjZ3ZGJXRmlFaElUaHo1Z3plZlBOTi9mTjE2OWJGMnJWckRSci92WXgyN2RxOTFMalZxMWNqUHo4ZnRyYTIraVVoTFZxMFFFaElDR3hzYkY0cDA4dElURXpFaVJNbmNQRGdRZHk0Y2FQS3oxOFZtamR2anZUMGRQMU1GVkVVMGFoUkk5eThlUk9kT25YQ2xTdFhBRUMvTEtWQmd3Yll0MjhmUm80Y2lidDM3NWJZV3lFeE1SR3hzYkd3c3JKQ1lXRWg3dDY5QzYxV2l6LysrQU9Sa1pFWU9IQWdzck96b2RGb01INzhlTFJ0MjFiZkdQVmYvL29YN3QrL0R5c3JLL3pyWC8vU0wrbVlQMzgrTEMwdHNXblRKdjFNaXF5c0xLeFlzUUlUSjA1RTU4NmQ5ZWR2MnJRcFBEMDlNWGZ1WE55N2R3L2p4NDgzS0hJUkVSRVJFUkdWcFZxK2cxQ3IxUUFxdC9qdzFsdHZGZHUyWk1rUy9kL2xjcmxCNFFFQUprNmNXR25uZnhtbExmVXdadUVoSlNVRmhZV0ZjSFIwaEZ3dVIxeGNIRTZjT0lFREJ3NGdNVEhSYU9jMUZUS1pESUdCZ1FBQWxVcUZDUk1tSUNNakExRlJVYmh4NHdiNjlldG5zUC9SbzBkUldGZ0lBRkFxbGRpMWF4Y0tDZ3FRbFpXRjdPeHNOR25TQkRLWkRIWHIxc1dpUll2dzdydnZ3dGZYRi8zNjlVUFBuajNScFVzWEFFV0ZycVZMbDBLbFVpRXRMUTBXRmhZWU5HZ1FybDI3aGc0ZE91REdqUnVJam81RzgrYk5vVktwb05WcUlaZkxjZjc4ZWZUbzBRTTZuUTUrZm42NGUvY3VkRG9kdnZubUc0T2NDUWtKQUlDMWE5ZGk1ODZkR0Rac0dHYk1tR0hrcnlZUkVSRVJFVlVYMWJMNFFOS1pQSGt5VWxOVE1YYnNXSnc4ZVJLM2I5OHU5OWpuZXc4OGIvMzY5ZWpldmJ2KzhkU3BVeEVaR1ZubWNVdTd6YVV4WldSa0FBQldyRmlCOTk5L0h3cUZBbi84OFFjaUlpS2dVQ2dnazhsZ2EydUxnb0lDZlk4RloyZG43Tm16QndBd2JkbzBYTGx5QllzV0xkSi9YZTdldlF1Z3FCa3BBQlFVRkJScjdDbVR5ZENwVXlmSVpESzR1cm9pS3lzTFRaczJoVnd1eCtYTGwyRnZiNC9XclZ2ajJMRmorUHZmLzY0dlBIejU1WmVReStYbzJiTW5JaU1qY2YvK2ZhU25wNk5EaHc0QWlwYVQyTnJhb2wyN2RyaHc0UUpuUGhBUkVSRVJVWVh3SFFSVktsRVVJWW9pMHRQVGtaZVhWNkd4VlYwZ01JWnIxNjVoMWFwVmlJNk9CZ0JNbno0ZG8wZVB4b1lORy9ESko1OWcyYkpsR0RWcUZDNWZ2b3dOR3piZzg4OC9SNk5HamVEczdLdy9Sa3hNREM1Y3VJQ3Z2dm9LVzdkdVJjZU9IYUZRS0pDUWtBQ1pUSVkyYmRvZ1B6OGZBUFROVFo5NnR0R2xUQ1pEZW5vNjR1UGowYng1Y3hRV0Z1TE9uVHZRYXJXNGMrZU8vdi9QNWN1WDBhaFJJM3p4eFJmNkpSaExseTdGaFFzWHNIWHJWZ0NBdDdjMzJyWnRpODgvL3h5WEwxL1czN0tWaUlpSWlJaW9QRmg4TUNHaUtHTGl4SW40OE1NUEpXMEcrU29FUVlBZ0NKZzVjeWJzN2UxeDZkSWxIRHg0RUtkT25VSnFhdW9MeDE2NGNLRkM1MXEvZm4yNTlpdHJSa1ZsYXR1MkxaNDhlWUtnb0NCTW16WU5OalkyU0UxTmhTaUtjSFIwQkFCMDZOQUJQLy84TTd5OXZaR1ZsUVVIQndmOXJVOTFPaDFXckZnQmIyOXZEQnc0RUdmUG5zV3NXYk93YnQwNm5EdDNEdTNhdFlOQ29jQ2pSNDhBb0ZnL0VVRVFVRkJRZ1B6OGZGaFpXVUVtazJIQWdBSDQ1Sk5QNE83dWp2ZmZmeC92dlBNT1ZDcVZmbG1PaTRzTFhGeGNESTV6NGNJRmRPdldUZjg0S3lzTENvVUNnaUN3OEVCRVZFR09qbzVRS3BXSkdSa1o1YnQxRlJFUlVUWEU0b01KeU1qSWdLMnRMV1F5R2VMaTRuRGt5Qkd6TFQ0OFN4QUVnemUyMTY1ZHc0RURCM0RxMUNra0p5ZExuTTQ0TEMwdDhmMzMzeHNVQldKall3RUEvL00vL3dPZ3FObms0TUdEY2VIQ0JZU0ZoZWxuRytUbjUyUDU4dVdJajQvSFgvN3lGNnhjdVJLcHFhbUlpb3JDeG8wYjhkdHZ2MkhDaEFrQWltN1JDUUIxNnRReE9MOU9wOE90VzdjQUFJMGJOMzdoYlRsTEV4TVRnNFNFQklPZUtROGZQcFNrU1NrUlVYWGc0K01ESHgrZmhZSWdxS1hPUWtSRUpKV0t2ek9oU3ZmMTExOWoxcXhaeU1uSmdWd3VSNGNPSGJCeTVVcXNXTEZDL3lhek91alVxUlA4L1B5d1o4OGUvUFRUVDVnNGNTSmF0MjR0ZGF4SzkveHNoTE5uejhMRnhRVktwUklBOE9USkU4amxjaVFsSldIZHVuVUcrNTQrZlJvNU9UazRjZUlFNnRldmowbVRKcUZQbno3NC92dnZZVzF0alZHalJnRW91azBuQU5TdlgxOC9WaFJGdEdyVkNnOGZQb1NscFNXNmRPbWl2eDNzVXhrWkdZaVBqd2RROGpJWG5VNkhsU3RYNHMwMzM5VGY4VUtyMWVMQmd3ZWxOakFsSWlJaUlpSXFpOW5QZkJCRmNZbTN0L2NjcVhPOHJJaUlDQnc1Y2dTZE9uWEN6WnMzOVc4SXAwMmJoazgvL1JRalJvekFnZ1VMMExOblQ0bVRWcTYyYmR0aTVzeVptRGx6Sm03ZXZJa0RCdzVJSGFuU3JGMjdGcmEydGdDQXZMdzhIRDU4R0FzV0xORGZmblBCZ2dVWU5Xb1Vwaytmam5YcjF1SEtsU3VZUG4wNlhuLzlkY3liTnc5Tm1qUkJxMWF0OU1lN2VQRWlMbDY4aU9YTGwrT2JiNzZCcmEwdEVoTVRJWlBKMExScFUvMStnaURneHg5L3hIdnZ2WWVSSTBkQ29WQkFxOVVhRkJrU0VoTHcwMDgvUVNhVG9XWExsZ2E1OC9QenNXREJBbVJtWnVMcnI3L0dtVE5ua0phV2hveU1ET2gwT3JSdDI5YUlYelVpSWlJaUlxck96TDc0RUIwZDdhL1JhTXl5K0hELy9uMEVCQVJnOE9EQldMaHdJU3dzTENDS0luUTZIYXlzckxCOCtYSk1uandadnI2KzJMQmhBOXpjM0tTT2JCUXRXN2JFbENsVHBJNVJhVHAyN0lobHk1YWhYcjE2dUhUcEVucjA2QUYzZDNla3BxYWlRWU1HOFBEd3dFY2ZmUVJSRkpHUWtJRDc5Ky9ybDBmMDZORkRmeHlkVG9mdnYvOGVSNDhleGViTm05R3laVXYwN2RzWGl4Y3ZSbkp5TXNhTUdRT0ZRbUd3LytMRmkxR25UaDM0K3ZvQ0FMeTh2UFMzZ05WcXRYQnhjY0Y3NzcySC9QeDhnMkxDeFlzWHNXVEpFblRvMEFFLy9QQUQ2dGF0aThhTkd5TTBOQlJSVVZIbzFxMGJPblhxVkJWZlBpS2lhaWNsSlFYbnpwMXpjbloyYm5qOStuWDJmU0Fpb2hySjdJc1A1dXJSbzBlWU1XTUcrdmJ0aXpsejV1amZmR3ExV2hRVUZBQW9tcjcvMVZkZllkU29VWWlKaWFtMnhZZnFadURBZ1hCd2NJQlNxY1RSbzBjeGN1UklBSUNEZ3dPKy9mWmIvVklUUVJDd2NPRkM2SFM2RW05ZG1aMmREU3NySzJ6WnNrVy9sRU9sVW1ITm1qWDZ2aERQMnJCaEErcldyWXR2di8xV3YvK1FJVU1BRkMzSnFGT25EdXpzN05DeFk4ZGk1MHBNVEVSQVFJREJYVGZhdFd1SGxTdFhZdi8rL1hqbm5YZXF4ZDFJaUlpa0VCd2NETFZhUFUraFVDUUNDSlU2RHhFUmtSU3FaZkVoSUNBQW9paEtIZU9GbGkxYkJrOVBUNHdaTTBhL1RhZlRJVDgvSCszYnQ5ZHZjM0J3d0xwMTY2cGxiNFRxN0dtL2hQSGp4eHRzZjM3cGdrd21LN1VwcEkyTkRTWk9uRmhzZS9QbXpkRzhlZk5pMjZkT25WcHFIa0VRY09qUW9WS2Y5L1QwTEhGN25UcDE5SDBtaUlpSWlJaUlYcGJaRng5Y1hWM25oSVNFd052Ylc3L053OE5Ed2tUbHMzRGh3bUtmSk10a01saGFXbUxqeG8zbzNyMDdhdFdxaFQvLy9CTWRPM1lzMXNUUVZEazRPRUF1bDhQQ3drTHFLRVJFUkVSRVJHUWl6TDc0SUFoQ1lGQlFrRUh4d1J3SWdvQmZmdmtGY1hGeEJ0dEZVWVNGaFFWV3IxNE5BTmkvZnorR0RCbUNmL3pqSDFMRXJMRGc0R0NwSXhBUkVSRVJFWkdKTWZ2aWd6bXp0N2ZIN3QyN1lXMXRyZDlXV0ZpSWUvZnU2V2RGdEczYkZ2SHg4VWhNVElTVGs1TlVVWW1JaUlpSWlJaGVXclVzUGdRRUJCajgxMVQxNk5IRDRPNEdBT0R1N280eFk4WmczTGh4K20wNU9Ua0dCUW9pSWlJaUlpSWljMUl0aXc5cXRScUFhUmNmRGg4K0RKMU9WMnk3VnF0RmJHd3NmdnZ0TndCRk15RysrKzQ3REJvMENOT25UNi9xbUJXV2twS0N3c0pDT0RvNmxuZ0hCeUlpSWlJaUlxcDUrTzVRSWlkT25NRCsvZnRMYkNSNTZOQ2hZbmNtMkxwMUs5cTBhYU8vZGFLcG1qeDVNbEpUVTdGMzcxNDRPRGhJSFllSWlJaUlpSWhNQUlzUEV2SDM5OGNYWDN5QjJyVnJTeDJGaUlpSWlJaUl5S2hrVWdlb3FSUUtCUXNQUkVSRU5ZQ2pveU9VU21VaWdIU3BzeEFSRVVtRk14K0lpSWlJak1qSHh3YytQajRMQlVGUVM1MkZpSWhJS3B6NVFFUkVSRVJFUkVSR1pmWXpIMFJSWE9MdDdUMm5wT2RVS2hVKy9QQkRUSmt5UmI5dDgrYk5XTDE2ZFpuSEhUQmdBTDcrK212OTQvRHdjUGo1K1pVNXpzM05EY0hCd2ZySGx5NWR3Z2NmZkZEbU9DY25KK3pldlZ2L09EazVHWjZlbm1XT3M3VzF4ZEdqUi9XUHM3S3kwSzlmdnpMSHllVnlSRVJFR0d6cjNiczNuang1VXViWW5UdDNvazJiTnZySEV5Wk13TFZyMThvY0p6V1ZTaVYxQkNJaUlpSWlvaHJKN0djK1JFZEgrL3Y2K2hwc004YWJURUVRWG1vL2N4bjNLcDQvbHIyOVBXeHNiQ3J0K0srcWMrZk9Va2VnU3ZCc3dZdUl5SnlrcEtRZ0xDek15ZG5adWFIVVdZaUlpS1JTZWU5QUpTU0tvaWgxQmlJcFBTMjRSVVZGU1p5a2VoZ3laQWpTMHRKdzRNQUIyTm5aU1IySHlLengrZ1FFQkFSQXJWWURnTGRHb3dtVk9BNlIwYm01dVlrQW9ORm9xc1Y3RFNLcUhHWS84NEdJaUlpSWlJaUlUSnZaRng5Y1hWM25oSVNFU0IyRGlJaUlpSWlJaUVwaDlzVUhRUkFDZzRLQ3BJNUJSRVJFUkVSRVJLVXcrK0lERVJFUkVSRVJFWmsyRmgrSWlJaUlpSWlJeUtoWWZDQWlJaUlpSWlJaW8yTHhnWWlJaUlpSWlJaU1pc1VISWlJaUlpSWlJaklxRmgrSWlJaUlqTWpSMFJGS3BUSVJRTHJVV1lpSWlLUWlsem9BRVJFUlVYWG00K01ESHgrZmhZSWdxS1hPUWtSRUpCWE9mQ0FpSWlJaUlpSWlvekw3NG9Nb2lrdTh2THlramtGRVJFUkVSRVJFcFRENzRrTjBkTFMvcjYrdjFER0lpSWlJU3BTU2tvS3dzREFuWjJmbmhsSm5JU0lpa2dwN1BoQVJFUkVaVVhCd01OUnE5VHlGUXBFSUlGVHFQRVJFUkZJdys1a1BSRVJFUkVSRVJHVGF6TDc0NE9ycU9pY2tKRVRxR0VSRVJFUkVSRVJVQ3JNdlBnaUNFQmdVRkNSMURDSWlJaUlpSWlJcWhka1hINGlJaUlpSWlJakl0TEg0UUVSRVJFUkVSRVJHeGVJREVSRVJFUkVSRVJrVml3OUVSRVJFUkVSRVpGUXNQaEFSRVJFUkVSR1JVYkg0UUVSRVJHUkVqbzZPVUNxVmlRRFNwYzVDUkVRa0ZiblVBWWlJaUlpcU14OGZIL2o0K0N3VUJFRXRkUllpSWlLcGNPWURFUkVSRVJFUkVSbVYyYzk4RUVWeGliZTM5eHlwY3hBUkVSRVIxVVJkdW5SUjFhcFZTL1g4ZGpjM041K25meGRGOFhwMGRQU0pxazFHUktiRTdJc1AwZEhSL2hxTmhzVUhJaUlpTWtrcEtTazRkKzZjazdPemM4UHIxNit6N3dOVk94WVdGa29BRzBwNDZ0bHQ0Nm9vRGhHWktMTXZQaEFSRVJHWnN1RGdZS2pWNm5rS2hTSVJRS2pVZVlncW00V0ZSYmdvaWxrQTZwWDB2Q2lLajdPeXNuNnU0bGhFWkdMWTg0R0lpSWlJaUY1YVZGUlVnU2lLTzErd3k5SDQrUGk4S2d0RVJDYko3SXNQcnE2dWMwSkNRcVNPUVVSRVJFUlVrNFc5NExuZFZaYUNpRXlXMlMrN0VBUWhNQ2dvQ043ZTNsSkhJYW95a1pHUk9IMzZkTEh0SzFldTFQLzl0ZGRldzRBQkE2b3lGaEVScjA5RU5WUm1adVl4cFZLWkEwRHgzRk5QN3Q2OSs2TENCQkhWRUdaZmZDQ3FpU3dzTExCMTY5WmkyNS9kdG16WnNxcU1SRVFFZ05jbm9wb3FLU25waVZLcC9CbkErT2VlQ3YrLy8vdS9IQ2t5RVpGcE1mdGxGMFExMGV1dnZ3NGJHNXRTbjY5VHB3NzY5dTFiaFltSWlJcncra1JVYytsMHVtTExLM1E2SFJ0TkVoRUFGaCtJekpKY0xzZGYvL3JYVXAvdjBhTUhhdFdxVllXSmlJaUs4UHBFVkhNVkZCUWNCZkRrNldOUkZQTXRMQ3hlMUlpU2lHb1FGaCtJekZULy92MUxmVzdnd0lGVm1JU0l5QkN2VDBRMVUweE1UTFlvaXY5K1p0UHhxS2lvaDVJRklpS1R3dUlEa1pseWRYVkZuVHAxaW0ydlhiczIrdlhyVi9XQmlJaitnOWNub3BwTEVJUmR6enpjSTFrUUlqSTVMRDRRbVNsTFM4c1N1OFYzNzk0ZFZsWldFaVFpSWlyQzY1TWhSMGRIS0pYS1JBRHBVbWNoTXJaYXRXb2RFVVV4RDBCQmZuNytUMUxuSVNMVHdlSURrUmtyNmNYOWk2WTdFeEZWRlY2Zi9zdkh4d2VIRHg5ZXFORm8xRkpuSVRLMmlJaUlSNElnN0JkRjhYUk1URXlHMUhtSXlIU3crRUJreGxRcUZheXRyZldQcmF5c1NuekJUMFJVMVhoOUlxclJmaEpGOFJlcFF4Q1JhWkZMSGVCVmlhSzR4TnZiZTQ3VU9ZaWtZRzF0alg3OSt1SEFnUU1BaWw3c0t4UUtpVk1SRWZINlJQUWlibTV1UndGVTI2bEFvaWhDRUFTNHVibXRsRHFMTVltaUdCa2RIZDFENmh5bXdzM05UU3pQZmhxTlJ1QTQ0NDB6WldZLzh5RTZPdHJmMTlkWDZoaEVrbm4yazBRMmNpTWlVOExyVTVHVWxCU0VoWVU1T1RzN041UTZDNW1NYWx0NEFBQkJFQ0FJWnZOKzZLVUpndEJkNmd6bVNId094NzN5dU5mTHU2L1V6SDdtQTFGTjE3MTdkMWhhV2tLbjAySFFvRUZTeHlFaTB1UDFxVWh3Y0REVWF2VThoVUtSQ0NCVTZqeGtPcUtpb3FTT1FDOUpwVkpKSGNIa3ZPejNNOGRWN2poVFp2WXpINGhxdWpwMTZxQnYzNzV3ZFhXRmpZMk4xSEdJaVBSNGZTSWlxaGxjWEZ3MkJRUUVTQjJEVEp6WkZ4OWNYVjNuaElTRVNCMkRTRktEQmcycTBWT2FpY2gwOGZwRVJGVDl5V1F5YjdXYU4vU3BhcW1wcWRpNGNXT0x6cDA3VzBxZHBUek1mdG1GSUFpQlFVRkI4UGIyZnVGKzVaMGE5ZnowbHZLTzI3dDNMeHdjSFBTUHg0NGRpeHMzYnBRNUxpQWdBQjRlSHZySEsxYXN3UGJ0MjhzYzUrSGhnV2VyaStIaDRmRHo4eXR6bklPREEvYnUzYXQvbkoyZERYZDM5ekxIQVMvL3RaRjZ5dENVS1ZOdy92eDVTVE5VbFdYTGxra2R3V2c2ZCs2TXpaczNTeDJEcUZMeCtsUTlTSDE5TXBjbWFOVjlIQkZSVlpzOWV6Ymk0dUordGJTMGRBRndTZW84WlRIN21RK21vZ0k5UVNybE9NL3Y5N0xucjZ6Y3BxeW12TEN2N2d2cFNRRUFBQ0FBU1VSQlZHSmlZcVNPUUZUcGVIMnFIc3psK21SR3pkUE1aWnpaTkhraklqSUZaai96b2J5cXV0SEhqei8rK0ZMalB2bmtFM3p5eVNjVkh2ZVh2L3pscGJMV3ExZXZ4alJCTWJlODlGOXM2a1RWSGE5UDVzc1Vyay9tMGdTdHVvOGpJcUlYcXhFekh3SUNBbUNxRFZEeTgvTng4dVJKNkhRNm81OHJOamEyeE8wM2I5NDArcm1KaUlpbzhySEpHeEVSbVlzYVVYeFFxOVV3WmdPVUpVdVdJQ3dzVEgrZXp6Ly9IUEh4OGVVZVAydldMTXlkTzlkZ1cwNU9UbVhIeElvVkt6QjE2bFJrWm1ZQ0FBNGVQSWk5ZS9kaXpwdzUrT2FiYnlyOWZFRFJ2YzJUazVPaDFXcU5jbndpSXFLYWpFM2VwR0Z1VGQ2SWlFeEJqVmwyVVZrMmJOaUFyS3dzUEh6NEVFNU9UaGcvZmp4dTNyeUpmLy83MzdDeXNnSUFQSDc4R00yYk4wZmJ0bTBOeGw2NmRFbi94ditwcDBzTGxVb2x3c1BEQVFBUEh6N0Urdlhyc1hIalJqUnQydlNWOGhZVUZHRFZxbFg0NktPUFlHbHBpVmF0V21IanhvMUlTMHVEaFlVRnpwNDlpOWF0VzcveWVVb3plZkprcEthbUZtdklTVVJFUkdTdXpLM0pHeEdSS1dEeG9ZSk9uVHFGOVBSMFpHZG5JejA5SFY1ZVhwREpaT2pVcVJQZWZQTk5BRUJ3Y0RDYU5HbFNiR3hpWWlJV0xWcFU0bkczYjk5ZTdDNFgvdjcrMkxScEUrVHlsLy9mVkt0V0xkeTlleGNmZmZRUkJFRkFUazRPamgwN0JtOXZiMnpmdmgwZUhoNTQvZlhYOGZQUFAyUDQ4T0V2ZlI0aUlpSXFtYU9qSTVSS1pXSkdSa2E2MUZtSWlJaWt3dUpEQmRXcVZRdURCZzNDbFN0WDBMcDFhOGhrTWhRVUZDQXhNUkVQSGp3QVVOVEhJVDgvdjlqWXQ5OStHMjNhdE1IOSsvY2hDUCs5TzVPZm54L0dqUnNIbFVxRmpJd01oSWVIWThXS0ZhaFZxMWFsWkI0MWFoU21UWnNHSnljblJFUkVvSC8vL3VqUm93ZFdyMTZONGNPSG8zbno1bGl5WkFrdVhyd0lGeGVYU2prbkVSRVJGZkh4OFlHUGo4OUNRUkM0UG9MTVJrVmVGNmFrcEpRNGl6WXlNaEpkdTNhRlRQYmlsZDZGaFlXd3NMQW84Ym04dkR6OTdHS2lxcGFmbjQrSWlBajA3dDI3ek85aktodUxEeFgwN0RmZGd3Y1BNR0hDQk9UbDVVR3BWTUxEd3dNYWpRYjE2OWRIZUhnNDh2UHo4Zjc3N3h1TWJkYXNHYVpNbVlJblQ1NFlIUGY1bVE5ZmYvMDF2dmppaTFmT3UydlhMaVFsSmFGSmt5Ykl5OHNEQUZ5NWNnVXpac3hBdjM3OTBLWk5Hd0RBakJrejRPL3ZqN1ZyMXhaYkxrSkVSRVJFcGkwdUxnNzE2OWVIblowZEFPRFJvMGV3c2JFcHRwOU9wOE90VzdmUXNtWExGeDdQejg4UEhoNGVtRFZyRm9DaXBjSzNiOTlHOCtiTmkrMGJGaGFHcUtnb3pKMDcxK0IxNU9MRmkyRmpZNE5ObXpiQjByTDA5aGhUcGt5Qms1TlRpZnY4L3Z2ditQampqekZ3NE1CaXp5MVlzQUE5ZXZSQTdkcTFjZnIwYVhoNmVtTFhybDM2YmVmUG4wZnYzcjN4eGh0dnZQRGZTcFhDZS83OCtTRlNoeWpKa2lWTDBLNWRPLzMzMTltelovSEJCeCtVK3ozUHJGbXpNR1RJRUh6NTVaZjZiVGs1T1ZBb0ZFYkpXNTJaZmZGQkZNVWwzdDdlYzZycWZNL09XS2hidHk2dVhidW1uODF3NmRJbDNMcDFDenFkRGc4ZVBFQk9UZzdlZSs4OWcwcHVnd1lOSUlvaVJvd1lVZXBGK01LRkMyalJva1dsNUhWMGRNUy8vLzF2TkduU0JKY3ZYNFpjTGtkbVppYTBXaTI2ZGV1bTd6TlJxMVl0V0Z0Ylk4S0VDWmc3ZHk2R0RSdFdLZWNuSWlJaUl1UEx6TXpFcEVtVE1ILytmQXdZTUFEKy92NW8zTGd4NnRhdGE3QmZVbElTa3BLU3NHdlhMbGhiV3lNMk5oYVJrWkhGamxkUVVJQ0VoQVJzMmJJRkFIRDE2bFZjdlhvVk8zYnNRTDE2OVF6Mm5URmpCaVpObW9UcDA2Zmp0OTkrMDIrWHkrVndjWEY1WWVFQkFISnpjeEVXRmxicTh5a3BLU1Z1djNuekpuNzk5VmY5NDlqWVdNamxjb050a1pHUjZOV3JsOEZyZUtwOEdvMG05TzIzMzVhOCtHQnUvZmxlbGIyOVBXN2V2Sm44K1BIalBFbURsSlBaRngraW82UDlOUnFOSk1XSHA3TWdIQjBka1pXVkJYdDdleVFsSmNIT3pnNzUrZm5vM0xsemlWUElSRkZFUkVTRXZpOUVWRlFVV3JWcWhZWU5Hd0lvK3FXUW5KeGNLWGw3OSs2TjNyMTdJeUlpQXRPbVRZTk1Kb05XcTBXelpzMndiTmt5ZzMzcjFxMkxiZHUyb1hYcjFwVnliaUlpSWlwNjQzVHUzRGtuWjJmbmh0ZXZYMmZmQnpLSzd0MjdvMCtmUGdnTkRVWFhybDBoaWlKT25UcUYxcTFiSXlvcUN0YlcxdWpVcVJPQW90ZXU0ZUhoR0RwMEtCd2RIYkZwMHlZOGV2U28yREZQbno2TjA2ZFA2eDgzYmRvVVc3WnN3YlJwMHd6Mms4bGttRFZybGtIaDRlbjI4aWhydjVKNnFRR0FoWVVGeG80ZGkwOCsrUVREaHc5SC8vNzljZnIwYWYyMjhlUEg0NDAzM21EaG9RTGMzTno2Q29JZ2o0cUtPZ25BN0c1WFoyNzkrVjdWcWxXckFPQnRRUkN1U3hhaUFzeSsrRkRWZERvZExseTRnUFQwZERScjFneFdWbGJJeU1pQXRiVTFkdTdjQ1FDb1Y2OGVySzJ0Y2YvKy9SS1BJWlBKNE9ycWlqNTkrZ0FvS2o3MDdOa1RycTZ1QUlxbXpWVjJGVzN6NXMxbzBxUUpldlhxaFdQSGpzSER3d081dWJrNGZ2dzRkdS9lalduVHBrR3BWTEx3UUVSRVZNbUNnNE9oVnF2bktSU0tSQUNoVXVlaDZ1ZnUzYnRvMEtBQkprNmNpRnUzYnNIWDF4ZUNJRUNsVW1IcDBxVjQvLzMzb2RWcXNXalJvbUp2dXVyVnE0ZERodzVoNU1pUnVIMzc5Z3ZQMDYxYk4zejQ0WWNsUHRlb1VTTjg4c2tuQnR1ZWY5Ti80OFlOdEcvZnZ0all3c0xDRjU1WHE5VWlJeU1EZGV2V05aaEZJWW9pTkJvTmxpOWZqZ2NQSHFDd3NCQTZuVTYvN2U3ZHUyVWVtNHA1VXhURnhXNXVibzhBL0FRZ0xDOHY3MWhNVEV6eGhuWW15Qno3ODlVa0xENVVrRTZuUTJabUpuSnljckJ2M3o2TUhUdFcvMXhtWmlaa01obGVlKzAxSkNjbjQrelpzNGlQanplWTBpT0tJdkx6ODdGdjN6N3MyN2NQUUZFeFl1Zk9uZnJpaFU2blEwRkJnY0Y1bzZLaWtKaVlpUDc5KzBPcFZGWW84OW16WnhFYkc0dGV2WHJCMnRvYWl4WXRRc2VPSGJGbXpScjl1cjNzN094S1crcEJaV05qSmlJeVZidytrU2xnazdlS09YZnVIRFp1M0lndnYvd1NMVnEwZ0sydExVUlJSRXhNRE1MRHcvSDQ4V00wYmRvVWYvenhCMzc5OVZlMGJ0MGFBd1lNQUZEMEdqTXJLd3ZlM3Q2d3RyYlcvNHd1WExnUWZmcjBRZi8rL2ZYbk9YNzhPQll2WG93RkN4WUFBRTZlUEluZmZ2c051Ym01dUh6NU12Nys5NzlqNk5DaFNFaElRRzV1TG5KeWNuRDc5bTJFaDRmanpwMDdXTGR1SGNMQ3dtQm5aNGZ6NTgvaitQSGpBSURyMTYramZmdjJVS2xVeGY1dE8zYnNRR1JrSkRaczJJREJnd2RqeG93Wit1ZTBXaTB5TXpOeDQ4WU5QSDc4R045ODh3MnNyS3lRbDVlSDJOaFl5R1F5NU9mblF4UkZ6bjZvT0JzQUh3TDQwTkxTTXR2RnhXVVhnTEQ3OSsvL2Z2djI3ZHpuZDNaeGNka1VFQkNBZ0lDQXFzNXB3Tno2ODlVMFpsOThjSFYxblJNU0VnSnZiKzlTOXdrSUNOQ3YxM2xWV3EwV2d3WU53cDA3ZDlDc1dUTWNPWElFRFJzMnhLVkwvNzNGOCtYTGwxRzdkbTEwNnRRSjI3ZHZ4ei8vK1UvOUQwSkdSZ1owT2gyKy9QSkxEQmt5cE1Sei9Qenp6K2pXclp2QnRsYXRXbUhqeG8xWXNXSUZwa3laZ29rVEo1WXI3Nk5IanhBWUdJaTVjK2ZpOE9IREFJcVdZb2lpaU1qSVNJd2VQUnBBVWZIaCtUV0JaRHhzekVSRXBvclhKN1BESm0rRTRjT0hZLy8rL1ZpK2ZEbTZkT21DZ1FNSDRzQ0JBMGhOVFlXZm54K0FvbVc5VDVkUTFLOWZINzE2OVlKQ29jRHQyN2V4Y09IQ0VvLzc3SWRseityYXRTczhQRHpRcDA4Zi9Qbm5uemg0OENBeU1qSnc2ZElsYUxWYVJFVkZ3Y0xDQW1scGFiaHo1dzVPbmp5cEg3dDI3Vm9zV3JRSUhUcDBRRkJRa0g3SytvMGJOM0RqeG8wU2MwUkdScUpGaXhhNGR1MGFNakl5Y09mT0hlemZ2eDhaR1JsUXFWU3d0YlZGY25JeTB0TFNrSmVYQjVWS0JZMUdnenAxNnVERWlSUFE2WFQ0OU5OUFgrbHJYSk1KZ2xCWEVBUnZBTjUyZG5hNWpSczMzaU9LNHE2Q2dvSWpNVEV4MlFBZ2s4bTgxV3ExNU1VSGMrdlA5NnBTVTFPeGYvLytGcDA3ZC83REhHYW5tSDN4UVJDRXdLQ2dvQmNXSHp3OFBDcnRmTzd1N3ZqclgvK0twazJiUWlhVHdkZlhGOTkvL3ozaTQrTmhhV21KM054Y05HalFBSUdCZ1NYK2NveU9qb1pNSmtQWHJsMUxQY2U3Nzc1YmJGdkRoZzJ4ZHUxYVRKMDZGV3ZXckVIcjFxM1J0Mi9mTXZOdTJyUUpVNlpNZ2J1N08vYnMyUU5iVzFzQXdOR2pSNUdSa1lHaFE0Y0NLR3FjVXI5Ky9mSitHY3JOd2NFQmNybTgxRS9CYWlvMlppSWlVOFhyazNsaGt6ZHBtR0tUTng4Zkh5UWtKT0M3Nzc2RGo0OFB3c0xDTUd6WU1NeWFOUXRUcDA3RlgvN3lGMHlkT2hVZmYvd3hhdGV1clgrZE9uejRjQXdkT2hTV2xwWVlOMjRjWW1OalN6eCsrL2J0c1gzN2RvT2ZQMEVRNE9YbEJTOHZMNmhVS3ZUdjN4OERCdzdFZSsrOUJ3QVlQWG8wdW5mdlhtdzVCZ0RZMk5qZ2h4OStBQUQwN05rVG9panFQNnpMejgrSFhDN1hUNWx2MWFvVnZ2MzJXLzFZaFVJQmpVYURSbzBhNGQ2OWUvampqeitRbHBhR2R1M2FJU2NuQjFGUlVlamN1VE5xMTY0Tm9HaEo4L0hqeCtIdTdsNEpYMmxEYm01dTVmcUVVNlBSR0Z5NGpEbE9GTVVIMGRIUkRaNCtWcWxVOVVWUmZGQ09jUmNCN0M1ak4ydEJFTVlKZ2pET3lzb3ExODNOVFMySzRzNnlqbDFWekswLzM2dWFQWHMyNHVMaWZyVzB0SFFCY0tuTUFSSXorK0pEVlpzMGFaTEI0NUNRRUd6YnRnMUJRVUZZdkhneCt2YnRpd3NYTG1EczJMSHc5ZldGdTd1N2ZqMlFUcWZEbGkxYk1ITGtTRFJxMUtqQzU3YXdzSUMvdno5R2p4Nk45UFR5OWF1YU1XT0d2cUw4K1BGajZIUTZKQ1FrSURBd0VHUEdqTUdubjM2S3hvMGI0OEdEQjZVMjgza1Z3Y0hCcnpUK3pwMDdPSDM2TkVhTUdGRkppVXdER3pNUmthbmk5VWthcnE2dUV3b0xDMys3ZlBueVBhbXp2QXcyZVpPZVNxWENuVHQzMEw1OWU5alkyQ0F6TXhOZHUzWkZ3NFlOa1ptWnFWKzIrL2p4WXpSbzBNQmc3Tk9pb2x3dVI1OCtmWXA5Y0xkbXpScW9WS3B5Ly94VmRKbERyVnExOFBycnI2TlZxMVlBZ0I5Ly9CRTllL1pFOCtiTnNXL2Z2bUlmMnRXdVhWdi9mZkhubjMvaTQ0OC94dmp4NC9IUlJ4OGhPenNiczJiTndwMDdkekJtekJpNHU3dWpSWXNXWEw1akJLSW95Z0FvQlVHd041V2xMZWJhbjYrbVlQSGhKYVdscFNFd01CQlpXVm5ZdW5Vcm1qWnRDcDFPQndCWXZYbzFmSDE5OGRsbm42Ri8vLzc2dTBxc1g3OGVWbFpXbUQxNzlrdWYxOG5KQ2R1M2IwZWJObTNLdGYrenY1aHpjbkp3NDhZTitQbjV3ZC9mSHdNSERrUnljakptejU2TnJsMjdsbXNtUlZXNGZmczJUcDQ4aVlNSEQrTHExYXNBVU8yS0R3QWJNeEdSNmVMMXFlb0pnckJSTHBmWGNuVjFEUWV3VXlhVDdZdUtpaktOajliS2dVM2VwSldhbWdwQkVQREREejlnN05peHlNL1BSMnBxS2xxMGFJSDc5KzhqSXlNRHpzN09BSXFLRDZVdHRiV3dzTURwMDZkeDVzd1pnKzFQWCtPV3g3Lys5Uy8wN05tendrdWt6cDQ5aTdObnorb2ZuenAxNm9Ybno4N094cFl0VzZCV3E2RlNxWEQ1OG1WczI3WU5HbzBHVGs1T3VIVHBFdGFzV1lNMWE5WkFMcGZqblhmZWdiKy9mNFV5bGNmek14Tk1jVnhVVk5SREFPVWE1K2JtVmxZamd5Y0FqZ1BZOC9EaHd4MEpDUWtQL3pNdXFLSzVqRUdxL254VVBqV2krUEIwN1ZGbHJrR0tpSWpBOE9IRERhWnZ0VzNiRnQyNmRZT3RyUzFDUWtKdzVzd1pmYlVmS0ZwM3RIYnQyaktuckphbFhidDJMelZ1OWVyVnlNL1BoNjJ0clg2cVhZc1dMUkFTRWdJYkc1dFh5dlNxRWhNVGNlTEVDUnc4ZUxEVTlYN1ZBUnN6RVpHcDR2WEpOQWlDMEE5QVAxRVU0ZXJxR2duZ0o1MU90L2ZTcFVzbC9uSmtremNDZ0Y5Ly9SVmJ0MjVGVGs0T2V2ZnVqU3RYcmtDbjA2RnIxNjQ0ZlBnd0dqZHVqQzVkdWdCNDhWSmJRUkRRdm4xN3VMbTVHV3gvZmlaVWFUWnMySUQ2OWV0ajFxeFpGY3BmVUZBQXBWS3BmMzE2Ky9adE5HellFTmJXMXJoejV3NVNVMU1OOWc4TkRjV1JJMGR3OSs1ZHlPVnkzTDE3RjMvKytTZXNyYTJSbDVlSDY5ZXZRNlZTNFk4Ly9vQk1Ka1BQbmozeDJXZWZWU2dUR2NnQjhMdE9wd3NyS0NqWS9iVFBneW1TcWo4ZmxVK05LRDZvMVdvQWxWdDhlT3V0dDRwdFc3SmtpZjd2Y3JuY29QQUFvTnhOSW8ybHRLVWV4aXc4cEtTa29MQ3dFSTZPanNXbVI4YkZ4ZUhFaVJNNGNPQUFFaE1UalpiQmxMQXhFeEdaS2w2ZlRJOGdDTjBCZExld3NGamg1dVoyVmFmVDdaREpaR3FOUm5NRmdBaXd5WnRVVEszSjIrVEprMUduVGgxOCsrMjNzTE96dy9yMTY2RlNxVkNuVGgxczJyUUpNMmJNMEJmdzB0TFNZR2RuVitxeG5oWUJuL1Y4VWVoNVQzdTUzTGx6QjZ0V3JkSy9rUk5GOFlWTjMvUHo4N0Z1M1RwWVdWbWhUNTgrcUZPbkRvQ2laUmNkTzNaRTgrYk5jZXJVS1J3N2Rnd3paODdVTHhjWk4yNGN2THk4TUhYcVZGaFpXZUdkZDk1QlVGQVFXcmR1amRqWVdIVG8wQUh2dlBNT1ZxNWNpVDU5K3RTWWEwWWxld3pnTUlEZEdSa1pZVWxKU1MvK0pqQVJVdlhuby9LcEVjVUhrczdreVpPUm1wcUt2WHYzd3Q3ZUh0ZXZYOGZ4NDhkeDRNQ0JNdThsL1N5VlNvWDE2OWVqZS9mdSttMVRwMDVGWkdTa01XSWJEUnN6RVpHcDR2WHAxWlEwMDZNRUlRQkNuOTNnNnVxYUtRaUNiVG5HL285TUpsc01ZTEdibTl1ZkFIWVVGaGIrV3RhZ3FzSW1iOUw3NDQ4L1lHVmxoYmk0T0J3NWNnVHIxNi9IcDU5K2l2NzkreU03T3h1alI0L1cveHgyN05peHhHTVVGaFppd0lBQitwL3phOWV1UVNhVFllN2N1UytjY1dSblo0Y2VQWHJnalRmZU1GZ0xyOVZxb2RWcVN4eVRrWkdCeTVjdjQvejU4OGpPempab0xnc1lMcnNBQUU5UFQvejg4ODlRS3BYNkFsVmhZU0ZPbmp5cEw0cDI3ZG9WT3AzT1lGdHA1NmVTNlhTNmFFRVFSc2xrc2wraW9xTE1ibTJCbFAzNXFHd3NQbENWRVVVUjJkblorayt6NkwvWW1JbUlUQld2VDZaSEZFVXJVUlFkQlVHb2J5ckxVTmprVFhxZE8zZkd4WXNYTVcvZVBNeWZQeCtyVjY5R3IxNjk4TUVISHdBb3VsdkZ4eDkvakprelo1YmFPK3o1Titwbno1N0Y1czJia1oyZGpYSGp4cFY2N2xxMWFtSEZpaFhGWnJuMjc5OGZnd2NQTG5HTVFxSEEwcVZMY2U5ZStYcXNabVZsWWViTW1manV1Ky8wbjFpTG9vZzVjK1pnMUtoUkNBZ0l3R3V2dllacjE2NWgrdlRwK09DREQrRG41NmRmYmtMbGMvSGl4ZjFTWjZnTVV2WG5veGRqOGNHRWlhS0lpUk1uNHNNUFB6U1pacEN2UWlhVG9WdTNidWpXclJ0RVVjU2xTNWR3OE9CQm5EcDFxdGhhdnVkRlJVVVYyN1orL2ZweW5iZWNuMFpKcHFZMVppSWk4OEhyVS9tVjlIdnFPZDZDSUlRK3YvSHA3ZkRjM056eUFieW9rK0tmQUg3VDZYVGJMMTY4ZUFiL1dYYngvTnA4cWJESm0vVEdqUnVIY2VQR0lUVTFGUTRPRHVqU3BZdkIzVVc2ZGV1R0kwZU82Rzk5V2hJWEZ4ZURwY1dUSmsyQ201c2JrcEtTOE00Nzc3encvTmJXMXNXMitmcjZscnAvN2RxMXNXM2J0bUxOWnl0aS9mcjErb0xIMDZWSHZYdjMxdmUwV0xGaXhVc2RsOHlmbFAzNXFIUXNQcGlnakl3TTJOcmFRaWFUNmFmT1ZZZml3N01FUVlDTGl3dGNYRndBRkUzck8zRGdBRTZkT21VeVV5cXJBaHN6RVpHcDR2VkplcUlvWGdOd1FLZlRiYnQwNlZLMDFIbGVoRTNlVEllRGd3T0FrbTlyKzZMQ0E0QVNleU80dXJycVo1OVV0cWUzLzN4WkpkMXV0YlJtbW1SMDN2UG56dytST3NSVDV0aWZyeVl3KzNtTG9pZ3U4Zkx5a2pwR3BmcjY2Njh4YTlZczVPVGtRQzZYbzBPSERsaTVjaVZXckZpQjdHeVRiUzc3U2pwMTZnUS9Qei9zMmJNSFAvMzBFeVpPbklqV3JWdExIY3Rvbm0zTXRHREJnZ28xWmxxNWNxVytNVlBmdm4zMWhhbU9IVHVpYjkrK2NIQnd3TEZqeDVDWm1ha2ZOMjdjT0d6ZHVoVnQyN1pGaHc0ZE1HN2NPTmpaMmVsdmgvWjBtMUtweEZ0dnZZV2xTNWZXK0duTlJEVVZyMCtTMCtoMHVpKzFXcTF6ZEhSMDUram82RTlNdmZBQUZEVjVHemx5SkFJREErSHI2NHRmZnZrRmI3enhCdXJVcVlNR0RScWdkdTNhYU5DZ0FWYXRXb1h2dnZzTzgrYk5NL2ovV040bWI4MmJONitLZnc0UlZaQkdvd2w5KysyM3BZNVI0OWpiMjhQUzBqSlpxOVdheFpwMnM1LzVFQjBkN2EvUmFPWkluYU95UkVSRTRNaVJJK2pVcVJOdTNyeXBYOGM1YmRvMGZQcnBweGd4WWdRV0xGaUFuajE3U3B6VWVOcTJiWXVaTTJkaTVzeVp1SG56Smc0Y09DQjFwRXJIeGt4RVpLcDRmYXA4S1NrcE9IZnVuSk96czNQRDY5ZXZwNWV5MnovejgvTi92SHIxNnEwcURWZEoyT1NOaUtqcXJWcTFDZ0RlRmdUaHV0Ulp5cU5hZjNSZ2J1N2Z2NCtBZ0FBTUhqd1lJU0VoNk5peEkwUlJoRTZuZzVXVkZaWXZYdzVIUjBmNCt2cENvOUZJSGJkS3RHelpFbE9tVEpFNlJxVjcycGhwekpneEJ0djc5KytQRVNOR2xEam1hV09tMk5qWWNwM2phV09tbkp3Yy9iYW5qWm1pb3FMZzRlR0IxMTU3RFFVRkJaZytmVHFpb3FMUXIxOC9ObVlpcXVGNGZhcDh3Y0hCK09xcnIrWXBGQXFQMHZiUmFEUmZtMnZoNFZscGFXbjQrT09QY2ViTUdXemR1aFd2dmZhYVFaTTNHeHNiZlBiWlovajg4OC8xWTlqa2pZaW9aakQ3bVEvVnhhTkhqekJqeGd6MDdkc1hjK2JNMFU5RjFHcTErdVpLbHBhVytPcXJyekJxMUNqRXhNU1lUSk1wZWpsc3pFUkVwb3JYSjNwWmJQSkdWRE81dUxoc0NnZ0kwRisvaVVwaTlzVUhWMWZYT1NFaElmRDI5aTUxbjRDQWdCZXVVelVGeTVZdGc2ZW5wOEVuVFRxZER2bjUrV2pmdnIxK200T0RBOWF0VzFldCt5RlE2ZGlZaVloTUZhOVBrbUdUTnlLU25Fd204MWFyMVN3K1ZMSFUxRlRzMzcrL1JlZk9uZitJaVluSmx6cFBXY3krK0NBSVFtQlFVTkFMaXc4ZUhxWE9jalFaQ3hjdUxIYWZicGxNQmt0TFMyemN1QkhkdTNkSHJWcTE4T2VmZjZKang0NW04K21BZzRNRDVISTVMQ3dzcEk1Q1JFUlU3ZnlueVp2SkZCOXFDbnQ3ZTl5OGVUUDU4ZVBIWnRIa2pZaXFwOW16WnlNdUx1NVhTMHRMRndDWHlod2dNYk12UGxRWGdpRGdsMTkrUVZ4Y25NRjJVUlJoWVdHQjFhdFhBd0QyNzkrUElVT0c0Qi8vK0ljVU1Tc3NPRGhZNmdoRVJFUkVsY3JjbXJ3UkVaa0NGaDlNaUwyOVBYYnYzbTJ3MXJhd3NCRDM3dDNUejRwbzI3WXQ0dVBqa1ppWUNDY25KNm1pRWhFUkVSRVJFWlZialNnK1BGMTdaT3Bya0hyMDZJRWVQWG9ZYkhOM2Q4ZVlNV013YnR3NC9iYWNuSndTbTRFUkVSRlJ6Y0ltYjBSRVpDNXFSUEZCclZZRE1PM2l3K0hEaC9XM29ucVdWcXRGYkd3c2Z2dnROd0JGTXlHKysrNDdEQm8wQ05PblQ2L3FtQldXa3BLQ3dzSkNPRG82bHRoTWpJaUlpRjRlbTd4Snc5eWF2QkVSbVFLK0d6UVJKMDZjd1A3OSswdHNKSG5vMENFY09uVElZTnZXclZ2UnBrMGJEQmt5cEtvaXZwVEpreWNqTlRVVmUvZnVoWU9EZzlSeGlJaUlpRjVaWlRWNVU2bFVsWmlLU0hvcWxRcno1OC9IMjIrL3JkOFdFQkNnL3pENFJUaXVjc2VaSXBuVUFhaUl2NzgvVHA4K2piTm56NWI3ajZrWEhvaUlpQWh3ZEhTRVVxbE1CSkF1ZFJZeURhSW9Sa3FkZ1NyRlZha0RtSXBudjZjWExGamdMVHpqbDE5K0tkY2RlVGp1NWNhSm9uaFBKcE9sbE9kWVV1UE1CeE9oVUNpa2prQkVSRVJHNE9QakF4OGZuNFdDSUpqblIxVlU2YUtqbzN1VXZaZjVjbk56dXdqZ2RWRVVYYUtqbzAzKzluLzA2bDcwUFgzeDRzVVBBSHhRMFdOeVhPV09Nd1djK1VCRVJFUkVSRVJFUm1YMnhRZFJGSmQ0ZVhsSkhZT0lpSWlJaUlpSVNtSDJ5eTZpbzZQOU5Sck5uUExzcTFLcDhPR0hIMkxLbENuNmJaczNiOGJxMWF2TEhEdGd3QUI4L2ZYWCtzZmg0ZUh3OC9NcmM1eWJteHVDZzRQMWp5OWR1b1FQUGloN2xveVRreE4yNzk2dGY1eWNuQXhQVDg4eXg5bmEydUxvMGFQNngxbFpXZWpYcjErWjQrUnlPU0lpSWd5MjllN2RHMCtlUENsejdNNmRPOUdtVFJ2OTR3a1RKdURhdFd0bGpxdHFiT3BFUkthSzE2ZnFMU1VsQmVmT25YTnlkblp1ZVAzNmRhUDBmV0NUTjlNWlIwUkVKVFA3bVEvbFlZd1hkWUlndk5SKzVqTHVWVHgvTEh0N2U5alkyRlRhOFN1cWMrZk9rcDJiS3MrekJTNmk2b0xYcCtxaHJPdFRjSEF3dnZycXEza0toY0tqc3MvTkptL1NqVE9uSm05RVJLYWc4dDV4U2tnVVJWSHFERVJTZWxwZ2k0cUtramhKOVRCa3lCQ2twYVhod0lFRHNMT3prem9Pa1ZuajljbmdFM052alVZVEtuRWNJcU5qdzBraUtvblp6M3h3ZFhXZEV4SlNyZ0kyRVJFUkVSRVJFVW5BN0lzUGdpQUVCZ1VGU1IyRGlJaUlpSWlJaUVwaDlzVUhJaUlpSWlJaUlqSnRMRDRRRVJFUkVSRVJrVkd4K0VCRVJFUkVSRVJFUnNYaUF4RVJFUkVSRVJFWkZZc1BSRVJFUkVSRVJHUlVMRDRRRVJFUkdaR2pveU9VU21VaWdIU3BzeEFSRVVsRkxuVUFJaUlpb3VyTXg4Y0hQajQrQ3dWQlVFdWRoWWlJU0NxYytVQkVSRVJFUkVSRVJtWDJ4UWRSRkpkNGVYbEpIWU9JaUlpSWlJaUlTbUgyeFlmbzZHaC9YMTlmcVdNUUVSRVJsU2dsSlFWaFlXRk96czdPRGFYT1FrUkVKQlgyZkNBaUlpSXlvdURnWUtqVjZua0toU0lSUUtqVWVZaUlpS1JnOWpNZmlJaUlpSWlJaU1pMG1YM3h3ZFhWZFU1SVNJalVNWWlJaUlpSWlJaW9GR1pmZkJBRUlUQW9LRWpxR0VSRVJFUkVSRVJVQ3JNdlBoQVJFUkVSRVJHUmFXUHhnWWlJaUlpSWlJaU1pc1VISWlJaUlpSWlJaklxRmgrSWlJaUlpSWlJeUtoWWZDQWlJaUlpSWlJaW8yTHhnWWlJaU1pSUhCMGRvVlFxRXdHa1M1MkZpSWhJS25LcEF4QVJFUkZWWno0K1B2RHg4VmtvQ0lKYTZpeEVSRVJTNGN3SElpSWlJaUlpSWpJcXN5OCtpS0s0eE12TFMrb1lSRVJFUkVSRVJGUUtzeTgrUkVkSCsvdjYra29kZzRpSWlLaEVLU2twQ0FzTGMzSjJkbTRvZFJZaUlpS3BzT2NERVJFUmtSRUZCd2REclZiUFV5Z1VpUUJDcGM1RFJFUWtCUllmaUlpSXlPaFVLcFhVRVV4QmlKdWJXNGpVSVlpSWlLUmc5c1VIVjFmWE9TRWhJZkQyOXBZNkNwSGsrT0srY29paUNFRVFNSFRvVUttakVCRVJtU1ZSRk8vSlpMSVVxWE1Ra2VrUXBBN3dxdHpjM0VRQWlJcUtram9La1dUZWYvOTl4TVRFU0IyajJuaGFmQ0NpeWpONThtVDQrUGhJSFVNU0FRRUJVS3ZWQU9DdDBXaENKWTVEUkVRa0NiT2YrVUJFd09iTm02V09VSzBNR1RJRWFXbHBPSERnQU96czdLU09RMlRXbnM3SVVpZ1VFaWNoSWlJaUtabjkzUzZJaUlpSWlJaUl5TFN4K0VCRVJFUkVSRVJFUnNYaUF4RVJFUkVSRVJFWkZZc1BSRVJFUkVSRVJHUlVMRDRRRVJFUkdaR2pveU9VU21VaWdIU3BzeEFSRVVtRmQ3c2dJaUlpTWlJZkh4LzQrUGdzRkFSQkxYVVdJaUlpcVhEbUF4RVJFUkVSRVJFWmxka1hIMFJSWE9MbDVTVjFEQ0lpSWlJaUlpSXFoZGtYSDZLam8vMTlmWDJsamtGRVJFUlVvcFNVRklTRmhUazVPenMzbERvTEVSR1JWTmp6Z1lpSWlNaUlnb09Eb1ZhcjV5a1Vpa1FBb1ZMbklTSWlrb0xaejN3Z0lpSWlJaUlpSXRObTlzVUhWMWZYT1NFaElWTEhJQ0lpSWlJaUlxSlNtSDN4UVJDRXdLQ2dJS2xqRUJFUkVSRVJFVkVwekw3NFFFUkVSRVJFUkVTbWpjVUhJaUlpSWlJaUlqSXFKL2hzb0FBQUlBQkpSRUZVRmgrSWlJaUlpSWlJeUtoWWZDQWlJaUlpSWlJaW81SkxIWUNJaUlpcWo0MGJOMkxIamgzRnRuLzc3YmY0NFljZkFBQU9EZzRJRFEyRlRNYlBRSWlJaUdvS0ZoK0lpSWlvMGlnVUNtUmtaQlRibnB1Ymk5emNYQUNBbFpWVmpTbzhPRG82UXFsVUptWmtaS1JMbllXSWlFZ3FOZWMzUHhFUkVSbWRwNmRubWZ1ODk5NTdWWkRFZFBqNCtPRHc0Y01MTlJxTld1b3NSRVJFVW1IeGdZaUlpQ3BON2RxMTBheFpzeGZ1TTNqdzRDcEtRMFJFUktiQzdJc1BvaWd1OGZMeWtqb0dFUkVSL2NlNzc3NWI2bk9OR3plR1VxbXN3alJFUkVSa0NzeSsrQkFkSGUzdjYrc3JkUXdpSWlMNmp4RWpScFM0WFJSRi9PLy8vbThWcDVGZVNrb0t3c0xDbkp5ZG5SdEtuWVdJaUVncWJEaEpSRVJFbGFwdTNicG8wcVFKN3Q2OWE3QmRFQVFNSFRwVW9sVFNDUTRPaGxxdG5xZFFLQklCaEVxZGg0aUlTQXBtUC9PQmlJaUlUTS93NGNPTGJWTXFsV2pTcElrRWFZaUlpRWhxWmw5OGNIVjFuUk1TRWlKMURDSWlJbnJHcUZHamltMGJPWEtrQkVtSWlJaklGSmg5OFVFUWhNQ2dvQ0NwWXhBUkVkRXpsRW9sR2pWcVpMRHRyYmZla2lnTkVSRVJTYzNzaXc5RVJFUmttdjcydDcvcC8yNWpZNE9tVFp0S21JYUlpSWlreE9JREVSRVJHY1hZc1dNQkZOM2xvcVFlRUVSRVJGUnpzUGhBUkVSRVJ0RzRjV1BZMnRwQ0VBUjRlbnBLSFllSWlJZ2t4T0lERVJFUkdjM1FvVU5oYTJ1TGxpMWJTaDJGaUlpSUpDU1hPZ0FSVlY4cWxhcGMrMFZGUlpua3VDRkRoa0FRaENvN243SEdrZW1hTW1VS3pwOC9MM1dNS2xIZTcxOXoxTGx6WjJ6ZXZGbnFHRVJFUkNhTk14K0lpRXJ4Yk9HQnlCaHFTdUdodW91SmlYbmg4NDZPamxBcWxZa0EwcXNtRVJFUmtla3grMWZXYm01dUlzQlArb2lJeVB3OG5RM0EzMkhtcXdML0Q3MEZRUWcxZGg0aUlpSlR4WmtQUkdRVUFRRUJDQWdJa0RvR0VSRVJFUkdaQUxNdlBvaWl1TVRMeTB2cUdFVDBITFZhRGJWYUxYV01HaWMxTlJYSnlja29LQ2lRT2dvUkVSRVJrWjdaRngraW82UDlmWDE5cFk1QlJHUVNacytlRFU5UFR5UW1Ka29kaFlqK0l5VWxCV0ZoWVU3T3pzNE5wYzVDUkVRa0ZkN3Rnb2lJaU1pSWdvT0RvVmFyNXlrVWlrUUFvVkxuSVNJaWtvTFp6M3dnSWlJaUlpSWlJdE5tOXNVSFYxZlhPU0VoSVZMSElDSWlJaUlpSXFKU21IM3hRUkNFd0tDZ0lLbGpFQkVSRVJFUkVWRXB6TDc0UUVSRVJFUkVSRVNtamNVSElpSWlJaUlpSWpJcUZoK0lxTWE1ZVBGaWhmYi85Ny8vRFoxTzkxTG5TazVPeHRXclYxOXFMSkZVdEZwdHNXMkZoWVVWUGs1T1RrNjU5MDFQVDYvdzhZbUlpTWg4c1BoQVJFWVJFQkNBK2ZQblY4cXg0dUxpY08vZVBmM2pSNDhlbGJpZlRxZkR6WnMzeXp5ZW41OGZWcTFhcFg4c2lpSnUzYnBWNnY2TEZpMUNRRUFBZERvZHBrK2ZqdDkvL3gzaDRlRUdmLzc1ejM4aUtTbXAyTmhqeDQ3Qnk4c0xtemR2THZIWUR4OCtMRE12VVZVYk8zWXNkdS9lYlZCd21ENTlPbjc0NFFmazVlV1ZPVDR4TVJIcjE2L0hzR0hEc0h2MzduSVY3M3g5ZlRGdjNyeVhLbklRRVJHUjZaTkxIWUNJcWljUEQ0OUtPMVptWmlZbVRacUUrZlBuWThDQUFmRDM5MGZqeG8xUnQyNWRnLzJTa3BLUWxKU0VYYnQyd2RyYUdyR3hzWWlNakN4MnZJS0NBaVFrSkdETGxpMEFnS3RYcitMcTFhdllzV01INnRXclYyeC9RUkRRdTNkdnlHUXlSRVpHNHR5NWN5WG0xR3ExV0xKa2ljRzIzMy8vSGMyYk4wZUxGaTBRSGg1dThOeURCdyt3ZXZWcWJOaXdBZTNidDYvSWw2UlU5dmIyZVBMa0NXclZxbFVweDZPYUtUTXpFekV4TWZEMDlFUm1aaVlhTkdpQXJLd3NSRVZGWWNpUUlSQUVBWFoyZGdaajl1N2RpLzM3OXlNMk5oWVBIejVFaXhZdE1HellNT2gwT2t5Wk1nV2pSNCtHWEY3MHNrT3RWbVBxMUtsbzI3WXRBQ0FyS3d0eGNYRVlPM1lzTEN3c2tKZVhCeXNycXhLelpXVmxsZmh6U2tSRVJLYU54UWNpTW5uZHUzZEhuejU5RUJvYWlxNWR1MElVUlp3NmRRcXRXN2RHVkZRVXJLMnQwYWxUSndDQW82TWp3c1BETVhUb1VEZzZPbUxUcGswbHpwUTRmZm8wVHA4K3JYL2N0R2xUYk5teUJkT21UU3UycnlBSTBPbDArT2MvL3dtZFRvZTVjK2RpMkxCaDZOV3JGOGFQSDQvWnMyZGowS0JCNk55NXM4RzRoSVFFL1pJTFB6Ky9Vdjk5L3Y3KzJMWnRHMnJYcnYxU1g1OW5QVHVqb3lKdTNicUZVNmRPWWV6WXNhK2NnY3lmaFlVRldyWnNpYXRYcjJMT25EbFlzbVFKNUhJNVdyUm9nWDM3OW1ISGpoMVl1WEtsd2ZlOHE2c3JYRjFkMGFoUkk0d2RPeGFEQncvRzVNbVRBUURyMXEzRFo1OTlabkFPdVZ5T3BVdVhBZ0RPbkRrRG5VNkhLMWV1SURZMkZocU5CczJhTlN0VzRFaExTME5XVmhhKytlWWJJMzhGS3Blam95T1VTbVZpUmtZRzE1WVFFVkdOeGVJREVabTB1M2Z2b2tHREJwZzRjU0p1M2JvRlgxOWZDSUlBbFVxRnBVdVg0djMzMzRkV3E4V2lSWXZRcEVrVGc3SDE2dFhEb1VPSE1ITGtTTnkrZmZ1RjUrbldyUnMrL1BCRGcyMVhybHhCWGw0ZUJFSEF6ei8vakppWUdQMXpUei9CN2RLbFM2bkxRSjdPckpnN2R5NHNMQ3dNbnN2TnpjWGV2WHV4ZnYxNjFLbFRwM3hmakVxV2tKQ0FreWRQNHNDQkE0aUxpd01BRmg5cXNOOS8veDBhalFaQVVhK0czMy8vSGJ0Mzc4WWJiN3lCNmRPbm8ySERoc2pOemNXT0hUc3daTWdRdEduVFJqOVdwOU1oUGo0ZW9pZ2lMaTRPdWJtNVNFcEt3azgvL1FRTEN3dFlXRmpBejg4UDQ4YU5Bd0NvVkNxNHU3dnJ4Ky9kdXhjT0RnNDRlUEFnNnRTcGcrYk5teU10TFEzeDhmRm84UC90M1h0VVZXWGkvL0hQUGhBa0NZcW9lUTNMTW90TUFac3lyU25TR2ExczdLZlp5aTRqam1LMjB2TFNwQmFHR3RyRnJycHk4cEtYMHN6Q1ZOUk0vUmJabURZVE1LQjR6N3ZoTGRHUTYrR3dmMzh3bk9FSUtKaUhmUTY4WDJ1NTh1eTluMzAreDVVWFBqejdlWUtEdFhQblRqVnMyRkF0VzdhVUpHVmtaSlFyK3p4WlRFeU1ZbUppSmhtR2tXaDFGZ0FBckVMNUFNQXQ0dUxpWFA1N3FiWnMyYUs1YytjcVBqNWUxMXh6alJvMmJDalROSldSa2FHa3BDVGw1T1NvWmN1VzJyRmpoMWF1WEtucnJydE85OTEzbnlRcE9UbFoyZG5aaW82T1ZyMTY5WnpUdUNkTm1xUnUzYm9wS2lySytUN2ZmZmVkWG4zMVZVMmNPTkY1N1B2dnYxZFJVWkZzTnB2UzB0TDA3cnZ2YXN5WU1WcXlaSW1PSHo4dVNabzNiNTZXTEZsU0x2ZlBQLytzdFd2WGF1clVxWXFMaTVQTlpuTXBJQndPaDN4OGZQVDIyMjhyTmpiMmQvMGFWY2VlUFh1MGNlTkdyVjY5dWtyclk2RHVhTnUyclJZdFdpUWZIeC9aN1hhZE9YTkdkcnRkR1JrWnlzdkxVMDVPanBZdlg2NGJicmhCclZxMTByRmp4OVNtVFJ0SmtzMW0wOWRmZjYydnYvN2FlYjkxNjlacDNicDE4dlgxclhBQnkxSzdkKy9XamgwN3RHalJJbzBiTjA0MzMzeXp4b3daSTd2ZDdueDhxSC8vL3Jybm5uc3FuSmtFQUFDOGc5ZVhENlpwdmhZZEhUM1c2aHdBWENVbWxueUQ3L2VXRDMvNXkxKzBaczBhVFpzMlRSMDZkRkQzN3QzMTFWZGZLVE16MC9rb3c0RURCNXlQVURSbzBFQmR1blJSUUVDQWpodzVva21USmxWNDM5V3JWMnYxNnRYbGpuZnUzRm05ZS9lV2FacjY5dHR2RlI0ZTdseG84czQ3NzVSaEdDb3NMTlRLbFNzbGxTeCtXVnhjck5PblR6dnZVVnhjclBqNGVEVnMyRkRwNmVsNjRJRUh5ajIvdm5YclZvV0dodXJ2Zi8vNzcvcjFPVjltWnFic2RydWFOMit1SzY2NFFxWnBhdWZPbmRxNGNhUFdyRmx6MFJrZ3FMdENRME0xZCs1Y1NWS3ZYcjBVRlJXbFBYdjJPTmM0eWNyS2tsUlNZTDMrK3VzS0NRblJyRm16bkFWRVhGeWNYbjMxVlMxZnZseng4Zkg2ODUvL3JMRmp4eW9vS0VnOWV2U285SDFmZnZsbHRXclZTaDkvL0xGKytlVVg1ZWZuYThxVUtmcmhoeDgwYjk0OE5XblN4TDBmSEFBQTFBaXZMeDlTVTFQSHBhU2tVRDRBdFZoTVRJejI3ZHVuV2JObUtTWW1SZ2tKQ2JyLy92djEvUFBQYTlpd1licjMzbnMxYk5nd2pSbzFTbGRlZWFVQ0FnSWtsUlFYdlhyMWtwK2Zud1lNR0tCZHUzWlZlUDkyN2RwcDhlTEZNZ3pEZVN3bkowYzMzM3l6ZXZmdXJZU0VCRjEzM1hXU1N0Wi9lT3FwcDlTalJ3L2RmZmZkR2o5K3ZMcDA2ZUx5eGRXYU5XdDAwMDAzcVgvLy9wb3paNDZDZzROZDdpMlZGQ2ErdnI3T3h6Y3VsNUVqUjJyUG5qMmFQSG15OXUzYnB6VnIxamhuYVZSRlpHVGtCYytQSHo5ZWZmdjJkYjUrNmFXWHRIYnQyb3ZlOTczMzNsTzNidDJjcndjUEhxelUxTlNManZ2MDAwOWRGdU44N0xISHRIdjM3b3VPSzUzR1grckJCeDlVWm1ibVJjZDk5ZFZYTHVzTTlPclZ5MldubGNwOC9mWFhhdHk0c2ZQMW4vNzBweXB0SFdtYVpybi9ONnkyZi85KzVlZm42L1BQUDNmdVFOR2tTUk1OSGp6WU9TdEJLaW5aYkxiL2Jacmw1K2Vub3FJaUxWaXdRS0dob2RxOGViTjY5dXlwa1NOSFh2RDlubnp5U2MyYU5VdTdkKzlXYm02dURNUFF0bTNiMUtKRkN5MVpza1REaHc5MzYrZXRDVWVQSHRXV0xWdXViZCsrZmNqT25UdFo5d0VBVUNkNWZma0FvUGFMakl6VXNXUEgxSzVkT3dVRkJTa3JLMHVkTzNkV1NFaUlzckt5MUtoUkkwa2xoVUZ3Y0xETFdEOC9QMGtsYXpSMDY5YXQzQzRjNzcvL3ZpSWpJOHQ5QVZpL2ZuMU5uRGhSSjArZWxDVG5lNWltS2Fua0N6UkpTa3BLMGgvKzhBZVhzZmZmZjc4ZWZQQkJTVkxQbmowci9FeERoZ3pSOWRkZlgyNHRpTXNsTHk5UEowK2VsTjF1ZDh2OVVmdXNYYnRXaXhZdDB2YnQyeVZKM2J0MzExVlhYZVhjTVNZckswdjc5dTFUWW1LaUNnb0t0SFRwVXYzakgvOXcvdDZRcE04KyswejE2dFZUMjdadDFicDFhMlZtWnVyVFR6OTEvcjRwcTNUN3pkNjllMnY1OHVXNjl0cHJWVkJRb0E0ZE9tajc5dTFxMUtoUnJYbk1ZdmJzMlVwTVRKd1FFQkN3WDlKOHEvTUFBR0FGeWdjQUhpMHpNMU9HWVdqQmdnVjY3TEhIVkZoWXFNek1URjF6elRVNmRlcVVUcDgrcmZidDIwc3FLUi9PMzM2emxJK1Bqelp0MnFRZmZ2akI1WGpwRjBDVk9YejRzS1NTeDBpdXZmWmE1L0drcENUZGVPT04rdkhISHpWKy9IaVhNV1cvRzF3WmYzOS81ZWJtWHZTNlM5V2hRd2YxN2R0WHBtbnFwNTkrMHRkZmY2MU5telpkOUx2NHljbkoxWHFmK1BoNHhjZkhWenZmbkRsenFqMUdLcGtKY1NsV3JWcDFTZU8rK3VxclN4cTNidDI2S2wxM3Naa21OYWxKa3liYXZuMjdubi8rZVMxZXZGaisvdjZhTkdtU3JyenlTdGxzTnVYbTVpb3pNOU5sNGRVMzMzeFRVNmRPbFNRZFBIaFFjK2JNMFl3Wk16Um56aHdaaHFIeDQ4ZnJwNTkrMG9RSkU3UjM3OTV5MjgyV0tpMy9Tc3M0aDhPaHhvMGJ1NjJjQXdBQU5jL3J5NGZ3OFBDeDgrYk5VM1IwdE5WUkFMakJ5cFVyOWNrbm55ZzNOMWRkdTNiVjFxMWJWVnhjck02ZE8ydjkrdlZxMHFTSk9uVG9JRWs2ZS9hc0dqUm9VT0Y5RE1OUXUzYnRGQkVSNFhLODdBSjVGZG0yYlp0YXQyNnRiZHUyYWRDZ1FiTGI3VHAxNnBRU0VoSTBiZG8wSFQxNlZKTW5UNjYwOUtoTVNFaUk4ekdBRXlkT3FHSERoczVaR3BlVFlSaTY3YmJiZE50dHQwbVMwdExTdEhidFduMy8vZmRWZWd3QmRVZnBEakxkdTNmWDRzV0xkZDExMSttNzc3NXpQc1kwYU5BZ2w4Y3V5c3JKeWRHTEw3Nm84ZVBIS3l3c1REazVPVEpOVS83Ky91cmF0YXVLaTR1MVlzVUtyVml4d2ptbWJQSG40K1BqWEZ3U0FBRFVUaGYvOXB5SE13eGo2b3daTTZ5T0FjQk5oZzRkcXFGRGg2cGV2WHBxMnJTcFZxMWFwY2pJU0YxMTFWWDY2S09QTkd6WU1ObHNOaFVXRnVya3laTXV6K3VmTHlzclM3dDM3M2I1a1orZmY4SDNYN2R1blhyMjdLblkyRmp0M2J0WERvZERNMmZPMU8yMzM2N3M3R3o1K3ZvcU5EUzB3bW5sRjlLK2ZYdHQzNzVkQlFVRm1qbHpwbmJzMkZHdDhaZXFZOGVPZXZIRkY3VnExU290WExoUWp6MzJtRnEzYmwwajd3M1AxNzE3ZDVmWHBjWER4ZXpkdTFmUFBQT01jKzJUM054Y2wzS2h1TGhZbzBlUFZuSnlzcEtUaytYajQ2UEF3RURuZWRNMGxaV1ZwWFBuemlrOVBWM0hqaDNUbGkxYmxKU1U1TnpWNXVEQmcwcEtTdEp6enoxWHBmVTBBQUNBWi9INm1ROEFhcjhkTzNiSTM5OWZlL2JzMFlZTkd6Uno1a3k5OE1JTGlvcUswcmx6NTlTL2YzL1piRGJaN1hiZGROTk5GZDdENFhEb3Z2dnVjMzdYZHZ2MjdiTFpiSXFOamExMHdiK05HemZxMUtsVGV1S0pKMVMvZm4zTm5UdFhRNGNPbGQxdTEvcjE2N1YrL1hxWDZ5LzJDRWRaUFhyMDBQVHAwL1htbTI5cTI3WnQ2dGV2WDVYSFhpNWhZV0VLQ3d2VG1ERmp0R2ZQSHExWnM2YkdNOEJ6NU9ibTZ2UFBQMWZMbGkyVm5aMWQ3cnhwbXBXV2JCMDdkblI1blplWDU3SzlacDgrZlZ5S2piVnIxenJYaWlndUx0YWVQWHVVbkp5c3BrMmI2cTY3N3RJMzMzeWovZnYzTzNlMGthUmp4NDVwdzRZTmtxVEpreWZyM1hmZnZmUVBDd0FBYWh6bEF3Q1BGeFlXcHYvODV6K2FNR0dDWG5ubEZiMzMzbnZxMHFXTEJnMGFKS2xrdDRwUm8wWnB4SWdSYXR1MmJZWDNLUHVGa0NSdDNyeFpDeGN1MUxsejV6Umd3SUJ5MTJkbFplbjk5OS9YdEduVG5JOVVkT3pZVVE2SFE3R3hzZXJUcDQvTDlUMTY5RkJoWVdHVlAxUGp4bzAxWWNJRVRadzRVWVdGaFRwMjdKakN3c0txUFA1eXUrR0dHL1RjYzg5Wjl2NnducCtmbit4MnUxNTY2U1haYkRaMTZkTEY1WHhoWVdHMUZqQXQzU0ZHVXJrZEw4b3VVbW16MmZUd3d3OHJPRGhZQXdZTWtJK1BqNDRlUGFvUkkwYm9sbHR1VWVQR2pUMXVSeEFBQUZCOWxBOEFQTjZBQVFNMFlNQUFaV1ptcW5uejV1clFvWU91dnZwcTUvbmJicnROR3pac2tMKy9mNlgzNk5TcGszTUhDa242MjkvK3BvaUlDQjA0Y0tCY2tTQkoyZG5aaW8rUDE0MDMzdWc4WnBxbVhuamhCWmR0TlV0Tm5UcTEzSG9TRjlPelowOTE2TkJCeTVZdFUxWldWclhHQXBlYnI2K3ZCZzhlckxadDIrcjY2Njh2OXpoT2p4NDlkTys5OTFicFhnc1hMdFJWVjExVjVmY2VNV0tFeSt2WFhudXR5bU1CQUlCM29Id0E0Qlp4Y1hIVlhnZmhZcG8zYnk1SkxzVkRxUXNWRDVMMHdnc3ZsRHNXSGg2dThQRHdDcSsvNXBwcnloMHpERVA5Ky9ldjhQck9uVHRmOFAwcjA3SmxTdzBmUHZ5U3hnTHVVRm5CTUhEZ3dDcmZvenJGQXdBQXFCc29Id0M0UmUvZXZhMk9VQ2MxYTlaTStmbjU3QndBQUFBQWowTDVBQUMxQ0l2d0FaNm5SWXNXYXRTbzBmN1RwMCt6VFFjQW9NNmlmQUFBQUhDam1KZ1l4Y1RFVERJTUk5SHFMQUFBV01WbWRRQUF0Vk5jWEp6aTR1S3NqZ0VBQUFEQUEzaDkrV0NhNW12VldRUUxRTTFJVEV4VVlpTGY1S3RwbVptWk9uVG9VTFcyUkFRQUFBRGN6ZXZMaDlUVTFIR3NGQThBSlVhT0hLbUhIMzVZKy9mdnR6b0tnUDg2ZXZTb0VoSVNybTNmdm4ySTFWa0FBTEFLYXo0QUFBQzQwZXpaczVXWW1EZ2hJQ0JndjZUNVZ1Y0JBTUFLWGovekFRQUFBQUFBZURhdkx4L0N3OFBIenBzM3orb1lBQUFBQUFDZ0VsNWZQaGlHTVhYR2pCbFd4d0FBQUFBQUFKVmd6UWNBYmhVWkdhbFhYbmxGRHozMGtQTllYRnhjbFhiQ1lOemxIUWZQRlJrWmFYVUVBQUFBdC9MNm1ROEFQRk5ZV0pqejU0WmhYTkk5ckJ4WFhGd3MwelJyN1AwdTU3amc0R0ExYmRyMGt1Nk5tbFgyOXdtOFY5dTJiYTJPQUFDQXg3dTBmL2w2a0lpSUNGT1NrcE9Uclk0Q29KWVlOV3FVdnZ2dU83My8vdnZxMnJXcjFYRUFyMVk2cTZNdS96MWRablpTZEVwS3lueUw0d0FBWUFsbVBnREFlZno4L0NSSnVibTVGaWNCQUFBQWFnZktCd0E0VDcxNjlTUkpXVmxaRmljQkFBQUFhZ2ZLQndBNFQ3Tm16U1JKSjArZXREZ0pnTnFnUllzV2F0U28wWDVKdjFxZEJRQUFxN0RiQlFDY3AzWHIxcEtrdzRjUFc1d0VRRzBRRXhPam1KaVlTWVpoc0MwTkFLRE9ZdVlEQUp5bnRIell2WHUzeFVrQUFBQ0Eyc0hyeXdmVE5GOGJPSENnMVRFQTFDTHQycldUdjcrL0RoMDZwRE5uemxnZEJ3QUFBUEI2WGw4K3BLYW1qaHMrZkxqVk1RRFVJdjcrL3VyY3ViTk0wOVRxMWF1dGpnUEF5eDA5ZWxRSkNRblh0bS9mUHNUcUxBQUFXTVhyeXdjQWNJZGV2WHBKa3RhdlgyOXhFZ0RlYnZiczJab3laY3FFZ0lDQTNsWm5BUURBS3BRUEFGQ0JQLzd4andvTURGVHo1czFWWEZ4c2RSd0FBQURBcTNuOWJoZmg0ZUZqNTgyYnAram9hS3VqQUtoRkFnSUM5T1dYWHlvNE9OanFLQUFBQUlEWDgvcVpENFpoVEoweFk0YlZNUURVUWhRUEFBQUF3T1hoOWVVREFOU0VNMmZPS0RNejArb1lBQUFBZ0ZlaWZBQ0FpMGhQVDljamp6eWlVYU5HNmR5NWMxYkhBUUFBQUx3TzVRTUFYRVRyMXExVnYzNTlCUVlHeXNmSHgrbzRBQUFBZ05meCtnVW5BY0RkZ29PRE5XZk9IQVVGQmVtS0s2NndPZzRBQUFEZ2RaajVBQUJWRUJJUzRsSTgyTzEySFQ5KzNNSkVBQUFBZ1BlZ2ZBQ0FTL0RlZSs5cHdJQUJTazVPdGpvS0FBL1hva1VMTldyVWFMK2tYNjNPQWdDQVZTZ2ZBS0NhQ2dzTHRYLy9mcDA1YzBiRGhnM1QzTGx6VlZSVVpIVXNBQjRxSmlaRzY5ZXZuNVNTa3BKb2RSWUFBS3hDK1FBQTFlVG41NmZwMDZjck9qcGFEb2RESDN6d2dRWU1HS0N0VzdkYUhRMEFBQUR3U0Y1ZlBwaW0rZHJBZ1FPdGpnR2dqckhaYkhyMjJXYzFjK1pNdFc3ZFdqLy8vTE9pbzZNMWJkbzBuVDE3MXVwNEFBQUFnRWN4ckE1d09aaW1hVnFkQVVEZFZWaFlxSmt6WjJyeDRzVXFLaXBTZ3dZTk5HellNUFhwMDRmZE1WRG5SVVpHU2xLZFhoL2w2TkdqMnJKbHk2U1hYMzc1L1owN2Q3THVBd0NnVHZMNm1ROEFZRFUvUHo4OTk5eHpXcng0c2NMRHczWDI3RmxObno1ZDU4NmRzem9hQUE4d2UvWnNUWmt5WlVKQVFFQnZxN01BQUdBVlg2c0RBRUJ0MGJadFc4MlpNMGRKU1VrNmZ2eTRnb09EbmVlS2k0dGxzOUgzQWdBQW9HN3krbjhKaDRlSGo1MDNiNTdWTVFEQTZaNTc3dEdqano3cWNteisvUGthT1hLa0RoNDhhRkVxQUFBQXdEcGVYejRZaGpGMXhvd1pWc2NBZ0VvVkZoYnFzODgrMDhhTkcvWHJyenp1RFFBQWdMcUh4eTRBd00zOC9QeTBaTWtTclZ1M1RoRVJFUzduQ2dvSzVPL3ZiMUV5QUFBQW9HWjQvY3dIQVBBR3djSEI1UjdGMkx4NXMvcjI3YXR2di8zV29sUUFBQUJBemFCOEFBQ0xyRml4UXBtWm1Sb3pab3llZmZaWlpXWm1XaDBKQUFBQWNBdktCd0N3eUpRcFUvVGlpeStxUVlNRzJyeDVzeDU1NUJFdFc3Wk1wbWxhSFEwQUFBQzRyQ2dmQU1BaU5wdE4vZnYzVjBKQ2d1Njk5MTdsNWVVcFBqNWVRNFlNMGVIRGg2Mk9Cd0FBQUZ3MmxBOEFZTEhnNEdCTm16Wk5iN3p4aGhvM2JxelUxRlE5K2VTVDJyeDVzOVhSQUZ3R0xWcTBVS05HamZaTFlyc2JBRUNkWlZnZDRQZUtpSWd3SlNrNU9kbnFLQUR3dTJWbloydnMyTEhhc21XTERNUFFyRm16eXUyUUFYaVR5TWhJU2Z3OUxTbmFNSXo1Vm9jQUFNQXFiTFVKQUI0a01EQlFNMmJNME96WnM3VjkrM2FLQndBQUFOUUtYbDgrbUtiNVduUjA5RmlyY3dEQTVXSVlobUppWWxoNEVnQUFBTFdHMTYvNWtKcWFPbTc0OE9HRlZ1Y0FnTXZOTVA3M1pKemRidGZDaFF0VlVGQmdZU0lBbHlJdExVMWZmdm5sMVdGaFlYNVdad0VBd0NwZVAvUGh2N1pLaXJRNkJBQzR5N1JwMC9URkYxOW94NDRkbWpwMXF0VnhBRlJSZm42K0JnMGFKRW12K2ZyNmZpbHB0OFdSQUFDd2hOZlBmUGl2ZHpadDJxUzFhOWNxS3l1THFjb0FhcDFISDMxVW9hR2hldnp4eDYyT0FxQUtDZ29LbEo2ZXJoZGZmRkdTWkpwbVJscGEyaDZMWXdFQVlCbXYzKzFDa2pwMTZ0UXdJQ0RnVUg1K2Z1REZydDI4ZWJQOC9QNDM2L0dPTys2UTNXNi82SHN3am5HTVl4empHTWU0Nm84cjNlM2lpaXV1OE9pY2JoNlhaNXBtejlUVTFJMFh2VEVBQUxWVXJaajVZTGZiYy9QeTh0NlVsQzdwdHd0ZEd4RVI0VytVVVZoWVdLVUhxQm5IT01ZeGpuR01ZMXoxeDVXKzl2U2NiaGhubDdSUDBwZVNicVY0QUFEVWRiVmk1Z05xcDRpSUNGT1NVbEpTK1A4VU9FL0hqaDBmdHRsc0l3b0xDLytja1pIQm9ydndXUHhaRGdBQXBGb3k4d0VBNnBJMmJkcGM2ZVBqODRaaEdQZjQrL3ZIVzUwSEFBQUF1QmpLQndEd01nY09ITWczRE9NSlNRNUpJOFBEd3p0Ym5Ra0FBQUM0RU1vSEFQQkN5Y25KUDBwNlc1S1BKUGJlQkFBQWdFZWpmQUFBTDVXYm0vdTZwR3pETUxwMzdOaXhtOVY1QUFBQWdNcFFQZ0NBbDlxNWMrZXZLcG45SUp2Tk50N2lPQUFBQUVDbEtCOEF3SXNWRlJWOUlLblFNSXdlSFR0MmJHbDFIZ0FBQUtBaWxBOEE0TVhTMDlOUFNGb3F5ZGRtc3cyM09nOEFBQUJRRWNvSEFQQnlSVVZGOC83NzA0Y3REUUlBQUFCVWd2SUJBTHhjZW5yNlJra2ZtNlk1MGVvc0FBQUFRRVY4clE0QUFQamRpbEpTVXA2U3BBNGRPZ1Q3K3ZyZUtxbWpZUmlwS1NrcDMxdWNEUUFBQUtCOEFBQnZGUllXVnQvUHo2K0RTb3FHMjAzVDdHb1l4ZzFsTHVsdFZUWUFBQUNnTE1vSEFQQkM0ZUhoVDBxYWJ4aUc4L0U1d3pCY3Jpa3FLanBRdzdFQUFBQ0FDckhtQXdCNG9aTW5UMzVoR01hUkMxMVRVRkJ3c0tieUFBQUFBQmRDK1FBQVh1aklrU041cG1tT3VzQWxaM2Z0MnBWZFk0RUFBQUNBQzZCOEFBQXZsWnFhbW1DYTVxWktUbWZXYUJnQUFBRGdBaWdmQU1DN1BXK2FwbG5CY2NvSEFBQUFlQXpLQndEd1lxbXBxVDhaaHJIZy9PT21hVkkrQUFBQXdHTlFQZ0NBbHlzcUtvcVZsRnYybUdFWXYxZ1VCd0FBQUNpSDhnRUF2Rng2ZXZvUlNWUE9POHhPRndBQUFQQVlsQThBVUFzVUZSVzlLNm5zYkljREZrVUJBQUFBeXFGOEFJQmFJRDA5UGNjMHpUR2xyNHVMaTQ5Ym1RY0FBQUFvaS9JQkFHcUoxTlRVSmFacC9pUkpkcnQ5aDlWNUFBQUFnRktVRC9CNHQ5NTZheXVyTXdCZXdqUU1ZN2hwbW1jeU1qTE9XUjBHQUFBQUtFWDVBRS8ycXlUbDUrZm5XeDBFOEJZcEtTbGJETU9ZWm5VT0FBQUFvQ3pLQjNneTArb0FnRGRLU1VsNXplb01BQUFBUUZtVUR3QlEremlzRGdBQUFBQ1VSZmtBQUFBQUFBRGNpdklCQUFBQUFBQzRGZVVEQUFBQUFBQndLOG9IQUFBQUFBRGdWcFFQQUFBQUFBREFyU2dmQUFBQUFBQ0FXL2xhSFFBbzFhbFRwMGRzTnR2a01vZUNKYWwrL2ZxYkl5SWlTcmNPWEptU2t2TDNtazhIQUFBQUFMaFVsQS93R0RhYkxWWFNqUldjdXI3MEo2WnAvcXZtRWdFQXFpczhQUHcrU2IwcU9ENnR6TXZOcWFtcENUV1hDZ0FBV0kzeUFSNGpKU1ZsYjBSRVJKcWtqaFdkTjAzelhHRmg0Y29hamdVQXFKNGl3ekJHbjMrdzdER0h3L0gvYWpZU0FBQ3dHbXMrd05Nc3F1eUVZUmdiTWpJeUNtc3lEQUNnZWxKVFV6ZVpwbm42QXBmOFZsUlV0THJHQWdFQUFJOUErUUJQcytvQzU3Nm9zUlFBZ0V0VkpPbXpDNXluU0FZQW9BNmlmSUJIU1VsSjJXR2E1dTRLVHVVWEZSVXRyL0ZBQUlCTHNheXlFNlpwZmw2VFFRQUFnR2VnZklBbnF1alJpNlQwOVBTY0drOENBS2kyN096czd5WDlkdjV4MHpSenNyS3lLSklCQUtpREtCL2djWXFMaXhNck9GYnBkOUVBQUo1bDc5NjlCYVpwbG50VXpqQ01idzRjT0pCdlJTWUFBR0F0eWdkNG5MUzB0UDlJT2xEbWtQM2N1WE1YZW40WUFPQmhUTk1zdDVWbWNYRXgyMnNDQUZBQmFZUlRBQUFLbjBsRVFWUkhVVDdBRTVtbWFYNVc1c1dtdlh2M2xwdStDd0R3WENkT25FaVNWUFp4dVR5NzNVNzVBQUJBSFVYNUFFKzFvdlFucG1teUpSc0FlSmxmZnZrbFYxTFo5UjIreThqSU9HZFZIZ0FBWUMzS0IzaWsxTlRVZjVtbWVWeVN3elROVDYzT0F3Q292dUxpNHJMclByRFFKQUFBZFJqbEF6eVZ3ekNNVDAzVC9ERXRMZTJvMVdFQUFOV1hsNWYzZjVMeVRkTXN0TnZ0UzYzT0F3QUFyRVA1QUkvbGNEaFdHb2JCSXhjQTRLVjI3ZHFWYlpybUtzTXcvcmwxNjlZc3EvTUFBQURyK0ZvZEFEVXJJaUxpL3lSRldaMmpxa3pUVkVSRVJMelZPYXJDTk0xL3BhYW0zbTUxRGdEd0pLWnBMcFhVek9vY0FBREFXcFFQZFkvWEZBK1NaQmlHMVJHcXpEQ01QMWlkQVlCM01VM1Rxd3JoUzVHZG5TMkh3NkdHRFJ1K2IzVVdOL3FYWVJpVXp3QUFYQURsUXgyVm5KeHNkWVJhSlRJeTB1b0lBTHhUclM0ZUpDa3dNTkRxQ0RXQjhoa0FnSXRnelFjQUFBQUFBT0JXbEE4QUFBQUFBTUN0S0I4QUFBQUFBSUJiVVQ0QUFBQUFBQUMzb253QUFBQUFBQUJ1UmZrQUFBQUFBQURjaXZJQkFBQUFBQUM0RmVVREFBQUFBQUJ3SzhvSEFBQUFBQURnVnBRUEFBQUFBQURBclNnZkFBREFKZm50dDk5MDVNZ1JTVkplWGw2VnhoUVhGN3N6RWdBQThGQytWZ2NBQUFEZUtUczdXMzM2OU5FRER6eWduVHQzNnI3Nzd0UGd3WU5sczFYK3ZZMHhZOGFvUzVjdXV2TEtLNTNIL3ZuUGY2cGp4NDRhTUdCQVRjUUdBQUFXb0h3QUFBQ1hKQ1FrUktacHFuMzc5bnJvb1ljVUV4TWptODJtcDU1NlNuNStmaFdPT1hIaWhONTY2eTM1Ky9zN2orWG01aW85UFYzZHUzZFgwNlpOYXlvK0FBQ29RWlFQQUFDZ1NsNTY2U1hkZWVlZHV1cXFxNXpIZkgxOXRYMzdkalZ2M2x3K1BqNWF0bXlaVHAwNnBiRmp4MVo0RDV2TnBuNzkrbW5NbURIT1kwODg4WVE2ZGVwRThRQUFRQzFHK1lEZkpUYzNWMGxKU1lxTmpWVlFVSkFlZmZSUkhUcDBTSGw1ZVJvNmRLamF0MjlmNGJqcDA2ZnJ5U2VmVk1PR0RjdWRPMzc4dUQ3ODhFTUZCZ2FxYWRPbU9uSGloRXpUMUpBaFF4UVlHRml0NjVLVGsvWDY2Ni9yMEtGRHV1V1dXeFFYRjZkV3JWcTU1eGNEQUdxNUF3Y09hTzNhdGVXT3IxbXpSbXZXckpGVThtZno1NTkvcmp2dnZGTjMzMzEzdVdzTnc2anczcVpwWHQ2d0FBREFvN0RnSkg2WGdJQUEzWC8vL1pLa29LQWdQZjMwMDVveVpZcENRME1WSFIydGpJeU1jbU5PblRxbHhZc1g2NU5QUGlsMzd2RGh3M3I4OGNjVkdocXFrU05INnZISEg5ZklrU1BsY0RqMDE3LytWYi85OWx1VnJ6dDc5cXdXTEZpZ3FLZ290V25UUnFtcHFZcVBqM2Z2THdnQTFHSStQajZLaW9wU2NuS3k4MGRFUklUNjlPbWo1T1JrclZtelJrT0hEdFdQUC81WVlmRWdTUTZIUXlrcEtabzJiWnJ6eC9IangrVndPR3I0MHdBQWdKcEUrUUMzR0RSb2tPeDJ1ejc0NElOeTU1WXRXNmFpb2lJdFhicFUyZG5aTHVmZWVlY2RuVDE3Vm84ODhvakw4Zjc5Kyt2Z3dZT2FPM2R1bGE5ek9CeDYrKzIzOWZUVFQydkdqQm1TeEQ5dUFlQjMrdlhYWDVXVWxLVDU4K2ZyaXkrK1VMTm16WFQ4K0hGSjBvWU5HL1RoaHg5cXhZb1ZsWTR2S2lwU1ZsYVdkdS9lN2Z5Um41OHZ1OTFlVXg4QkFBQllnUElCYmhFVUZLVEdqUnNyTFMzTjVmanAwNmNWRkJTa3FLZ281ZVRrYU1tU0pTN24vLzN2ZjZ0Smt5WUtDQWh3T2Q2aVJRdm4rYXBlMTZoUkkvbjZsanhaVkxxMTJ4TlBQSEdaUGlFQTFEMUZSVVZLUzB2VDZOR2pOWDM2ZEwzenpqc0tDUW5SL3YzN0pVbXJWNjlXcDA2ZDFMZHYzM0pqSjArZXJHKy8vVlpObXpaVnUzYnQ5TXd6ejJqV3JGbHEzTGl4ZXZic3FiQ3dNQ1VsSlNrK1BsNUhqeDZ0Nlk4R0FBRGNqRFVmNERZVmJiVzJjdVZLOWUvZlgrSGg0ZHF3WVlNV0wxNnN4eDkvdkZ5SmNMNnFQZ3RjMlhWTGxpelIwMDgvWGVrMFlBREF4UlVXRnFwZnYzNGFOMjZjQmc4ZXJPYk5tK3V1dSs3U3h4OS9yRysvL1ZhN2R1M1M2NisvWHVIWXhNUkVMVisrM1BsNno1NDkrdkxMTDVXVWxLU0NnZ0tYYTNOeWNqUmx5aFMzZmhZQUFGQ3ptUGtBdDhqUHo5ZXBVNmZVcVZNbjU3R3NyQ3h0MjdaTlM1Y3UxZWJObTlXbVRSdjk5dHR2V3JwMHFmT2EyMjY3VFNkUG5sUk9UbzdML1E0ZVBDaEp1dU9PTzZwMW5TUnQyclJKd2NIQkdqSmtpQW9MQzUzclJnQUFxdWYwNmROcTBxU0pwSklGaHhzMmJLaE9uVG9wS0NoSXNiR3hhdE9tamFLaW9wU2ZuNitpb2lLWHNUNCtQb3FOalZWeWNySnV1dWttUlVWRnlkL2ZYejQrUGhvM2JweHpEUWxKNnRhdFc0MS9OZ0FBNEY2VUQzQ0xGU3RXeU1mSFI4T0dEWE1lVzdwMHFWNTU1UlVOSERoUUF3Y08xTXN2dnl4SldyUm9rZkx6OHlWSnp6MzNuQUlEQTEwS0NhbGs1a0pvYUtnR0RoeFlyZXZTMHRMMDFsdHZhZGV1WFhyNTVaYzFhTkFnNXlNWUFJQ3FPM3Yyck02ZVBlc3NIN0t5c3RTNGNXUDUrUGpvM252dlZWNWVuaDU3N0RIWmJEWWxKQ1FvSVNIQlpieVBqNC9MNjlLWmFoWE5rZ01BQUxVUGoxM2dkeW5kYWxNcTJjVmkxcXhaeXMzTjFiRmp4elIvL256ZGVPT05rcVJWcTFicGl5KyswQzIzM0tLdVhidEtLbG1Id2QvZlg2ZFBuOWJVcVZNMVpzd1loWWFHNnVPUFA5YXNXYlAwemp2dktEZzRXRWVPSEpHL3Y3OCsrdWdqQlFVRlNWS1ZydHU1YzZlR0R4K3VuSndjNTR5SVpzMmFWYmk5SndEZ3dsSlNVbFN2WGowbEppYnFqVGZlVUg1K3ZxNi8vbnI5K09PUCt1cXJyeFFTRXFLWk0yZnFoaHR1MEpZdFc5U3ZYeitYOGNYRnhmcm1tMjkwK1BCaDU5YklwY2VUa3BLVW1abnBjaTBBQUtoZEt0NXNHN1ZXUkVTRUtjazV0UldYUjJSa3BDUXBKU1dGMzFNQXFzeXM2b0kySG1EMDZORnExYXFWbm4vK2VjWEZ4U2tvS0VpaG9hR2FQbjI2Um84ZXJTNWR1dWpaWjUvVnZuMzdaQmlHcGsrZnJ0dHZ2OTA1dmt1WExtclNwSW1DZzRQMTg4OC82Lzc3NzlmNDhlUFZyVnMzTldyVVNNSEJ3WktrYmR1MktUWTJWbjM2OUxIcW8xNFN3ekQ0OHg4QWdBdGdyaU1BQUxpZ1hidDI2Y0NCQXhvNmRLZ013OURFaVJPVm01dXJqUnMzYXVIQ2hYcm9vWWZVcEVrVExWeTRVSU1IRDFaZ1lLQTJiZHJrY2crNzNhNGhRNFpvd1lJRjZ0U3BrMjY5OVZaSkpWc2dqeGd4UWdzV0xOQ0NCUXNVRWhLaXE2Kysyb3FQQ1FBQTNJaVd2bzVoNW9ON01QTUJ3S1h3bHBrUHYvNzZxeHdPaDVvMmJlbzhkdkxrU2VmNkQrZHpPQnc2ZGVxVVM0bVFuSnpzL0xPeXVMall1ZGJEaVJNblhPN3JjRGpLclEvaERaajVBQURBaGJIbUF3QUF1S0NRa0pCeXh5b3JIcVNTeFNYUG43MVFXanhJcm90TWxpMGVTc2NDQUlEYWg4Y3VBQUFBQUFDQVcxRStBQUFBQUFBQXQ2SjhBQUFBQUFBQWJrWDVBQUFBQUFBQTNJcnlBUUFBQUFBQXVCWGxBd0FBQUFBQWNDdktCd0FBQUFBQTRGYVVEd0FBQUFBQXdLMG9Id0FBQUFBQWdGdFJQZ0FBQUFBQUFMZWlmQUFBQUFBQUFHNUYrUUFBZ0hYK1pYVUFYQmJickE0QUFJQ244N1U2QUt3UkdSbHBkUVFBcVBNTXc3amQ2Z3dBQUFBMWdaa1BkWXhwbW55WHpYMzR6aGN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SFhDL3dlQmpMT3JMZHhZSXdBQUFBQkpSVTVFcmtKZ2dnPT0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73</Pages>
  <Words>9578</Words>
  <Characters>10946</Characters>
  <Lines>1388</Lines>
  <Paragraphs>1568</Paragraphs>
  <TotalTime>0</TotalTime>
  <ScaleCrop>false</ScaleCrop>
  <LinksUpToDate>false</LinksUpToDate>
  <CharactersWithSpaces>10992</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Floating dream </cp:lastModifiedBy>
  <cp:lastPrinted>2022-04-19T02:55:00Z</cp:lastPrinted>
  <dcterms:modified xsi:type="dcterms:W3CDTF">2024-11-18T10:19:26Z</dcterms:modified>
  <dc:title>附件2</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6399D09FACC7413AADB76EB14AF4CF3D_13</vt:lpwstr>
  </property>
</Properties>
</file>