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77</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4999EF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en-US" w:eastAsia="zh-CN"/>
        </w:rPr>
      </w:pPr>
      <w:r>
        <w:rPr>
          <w:rFonts w:hint="eastAsia" w:ascii="方正小标宋简体" w:hAnsi="宋体" w:eastAsia="方正小标宋简体"/>
          <w:bCs/>
          <w:snapToGrid w:val="0"/>
          <w:kern w:val="0"/>
          <w:sz w:val="44"/>
          <w:szCs w:val="44"/>
          <w:lang w:val="en-US" w:eastAsia="zh-CN"/>
        </w:rPr>
        <w:t>关于兵团“十四五”中型灌区续建配套与节水改造工程第七师125团柳沟灌区项目</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环境影响报告书的</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新疆生产建设兵团第七师水利工程管理服务中心：</w:t>
      </w:r>
    </w:p>
    <w:p w14:paraId="1A5153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《关于审批&lt;兵团“十四五”中型灌区续建配套与节水改造工程第七师125团柳沟灌区项目环境影响报告书&gt;的请示》收悉。经研究，批复如下：</w:t>
      </w:r>
    </w:p>
    <w:p w14:paraId="0CDF3A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val="0"/>
          <w:color w:val="000000" w:themeColor="text1"/>
          <w:sz w:val="32"/>
          <w14:textFill>
            <w14:solidFill>
              <w14:schemeClr w14:val="tx1"/>
            </w14:solidFill>
          </w14:textFill>
        </w:rPr>
      </w:pPr>
      <w:r>
        <w:rPr>
          <w:rFonts w:hint="eastAsia" w:ascii="Times New Roman" w:hAnsi="Times New Roman" w:eastAsia="仿宋_GB2312" w:cs="仿宋_GB2312"/>
          <w:bCs w:val="0"/>
          <w:color w:val="000000" w:themeColor="text1"/>
          <w:kern w:val="2"/>
          <w:sz w:val="32"/>
          <w:szCs w:val="24"/>
          <w:lang w:val="en-US" w:eastAsia="zh-CN" w:bidi="ar-SA"/>
          <w14:textFill>
            <w14:solidFill>
              <w14:schemeClr w14:val="tx1"/>
            </w14:solidFill>
          </w14:textFill>
        </w:rPr>
        <w:t>一、</w:t>
      </w:r>
      <w:r>
        <w:rPr>
          <w:rFonts w:hint="default" w:ascii="Times New Roman" w:hAnsi="Times New Roman" w:eastAsia="仿宋_GB2312" w:cs="Times New Roman"/>
          <w:sz w:val="32"/>
          <w:szCs w:val="32"/>
        </w:rPr>
        <w:t>该项目位于新疆生产建设兵团第七师</w:t>
      </w:r>
      <w:r>
        <w:rPr>
          <w:rFonts w:hint="eastAsia" w:ascii="Times New Roman" w:hAnsi="Times New Roman" w:eastAsia="仿宋_GB2312" w:cs="仿宋_GB2312"/>
          <w:bCs w:val="0"/>
          <w:color w:val="000000" w:themeColor="text1"/>
          <w:sz w:val="32"/>
          <w14:textFill>
            <w14:solidFill>
              <w14:schemeClr w14:val="tx1"/>
            </w14:solidFill>
          </w14:textFill>
        </w:rPr>
        <w:t>125团。项目为改扩建工程，对灌区10条渠道进行防渗改建，总长41.34公里，其中柳沟南干渠防渗改建长度6.28公里、电站尾水渠防渗改建长度3.9公里、南干西三支渠防渗改建长度2.9公里、南干东八支渠防渗改建长度2.097公里、场直二支渠防渗改建长度1.57公里、一营二支渠防渗改建长度6.343公里、调二支渠防渗改建长度2.091公里、调三支渠防渗改建长度6.57公里、新西干渠防渗改建长度4.826公里、柳灌站支渠防渗改建长度4.763公里；配套建筑物47座（水闸36座，交通桥3座，涵洞7座，陡坡1处）。</w:t>
      </w:r>
    </w:p>
    <w:p w14:paraId="2B0A7E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bCs w:val="0"/>
          <w:color w:val="000000" w:themeColor="text1"/>
          <w:sz w:val="32"/>
          <w14:textFill>
            <w14:solidFill>
              <w14:schemeClr w14:val="tx1"/>
            </w14:solidFill>
          </w14:textFill>
        </w:rPr>
        <w:t>项目设置10处临时施工工区；选取1处商品骨料场，为124团骨料场；在改建渠道沿线设置临时施工道路。</w:t>
      </w:r>
      <w:r>
        <w:rPr>
          <w:rFonts w:hint="default" w:ascii="Times New Roman" w:hAnsi="Times New Roman" w:eastAsia="仿宋_GB2312" w:cs="Times New Roman"/>
          <w:sz w:val="32"/>
          <w:szCs w:val="32"/>
          <w:lang w:val="en-US" w:eastAsia="zh-CN"/>
        </w:rPr>
        <w:t>项目总投资15336.6万元，其中环保投资146.77万元，占总投资的0.96%。</w:t>
      </w:r>
    </w:p>
    <w:p w14:paraId="7527E4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highlight w:val="none"/>
          <w:lang w:val="en-US" w:eastAsia="zh-CN"/>
        </w:rPr>
        <w:t>报告书</w:t>
      </w:r>
      <w:r>
        <w:rPr>
          <w:rFonts w:hint="default" w:ascii="Times New Roman" w:hAnsi="Times New Roman" w:eastAsia="仿宋_GB2312" w:cs="Times New Roman"/>
          <w:bCs/>
          <w:sz w:val="32"/>
          <w:szCs w:val="32"/>
        </w:rPr>
        <w:t>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548A0C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格落实大气污染防治措施。施工区域设置围挡；合理安排施工工期，严禁在大风天气进行土方作业；临时土方在堆放时采用防尘布覆盖并洒水降尘，逸散性材料运输采用苫布遮盖；合理规划运输路线，材料运输采用苫布遮盖；拌合系统配备布袋除尘设施；施工中所用材料统一堆放管理，设置专门的材料场，施工砂土搭建顶棚并设置围挡</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rPr>
        <w:t>选用符合国家标准要求的机械设备，合理规划、选择最短运输路线</w:t>
      </w:r>
      <w:r>
        <w:rPr>
          <w:rFonts w:hint="eastAsia" w:eastAsia="仿宋_GB2312" w:cs="Times New Roman"/>
          <w:b w:val="0"/>
          <w:bCs/>
          <w:sz w:val="32"/>
          <w:szCs w:val="32"/>
          <w:lang w:eastAsia="zh-CN"/>
        </w:rPr>
        <w:t>；</w:t>
      </w:r>
      <w:r>
        <w:rPr>
          <w:rFonts w:hint="eastAsia" w:eastAsia="仿宋_GB2312" w:cs="Times New Roman"/>
          <w:b w:val="0"/>
          <w:bCs/>
          <w:sz w:val="32"/>
          <w:szCs w:val="32"/>
          <w:lang w:val="en-US" w:eastAsia="zh-CN"/>
        </w:rPr>
        <w:t>施工</w:t>
      </w:r>
      <w:r>
        <w:rPr>
          <w:rFonts w:hint="eastAsia" w:ascii="Times New Roman" w:hAnsi="Times New Roman" w:eastAsia="仿宋_GB2312" w:cs="Times New Roman"/>
          <w:b w:val="0"/>
          <w:bCs/>
          <w:sz w:val="32"/>
          <w:szCs w:val="32"/>
        </w:rPr>
        <w:t>场地平整后尽快夯实、硬化，及时洒水降尘，适当绿化施工场地。</w:t>
      </w:r>
    </w:p>
    <w:p w14:paraId="50FA1BE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水污染防治措施。混凝土拌和废水和机械设备冲洗废水经二级沉淀池沉淀后回用于施工场地洒水降尘；生活污水经化粪池收集后，由吸污车清运至125团污水处理厂处理。施工结束后，拆除各类临时设施并对土地进行平整和植被恢复，严禁将施工期废水以任何形式排入河道及周边地表水体。</w:t>
      </w:r>
    </w:p>
    <w:p w14:paraId="54D94A7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噪声污染防治措施。选用低噪声施工机械和设备，加强施工机械设备的维修、管理，使用减振座垫与隔声装置；严格控制强噪声施工机械作业时间，并安置于单独工棚内；合理安排施工时间，采取分段施工方式，在居民点附近施工时设临时隔声屏障，严禁在夜间（22:00-8:00）时段进行施工；加强施工现场运输车辆出入的管理，进场禁止鸣笛，不得随意扔、丢、抛、倒，减少金属件的碰击声。</w:t>
      </w:r>
    </w:p>
    <w:p w14:paraId="1F8E19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施工建筑垃圾优先回收利用，不能回收利用的分类收集后运至环卫部门指定地点，不得在运输过程中沿途丢弃、遗撒；弃土弃渣严格按设计要求及时清运至渠道沿线料场回填；施工期生活垃圾收集后及时运至125团生活垃圾填埋场统一处理。</w:t>
      </w:r>
    </w:p>
    <w:p w14:paraId="07595E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bCs/>
          <w:sz w:val="32"/>
          <w:szCs w:val="32"/>
          <w:lang w:val="en-US"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）严格落实生态环境</w:t>
      </w:r>
      <w:r>
        <w:rPr>
          <w:rFonts w:hint="eastAsia" w:eastAsia="仿宋_GB2312" w:cs="Times New Roman"/>
          <w:bCs/>
          <w:sz w:val="32"/>
          <w:szCs w:val="32"/>
          <w:lang w:val="en-US" w:eastAsia="zh-CN"/>
        </w:rPr>
        <w:t>保护措施。施工期间划定施工区域，强化施工管理，增强施工人员的环保意识，严格控制施工人员、施工机械的活动范围，合理选线，避绕植被分布集中的区域；对表土层和植被进行表土剥离，分类堆放，分段施工完后及时恢复；做好土石方平衡，开挖土方及时用于施工区低洼地平整，增加土地的平整度；做好施工迹地的恢复，避免出现施工场地凹凸不平；施工期控制施工作业扰动面积、及时进行植被恢复等措施，严格落实建设项目水土保持“三同时”制度，加大水土流失综合整治和生态修复力度；对项目占地须依法依规落实占地补偿手续。</w:t>
      </w:r>
    </w:p>
    <w:p w14:paraId="7A090F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书</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4656FC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六、12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送师市生态环境保护综合行政执法支队、生态环境监测站、12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团城镇和生态保护中心，并按规定接受各级生态环境主管部门的监督检查。</w:t>
      </w:r>
    </w:p>
    <w:p w14:paraId="38A80575">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35525AFC">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28</w:t>
      </w:r>
      <w:r>
        <w:rPr>
          <w:rFonts w:hint="default" w:ascii="Times New Roman" w:hAnsi="Times New Roman" w:eastAsia="仿宋_GB2312" w:cs="Times New Roman"/>
          <w:bCs/>
          <w:sz w:val="32"/>
          <w:szCs w:val="32"/>
        </w:rPr>
        <w:t>日</w:t>
      </w:r>
    </w:p>
    <w:p w14:paraId="3CD5E6B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rPr>
      </w:pPr>
    </w:p>
    <w:p w14:paraId="69AB277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rPr>
      </w:pPr>
    </w:p>
    <w:p w14:paraId="17C94B79">
      <w:pPr>
        <w:pStyle w:val="2"/>
        <w:rPr>
          <w:rFonts w:hint="eastAsia"/>
        </w:rPr>
      </w:pPr>
    </w:p>
    <w:p w14:paraId="350A9ABE">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5"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CW+UFe+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suFzzhxYuvC7T99/fvzy&#10;68dnWu++fWXzLNIQsKbYldvE0w7DJmbGhzba/Ccu7FCEPZ6FVYfEBB3Or4ncnCqIe1/1kBgiplfK&#10;W5aNhmOKoLs+rbxzdH0+zoqwsH+NiUpT4n1CrmocG2iK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Jb5QV7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抄送：师市生态环境保护综合行政执法支队、生态环境监测站、12</w:t>
      </w:r>
      <w:r>
        <w:rPr>
          <w:rFonts w:hint="eastAsia" w:ascii="仿宋_GB2312" w:hAnsi="华文仿宋" w:eastAsia="仿宋_GB2312" w:cs="仿宋_GB2312"/>
          <w:sz w:val="28"/>
          <w:szCs w:val="28"/>
          <w:lang w:val="en-US" w:eastAsia="zh-CN"/>
        </w:rPr>
        <w:t>5</w:t>
      </w:r>
      <w:r>
        <w:rPr>
          <w:rFonts w:hint="eastAsia" w:ascii="仿宋_GB2312" w:hAnsi="华文仿宋" w:eastAsia="仿宋_GB2312" w:cs="仿宋_GB2312"/>
          <w:sz w:val="28"/>
          <w:szCs w:val="28"/>
        </w:rPr>
        <w:t>团城镇和生态保护中心。</w:t>
      </w:r>
    </w:p>
    <w:p w14:paraId="7F6AE616">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0" r="0" b="0"/>
                <wp:wrapNone/>
                <wp:docPr id="6"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ENc+2AAAAAkBAAAPAAAAAAAAAAEAIAAAACIAAABk&#10;cnMvZG93bnJldi54bWxQSwECFAAUAAAACACHTuJA2LCKPQYCAAD+AwAADgAAAAAAAAABACAAAAAn&#10;AQAAZHJzL2Uyb0RvYy54bWxQSwUGAAAAAAYABgBZAQAAnwU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4445" r="0" b="0"/>
                <wp:wrapNone/>
                <wp:docPr id="7"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A1TdAn+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10</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9876A"/>
    <w:multiLevelType w:val="singleLevel"/>
    <w:tmpl w:val="72B987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OTNiMGUyMGZiOWM3Y2E2ZjQ1Yzg1NzNlNmFlYmEifQ=="/>
  </w:docVars>
  <w:rsids>
    <w:rsidRoot w:val="19A61553"/>
    <w:rsid w:val="005D74A7"/>
    <w:rsid w:val="01B110AA"/>
    <w:rsid w:val="0BD55735"/>
    <w:rsid w:val="0C041C01"/>
    <w:rsid w:val="0CD67C16"/>
    <w:rsid w:val="0EE21F14"/>
    <w:rsid w:val="0F8E2A2A"/>
    <w:rsid w:val="100902CD"/>
    <w:rsid w:val="11467450"/>
    <w:rsid w:val="121C5B4E"/>
    <w:rsid w:val="1367781A"/>
    <w:rsid w:val="19A61553"/>
    <w:rsid w:val="1ABC044C"/>
    <w:rsid w:val="2177331E"/>
    <w:rsid w:val="24166BA0"/>
    <w:rsid w:val="24F3437F"/>
    <w:rsid w:val="2DCE394C"/>
    <w:rsid w:val="2FE778C1"/>
    <w:rsid w:val="30E65F8C"/>
    <w:rsid w:val="310E716E"/>
    <w:rsid w:val="31A7562E"/>
    <w:rsid w:val="31DB1B10"/>
    <w:rsid w:val="3E3F2FBE"/>
    <w:rsid w:val="3ED656D0"/>
    <w:rsid w:val="41F36599"/>
    <w:rsid w:val="4B4732F2"/>
    <w:rsid w:val="4E2A19FE"/>
    <w:rsid w:val="521E31BF"/>
    <w:rsid w:val="542B694D"/>
    <w:rsid w:val="5445681C"/>
    <w:rsid w:val="55AB6B75"/>
    <w:rsid w:val="561623FF"/>
    <w:rsid w:val="569B2466"/>
    <w:rsid w:val="5FCF6BF0"/>
    <w:rsid w:val="6109328C"/>
    <w:rsid w:val="623C143F"/>
    <w:rsid w:val="62A019CE"/>
    <w:rsid w:val="6703077D"/>
    <w:rsid w:val="6C9F7EF9"/>
    <w:rsid w:val="6CC3509F"/>
    <w:rsid w:val="708446DD"/>
    <w:rsid w:val="74583EB6"/>
    <w:rsid w:val="75006CB2"/>
    <w:rsid w:val="7E79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Body Text Indent"/>
    <w:basedOn w:val="1"/>
    <w:next w:val="7"/>
    <w:semiHidden/>
    <w:qFormat/>
    <w:uiPriority w:val="0"/>
    <w:pPr>
      <w:spacing w:after="120"/>
      <w:ind w:left="420" w:leftChars="200"/>
    </w:pPr>
  </w:style>
  <w:style w:type="paragraph" w:styleId="7">
    <w:name w:val="Body Text First Indent 2"/>
    <w:basedOn w:val="6"/>
    <w:next w:val="1"/>
    <w:qFormat/>
    <w:uiPriority w:val="0"/>
    <w:pPr>
      <w:adjustRightInd w:val="0"/>
      <w:spacing w:line="360" w:lineRule="atLeast"/>
      <w:ind w:left="0" w:leftChars="0" w:firstLine="210"/>
      <w:textAlignment w:val="baseline"/>
    </w:pPr>
    <w:rPr>
      <w:sz w:val="24"/>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footnote text"/>
    <w:basedOn w:val="1"/>
    <w:next w:val="2"/>
    <w:unhideWhenUsed/>
    <w:qFormat/>
    <w:uiPriority w:val="99"/>
    <w:pPr>
      <w:snapToGrid w:val="0"/>
      <w:jc w:val="left"/>
    </w:pPr>
    <w:rPr>
      <w:rFonts w:ascii="Calibri" w:hAnsi="Calibri" w:eastAsia="仿宋" w:cs="Times New Roman"/>
      <w:sz w:val="18"/>
      <w:szCs w:val="18"/>
    </w:r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rPr>
      <w:sz w:val="24"/>
    </w:rPr>
  </w:style>
  <w:style w:type="paragraph" w:customStyle="1" w:styleId="14">
    <w:name w:val="纯文本1"/>
    <w:basedOn w:val="1"/>
    <w:qFormat/>
    <w:uiPriority w:val="0"/>
    <w:pPr>
      <w:adjustRightInd w:val="0"/>
      <w:textAlignment w:val="baseline"/>
    </w:pPr>
    <w:rPr>
      <w:rFonts w:ascii="宋体" w:hAnsi="Courier New"/>
      <w:szCs w:val="20"/>
    </w:rPr>
  </w:style>
  <w:style w:type="paragraph" w:customStyle="1" w:styleId="15">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2065</Words>
  <Characters>2167</Characters>
  <Lines>0</Lines>
  <Paragraphs>0</Paragraphs>
  <TotalTime>7</TotalTime>
  <ScaleCrop>false</ScaleCrop>
  <LinksUpToDate>false</LinksUpToDate>
  <CharactersWithSpaces>2212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Administrator</cp:lastModifiedBy>
  <cp:lastPrinted>2024-09-14T04:00:00Z</cp:lastPrinted>
  <dcterms:modified xsi:type="dcterms:W3CDTF">2024-10-24T09:10:02Z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586058D2EA1644C28E9E9DCD1B9F0DD4_13</vt:lpwstr>
  </property>
</Properties>
</file>