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8BED">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67987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76</w:t>
      </w:r>
      <w:r>
        <w:rPr>
          <w:rFonts w:hint="eastAsia" w:ascii="仿宋_GB2312" w:eastAsia="仿宋_GB2312"/>
          <w:snapToGrid w:val="0"/>
          <w:kern w:val="0"/>
          <w:sz w:val="32"/>
          <w:szCs w:val="32"/>
        </w:rPr>
        <w:t>号</w:t>
      </w:r>
    </w:p>
    <w:p w14:paraId="3CA0B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7DAEF0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lang w:val="en-US" w:eastAsia="zh-CN"/>
        </w:rPr>
      </w:pPr>
      <w:r>
        <w:rPr>
          <w:rFonts w:hint="eastAsia" w:ascii="方正小标宋简体" w:hAnsi="宋体" w:eastAsia="方正小标宋简体"/>
          <w:bCs/>
          <w:snapToGrid w:val="0"/>
          <w:kern w:val="0"/>
          <w:sz w:val="44"/>
          <w:szCs w:val="44"/>
          <w:lang w:val="en-US" w:eastAsia="zh-CN"/>
        </w:rPr>
        <w:t>关于兵团第七师奎屯灌区续建配套与现代化</w:t>
      </w:r>
    </w:p>
    <w:p w14:paraId="40F4E0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改造项目环境影响报告书的的</w:t>
      </w:r>
      <w:r>
        <w:rPr>
          <w:rFonts w:hint="eastAsia" w:ascii="方正小标宋简体" w:hAnsi="宋体" w:eastAsia="方正小标宋简体"/>
          <w:bCs/>
          <w:snapToGrid w:val="0"/>
          <w:kern w:val="0"/>
          <w:sz w:val="44"/>
          <w:szCs w:val="44"/>
        </w:rPr>
        <w:t>批复</w:t>
      </w:r>
    </w:p>
    <w:p w14:paraId="13C929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7168A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新疆生产建设兵团第七师水利工程管理服务中心：</w:t>
      </w:r>
    </w:p>
    <w:p w14:paraId="1A515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《关于审批&lt;兵团第七师奎屯灌区续建配套与现代化改造项目环境影响报告书&gt;的请示》收悉。经研究，批复如下：</w:t>
      </w:r>
    </w:p>
    <w:p w14:paraId="0B81BED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该项目位于新疆生产建设兵团第七师123团、126团、127团、128团、129团、130团、131团</w:t>
      </w:r>
      <w:r>
        <w:rPr>
          <w:rFonts w:hint="default" w:ascii="Times New Roman" w:hAnsi="Times New Roman" w:eastAsia="仿宋_GB2312" w:cs="Times New Roman"/>
          <w:sz w:val="32"/>
          <w:szCs w:val="32"/>
          <w:lang w:val="en-US" w:eastAsia="zh-CN"/>
        </w:rPr>
        <w:t>，项目为改扩建工程，对奎屯灌区6条干渠进行防渗改（新）建，总长103.55公里，配套建筑物81座（水闸34座，交通桥31座，渡槽5座，倒虹吸2座，汇合口3座，人行便桥6座）；改建排渠2条，总长53.8公里</w:t>
      </w:r>
      <w:r>
        <w:rPr>
          <w:rFonts w:hint="eastAsia" w:eastAsia="仿宋_GB2312" w:cs="Times New Roman"/>
          <w:sz w:val="32"/>
          <w:szCs w:val="32"/>
          <w:lang w:val="en-US" w:eastAsia="zh-CN"/>
        </w:rPr>
        <w:t>。项目设置16处临时生产生活区，依托就近连队或建于渠道沿线荒地处；设置取土场7处；共选取两处商品骨料场，分别为124团骨料场和干齐乡东戈壁料场；在新建渠道沿线设置临时施工道路。项目总投资47293万元，其中环保投资300.19万元，占总投资的0.63%。</w:t>
      </w:r>
    </w:p>
    <w:p w14:paraId="7527E4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书</w:t>
      </w:r>
      <w:r>
        <w:rPr>
          <w:rFonts w:hint="default" w:ascii="Times New Roman" w:hAnsi="Times New Roman" w:eastAsia="仿宋_GB2312" w:cs="Times New Roman"/>
          <w:bCs/>
          <w:sz w:val="32"/>
          <w:szCs w:val="32"/>
        </w:rPr>
        <w:t>中所列建设项目的性质、规模、地点、工艺和环境保护对策措施。</w:t>
      </w:r>
    </w:p>
    <w:p w14:paraId="45616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5E25C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（一）严格落实大气污染防治措施。施工区域设置围挡；合理安排施工工期，严禁在大风天气进行土方作业；临时土方在堆放时采用防尘布覆盖并洒水降尘</w:t>
      </w:r>
      <w:bookmarkStart w:id="0" w:name="_GoBack"/>
      <w:bookmarkEnd w:id="0"/>
      <w:r>
        <w:rPr>
          <w:rFonts w:hint="default" w:ascii="Times New Roman" w:hAnsi="Times New Roman" w:eastAsia="仿宋_GB2312" w:cs="Times New Roman"/>
          <w:b w:val="0"/>
          <w:bCs/>
          <w:sz w:val="32"/>
          <w:szCs w:val="32"/>
        </w:rPr>
        <w:t>；合理规划运输路线，材料运输采用苫布遮盖；拌合系统配备布袋除尘设施；选用符合国家标准要求的机械设备，合理规划、选择最短运输路线。</w:t>
      </w:r>
      <w:r>
        <w:rPr>
          <w:rFonts w:hint="eastAsia" w:eastAsia="仿宋_GB2312" w:cs="Times New Roman"/>
          <w:b w:val="0"/>
          <w:bCs/>
          <w:sz w:val="32"/>
          <w:szCs w:val="32"/>
          <w:lang w:val="en-US" w:eastAsia="zh-CN"/>
        </w:rPr>
        <w:t>施工</w:t>
      </w:r>
      <w:r>
        <w:rPr>
          <w:rFonts w:hint="default" w:ascii="Times New Roman" w:hAnsi="Times New Roman" w:eastAsia="仿宋_GB2312" w:cs="Times New Roman"/>
          <w:b w:val="0"/>
          <w:bCs/>
          <w:sz w:val="32"/>
          <w:szCs w:val="32"/>
        </w:rPr>
        <w:t>场地平整后尽快夯实、硬化，及时洒水降尘，适当绿化施工场地。</w:t>
      </w:r>
    </w:p>
    <w:p w14:paraId="1061433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水污染防治措施。混凝土拌和废水和机械设备冲洗废水经二级沉淀池沉淀后回用于施工场地洒水降尘；生活污水依托当地城镇的污水处理设施进行处理。施工结束后，拆除各类临时设施并对土地进行平整和植被恢复，严禁将施工期废水以任何形式排入河道及周边地表水体。</w:t>
      </w:r>
    </w:p>
    <w:p w14:paraId="38134F3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噪声污染防治措施。选用低噪声施工机械和设备，加强施工机械设备的维修、管理，使用减振座垫与隔声装置；严格控制强噪声施工机械作业时间，并安置于单独工棚内；合理安排施工时间，采取分段施工方式，在居民点附近施工时设临时隔声屏障，严禁在午休（12:00-14:00）和夜间（22:00-</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:00）时段进行施工；加强施工现场运输车辆出入的管理，进场禁止鸣笛，不得随意扔、丢、抛、倒，减少金属件的碰击声。</w:t>
      </w:r>
    </w:p>
    <w:p w14:paraId="2D394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施工建筑垃圾优先回收利用，不能回收利用的分类收集后运至环卫部门指定地点，不得在运输过程中沿途丢弃、遗撒；弃土弃渣严格按设计要求及时清运至渠道沿线料场回填；施工期生活垃圾收集后及时运至奎屯市生活垃圾填埋场统一处理。</w:t>
      </w:r>
    </w:p>
    <w:p w14:paraId="0158F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Cs/>
          <w:sz w:val="32"/>
          <w:szCs w:val="32"/>
          <w:lang w:val="en-US"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）严格落实生态环境</w:t>
      </w:r>
      <w:r>
        <w:rPr>
          <w:rFonts w:hint="eastAsia" w:eastAsia="仿宋_GB2312" w:cs="Times New Roman"/>
          <w:bCs/>
          <w:sz w:val="32"/>
          <w:szCs w:val="32"/>
          <w:lang w:val="en-US" w:eastAsia="zh-CN"/>
        </w:rPr>
        <w:t>保护措施。施工期间划定施工区域，强化施工管理，增强施工人员的环保意识，严格控制施工人员、施工机械的活动范围，合理选线，避绕植被分布集中的区域；对表土层和植被进行表土剥离，分类堆放，分段施工完后及时恢复；做好土石方平衡，开挖土方及时用于施工区低洼地平整，增加土地的平整度；做好施工迹地的恢复，避免出现施工场地凹凸不平；施工期采取洒水、围挡防护、控制施工作业扰动面积、及时进行植被恢复等措施，严格落实建设项目水土保持“三同时”制度，加大水土流失综合整治和生态修复力度；对项目占地须依法依规落实占地补偿手续。</w:t>
      </w:r>
    </w:p>
    <w:p w14:paraId="7A090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书</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4656F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123团、126团、127团、128团、129团、130团、131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送师市生态环境保护综合行政执法支队、生态环境监测站、123团、126团、127团、128团、129团、130团、131团城镇和生态保护中心，并按规定接受各级生态环境主管部门的监督检查。</w:t>
      </w:r>
    </w:p>
    <w:p w14:paraId="38A80575">
      <w:pPr>
        <w:pStyle w:val="5"/>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18475E33">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713B0FA">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600C63ED">
      <w:pPr>
        <w:spacing w:line="440" w:lineRule="exact"/>
        <w:ind w:firstLine="5120" w:firstLineChars="1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10</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28</w:t>
      </w:r>
      <w:r>
        <w:rPr>
          <w:rFonts w:hint="default" w:ascii="Times New Roman" w:hAnsi="Times New Roman" w:eastAsia="仿宋_GB2312" w:cs="Times New Roman"/>
          <w:bCs/>
          <w:sz w:val="32"/>
          <w:szCs w:val="32"/>
        </w:rPr>
        <w:t>日</w:t>
      </w:r>
    </w:p>
    <w:p w14:paraId="0841C61E">
      <w:pPr>
        <w:pStyle w:val="2"/>
        <w:keepNext w:val="0"/>
        <w:keepLines w:val="0"/>
        <w:pageBreakBefore w:val="0"/>
        <w:widowControl w:val="0"/>
        <w:kinsoku/>
        <w:wordWrap/>
        <w:overflowPunct/>
        <w:topLinePunct w:val="0"/>
        <w:autoSpaceDE/>
        <w:autoSpaceDN/>
        <w:bidi w:val="0"/>
        <w:adjustRightInd w:val="0"/>
        <w:snapToGrid/>
        <w:spacing w:after="0" w:line="280" w:lineRule="exact"/>
        <w:ind w:firstLine="210"/>
        <w:textAlignment w:val="baseline"/>
        <w:rPr>
          <w:rFonts w:hint="eastAsia"/>
        </w:rPr>
      </w:pPr>
    </w:p>
    <w:p w14:paraId="1B4E17E4">
      <w:pPr>
        <w:pStyle w:val="4"/>
        <w:rPr>
          <w:rFonts w:hint="eastAsia"/>
        </w:rPr>
      </w:pPr>
    </w:p>
    <w:p w14:paraId="211A1B2C">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抄送：师市生态环境保护综合行政执法支队、生态环境监测站、123团、126团、127团、128团、129团、130团、131团城镇和生态保护中心。</w:t>
      </w:r>
    </w:p>
    <w:p w14:paraId="7F6AE616">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10</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28</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23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3F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739E3F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05E53"/>
    <w:multiLevelType w:val="singleLevel"/>
    <w:tmpl w:val="DD105E53"/>
    <w:lvl w:ilvl="0" w:tentative="0">
      <w:start w:val="1"/>
      <w:numFmt w:val="chineseCounting"/>
      <w:suff w:val="nothing"/>
      <w:lvlText w:val="%1、"/>
      <w:lvlJc w:val="left"/>
      <w:rPr>
        <w:rFonts w:hint="eastAsia"/>
      </w:rPr>
    </w:lvl>
  </w:abstractNum>
  <w:abstractNum w:abstractNumId="1">
    <w:nsid w:val="72B9876A"/>
    <w:multiLevelType w:val="singleLevel"/>
    <w:tmpl w:val="72B9876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NzYxYmIzOWJkMDlmNzJmZjdjMmNkNDkzMGYxZDkifQ=="/>
  </w:docVars>
  <w:rsids>
    <w:rsidRoot w:val="19A61553"/>
    <w:rsid w:val="005D74A7"/>
    <w:rsid w:val="01B110AA"/>
    <w:rsid w:val="05C73845"/>
    <w:rsid w:val="0BD55735"/>
    <w:rsid w:val="0C041C01"/>
    <w:rsid w:val="0CD67C16"/>
    <w:rsid w:val="0EE21F14"/>
    <w:rsid w:val="0F8E2A2A"/>
    <w:rsid w:val="11467450"/>
    <w:rsid w:val="121C5B4E"/>
    <w:rsid w:val="1367781A"/>
    <w:rsid w:val="192F5946"/>
    <w:rsid w:val="19A61553"/>
    <w:rsid w:val="1ABC044C"/>
    <w:rsid w:val="2177331E"/>
    <w:rsid w:val="24166BA0"/>
    <w:rsid w:val="24F3437F"/>
    <w:rsid w:val="26F251F5"/>
    <w:rsid w:val="2FE778C1"/>
    <w:rsid w:val="31A7562E"/>
    <w:rsid w:val="31DB1B10"/>
    <w:rsid w:val="3E3F2FBE"/>
    <w:rsid w:val="3ED656D0"/>
    <w:rsid w:val="41F36599"/>
    <w:rsid w:val="43D4331E"/>
    <w:rsid w:val="4B4732F2"/>
    <w:rsid w:val="4E2A19FE"/>
    <w:rsid w:val="521E31BF"/>
    <w:rsid w:val="542B694D"/>
    <w:rsid w:val="5445681C"/>
    <w:rsid w:val="55AB6B75"/>
    <w:rsid w:val="5FCF6BF0"/>
    <w:rsid w:val="6109328C"/>
    <w:rsid w:val="623C143F"/>
    <w:rsid w:val="62A019CE"/>
    <w:rsid w:val="661D42B1"/>
    <w:rsid w:val="6703077D"/>
    <w:rsid w:val="67DC4662"/>
    <w:rsid w:val="6C9F7EF9"/>
    <w:rsid w:val="6CC3509F"/>
    <w:rsid w:val="708446DD"/>
    <w:rsid w:val="743C0E2B"/>
    <w:rsid w:val="75006CB2"/>
    <w:rsid w:val="7C97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line="360" w:lineRule="atLeast"/>
      <w:ind w:left="0" w:leftChars="0" w:firstLine="210"/>
      <w:textAlignment w:val="baseline"/>
    </w:pPr>
    <w:rPr>
      <w:sz w:val="24"/>
    </w:rPr>
  </w:style>
  <w:style w:type="paragraph" w:styleId="3">
    <w:name w:val="Body Text Indent"/>
    <w:basedOn w:val="1"/>
    <w:semiHidden/>
    <w:qFormat/>
    <w:uiPriority w:val="0"/>
    <w:pPr>
      <w:spacing w:after="120"/>
      <w:ind w:left="420" w:leftChars="200"/>
    </w:pPr>
  </w:style>
  <w:style w:type="paragraph" w:styleId="4">
    <w:name w:val="index 5"/>
    <w:basedOn w:val="1"/>
    <w:next w:val="1"/>
    <w:qFormat/>
    <w:uiPriority w:val="0"/>
    <w:pPr>
      <w:ind w:left="800" w:leftChars="800"/>
    </w:pPr>
  </w:style>
  <w:style w:type="paragraph" w:styleId="5">
    <w:name w:val="Body Text"/>
    <w:basedOn w:val="1"/>
    <w:next w:val="6"/>
    <w:qFormat/>
    <w:uiPriority w:val="0"/>
    <w:rPr>
      <w:rFonts w:eastAsia="华文中宋"/>
      <w:b/>
      <w:bCs/>
      <w:w w:val="90"/>
      <w:sz w:val="44"/>
    </w:rPr>
  </w:style>
  <w:style w:type="paragraph" w:customStyle="1" w:styleId="6">
    <w:name w:val="Default"/>
    <w:basedOn w:val="7"/>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8">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footnote text"/>
    <w:basedOn w:val="1"/>
    <w:next w:val="4"/>
    <w:unhideWhenUsed/>
    <w:qFormat/>
    <w:uiPriority w:val="99"/>
    <w:pPr>
      <w:snapToGrid w:val="0"/>
      <w:jc w:val="left"/>
    </w:pPr>
    <w:rPr>
      <w:rFonts w:ascii="Calibri" w:hAnsi="Calibri" w:eastAsia="仿宋" w:cs="Times New Roman"/>
      <w:sz w:val="18"/>
      <w:szCs w:val="18"/>
    </w:r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rPr>
      <w:sz w:val="24"/>
    </w:rPr>
  </w:style>
  <w:style w:type="paragraph" w:customStyle="1" w:styleId="14">
    <w:name w:val="纯文本1"/>
    <w:basedOn w:val="1"/>
    <w:qFormat/>
    <w:uiPriority w:val="0"/>
    <w:pPr>
      <w:adjustRightInd w:val="0"/>
      <w:textAlignment w:val="baseline"/>
    </w:pPr>
    <w:rPr>
      <w:rFonts w:ascii="宋体" w:hAnsi="Courier New"/>
      <w:szCs w:val="20"/>
    </w:rPr>
  </w:style>
  <w:style w:type="paragraph" w:customStyle="1" w:styleId="15">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1988</Words>
  <Characters>2109</Characters>
  <Lines>0</Lines>
  <Paragraphs>0</Paragraphs>
  <TotalTime>6</TotalTime>
  <ScaleCrop>false</ScaleCrop>
  <LinksUpToDate>false</LinksUpToDate>
  <CharactersWithSpaces>2154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Floating dream </cp:lastModifiedBy>
  <cp:lastPrinted>2024-09-14T04:00:00Z</cp:lastPrinted>
  <dcterms:modified xsi:type="dcterms:W3CDTF">2024-10-24T10:31:15Z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FAAD8868FB4941D6BEE09AC9BA0B3FE6_13</vt:lpwstr>
  </property>
</Properties>
</file>