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9B1C6">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5C26D41C">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74</w:t>
      </w:r>
      <w:r>
        <w:rPr>
          <w:rFonts w:hint="default" w:ascii="Times New Roman" w:hAnsi="Times New Roman" w:eastAsia="仿宋_GB2312" w:cs="Times New Roman"/>
          <w:snapToGrid w:val="0"/>
          <w:color w:val="auto"/>
          <w:kern w:val="0"/>
          <w:szCs w:val="32"/>
          <w:highlight w:val="none"/>
        </w:rPr>
        <w:t>号</w:t>
      </w:r>
    </w:p>
    <w:p w14:paraId="58532B9D">
      <w:pPr>
        <w:spacing w:line="600" w:lineRule="exact"/>
        <w:rPr>
          <w:rFonts w:hint="default" w:ascii="Times New Roman" w:hAnsi="Times New Roman" w:eastAsia="仿宋_GB2312" w:cs="Times New Roman"/>
          <w:snapToGrid w:val="0"/>
          <w:color w:val="auto"/>
          <w:kern w:val="0"/>
          <w:sz w:val="30"/>
          <w:highlight w:val="none"/>
        </w:rPr>
      </w:pPr>
    </w:p>
    <w:p w14:paraId="24F0E237">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w:t>
      </w:r>
      <w:bookmarkStart w:id="0" w:name="_GoBack"/>
      <w:r>
        <w:rPr>
          <w:rFonts w:hint="eastAsia" w:ascii="方正小标宋简体" w:hAnsi="方正小标宋简体" w:eastAsia="方正小标宋简体" w:cs="方正小标宋简体"/>
          <w:color w:val="auto"/>
          <w:sz w:val="44"/>
          <w:szCs w:val="44"/>
          <w:highlight w:val="none"/>
          <w:lang w:val="zh-CN"/>
        </w:rPr>
        <w:t>排627-平1等两口探井项目</w:t>
      </w:r>
      <w:bookmarkEnd w:id="0"/>
      <w:r>
        <w:rPr>
          <w:rFonts w:hint="eastAsia" w:ascii="方正小标宋简体" w:hAnsi="方正小标宋简体" w:eastAsia="方正小标宋简体" w:cs="方正小标宋简体"/>
          <w:color w:val="auto"/>
          <w:sz w:val="44"/>
          <w:szCs w:val="44"/>
          <w:highlight w:val="none"/>
          <w:lang w:val="zh-CN"/>
        </w:rPr>
        <w:t>环境影响</w:t>
      </w:r>
    </w:p>
    <w:p w14:paraId="3F8D6A73">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4EBDB8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7596BB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中石化新疆新春石油有限责任公司：</w:t>
      </w:r>
    </w:p>
    <w:p w14:paraId="23DFEB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你单位《关于审批排627-平1等两口探井项目环境影响报告表的请示》收悉。经研究，批复如下：</w:t>
      </w:r>
    </w:p>
    <w:p w14:paraId="371F8654">
      <w:pPr>
        <w:pStyle w:val="12"/>
        <w:keepNext w:val="0"/>
        <w:keepLines w:val="0"/>
        <w:pageBreakBefore w:val="0"/>
        <w:widowControl w:val="0"/>
        <w:kinsoku/>
        <w:wordWrap/>
        <w:overflowPunct/>
        <w:topLinePunct w:val="0"/>
        <w:autoSpaceDE/>
        <w:autoSpaceDN/>
        <w:bidi w:val="0"/>
        <w:spacing w:after="0" w:line="56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该项目位于第七师128团2连</w:t>
      </w:r>
      <w:r>
        <w:rPr>
          <w:rFonts w:hint="default" w:ascii="Times New Roman" w:hAnsi="Times New Roman" w:eastAsia="仿宋_GB2312" w:cs="Times New Roman"/>
          <w:szCs w:val="32"/>
        </w:rPr>
        <w:t>，临时占地面积为5000平方米，项目区中心地理位置坐标为东经84°36′29.800″，北纬45°4′27.290″</w:t>
      </w:r>
      <w:r>
        <w:rPr>
          <w:rFonts w:hint="default" w:ascii="Times New Roman" w:hAnsi="Times New Roman" w:eastAsia="仿宋_GB2312" w:cs="Times New Roman"/>
          <w:bCs/>
          <w:color w:val="000000" w:themeColor="text1"/>
          <w:szCs w:val="32"/>
          <w14:textFill>
            <w14:solidFill>
              <w14:schemeClr w14:val="tx1"/>
            </w14:solidFill>
          </w14:textFill>
        </w:rPr>
        <w:t>。项目部署开发准备井2口（排627-平1井、斜1井），采用二开井身结构，建设钻井及试油工程相关设施。项目主要包括主体工程、辅助工程、储运工程、公用工程、环保工程和依托工程。项目总投资600万元，其中环保投资123.8万元，占总投资的20.63%。</w:t>
      </w:r>
    </w:p>
    <w:p w14:paraId="5AC633CF">
      <w:pPr>
        <w:keepNext w:val="0"/>
        <w:keepLines w:val="0"/>
        <w:pageBreakBefore w:val="0"/>
        <w:widowControl w:val="0"/>
        <w:numPr>
          <w:ilvl w:val="0"/>
          <w:numId w:val="0"/>
        </w:numPr>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306FCFC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0407D278">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划定施工区域，施工作业时最大程度地保护农田的生态环境；强化施工管理，增强施工人员的环境保护意识，严格控制施工机械、施工作业带的范围，严禁随意扩大扰动范围；缩小施工作业面和减少扰动面积；做好土石方平衡，降低工程开挖造成的水土流失；施工作业结束后，及时平整各类施工迹地，恢复原有地貌，防止新增水土流失；提高施工效率，缩短施工时间，以保持耕作层肥力，缩短农业生产季节的损失。项目区临时总占地面积为5000平方米，占地类型为农用地，占地及补偿应按照有关工程征地及补偿要求进行，由相关部门许可后方可开工建设。</w:t>
      </w:r>
    </w:p>
    <w:p w14:paraId="5B91572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合理安排工期，避免在大风天气施工作业，规范施工营地，施工区域设置围栏；施工器械、建筑材料按固定场分类停放和堆存；加强路面养护，控制车速，施工场地、道路定期洒水，运输车辆必须加盖篷布，合理规划运输道路线路，施工车辆严格按照规定线路行驶，严禁乱碾乱压；定期对钻机、柴油发电机等设备进行维护，钻井过程中选用高性能柴油发电机，使用优质柴油，提高效率，减少燃烧废气的无组织排放；伴生气经过液气分离后通过放喷池点火排放。厂界非甲烷总烃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《陆上石油天然气开采工业大气污染物排放标准》（GB39728-2020）中企业边界污染物控制要求。</w:t>
      </w:r>
    </w:p>
    <w:p w14:paraId="1A211A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废水、洗井废水、试油废水经罐车收集拉运至春风一号联合站处理达到《碎屑岩油藏注水水质指标技术要求及分析方法》（SY/T5329-2022）相关要求后回注地层；转移车辆安装GPS全程定位，并保存相关影像资料；生活污水依托周边民房现有处理设施处理。井场油罐、发电机、材料堆场等关键部位均采用防渗膜防渗，井筒采用下套管注水泥固井完井方式，对含水层进行固封处理，避免钻井液渗漏污染地下水</w:t>
      </w:r>
      <w:r>
        <w:rPr>
          <w:rFonts w:hint="default" w:ascii="Times New Roman" w:hAnsi="Times New Roman" w:eastAsia="仿宋_GB2312" w:cs="Times New Roman"/>
          <w:szCs w:val="32"/>
        </w:rPr>
        <w:t>。</w:t>
      </w:r>
    </w:p>
    <w:p w14:paraId="2A8C334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选用低噪声施工机械和设备，加强施工机械的维修、管理，钻井场柴油机装设消声装置；泥浆泵、柴油机设置隔声罩；合理安排高噪声施工作业的时间，严格控制强噪声施工机械的作业时间，并设置屏障；加强现场运输车辆出入的管理，车辆进入现场禁止鸣笛，不得随意扔、丢、抛、倒，减少金属件的碰击声。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《建筑施工场界环境噪声排放标准》（GB12523-2011）中限值要求。</w:t>
      </w:r>
    </w:p>
    <w:p w14:paraId="356DF0B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w:t>
      </w:r>
      <w:r>
        <w:rPr>
          <w:rFonts w:hint="eastAsia" w:ascii="Times New Roman" w:hAnsi="Times New Roman" w:eastAsia="仿宋_GB2312"/>
          <w:bCs/>
          <w:sz w:val="32"/>
          <w:szCs w:val="32"/>
        </w:rPr>
        <w:t>项目钻井采用泥浆不落地系统，钻井岩屑随泥浆一同进入泥浆不落地系统处理，在井场进行固液分离，分离后的液相回用于钻井液配备，固相进入岩屑储存罐，委托有相关资质单位进行处</w:t>
      </w:r>
      <w:r>
        <w:rPr>
          <w:rFonts w:hint="eastAsia" w:eastAsia="仿宋_GB2312"/>
          <w:bCs/>
          <w:sz w:val="32"/>
          <w:szCs w:val="32"/>
          <w:lang w:val="en-US" w:eastAsia="zh-CN"/>
        </w:rPr>
        <w:t>置</w:t>
      </w:r>
      <w:r>
        <w:rPr>
          <w:rFonts w:hint="default" w:ascii="Times New Roman" w:hAnsi="Times New Roman" w:eastAsia="仿宋_GB2312" w:cs="Times New Roman"/>
          <w:bCs/>
          <w:color w:val="auto"/>
          <w:szCs w:val="32"/>
          <w:highlight w:val="none"/>
        </w:rPr>
        <w:t>。</w:t>
      </w:r>
      <w:r>
        <w:rPr>
          <w:rFonts w:hint="eastAsia" w:ascii="Times New Roman" w:hAnsi="Times New Roman" w:eastAsia="仿宋_GB2312"/>
          <w:bCs/>
          <w:sz w:val="32"/>
          <w:szCs w:val="32"/>
        </w:rPr>
        <w:t>各钻井队在完钻及钻机搬迁后，及时清理井场及其周围使用过的物料，恢复原地貌，做到“工完、料尽、场地清”。</w:t>
      </w:r>
      <w:r>
        <w:rPr>
          <w:rFonts w:hint="eastAsia" w:eastAsia="仿宋_GB2312" w:cs="仿宋_GB2312"/>
          <w:bCs/>
          <w:sz w:val="32"/>
          <w:szCs w:val="32"/>
          <w:lang w:val="en-US" w:eastAsia="zh-CN"/>
        </w:rPr>
        <w:t>机械设备废油、废油桶、废</w:t>
      </w:r>
      <w:r>
        <w:rPr>
          <w:rFonts w:hint="eastAsia" w:ascii="Times New Roman" w:hAnsi="Times New Roman" w:eastAsia="仿宋_GB2312" w:cs="仿宋_GB2312"/>
          <w:bCs/>
          <w:sz w:val="32"/>
          <w:szCs w:val="32"/>
        </w:rPr>
        <w:t>防渗材料</w:t>
      </w:r>
      <w:r>
        <w:rPr>
          <w:rFonts w:hint="default" w:ascii="Times New Roman" w:hAnsi="Times New Roman" w:eastAsia="仿宋_GB2312" w:cs="Times New Roman"/>
          <w:bCs/>
          <w:color w:val="auto"/>
          <w:szCs w:val="32"/>
          <w:highlight w:val="none"/>
        </w:rPr>
        <w:t>及</w:t>
      </w:r>
      <w:r>
        <w:rPr>
          <w:rFonts w:hint="eastAsia" w:eastAsia="仿宋_GB2312" w:cs="仿宋_GB2312"/>
          <w:bCs/>
          <w:sz w:val="32"/>
          <w:szCs w:val="32"/>
          <w:lang w:val="en-US" w:eastAsia="zh-CN"/>
        </w:rPr>
        <w:t>落地油</w:t>
      </w:r>
      <w:r>
        <w:rPr>
          <w:rFonts w:hint="eastAsia" w:eastAsia="仿宋_GB2312" w:cs="Times New Roman"/>
          <w:bCs/>
          <w:szCs w:val="32"/>
          <w:lang w:val="en-US" w:eastAsia="zh-CN"/>
        </w:rPr>
        <w:t>属于危险废物，</w:t>
      </w:r>
      <w:r>
        <w:rPr>
          <w:rFonts w:hint="eastAsia" w:ascii="Times New Roman" w:hAnsi="Times New Roman" w:eastAsia="仿宋_GB2312"/>
          <w:bCs/>
          <w:color w:val="000000" w:themeColor="text1"/>
          <w:sz w:val="32"/>
          <w:szCs w:val="32"/>
          <w14:textFill>
            <w14:solidFill>
              <w14:schemeClr w14:val="tx1"/>
            </w14:solidFill>
          </w14:textFill>
        </w:rPr>
        <w:t>收集</w:t>
      </w:r>
      <w:r>
        <w:rPr>
          <w:rFonts w:hint="eastAsia" w:ascii="Times New Roman" w:hAnsi="Times New Roman" w:eastAsia="仿宋_GB2312"/>
          <w:bCs/>
          <w:color w:val="000000" w:themeColor="text1"/>
          <w:sz w:val="32"/>
          <w:szCs w:val="32"/>
          <w:lang w:val="en-US" w:eastAsia="zh-CN"/>
          <w14:textFill>
            <w14:solidFill>
              <w14:schemeClr w14:val="tx1"/>
            </w14:solidFill>
          </w14:textFill>
        </w:rPr>
        <w:t>后分类分区暂存于井场危险废物暂存间，</w:t>
      </w:r>
      <w:r>
        <w:rPr>
          <w:rFonts w:hint="eastAsia" w:ascii="Times New Roman" w:hAnsi="Times New Roman" w:eastAsia="仿宋_GB2312"/>
          <w:bCs/>
          <w:color w:val="000000" w:themeColor="text1"/>
          <w:sz w:val="32"/>
          <w:szCs w:val="32"/>
          <w14:textFill>
            <w14:solidFill>
              <w14:schemeClr w14:val="tx1"/>
            </w14:solidFill>
          </w14:textFill>
        </w:rPr>
        <w:t>委托有危险废物处置资质的单位处置</w:t>
      </w:r>
      <w:r>
        <w:rPr>
          <w:rFonts w:hint="eastAsia" w:eastAsia="仿宋_GB2312" w:cs="Times New Roman"/>
          <w:bCs/>
          <w:szCs w:val="32"/>
          <w:lang w:val="en-US" w:eastAsia="zh-CN"/>
        </w:rPr>
        <w:t>。</w:t>
      </w:r>
      <w:r>
        <w:rPr>
          <w:rFonts w:hint="default" w:ascii="Times New Roman" w:hAnsi="Times New Roman" w:eastAsia="仿宋_GB2312" w:cs="Times New Roman"/>
          <w:bCs/>
          <w:color w:val="auto"/>
          <w:kern w:val="0"/>
          <w:sz w:val="32"/>
          <w:szCs w:val="32"/>
          <w:highlight w:val="none"/>
          <w:lang w:val="en-US" w:eastAsia="zh-CN" w:bidi="ar-SA"/>
        </w:rPr>
        <w:t>危险废物收集、运输</w:t>
      </w:r>
      <w:r>
        <w:rPr>
          <w:rFonts w:hint="default" w:ascii="Times New Roman" w:hAnsi="Times New Roman" w:eastAsia="仿宋_GB2312" w:cs="Times New Roman"/>
          <w:bCs/>
          <w:color w:val="000000" w:themeColor="text1"/>
          <w:szCs w:val="32"/>
          <w14:textFill>
            <w14:solidFill>
              <w14:schemeClr w14:val="tx1"/>
            </w14:solidFill>
          </w14:textFill>
        </w:rPr>
        <w:t>、储存</w:t>
      </w:r>
      <w:r>
        <w:rPr>
          <w:rFonts w:hint="eastAsia" w:eastAsia="仿宋_GB2312" w:cs="Times New Roman"/>
          <w:bCs/>
          <w:color w:val="000000" w:themeColor="text1"/>
          <w:szCs w:val="32"/>
          <w:lang w:val="en-US" w:eastAsia="zh-CN"/>
          <w14:textFill>
            <w14:solidFill>
              <w14:schemeClr w14:val="tx1"/>
            </w14:solidFill>
          </w14:textFill>
        </w:rPr>
        <w:t>须</w:t>
      </w:r>
      <w:r>
        <w:rPr>
          <w:rFonts w:hint="default" w:ascii="Times New Roman" w:hAnsi="Times New Roman" w:eastAsia="仿宋_GB2312" w:cs="Times New Roman"/>
          <w:bCs/>
          <w:color w:val="000000" w:themeColor="text1"/>
          <w:szCs w:val="32"/>
          <w14:textFill>
            <w14:solidFill>
              <w14:schemeClr w14:val="tx1"/>
            </w14:solidFill>
          </w14:textFill>
        </w:rPr>
        <w:t>严格按照《危险废物贮存污染控制标准》（GB18597-20</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23</w:t>
      </w:r>
      <w:r>
        <w:rPr>
          <w:rFonts w:hint="default" w:ascii="Times New Roman" w:hAnsi="Times New Roman" w:eastAsia="仿宋_GB2312" w:cs="Times New Roman"/>
          <w:bCs/>
          <w:color w:val="000000" w:themeColor="text1"/>
          <w:szCs w:val="32"/>
          <w14:textFill>
            <w14:solidFill>
              <w14:schemeClr w14:val="tx1"/>
            </w14:solidFill>
          </w14:textFill>
        </w:rPr>
        <w:t>）、《危险废物收集、贮存、运输技术规范》（HJ2025-2012）和《危险废物转移管理办法》等相关要求。</w:t>
      </w:r>
      <w:r>
        <w:rPr>
          <w:rFonts w:hint="eastAsia" w:ascii="仿宋_GB2312" w:hAnsi="Times New Roman" w:eastAsia="仿宋_GB2312"/>
          <w:bCs/>
          <w:szCs w:val="32"/>
        </w:rPr>
        <w:t>生活</w:t>
      </w:r>
      <w:r>
        <w:rPr>
          <w:rFonts w:hint="eastAsia" w:ascii="仿宋_GB2312" w:eastAsia="仿宋_GB2312"/>
          <w:bCs/>
          <w:szCs w:val="32"/>
        </w:rPr>
        <w:t>垃圾集中收集后，定期交由环卫部门统一清运处置</w:t>
      </w:r>
      <w:r>
        <w:rPr>
          <w:rFonts w:hint="default" w:ascii="Times New Roman" w:hAnsi="Times New Roman" w:eastAsia="仿宋_GB2312" w:cs="Times New Roman"/>
          <w:bCs/>
          <w:szCs w:val="32"/>
        </w:rPr>
        <w:t>。</w:t>
      </w:r>
    </w:p>
    <w:p w14:paraId="0DDF15F5">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default" w:ascii="Times New Roman" w:hAnsi="Times New Roman" w:eastAsia="仿宋_GB2312" w:cs="Times New Roman"/>
          <w:bCs/>
          <w:sz w:val="32"/>
          <w:szCs w:val="32"/>
        </w:rPr>
        <w:t>严格落实地下水污染防治措施。厂区划分为重点防渗区、一般防渗区</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项目</w:t>
      </w:r>
      <w:r>
        <w:rPr>
          <w:rFonts w:hint="default" w:ascii="Times New Roman" w:hAnsi="Times New Roman" w:eastAsia="仿宋_GB2312" w:cs="Times New Roman"/>
          <w:bCs/>
          <w:sz w:val="32"/>
          <w:szCs w:val="32"/>
          <w:lang w:val="en-US" w:eastAsia="zh-CN"/>
        </w:rPr>
        <w:t>柴油罐区、泥浆储罐、废水储罐、钻井液循环系统、应急池区域</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发电机房</w:t>
      </w:r>
      <w:r>
        <w:rPr>
          <w:rFonts w:hint="eastAsia"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危险废物暂存间</w:t>
      </w:r>
      <w:r>
        <w:rPr>
          <w:rFonts w:hint="eastAsia" w:ascii="Times New Roman" w:hAnsi="Times New Roman" w:eastAsia="仿宋_GB2312" w:cs="Times New Roman"/>
          <w:bCs/>
          <w:sz w:val="32"/>
          <w:szCs w:val="32"/>
        </w:rPr>
        <w:t>属于重点</w:t>
      </w:r>
      <w:r>
        <w:rPr>
          <w:rFonts w:hint="eastAsia" w:ascii="Times New Roman" w:hAnsi="Times New Roman" w:eastAsia="仿宋_GB2312"/>
          <w:bCs/>
          <w:sz w:val="32"/>
          <w:szCs w:val="32"/>
        </w:rPr>
        <w:t>防渗区，防渗技术要求达到等效黏土防渗层≥6米，防渗层渗透系数≤10</w:t>
      </w:r>
      <w:r>
        <w:rPr>
          <w:rFonts w:hint="eastAsia" w:ascii="Times New Roman" w:hAnsi="Times New Roman" w:eastAsia="仿宋_GB2312"/>
          <w:bCs/>
          <w:sz w:val="32"/>
          <w:szCs w:val="32"/>
          <w:vertAlign w:val="superscript"/>
        </w:rPr>
        <w:t>-</w:t>
      </w:r>
      <w:r>
        <w:rPr>
          <w:rFonts w:hint="eastAsia" w:eastAsia="仿宋_GB2312"/>
          <w:bCs/>
          <w:sz w:val="32"/>
          <w:szCs w:val="32"/>
          <w:vertAlign w:val="superscript"/>
          <w:lang w:val="en-US" w:eastAsia="zh-CN"/>
        </w:rPr>
        <w:t>7</w:t>
      </w:r>
      <w:r>
        <w:rPr>
          <w:rFonts w:hint="eastAsia" w:ascii="Times New Roman" w:hAnsi="Times New Roman" w:eastAsia="仿宋_GB2312"/>
          <w:bCs/>
          <w:sz w:val="32"/>
          <w:szCs w:val="32"/>
        </w:rPr>
        <w:t>厘米/</w:t>
      </w:r>
      <w:r>
        <w:rPr>
          <w:rFonts w:hint="eastAsia" w:ascii="Times New Roman" w:hAnsi="Times New Roman" w:eastAsia="仿宋_GB2312" w:cs="Times New Roman"/>
          <w:bCs/>
          <w:sz w:val="32"/>
          <w:szCs w:val="32"/>
        </w:rPr>
        <w:t>秒</w:t>
      </w:r>
      <w:r>
        <w:rPr>
          <w:rFonts w:hint="default" w:ascii="Times New Roman" w:hAnsi="Times New Roman" w:eastAsia="仿宋_GB2312" w:cs="Times New Roman"/>
          <w:bCs/>
          <w:sz w:val="32"/>
          <w:szCs w:val="32"/>
          <w:lang w:val="en-US" w:eastAsia="zh-CN"/>
        </w:rPr>
        <w:t>或2</w:t>
      </w:r>
      <w:r>
        <w:rPr>
          <w:rFonts w:hint="eastAsia" w:ascii="Times New Roman" w:hAnsi="Times New Roman" w:eastAsia="仿宋_GB2312" w:cs="Times New Roman"/>
          <w:bCs/>
          <w:sz w:val="32"/>
          <w:szCs w:val="32"/>
          <w:lang w:val="en-US" w:eastAsia="zh-CN"/>
        </w:rPr>
        <w:t>毫米</w:t>
      </w:r>
      <w:r>
        <w:rPr>
          <w:rFonts w:hint="default" w:ascii="Times New Roman" w:hAnsi="Times New Roman" w:eastAsia="仿宋_GB2312" w:cs="Times New Roman"/>
          <w:bCs/>
          <w:sz w:val="32"/>
          <w:szCs w:val="32"/>
          <w:lang w:val="en-US" w:eastAsia="zh-CN"/>
        </w:rPr>
        <w:t>厚高密度聚乙烯，或至少2</w:t>
      </w:r>
      <w:r>
        <w:rPr>
          <w:rFonts w:hint="eastAsia" w:ascii="Times New Roman" w:hAnsi="Times New Roman" w:eastAsia="仿宋_GB2312" w:cs="Times New Roman"/>
          <w:bCs/>
          <w:sz w:val="32"/>
          <w:szCs w:val="32"/>
          <w:lang w:val="en-US" w:eastAsia="zh-CN"/>
        </w:rPr>
        <w:t>毫米</w:t>
      </w:r>
      <w:r>
        <w:rPr>
          <w:rFonts w:hint="default" w:ascii="Times New Roman" w:hAnsi="Times New Roman" w:eastAsia="仿宋_GB2312" w:cs="Times New Roman"/>
          <w:bCs/>
          <w:sz w:val="32"/>
          <w:szCs w:val="32"/>
          <w:lang w:val="en-US" w:eastAsia="zh-CN"/>
        </w:rPr>
        <w:t>厚的其他人工材料</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渗透系数≤10</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-10</w:t>
      </w:r>
      <w:r>
        <w:rPr>
          <w:rFonts w:hint="eastAsia" w:ascii="Times New Roman" w:hAnsi="Times New Roman" w:eastAsia="仿宋_GB2312"/>
          <w:bCs/>
          <w:sz w:val="32"/>
          <w:szCs w:val="32"/>
        </w:rPr>
        <w:t>厘米/秒</w:t>
      </w:r>
      <w:r>
        <w:rPr>
          <w:rFonts w:hint="eastAsia" w:eastAsia="仿宋_GB2312"/>
          <w:bCs/>
          <w:sz w:val="32"/>
          <w:szCs w:val="32"/>
          <w:lang w:eastAsia="zh-CN"/>
        </w:rPr>
        <w:t>）</w:t>
      </w:r>
      <w:r>
        <w:rPr>
          <w:rFonts w:hint="eastAsia" w:ascii="Times New Roman" w:hAnsi="Times New Roman" w:eastAsia="仿宋_GB2312"/>
          <w:bCs/>
          <w:sz w:val="32"/>
          <w:szCs w:val="32"/>
        </w:rPr>
        <w:t>；井场部分为一般防渗区，进行防渗处理，防渗技术要求达到等效黏土防渗层≥1.5米，防渗层渗透系数≤10</w:t>
      </w:r>
      <w:r>
        <w:rPr>
          <w:rFonts w:hint="eastAsia" w:ascii="Times New Roman" w:hAnsi="Times New Roman" w:eastAsia="仿宋_GB2312"/>
          <w:bCs/>
          <w:sz w:val="32"/>
          <w:szCs w:val="32"/>
          <w:vertAlign w:val="superscript"/>
        </w:rPr>
        <w:t>-7</w:t>
      </w:r>
      <w:r>
        <w:rPr>
          <w:rFonts w:hint="eastAsia" w:ascii="Times New Roman" w:hAnsi="Times New Roman" w:eastAsia="仿宋_GB2312"/>
          <w:bCs/>
          <w:sz w:val="32"/>
          <w:szCs w:val="32"/>
        </w:rPr>
        <w:t>厘米/秒</w:t>
      </w:r>
      <w:r>
        <w:rPr>
          <w:rFonts w:hint="default" w:ascii="Times New Roman" w:hAnsi="Times New Roman" w:eastAsia="仿宋_GB2312" w:cs="Times New Roman"/>
          <w:bCs/>
          <w:sz w:val="32"/>
          <w:szCs w:val="32"/>
        </w:rPr>
        <w:t>。严格落实地下水污染防治措施，避免对地下水环境造成污染。</w:t>
      </w:r>
    </w:p>
    <w:p w14:paraId="49FF3ED6">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强化各项环境风险防范措施，有效防范环境风险。厂内定期开展环境风险应急培训和演练，落实各项应急环境管理措施以及各项风险防范措施，确保风险事故得到有效控制。</w:t>
      </w:r>
    </w:p>
    <w:p w14:paraId="26419679">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2301AE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2947AF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14:paraId="5F643A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5CA1CD8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w:t>
      </w:r>
      <w:r>
        <w:rPr>
          <w:rFonts w:hint="eastAsia" w:eastAsia="仿宋_GB2312" w:cs="Times New Roman"/>
          <w:bCs/>
          <w:sz w:val="32"/>
          <w:szCs w:val="32"/>
          <w:lang w:val="en-US" w:eastAsia="zh-CN"/>
        </w:rPr>
        <w:t>128</w:t>
      </w:r>
      <w:r>
        <w:rPr>
          <w:rFonts w:hint="default" w:ascii="Times New Roman" w:hAnsi="Times New Roman" w:eastAsia="仿宋_GB2312" w:cs="Times New Roman"/>
          <w:bCs/>
          <w:sz w:val="32"/>
          <w:szCs w:val="32"/>
        </w:rPr>
        <w:t>团城镇和生态保护中心</w:t>
      </w:r>
      <w:r>
        <w:rPr>
          <w:rFonts w:hint="default" w:ascii="Times New Roman" w:hAnsi="Times New Roman" w:eastAsia="仿宋_GB2312" w:cs="Times New Roman"/>
          <w:bCs/>
          <w:color w:val="auto"/>
          <w:szCs w:val="32"/>
          <w:highlight w:val="none"/>
        </w:rPr>
        <w:t>，并按规定接受各级生态环境主管部门的监督检查。</w:t>
      </w:r>
    </w:p>
    <w:p w14:paraId="4BEA9A9A">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14:paraId="53A0A1CC">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14:paraId="1B63586C">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771CBCA3">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9</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29</w:t>
      </w:r>
      <w:r>
        <w:rPr>
          <w:rFonts w:hint="default" w:ascii="Times New Roman" w:hAnsi="Times New Roman" w:eastAsia="仿宋_GB2312" w:cs="Times New Roman"/>
          <w:bCs/>
          <w:color w:val="auto"/>
          <w:szCs w:val="32"/>
          <w:highlight w:val="none"/>
        </w:rPr>
        <w:t>日</w:t>
      </w:r>
    </w:p>
    <w:p w14:paraId="52B81860">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p>
    <w:p w14:paraId="5A4E61C2">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p>
    <w:p w14:paraId="13E5C40A">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p>
    <w:p w14:paraId="44DF9A6A">
      <w:pPr>
        <w:pStyle w:val="2"/>
        <w:rPr>
          <w:rFonts w:hint="default" w:ascii="Times New Roman" w:hAnsi="Times New Roman" w:eastAsia="仿宋_GB2312" w:cs="Times New Roman"/>
          <w:bCs/>
          <w:color w:val="auto"/>
          <w:szCs w:val="32"/>
          <w:highlight w:val="none"/>
        </w:rPr>
      </w:pPr>
    </w:p>
    <w:p w14:paraId="66A25049">
      <w:pPr>
        <w:rPr>
          <w:rFonts w:hint="default" w:ascii="Times New Roman" w:hAnsi="Times New Roman" w:eastAsia="仿宋_GB2312" w:cs="Times New Roman"/>
          <w:bCs/>
          <w:color w:val="auto"/>
          <w:szCs w:val="32"/>
          <w:highlight w:val="none"/>
        </w:rPr>
      </w:pPr>
    </w:p>
    <w:p w14:paraId="52575BD3">
      <w:pPr>
        <w:pStyle w:val="2"/>
        <w:rPr>
          <w:rFonts w:hint="default" w:ascii="Times New Roman" w:hAnsi="Times New Roman" w:eastAsia="仿宋_GB2312" w:cs="Times New Roman"/>
          <w:bCs/>
          <w:color w:val="auto"/>
          <w:szCs w:val="32"/>
          <w:highlight w:val="none"/>
        </w:rPr>
      </w:pPr>
    </w:p>
    <w:p w14:paraId="674FB6D5">
      <w:pPr>
        <w:rPr>
          <w:rFonts w:hint="default" w:ascii="Times New Roman" w:hAnsi="Times New Roman" w:eastAsia="仿宋_GB2312" w:cs="Times New Roman"/>
          <w:bCs/>
          <w:color w:val="auto"/>
          <w:szCs w:val="32"/>
          <w:highlight w:val="none"/>
        </w:rPr>
      </w:pPr>
    </w:p>
    <w:p w14:paraId="0FC0A07A">
      <w:pPr>
        <w:pStyle w:val="2"/>
        <w:rPr>
          <w:rFonts w:hint="default" w:ascii="Times New Roman" w:hAnsi="Times New Roman" w:eastAsia="仿宋_GB2312" w:cs="Times New Roman"/>
          <w:bCs/>
          <w:color w:val="auto"/>
          <w:szCs w:val="32"/>
          <w:highlight w:val="none"/>
        </w:rPr>
      </w:pPr>
    </w:p>
    <w:p w14:paraId="23002D31">
      <w:pPr>
        <w:rPr>
          <w:rFonts w:hint="default" w:ascii="Times New Roman" w:hAnsi="Times New Roman" w:eastAsia="仿宋_GB2312" w:cs="Times New Roman"/>
          <w:bCs/>
          <w:color w:val="auto"/>
          <w:szCs w:val="32"/>
          <w:highlight w:val="none"/>
        </w:rPr>
      </w:pPr>
    </w:p>
    <w:p w14:paraId="3CDD1C40">
      <w:pPr>
        <w:pStyle w:val="2"/>
        <w:rPr>
          <w:rFonts w:hint="default" w:ascii="Times New Roman" w:hAnsi="Times New Roman" w:eastAsia="仿宋_GB2312" w:cs="Times New Roman"/>
          <w:bCs/>
          <w:color w:val="auto"/>
          <w:szCs w:val="32"/>
          <w:highlight w:val="none"/>
        </w:rPr>
      </w:pPr>
    </w:p>
    <w:p w14:paraId="3DDFFAB4">
      <w:pPr>
        <w:rPr>
          <w:rFonts w:hint="default" w:ascii="Times New Roman" w:hAnsi="Times New Roman" w:eastAsia="仿宋_GB2312" w:cs="Times New Roman"/>
          <w:bCs/>
          <w:color w:val="auto"/>
          <w:szCs w:val="32"/>
          <w:highlight w:val="none"/>
        </w:rPr>
      </w:pPr>
    </w:p>
    <w:p w14:paraId="1337108F">
      <w:pPr>
        <w:pStyle w:val="2"/>
        <w:rPr>
          <w:rFonts w:hint="default" w:ascii="Times New Roman" w:hAnsi="Times New Roman" w:eastAsia="仿宋_GB2312" w:cs="Times New Roman"/>
          <w:bCs/>
          <w:color w:val="auto"/>
          <w:szCs w:val="32"/>
          <w:highlight w:val="none"/>
        </w:rPr>
      </w:pPr>
    </w:p>
    <w:p w14:paraId="79BBD079">
      <w:pPr>
        <w:rPr>
          <w:rFonts w:hint="default" w:ascii="Times New Roman" w:hAnsi="Times New Roman" w:eastAsia="仿宋_GB2312" w:cs="Times New Roman"/>
          <w:bCs/>
          <w:color w:val="auto"/>
          <w:szCs w:val="32"/>
          <w:highlight w:val="none"/>
        </w:rPr>
      </w:pPr>
    </w:p>
    <w:p w14:paraId="4A7F957A">
      <w:pPr>
        <w:pStyle w:val="2"/>
        <w:rPr>
          <w:rFonts w:hint="default" w:ascii="Times New Roman" w:hAnsi="Times New Roman" w:eastAsia="仿宋_GB2312" w:cs="Times New Roman"/>
          <w:bCs/>
          <w:color w:val="auto"/>
          <w:szCs w:val="32"/>
          <w:highlight w:val="none"/>
        </w:rPr>
      </w:pPr>
    </w:p>
    <w:p w14:paraId="66FDB597">
      <w:pPr>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bCs/>
          <w:color w:val="auto"/>
          <w:szCs w:val="32"/>
          <w:highlight w:val="none"/>
        </w:rPr>
      </w:pPr>
    </w:p>
    <w:p w14:paraId="1350818F">
      <w:pPr>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bCs/>
          <w:color w:val="auto"/>
          <w:szCs w:val="32"/>
          <w:highlight w:val="none"/>
        </w:rPr>
      </w:pPr>
    </w:p>
    <w:p w14:paraId="300171A5">
      <w:pPr>
        <w:pStyle w:val="2"/>
        <w:pageBreakBefore w:val="0"/>
        <w:widowControl w:val="0"/>
        <w:kinsoku/>
        <w:wordWrap/>
        <w:overflowPunct/>
        <w:topLinePunct w:val="0"/>
        <w:autoSpaceDE/>
        <w:autoSpaceDN/>
        <w:bidi w:val="0"/>
        <w:adjustRightInd/>
        <w:snapToGrid/>
        <w:spacing w:line="420" w:lineRule="exact"/>
        <w:textAlignment w:val="auto"/>
        <w:rPr>
          <w:rFonts w:hint="default"/>
        </w:rPr>
      </w:pPr>
    </w:p>
    <w:p w14:paraId="2B79D275">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77840" cy="25400"/>
                <wp:effectExtent l="0" t="9525" r="3810" b="22225"/>
                <wp:wrapNone/>
                <wp:docPr id="1" name="直接连接符 1"/>
                <wp:cNvGraphicFramePr/>
                <a:graphic xmlns:a="http://schemas.openxmlformats.org/drawingml/2006/main">
                  <a:graphicData uri="http://schemas.microsoft.com/office/word/2010/wordprocessingShape">
                    <wps:wsp>
                      <wps:cNvCnPr/>
                      <wps:spPr>
                        <a:xfrm>
                          <a:off x="0" y="0"/>
                          <a:ext cx="5577840" cy="254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2pt;width:439.2pt;z-index:251660288;mso-width-relative:page;mso-height-relative:page;" filled="f" stroked="t" coordsize="21600,21600" o:gfxdata="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2OaNIAAAADAQAADwAAAAAAAAABACAAAAAiAAAAZHJzL2Rvd25yZXYueG1s&#10;UEsBAhQAFAAAAAgAh07iQNMz1hX+AQAA9wMAAA4AAAAAAAAAAQAgAAAAIQEAAGRycy9lMm9Eb2Mu&#10;eG1sUEsFBgAAAAAGAAYAWQEAAJE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团城镇和生态保护中心。</w:t>
      </w:r>
    </w:p>
    <w:p w14:paraId="554EA4E2">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bkz1dQAAAAGAQAADwAAAAAAAAABACAAAAAiAAAAZHJzL2Rvd25yZXYueG1sUEsB&#10;AhQAFAAAAAgAh07iQBx7WtP5AQAA9gMAAA4AAAAAAAAAAQAgAAAAIw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O0Ho1UGAgAA/wMAAA4AAAAAAAAAAQAgAAAAIg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29</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13A8">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CFE08">
                          <w:pPr>
                            <w:pStyle w:val="9"/>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7CACFE08">
                    <w:pPr>
                      <w:pStyle w:val="9"/>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C772">
    <w:pPr>
      <w:pStyle w:val="9"/>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14:paraId="2B02C128">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620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7E14CFA"/>
    <w:rsid w:val="08EC6D80"/>
    <w:rsid w:val="0994708F"/>
    <w:rsid w:val="128F6BA3"/>
    <w:rsid w:val="16B800EE"/>
    <w:rsid w:val="177121A0"/>
    <w:rsid w:val="20783D41"/>
    <w:rsid w:val="21162F81"/>
    <w:rsid w:val="21DD6837"/>
    <w:rsid w:val="24057B5F"/>
    <w:rsid w:val="24696853"/>
    <w:rsid w:val="247C78BD"/>
    <w:rsid w:val="25B11864"/>
    <w:rsid w:val="260C6FC7"/>
    <w:rsid w:val="266546C4"/>
    <w:rsid w:val="291034DE"/>
    <w:rsid w:val="2B066B68"/>
    <w:rsid w:val="2B665A9B"/>
    <w:rsid w:val="2BA03F96"/>
    <w:rsid w:val="2F130EE6"/>
    <w:rsid w:val="2F2B3664"/>
    <w:rsid w:val="2FEE4162"/>
    <w:rsid w:val="32C5491C"/>
    <w:rsid w:val="358F67ED"/>
    <w:rsid w:val="371F1D45"/>
    <w:rsid w:val="38207142"/>
    <w:rsid w:val="38453BBB"/>
    <w:rsid w:val="3BAC6099"/>
    <w:rsid w:val="3C25479F"/>
    <w:rsid w:val="3D7076AF"/>
    <w:rsid w:val="3EC1562C"/>
    <w:rsid w:val="3F0E35AF"/>
    <w:rsid w:val="4419237E"/>
    <w:rsid w:val="45D948F4"/>
    <w:rsid w:val="47587B93"/>
    <w:rsid w:val="4CBF17F2"/>
    <w:rsid w:val="4CCA458A"/>
    <w:rsid w:val="50CD705E"/>
    <w:rsid w:val="54231BA0"/>
    <w:rsid w:val="5A605F4A"/>
    <w:rsid w:val="609006D2"/>
    <w:rsid w:val="66BE66CF"/>
    <w:rsid w:val="677F3533"/>
    <w:rsid w:val="68991CEA"/>
    <w:rsid w:val="6ADC4BA2"/>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2">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宋体" w:hAnsi="宋体"/>
    </w:rPr>
  </w:style>
  <w:style w:type="paragraph" w:styleId="6">
    <w:name w:val="index 5"/>
    <w:basedOn w:val="1"/>
    <w:next w:val="1"/>
    <w:autoRedefine/>
    <w:qFormat/>
    <w:uiPriority w:val="0"/>
    <w:pPr>
      <w:ind w:left="800" w:leftChars="800"/>
    </w:pPr>
  </w:style>
  <w:style w:type="paragraph" w:styleId="7">
    <w:name w:val="Body Text"/>
    <w:basedOn w:val="1"/>
    <w:autoRedefine/>
    <w:qFormat/>
    <w:uiPriority w:val="0"/>
    <w:rPr>
      <w:rFonts w:eastAsia="华文中宋"/>
      <w:b/>
      <w:bCs/>
      <w:w w:val="90"/>
      <w:sz w:val="44"/>
    </w:rPr>
  </w:style>
  <w:style w:type="paragraph" w:styleId="8">
    <w:name w:val="Block Text"/>
    <w:basedOn w:val="1"/>
    <w:autoRedefine/>
    <w:qFormat/>
    <w:uiPriority w:val="99"/>
    <w:pPr>
      <w:spacing w:line="480" w:lineRule="exact"/>
      <w:ind w:left="-125" w:right="-56" w:firstLine="570"/>
    </w:pPr>
    <w:rPr>
      <w:sz w:val="28"/>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2">
    <w:name w:val="Body Text 2"/>
    <w:basedOn w:val="1"/>
    <w:autoRedefine/>
    <w:unhideWhenUsed/>
    <w:qFormat/>
    <w:uiPriority w:val="99"/>
    <w:pPr>
      <w:spacing w:after="120" w:line="480" w:lineRule="auto"/>
    </w:pPr>
  </w:style>
  <w:style w:type="character" w:styleId="15">
    <w:name w:val="page number"/>
    <w:basedOn w:val="14"/>
    <w:autoRedefine/>
    <w:qFormat/>
    <w:uiPriority w:val="0"/>
  </w:style>
  <w:style w:type="paragraph" w:customStyle="1" w:styleId="16">
    <w:name w:val="Default"/>
    <w:basedOn w:val="17"/>
    <w:next w:val="1"/>
    <w:autoRedefine/>
    <w:unhideWhenUsed/>
    <w:qFormat/>
    <w:uiPriority w:val="0"/>
    <w:pPr>
      <w:tabs>
        <w:tab w:val="left" w:pos="2760"/>
      </w:tabs>
      <w:autoSpaceDE w:val="0"/>
      <w:autoSpaceDN w:val="0"/>
    </w:pPr>
    <w:rPr>
      <w:rFonts w:hAnsi="宋体" w:eastAsia="宋体"/>
      <w:color w:val="000000"/>
      <w:sz w:val="24"/>
    </w:rPr>
  </w:style>
  <w:style w:type="paragraph" w:customStyle="1" w:styleId="17">
    <w:name w:val="纯文本1"/>
    <w:basedOn w:val="1"/>
    <w:autoRedefine/>
    <w:qFormat/>
    <w:uiPriority w:val="0"/>
    <w:pPr>
      <w:tabs>
        <w:tab w:val="left" w:pos="2760"/>
      </w:tabs>
      <w:adjustRightInd w:val="0"/>
    </w:pPr>
    <w:rPr>
      <w:rFonts w:ascii="宋体" w:hAnsi="Courier New"/>
    </w:rPr>
  </w:style>
  <w:style w:type="paragraph" w:customStyle="1" w:styleId="18">
    <w:name w:val="Char"/>
    <w:basedOn w:val="1"/>
    <w:autoRedefine/>
    <w:qFormat/>
    <w:uiPriority w:val="0"/>
    <w:rPr>
      <w:rFonts w:cs="宋体"/>
      <w:sz w:val="28"/>
    </w:rPr>
  </w:style>
  <w:style w:type="paragraph" w:customStyle="1" w:styleId="19">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0">
    <w:name w:val="表字-书"/>
    <w:basedOn w:val="1"/>
    <w:autoRedefine/>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1922</Words>
  <Characters>2039</Characters>
  <Lines>11</Lines>
  <Paragraphs>3</Paragraphs>
  <TotalTime>4</TotalTime>
  <ScaleCrop>false</ScaleCrop>
  <LinksUpToDate>false</LinksUpToDate>
  <CharactersWithSpaces>2076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Administrator</cp:lastModifiedBy>
  <cp:lastPrinted>2024-07-24T10:17:00Z</cp:lastPrinted>
  <dcterms:modified xsi:type="dcterms:W3CDTF">2024-09-27T03:12:21Z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AB8662020F2942B192DFC06298F2AEE9_13</vt:lpwstr>
  </property>
</Properties>
</file>