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F20B6">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0A4D3711">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64</w:t>
      </w:r>
      <w:r>
        <w:rPr>
          <w:rFonts w:hint="default" w:ascii="Times New Roman" w:hAnsi="Times New Roman" w:eastAsia="仿宋_GB2312" w:cs="Times New Roman"/>
          <w:snapToGrid w:val="0"/>
          <w:color w:val="auto"/>
          <w:kern w:val="0"/>
          <w:szCs w:val="32"/>
          <w:highlight w:val="none"/>
        </w:rPr>
        <w:t>号</w:t>
      </w:r>
    </w:p>
    <w:p w14:paraId="3B73B104">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napToGrid w:val="0"/>
          <w:color w:val="auto"/>
          <w:kern w:val="0"/>
          <w:sz w:val="30"/>
          <w:highlight w:val="none"/>
        </w:rPr>
      </w:pPr>
    </w:p>
    <w:p w14:paraId="51CF0BC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于新疆佳宇恒能源科技有限公司产品优化</w:t>
      </w:r>
    </w:p>
    <w:p w14:paraId="6B49041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升级改造建设项目（变更）环境影响</w:t>
      </w:r>
    </w:p>
    <w:p w14:paraId="2E3EA5E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14:paraId="0F0F9F46">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Cs/>
          <w:color w:val="auto"/>
          <w:szCs w:val="32"/>
          <w:highlight w:val="none"/>
        </w:rPr>
      </w:pPr>
    </w:p>
    <w:p w14:paraId="04A491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新疆佳宇恒能源科技有限公司：</w:t>
      </w:r>
    </w:p>
    <w:p w14:paraId="427B3F5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你单位《关于审批新疆佳宇恒能源科技有限公司产品优化升级改造建设项目（变更）环境影响报告表的请示》收悉。经研究，批复如下：</w:t>
      </w:r>
      <w:bookmarkStart w:id="0" w:name="_GoBack"/>
      <w:bookmarkEnd w:id="0"/>
    </w:p>
    <w:p w14:paraId="5AC4295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rPr>
        <w:t>该项目位于胡杨河经济技术开发区南区新疆佳宇恒能源科技有限公司厂区内，项目区中心地理位置坐标为东经84°51′40.322″，北纬44°50′19.001″</w:t>
      </w:r>
      <w:r>
        <w:rPr>
          <w:rFonts w:hint="default" w:ascii="Times New Roman" w:hAnsi="Times New Roman" w:eastAsia="仿宋_GB2312" w:cs="Times New Roman"/>
          <w:color w:val="auto"/>
          <w:szCs w:val="32"/>
          <w:highlight w:val="none"/>
          <w:lang w:eastAsia="zh-CN"/>
        </w:rPr>
        <w:t>。项目已建设1套20万吨/年</w:t>
      </w:r>
      <w:r>
        <w:rPr>
          <w:rFonts w:hint="eastAsia" w:eastAsia="仿宋_GB2312" w:cs="Times New Roman"/>
          <w:color w:val="auto"/>
          <w:szCs w:val="32"/>
          <w:highlight w:val="none"/>
          <w:lang w:val="en-US" w:eastAsia="zh-CN"/>
        </w:rPr>
        <w:t>沥青精制装置</w:t>
      </w:r>
      <w:r>
        <w:rPr>
          <w:rFonts w:hint="eastAsia" w:eastAsia="仿宋_GB2312" w:cs="Times New Roman"/>
          <w:color w:val="auto"/>
          <w:szCs w:val="32"/>
          <w:highlight w:val="none"/>
          <w:lang w:eastAsia="zh-CN"/>
        </w:rPr>
        <w:t>，</w:t>
      </w:r>
      <w:r>
        <w:rPr>
          <w:rFonts w:hint="eastAsia" w:eastAsia="仿宋_GB2312" w:cs="Times New Roman"/>
          <w:color w:val="auto"/>
          <w:szCs w:val="32"/>
          <w:highlight w:val="none"/>
          <w:lang w:val="en-US" w:eastAsia="zh-CN"/>
        </w:rPr>
        <w:t>本次仅将</w:t>
      </w:r>
      <w:r>
        <w:rPr>
          <w:rFonts w:hint="default" w:ascii="Times New Roman" w:hAnsi="Times New Roman" w:eastAsia="仿宋_GB2312" w:cs="Times New Roman"/>
          <w:color w:val="auto"/>
          <w:szCs w:val="32"/>
          <w:highlight w:val="none"/>
          <w:lang w:eastAsia="zh-CN"/>
        </w:rPr>
        <w:t>1台4吨/小时导热油炉改为1台14吨/小时导热油炉</w:t>
      </w:r>
      <w:r>
        <w:rPr>
          <w:rFonts w:hint="eastAsia" w:eastAsia="仿宋_GB2312" w:cs="Times New Roman"/>
          <w:color w:val="auto"/>
          <w:szCs w:val="32"/>
          <w:highlight w:val="none"/>
          <w:lang w:eastAsia="zh-CN"/>
        </w:rPr>
        <w:t>。项目年生产脱油沥青12.6962</w:t>
      </w:r>
      <w:r>
        <w:rPr>
          <w:rFonts w:hint="eastAsia" w:eastAsia="仿宋_GB2312" w:cs="Times New Roman"/>
          <w:color w:val="auto"/>
          <w:szCs w:val="32"/>
          <w:highlight w:val="none"/>
          <w:lang w:val="en-US" w:eastAsia="zh-CN"/>
        </w:rPr>
        <w:t>万</w:t>
      </w:r>
      <w:r>
        <w:rPr>
          <w:rFonts w:hint="eastAsia" w:eastAsia="仿宋_GB2312" w:cs="Times New Roman"/>
          <w:color w:val="auto"/>
          <w:szCs w:val="32"/>
          <w:highlight w:val="none"/>
          <w:lang w:eastAsia="zh-CN"/>
        </w:rPr>
        <w:t>吨，并副产脱沥青油7.3436</w:t>
      </w:r>
      <w:r>
        <w:rPr>
          <w:rFonts w:hint="eastAsia" w:eastAsia="仿宋_GB2312" w:cs="Times New Roman"/>
          <w:color w:val="auto"/>
          <w:szCs w:val="32"/>
          <w:highlight w:val="none"/>
          <w:lang w:val="en-US" w:eastAsia="zh-CN"/>
        </w:rPr>
        <w:t>万</w:t>
      </w:r>
      <w:r>
        <w:rPr>
          <w:rFonts w:hint="eastAsia" w:eastAsia="仿宋_GB2312" w:cs="Times New Roman"/>
          <w:color w:val="auto"/>
          <w:szCs w:val="32"/>
          <w:highlight w:val="none"/>
          <w:lang w:eastAsia="zh-CN"/>
        </w:rPr>
        <w:t>吨。项目总投资12585万元，环保投资732万元，占总投资的5.82%</w:t>
      </w:r>
      <w:r>
        <w:rPr>
          <w:rFonts w:hint="default" w:ascii="Times New Roman" w:hAnsi="Times New Roman" w:eastAsia="仿宋_GB2312" w:cs="Times New Roman"/>
          <w:color w:val="auto"/>
          <w:szCs w:val="32"/>
          <w:highlight w:val="none"/>
          <w:lang w:val="en-US" w:eastAsia="zh-CN"/>
        </w:rPr>
        <w:t>。</w:t>
      </w:r>
    </w:p>
    <w:p w14:paraId="3F598A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39C5A3F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14:paraId="72AAADC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themeColor="text1"/>
          <w:kern w:val="0"/>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（一）严格落实大气污染防治措施。燃气导热油炉烟气采用低氮燃烧技术处理后通过25米高排气筒（DA004）排放，烟气中颗粒物、二氧化硫、氮氧化物、林格曼黑度排放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《锅炉大气污染物排放标准》（GB13271-2014）中表3大气污染物特别排放浓度限值要求。酸性汽提废气经络合铁脱硫装置处理后依托现有常压塔加热炉燃烧处理</w:t>
      </w:r>
      <w:r>
        <w:rPr>
          <w:rFonts w:hint="eastAsia" w:eastAsia="仿宋_GB2312" w:cs="Times New Roman"/>
          <w:color w:val="000000" w:themeColor="text1"/>
          <w:kern w:val="0"/>
          <w:szCs w:val="32"/>
          <w:lang w:eastAsia="zh-CN"/>
          <w14:textFill>
            <w14:solidFill>
              <w14:schemeClr w14:val="tx1"/>
            </w14:solidFill>
          </w14:textFill>
        </w:rPr>
        <w:t>，</w:t>
      </w:r>
      <w:r>
        <w:rPr>
          <w:rFonts w:hint="eastAsia" w:eastAsia="仿宋_GB2312" w:cs="Times New Roman"/>
          <w:color w:val="000000" w:themeColor="text1"/>
          <w:kern w:val="0"/>
          <w:szCs w:val="32"/>
          <w:lang w:val="en-US" w:eastAsia="zh-CN"/>
          <w14:textFill>
            <w14:solidFill>
              <w14:schemeClr w14:val="tx1"/>
            </w14:solidFill>
          </w14:textFill>
        </w:rPr>
        <w:t>经</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35米高排气筒（DA005）排放</w:t>
      </w:r>
      <w:r>
        <w:rPr>
          <w:rFonts w:hint="eastAsia"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废气中二氧化硫、非甲烷总烃、苯并[a]芘、沥青烟气</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《石油炼制工业污染物排放标准》（GB31570-2015）（含2024年修改单）表4的排放限值，硫化氢</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《恶臭污染物排放标准》（GB14554-1993）表 2标准限值</w:t>
      </w:r>
      <w:r>
        <w:rPr>
          <w:rFonts w:hint="eastAsia" w:eastAsia="仿宋_GB2312" w:cs="Times New Roman"/>
          <w:color w:val="000000" w:themeColor="text1"/>
          <w:kern w:val="0"/>
          <w:szCs w:val="32"/>
          <w:lang w:eastAsia="zh-CN"/>
          <w14:textFill>
            <w14:solidFill>
              <w14:schemeClr w14:val="tx1"/>
            </w14:solidFill>
          </w14:textFill>
        </w:rPr>
        <w:t>。</w:t>
      </w:r>
    </w:p>
    <w:p w14:paraId="2DFB609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污水处理站恶臭经生物滤池处理后通过管道送至蓄热式催化燃烧（RTO）处理；储罐废气及装卸废气分别经油气回收处理后通过管道送至蓄热式催化燃烧（RTO）处理；处理后的废气经25米排气筒排放（DA007），废气中二氧化硫、非甲烷总烃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《石油炼制工业污染物排放标准》（GB31570-2015）（含2024年修改单）表4的大气特别排放限值；硫化氢、氨</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《恶臭污染物排放标准》（GB14554-1993）表2标准限值。</w:t>
      </w:r>
    </w:p>
    <w:p w14:paraId="6AC26A9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Cs/>
          <w:color w:val="auto"/>
          <w:szCs w:val="32"/>
          <w:highlight w:val="none"/>
          <w:lang w:val="en-US" w:eastAsia="zh-CN"/>
        </w:rPr>
      </w:pPr>
      <w:r>
        <w:rPr>
          <w:rFonts w:hint="eastAsia" w:eastAsia="仿宋_GB2312" w:cs="Times New Roman"/>
          <w:bCs/>
          <w:color w:val="auto"/>
          <w:szCs w:val="32"/>
          <w:highlight w:val="none"/>
          <w:lang w:eastAsia="zh-CN"/>
        </w:rPr>
        <w:t>生产车间密闭，定期洒水降尘；生产工艺密闭，原料和产品等液体物料均采用密闭管道输送；加强生产管理，提高设备的密封性能，严格控制系统的负压指标，避免废气外逸；加强运行管理和环境管理，提高职工操作水平，通过宣传增强职工环保意识，积极推行清洁生产；加强厂区绿化，设置绿化隔离带，以减少无组织废气对周围环境的影响。厂界非甲烷总烃排放</w:t>
      </w:r>
      <w:r>
        <w:rPr>
          <w:rFonts w:hint="eastAsia" w:eastAsia="仿宋_GB2312" w:cs="Times New Roman"/>
          <w:bCs/>
          <w:color w:val="auto"/>
          <w:szCs w:val="32"/>
          <w:highlight w:val="none"/>
          <w:lang w:val="en-US" w:eastAsia="zh-CN"/>
        </w:rPr>
        <w:t>执行</w:t>
      </w:r>
      <w:r>
        <w:rPr>
          <w:rFonts w:hint="eastAsia" w:eastAsia="仿宋_GB2312" w:cs="Times New Roman"/>
          <w:bCs/>
          <w:color w:val="auto"/>
          <w:szCs w:val="32"/>
          <w:highlight w:val="none"/>
          <w:lang w:eastAsia="zh-CN"/>
        </w:rPr>
        <w:t>《石油炼制工业污染物排放标准》（GB31570-2015）表5污染物浓度限值；厂内非甲烷总烃排放</w:t>
      </w:r>
      <w:r>
        <w:rPr>
          <w:rFonts w:hint="eastAsia" w:eastAsia="仿宋_GB2312" w:cs="Times New Roman"/>
          <w:bCs/>
          <w:color w:val="auto"/>
          <w:szCs w:val="32"/>
          <w:highlight w:val="none"/>
          <w:lang w:val="en-US" w:eastAsia="zh-CN"/>
        </w:rPr>
        <w:t>执行</w:t>
      </w:r>
      <w:r>
        <w:rPr>
          <w:rFonts w:hint="eastAsia" w:eastAsia="仿宋_GB2312" w:cs="Times New Roman"/>
          <w:bCs/>
          <w:color w:val="auto"/>
          <w:szCs w:val="32"/>
          <w:highlight w:val="none"/>
          <w:lang w:eastAsia="zh-CN"/>
        </w:rPr>
        <w:t>《挥发性有机物无组织排放控制标准》（GB37822-2019）附录A中表A. 1特别排放限值要求；厂界氨、硫化氢恶臭气体排放</w:t>
      </w:r>
      <w:r>
        <w:rPr>
          <w:rFonts w:hint="eastAsia" w:eastAsia="仿宋_GB2312" w:cs="Times New Roman"/>
          <w:bCs/>
          <w:color w:val="auto"/>
          <w:szCs w:val="32"/>
          <w:highlight w:val="none"/>
          <w:lang w:val="en-US" w:eastAsia="zh-CN"/>
        </w:rPr>
        <w:t>执行</w:t>
      </w:r>
      <w:r>
        <w:rPr>
          <w:rFonts w:hint="eastAsia" w:eastAsia="仿宋_GB2312" w:cs="Times New Roman"/>
          <w:bCs/>
          <w:color w:val="auto"/>
          <w:szCs w:val="32"/>
          <w:highlight w:val="none"/>
          <w:lang w:eastAsia="zh-CN"/>
        </w:rPr>
        <w:t>《恶臭污染物排放标准》（GB14554- 1993）表1恶臭污染物厂界标准限值要求。</w:t>
      </w:r>
    </w:p>
    <w:p w14:paraId="5F5ECB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（二）严格落实水污染防治措施。生产工艺废水（含油废水、循环水冷却系统新增排污水）、车间地面清洗废水依托厂内已建的污水处理站处理，</w:t>
      </w:r>
      <w:r>
        <w:rPr>
          <w:rFonts w:hint="eastAsia" w:eastAsia="仿宋_GB2312" w:cs="Times New Roman"/>
          <w:bCs/>
          <w:color w:val="auto"/>
          <w:szCs w:val="32"/>
          <w:highlight w:val="none"/>
          <w:lang w:val="en-US" w:eastAsia="zh-CN"/>
        </w:rPr>
        <w:t>达到</w:t>
      </w:r>
      <w:r>
        <w:rPr>
          <w:rFonts w:hint="default" w:ascii="Times New Roman" w:hAnsi="Times New Roman" w:eastAsia="仿宋_GB2312" w:cs="Times New Roman"/>
          <w:bCs/>
          <w:color w:val="auto"/>
          <w:szCs w:val="32"/>
          <w:highlight w:val="none"/>
        </w:rPr>
        <w:t>《石油炼制工业污染物排放标准》（GB31570-2015，含2024年修改单）表1的间接排放限值及胡杨河经济技术开发区污水处理厂进水水质标准要求</w:t>
      </w:r>
      <w:r>
        <w:rPr>
          <w:rFonts w:hint="eastAsia" w:eastAsia="仿宋_GB2312" w:cs="Times New Roman"/>
          <w:bCs/>
          <w:color w:val="auto"/>
          <w:szCs w:val="32"/>
          <w:highlight w:val="none"/>
          <w:lang w:val="en-US" w:eastAsia="zh-CN"/>
        </w:rPr>
        <w:t>后</w:t>
      </w:r>
      <w:r>
        <w:rPr>
          <w:rFonts w:hint="default" w:ascii="Times New Roman" w:hAnsi="Times New Roman" w:eastAsia="仿宋_GB2312" w:cs="Times New Roman"/>
          <w:bCs/>
          <w:color w:val="auto"/>
          <w:szCs w:val="32"/>
          <w:highlight w:val="none"/>
        </w:rPr>
        <w:t>，最终进入胡杨河经济技术开发区南园区污水处理厂进一步处理</w:t>
      </w:r>
      <w:r>
        <w:rPr>
          <w:rFonts w:hint="default" w:ascii="Times New Roman" w:hAnsi="Times New Roman" w:eastAsia="仿宋_GB2312" w:cs="Times New Roman"/>
          <w:szCs w:val="32"/>
          <w:highlight w:val="none"/>
        </w:rPr>
        <w:t>。</w:t>
      </w:r>
    </w:p>
    <w:p w14:paraId="79AA7F6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选择先进可靠的低噪声设备，对高噪声设备采取安装减振垫、用弹性连接代替设备与地面刚性连接、在噪声源强较大的设备处设置围护等措施；定期维护设备，确保设备运行状态良好；厂区种植绿化隔离带。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《工业企业厂界环境噪声排放标准》（GB12348-2008）中3类标准要求</w:t>
      </w:r>
      <w:r>
        <w:rPr>
          <w:rFonts w:hint="eastAsia" w:ascii="Times New Roman" w:hAnsi="Times New Roman" w:eastAsia="仿宋_GB2312" w:cs="Times New Roman"/>
          <w:bCs/>
          <w:color w:val="auto"/>
          <w:szCs w:val="32"/>
          <w:highlight w:val="none"/>
          <w:lang w:eastAsia="zh-CN"/>
        </w:rPr>
        <w:t>。</w:t>
      </w:r>
    </w:p>
    <w:p w14:paraId="442BF8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）固体废物实施分类管理并妥善处理处置。污水处理站生化污泥送一般固体废物填埋场处理。油罐底泥、含油污泥（污水处理站）、废导热油</w:t>
      </w:r>
      <w:r>
        <w:rPr>
          <w:rFonts w:hint="eastAsia" w:eastAsia="仿宋_GB2312" w:cs="Times New Roman"/>
          <w:bCs/>
          <w:color w:val="auto"/>
          <w:szCs w:val="32"/>
          <w:highlight w:val="none"/>
          <w:lang w:val="en-US" w:eastAsia="zh-CN"/>
        </w:rPr>
        <w:t>及</w:t>
      </w:r>
      <w:r>
        <w:rPr>
          <w:rFonts w:hint="default" w:ascii="Times New Roman" w:hAnsi="Times New Roman" w:eastAsia="仿宋_GB2312" w:cs="Times New Roman"/>
          <w:bCs/>
          <w:color w:val="auto"/>
          <w:szCs w:val="32"/>
          <w:highlight w:val="none"/>
        </w:rPr>
        <w:t>酸性汽提废气经脱硫装置处理后产生的</w:t>
      </w:r>
      <w:r>
        <w:rPr>
          <w:rFonts w:hint="eastAsia" w:eastAsia="仿宋_GB2312" w:cs="Times New Roman"/>
          <w:bCs/>
          <w:color w:val="auto"/>
          <w:szCs w:val="32"/>
          <w:highlight w:val="none"/>
          <w:lang w:val="en-US" w:eastAsia="zh-CN"/>
        </w:rPr>
        <w:t>废碱液</w:t>
      </w:r>
      <w:r>
        <w:rPr>
          <w:rFonts w:hint="default" w:ascii="Times New Roman" w:hAnsi="Times New Roman" w:eastAsia="仿宋_GB2312" w:cs="Times New Roman"/>
          <w:bCs/>
          <w:color w:val="auto"/>
          <w:szCs w:val="32"/>
          <w:highlight w:val="none"/>
        </w:rPr>
        <w:t>属于危险废物，由专用危险废物收集桶收集，分类分区暂存于危险废物暂存间内，定期委托有危险废物处置资质的单位进行处置。危险废物收集、运输须按照《危险废物收集 贮存 运输技术规范》（HJ2025-2012）和《危险废物转移管理办法》要求进行。生活垃圾集中收集后委托环卫部门统一清运至</w:t>
      </w:r>
      <w:r>
        <w:rPr>
          <w:rFonts w:hint="eastAsia" w:eastAsia="仿宋_GB2312" w:cs="Times New Roman"/>
          <w:bCs/>
          <w:color w:val="auto"/>
          <w:szCs w:val="32"/>
          <w:highlight w:val="none"/>
          <w:lang w:val="en-US" w:eastAsia="zh-CN"/>
        </w:rPr>
        <w:t>胡杨河经开区</w:t>
      </w:r>
      <w:r>
        <w:rPr>
          <w:rFonts w:hint="default" w:ascii="Times New Roman" w:hAnsi="Times New Roman" w:eastAsia="仿宋_GB2312" w:cs="Times New Roman"/>
          <w:bCs/>
          <w:color w:val="auto"/>
          <w:szCs w:val="32"/>
          <w:highlight w:val="none"/>
        </w:rPr>
        <w:t>生活垃圾填埋场填埋处理</w:t>
      </w:r>
      <w:r>
        <w:rPr>
          <w:rFonts w:hint="default" w:ascii="Times New Roman" w:hAnsi="Times New Roman" w:eastAsia="仿宋_GB2312" w:cs="Times New Roman"/>
          <w:bCs/>
          <w:color w:val="auto"/>
          <w:kern w:val="0"/>
          <w:sz w:val="32"/>
          <w:szCs w:val="32"/>
          <w:highlight w:val="none"/>
          <w:lang w:val="en-US" w:eastAsia="zh-CN" w:bidi="ar-SA"/>
        </w:rPr>
        <w:t>。</w:t>
      </w:r>
    </w:p>
    <w:p w14:paraId="268174EC">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严格落实地下水污染防治措施。厂区划分为重点防渗区、一般防渗区和简单防渗区。重点防渗区为厂区生产装置区（精炼工艺装置区）、储罐区、危险废物暂存间、导热油装载区、污水处理站，防渗要求为“等效黏土防渗层Mb≥6.0米，确保防渗系数达到1×10</w:t>
      </w:r>
      <w:r>
        <w:rPr>
          <w:rFonts w:hint="default" w:ascii="Times New Roman" w:hAnsi="Times New Roman" w:eastAsia="仿宋_GB2312" w:cs="Times New Roman"/>
          <w:bCs/>
          <w:color w:val="auto"/>
          <w:szCs w:val="32"/>
          <w:highlight w:val="none"/>
          <w:vertAlign w:val="superscript"/>
        </w:rPr>
        <w:t>-7</w:t>
      </w:r>
      <w:r>
        <w:rPr>
          <w:rFonts w:hint="default" w:ascii="Times New Roman" w:hAnsi="Times New Roman" w:eastAsia="仿宋_GB2312" w:cs="Times New Roman"/>
          <w:bCs/>
          <w:color w:val="auto"/>
          <w:szCs w:val="32"/>
          <w:highlight w:val="none"/>
        </w:rPr>
        <w:t>厘米/秒”；一般防渗区为汽车装卸区、系统管廊，防渗要求为“等效黏土防渗层Mb≥1.5米，确保防渗系数达到1×10</w:t>
      </w:r>
      <w:r>
        <w:rPr>
          <w:rFonts w:hint="default" w:ascii="Times New Roman" w:hAnsi="Times New Roman" w:eastAsia="仿宋_GB2312" w:cs="Times New Roman"/>
          <w:bCs/>
          <w:color w:val="auto"/>
          <w:szCs w:val="32"/>
          <w:highlight w:val="none"/>
          <w:vertAlign w:val="superscript"/>
        </w:rPr>
        <w:t>-7</w:t>
      </w:r>
      <w:r>
        <w:rPr>
          <w:rFonts w:hint="default" w:ascii="Times New Roman" w:hAnsi="Times New Roman" w:eastAsia="仿宋_GB2312" w:cs="Times New Roman"/>
          <w:bCs/>
          <w:color w:val="auto"/>
          <w:szCs w:val="32"/>
          <w:highlight w:val="none"/>
        </w:rPr>
        <w:t>厘米/秒”；配变电间、机柜间以及厂区道路为简单防渗区，采取一般性的地面硬化措施。生产运行过程中强化监控手段，定期检查，杜绝厂区内有事故性排放点源的存在，保护项目区地下水资源；落实地下水</w:t>
      </w:r>
      <w:r>
        <w:rPr>
          <w:rFonts w:hint="default" w:ascii="Times New Roman" w:hAnsi="Times New Roman" w:eastAsia="仿宋_GB2312" w:cs="Times New Roman"/>
          <w:sz w:val="32"/>
          <w:szCs w:val="32"/>
        </w:rPr>
        <w:t>污染</w:t>
      </w:r>
      <w:r>
        <w:rPr>
          <w:rFonts w:hint="default" w:ascii="Times New Roman" w:hAnsi="Times New Roman" w:eastAsia="仿宋_GB2312" w:cs="Times New Roman"/>
          <w:bCs/>
          <w:color w:val="auto"/>
          <w:szCs w:val="32"/>
          <w:highlight w:val="none"/>
        </w:rPr>
        <w:t>风险防范措施，避免对地下水环境造成污染。</w:t>
      </w:r>
    </w:p>
    <w:p w14:paraId="74A261B9">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（六）加强施工期环境保护管理工作，落实防沙治沙措施，防止施工废水、扬尘、噪声污染、水土流失和生态破坏。</w:t>
      </w:r>
    </w:p>
    <w:p w14:paraId="23EF57D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七</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强化各项环境风险防范措施，有效防范环境风险。厂内定期开展环境风险应急培训和演练，落实各项应急环境管理措施以及各项风险防范措施，确保风险事故得到有效控制。</w:t>
      </w:r>
    </w:p>
    <w:p w14:paraId="5A2AC91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513A73A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E3ACE7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14:paraId="138AB99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w:t>
      </w:r>
      <w:r>
        <w:rPr>
          <w:rFonts w:hint="eastAsia" w:eastAsia="仿宋_GB2312" w:cs="Times New Roman"/>
          <w:bCs/>
          <w:sz w:val="32"/>
          <w:szCs w:val="32"/>
          <w:lang w:val="en-US" w:eastAsia="zh-CN"/>
        </w:rPr>
        <w:t>重新</w:t>
      </w:r>
      <w:r>
        <w:rPr>
          <w:rFonts w:hint="default" w:ascii="Times New Roman" w:hAnsi="Times New Roman" w:eastAsia="仿宋_GB2312" w:cs="Times New Roman"/>
          <w:bCs/>
          <w:sz w:val="32"/>
          <w:szCs w:val="32"/>
        </w:rPr>
        <w:t>申领排污许可证。</w:t>
      </w:r>
    </w:p>
    <w:p w14:paraId="02A82B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72B2561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胡杨河经济技术开发区应急管理和环境保护局，并按规定接受各级生态环境主管部门的监督检查。</w:t>
      </w:r>
    </w:p>
    <w:p w14:paraId="5132E020">
      <w:pPr>
        <w:pStyle w:val="11"/>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3ED45C68">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6BBFDB83">
      <w:pPr>
        <w:spacing w:line="440" w:lineRule="exact"/>
        <w:ind w:firstLine="4740" w:firstLineChars="1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7912845D">
      <w:pPr>
        <w:spacing w:line="440" w:lineRule="exact"/>
        <w:ind w:firstLine="5372" w:firstLineChars="17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8</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12</w:t>
      </w:r>
      <w:r>
        <w:rPr>
          <w:rFonts w:hint="default" w:ascii="Times New Roman" w:hAnsi="Times New Roman" w:eastAsia="仿宋_GB2312" w:cs="Times New Roman"/>
          <w:bCs/>
          <w:sz w:val="32"/>
          <w:szCs w:val="32"/>
        </w:rPr>
        <w:t>日</w:t>
      </w:r>
    </w:p>
    <w:p w14:paraId="0FCB5011">
      <w:pPr>
        <w:pStyle w:val="9"/>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eastAsia"/>
        </w:rPr>
      </w:pPr>
    </w:p>
    <w:p w14:paraId="7FDEBCF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14:paraId="70E98838">
      <w:pPr>
        <w:pStyle w:val="2"/>
        <w:rPr>
          <w:rFonts w:hint="eastAsia"/>
        </w:rPr>
      </w:pPr>
    </w:p>
    <w:p w14:paraId="3D59CD9A">
      <w:pPr>
        <w:rPr>
          <w:rFonts w:hint="eastAsia"/>
        </w:rPr>
      </w:pPr>
    </w:p>
    <w:p w14:paraId="795258B2">
      <w:pPr>
        <w:pStyle w:val="2"/>
        <w:rPr>
          <w:rFonts w:hint="eastAsia"/>
        </w:rPr>
      </w:pPr>
    </w:p>
    <w:p w14:paraId="3F5DE522">
      <w:pPr>
        <w:pageBreakBefore w:val="0"/>
        <w:widowControl w:val="0"/>
        <w:kinsoku/>
        <w:wordWrap/>
        <w:overflowPunct/>
        <w:topLinePunct w:val="0"/>
        <w:autoSpaceDE/>
        <w:autoSpaceDN/>
        <w:bidi w:val="0"/>
        <w:adjustRightInd/>
        <w:snapToGrid/>
        <w:spacing w:line="480" w:lineRule="exact"/>
        <w:textAlignment w:val="auto"/>
        <w:rPr>
          <w:rFonts w:hint="eastAsia"/>
        </w:rPr>
      </w:pPr>
    </w:p>
    <w:p w14:paraId="0A43AFE3">
      <w:pPr>
        <w:pStyle w:val="2"/>
        <w:keepNext/>
        <w:keepLines/>
        <w:pageBreakBefore w:val="0"/>
        <w:widowControl w:val="0"/>
        <w:kinsoku/>
        <w:wordWrap/>
        <w:overflowPunct/>
        <w:topLinePunct w:val="0"/>
        <w:autoSpaceDE/>
        <w:autoSpaceDN/>
        <w:bidi w:val="0"/>
        <w:adjustRightInd/>
        <w:snapToGrid/>
        <w:spacing w:before="0" w:beforeLines="0" w:after="0" w:afterLines="0" w:line="200" w:lineRule="exact"/>
        <w:textAlignment w:val="auto"/>
        <w:rPr>
          <w:rFonts w:hint="eastAsia"/>
        </w:rPr>
      </w:pPr>
    </w:p>
    <w:p w14:paraId="493A94F2">
      <w:pPr>
        <w:pageBreakBefore w:val="0"/>
        <w:widowControl w:val="0"/>
        <w:kinsoku/>
        <w:wordWrap/>
        <w:overflowPunct/>
        <w:topLinePunct w:val="0"/>
        <w:autoSpaceDE/>
        <w:autoSpaceDN/>
        <w:bidi w:val="0"/>
        <w:adjustRightInd/>
        <w:snapToGrid/>
        <w:spacing w:line="340" w:lineRule="exact"/>
        <w:textAlignment w:val="auto"/>
        <w:rPr>
          <w:rFonts w:hint="eastAsia"/>
        </w:rPr>
      </w:pPr>
    </w:p>
    <w:p w14:paraId="40C2A10C">
      <w:pPr>
        <w:pStyle w:val="2"/>
        <w:pageBreakBefore w:val="0"/>
        <w:widowControl w:val="0"/>
        <w:kinsoku/>
        <w:wordWrap/>
        <w:overflowPunct/>
        <w:topLinePunct w:val="0"/>
        <w:autoSpaceDE/>
        <w:autoSpaceDN/>
        <w:bidi w:val="0"/>
        <w:adjustRightInd/>
        <w:snapToGrid/>
        <w:spacing w:line="340" w:lineRule="exact"/>
        <w:textAlignment w:val="auto"/>
        <w:rPr>
          <w:rFonts w:hint="eastAsia"/>
        </w:rPr>
      </w:pPr>
    </w:p>
    <w:p w14:paraId="281DB86A">
      <w:pPr>
        <w:pStyle w:val="2"/>
        <w:keepNext/>
        <w:keepLines/>
        <w:pageBreakBefore w:val="0"/>
        <w:widowControl w:val="0"/>
        <w:kinsoku/>
        <w:wordWrap/>
        <w:overflowPunct/>
        <w:topLinePunct w:val="0"/>
        <w:autoSpaceDE/>
        <w:autoSpaceDN/>
        <w:bidi w:val="0"/>
        <w:adjustRightInd/>
        <w:snapToGrid/>
        <w:spacing w:before="0" w:beforeLines="0" w:after="0" w:afterLines="0" w:line="200" w:lineRule="exact"/>
        <w:textAlignment w:val="auto"/>
        <w:rPr>
          <w:rFonts w:hint="eastAsia"/>
        </w:rPr>
      </w:pPr>
    </w:p>
    <w:p w14:paraId="27F5094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14:paraId="3C3552F8">
      <w:pPr>
        <w:keepNext w:val="0"/>
        <w:keepLines w:val="0"/>
        <w:pageBreakBefore w:val="0"/>
        <w:widowControl w:val="0"/>
        <w:kinsoku/>
        <w:wordWrap/>
        <w:overflowPunct/>
        <w:topLinePunct w:val="0"/>
        <w:autoSpaceDE/>
        <w:autoSpaceDN/>
        <w:bidi w:val="0"/>
        <w:adjustRightInd/>
        <w:snapToGrid/>
        <w:spacing w:line="440" w:lineRule="exact"/>
        <w:ind w:left="0" w:right="316" w:rightChars="100" w:hanging="828"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2540</wp:posOffset>
                </wp:positionV>
                <wp:extent cx="5891530" cy="6350"/>
                <wp:effectExtent l="0" t="0" r="0" b="0"/>
                <wp:wrapNone/>
                <wp:docPr id="1" name="直接连接符 5"/>
                <wp:cNvGraphicFramePr/>
                <a:graphic xmlns:a="http://schemas.openxmlformats.org/drawingml/2006/main">
                  <a:graphicData uri="http://schemas.microsoft.com/office/word/2010/wordprocessingShape">
                    <wps:wsp>
                      <wps:cNvCnPr/>
                      <wps:spPr>
                        <a:xfrm>
                          <a:off x="0" y="0"/>
                          <a:ext cx="5891530" cy="635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5pt;width:463.9pt;z-index:251659264;mso-width-relative:page;mso-height-relative:page;" filled="f" stroked="t" coordsize="21600,21600" o:gfxdata="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j8DjSAAAABgEAAA8AAAAAAAAAAQAgAAAAIgAAAGRycy9kb3ducmV2Lnht&#10;bFBLAQIUABQAAAAIAIdO4kAWRUxw/wEAAPQDAAAOAAAAAAAAAAEAIAAAACEBAABkcnMvZTJvRG9j&#10;LnhtbFBLBQYAAAAABgAGAFkBAACSBQ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14:paraId="780F6E1F">
      <w:pPr>
        <w:spacing w:line="600" w:lineRule="exact"/>
        <w:ind w:right="316" w:rightChars="100"/>
        <w:rPr>
          <w:rFonts w:hint="default"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364490</wp:posOffset>
                </wp:positionV>
                <wp:extent cx="5920740" cy="8255"/>
                <wp:effectExtent l="0" t="0" r="0" b="0"/>
                <wp:wrapNone/>
                <wp:docPr id="3" name="直接连接符 4"/>
                <wp:cNvGraphicFramePr/>
                <a:graphic xmlns:a="http://schemas.openxmlformats.org/drawingml/2006/main">
                  <a:graphicData uri="http://schemas.microsoft.com/office/word/2010/wordprocessingShape">
                    <wps:wsp>
                      <wps:cNvCnPr/>
                      <wps:spPr>
                        <a:xfrm flipV="1">
                          <a:off x="0" y="0"/>
                          <a:ext cx="5920740" cy="825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8.7pt;height:0.65pt;width:466.2pt;z-index:251661312;mso-width-relative:page;mso-height-relative:page;" filled="f" stroked="t" coordsize="21600,21600" o:gfxdata="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1byY/aAAAACQEAAA8AAAAAAAAAAQAgAAAAIgAAAGRy&#10;cy9kb3ducmV2LnhtbFBLAQIUABQAAAAIAIdO4kAQswGnAwIAAP4DAAAOAAAAAAAAAAEAIAAAACkB&#10;AABkcnMvZTJvRG9jLnhtbFBLBQYAAAAABgAGAFkBAACeBQ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901690" cy="2540"/>
                <wp:effectExtent l="0" t="0" r="0" b="0"/>
                <wp:wrapNone/>
                <wp:docPr id="2" name="直接连接符 3"/>
                <wp:cNvGraphicFramePr/>
                <a:graphic xmlns:a="http://schemas.openxmlformats.org/drawingml/2006/main">
                  <a:graphicData uri="http://schemas.microsoft.com/office/word/2010/wordprocessingShape">
                    <wps:wsp>
                      <wps:cNvCnPr/>
                      <wps:spPr>
                        <a:xfrm>
                          <a:off x="0" y="0"/>
                          <a:ext cx="5901690" cy="254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2pt;width:464.7pt;z-index:251660288;mso-width-relative:page;mso-height-relative:page;" filled="f" stroked="t" coordsize="21600,21600" o:gfxdata="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EzDp1AAAAAUBAAAPAAAAAAAAAAEAIAAAACIAAABkcnMvZG93bnJldi54&#10;bWxQSwECFAAUAAAACACHTuJA6Nrh9P4BAADzAwAADgAAAAAAAAABACAAAAAjAQAAZHJzL2Uyb0Rv&#10;Yy54bWxQSwUGAAAAAAYABgBZAQAAkwU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8</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12</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headerReference r:id="rId3" w:type="default"/>
      <w:footerReference r:id="rId4" w:type="default"/>
      <w:footerReference r:id="rId5" w:type="even"/>
      <w:pgSz w:w="11906" w:h="16838"/>
      <w:pgMar w:top="2098" w:right="1474" w:bottom="1984" w:left="1587"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ED7A">
    <w:pPr>
      <w:pStyle w:val="14"/>
      <w:framePr w:wrap="around" w:vAnchor="text" w:hAnchor="margin" w:xAlign="outside" w:y="1"/>
      <w:ind w:left="320" w:leftChars="100" w:right="320" w:rightChars="100"/>
      <w:rPr>
        <w:rStyle w:val="22"/>
        <w:rFonts w:hint="eastAsia" w:ascii="仿宋_GB2312" w:eastAsia="仿宋_GB2312"/>
        <w:b/>
        <w:bCs/>
        <w:sz w:val="28"/>
        <w:szCs w:val="28"/>
      </w:rPr>
    </w:pPr>
    <w:r>
      <w:rPr>
        <w:rStyle w:val="22"/>
        <w:rFonts w:hint="eastAsia" w:ascii="仿宋_GB2312" w:eastAsia="仿宋_GB2312"/>
        <w:sz w:val="28"/>
        <w:szCs w:val="28"/>
      </w:rPr>
      <w:t xml:space="preserve">— </w:t>
    </w:r>
    <w:r>
      <w:rPr>
        <w:rFonts w:hint="eastAsia" w:ascii="仿宋_GB2312" w:eastAsia="仿宋_GB2312"/>
        <w:sz w:val="28"/>
        <w:szCs w:val="28"/>
      </w:rPr>
      <w:fldChar w:fldCharType="begin"/>
    </w:r>
    <w:r>
      <w:rPr>
        <w:rStyle w:val="2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2"/>
        <w:rFonts w:ascii="仿宋_GB2312" w:eastAsia="仿宋_GB2312"/>
        <w:sz w:val="28"/>
        <w:szCs w:val="28"/>
      </w:rPr>
      <w:t>1</w:t>
    </w:r>
    <w:r>
      <w:rPr>
        <w:rFonts w:hint="eastAsia" w:ascii="仿宋_GB2312" w:eastAsia="仿宋_GB2312"/>
        <w:sz w:val="28"/>
        <w:szCs w:val="28"/>
      </w:rPr>
      <w:fldChar w:fldCharType="end"/>
    </w:r>
    <w:r>
      <w:rPr>
        <w:rStyle w:val="22"/>
        <w:rFonts w:hint="eastAsia" w:ascii="仿宋_GB2312" w:eastAsia="仿宋_GB2312"/>
        <w:sz w:val="28"/>
        <w:szCs w:val="28"/>
      </w:rPr>
      <w:t xml:space="preserve"> —</w:t>
    </w:r>
  </w:p>
  <w:p w14:paraId="58AA0182">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2970">
    <w:pPr>
      <w:pStyle w:val="14"/>
      <w:framePr w:wrap="around" w:vAnchor="text" w:hAnchor="margin" w:xAlign="outside" w:y="1"/>
      <w:rPr>
        <w:rStyle w:val="22"/>
      </w:rPr>
    </w:pPr>
    <w:r>
      <w:fldChar w:fldCharType="begin"/>
    </w:r>
    <w:r>
      <w:rPr>
        <w:rStyle w:val="22"/>
      </w:rPr>
      <w:instrText xml:space="preserve">PAGE  </w:instrText>
    </w:r>
    <w:r>
      <w:fldChar w:fldCharType="separate"/>
    </w:r>
    <w:r>
      <w:rPr>
        <w:rStyle w:val="22"/>
      </w:rPr>
      <w:t>1</w:t>
    </w:r>
    <w:r>
      <w:fldChar w:fldCharType="end"/>
    </w:r>
  </w:p>
  <w:p w14:paraId="1C31B4CF">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4FDE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67CF7"/>
    <w:multiLevelType w:val="singleLevel"/>
    <w:tmpl w:val="B1A67CF7"/>
    <w:lvl w:ilvl="0" w:tentative="0">
      <w:start w:val="1"/>
      <w:numFmt w:val="chineseCounting"/>
      <w:suff w:val="nothing"/>
      <w:lvlText w:val="%1、"/>
      <w:lvlJc w:val="left"/>
      <w:rPr>
        <w:rFonts w:hint="eastAsia"/>
      </w:rPr>
    </w:lvl>
  </w:abstractNum>
  <w:abstractNum w:abstractNumId="1">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D804A5D"/>
    <w:multiLevelType w:val="multilevel"/>
    <w:tmpl w:val="6D804A5D"/>
    <w:lvl w:ilvl="0" w:tentative="0">
      <w:start w:val="1"/>
      <w:numFmt w:val="decimal"/>
      <w:pStyle w:val="7"/>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0D333928"/>
    <w:rsid w:val="0D4474DA"/>
    <w:rsid w:val="13C9545A"/>
    <w:rsid w:val="14550167"/>
    <w:rsid w:val="14A35CE8"/>
    <w:rsid w:val="16B800EE"/>
    <w:rsid w:val="177121A0"/>
    <w:rsid w:val="1803154F"/>
    <w:rsid w:val="18BB16A1"/>
    <w:rsid w:val="1EFC04C8"/>
    <w:rsid w:val="1FC06E86"/>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CCB5CC3"/>
    <w:rsid w:val="3D7076AF"/>
    <w:rsid w:val="3EC1562C"/>
    <w:rsid w:val="3F0E35AF"/>
    <w:rsid w:val="420204DA"/>
    <w:rsid w:val="43D65CF8"/>
    <w:rsid w:val="4419237E"/>
    <w:rsid w:val="45D948F4"/>
    <w:rsid w:val="47587B93"/>
    <w:rsid w:val="48441BEC"/>
    <w:rsid w:val="4AD25255"/>
    <w:rsid w:val="4CBF17F2"/>
    <w:rsid w:val="4CCA458A"/>
    <w:rsid w:val="4D203016"/>
    <w:rsid w:val="4E410396"/>
    <w:rsid w:val="4F225B8F"/>
    <w:rsid w:val="5075710B"/>
    <w:rsid w:val="50CD705E"/>
    <w:rsid w:val="53DA11A0"/>
    <w:rsid w:val="54231BA0"/>
    <w:rsid w:val="58A6215B"/>
    <w:rsid w:val="600D34CB"/>
    <w:rsid w:val="609006D2"/>
    <w:rsid w:val="61E46741"/>
    <w:rsid w:val="63510D12"/>
    <w:rsid w:val="63F85323"/>
    <w:rsid w:val="66BE66CF"/>
    <w:rsid w:val="68991CEA"/>
    <w:rsid w:val="6A9661EC"/>
    <w:rsid w:val="6B762AC2"/>
    <w:rsid w:val="6D272415"/>
    <w:rsid w:val="6D4318D3"/>
    <w:rsid w:val="701D640C"/>
    <w:rsid w:val="710A4C7A"/>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autoRedefine/>
    <w:qFormat/>
    <w:uiPriority w:val="0"/>
    <w:pPr>
      <w:keepNext/>
      <w:keepLines/>
      <w:numPr>
        <w:ilvl w:val="0"/>
        <w:numId w:val="1"/>
      </w:numPr>
      <w:outlineLvl w:val="0"/>
    </w:pPr>
    <w:rPr>
      <w:b/>
      <w:kern w:val="0"/>
      <w:sz w:val="28"/>
      <w:szCs w:val="28"/>
    </w:rPr>
  </w:style>
  <w:style w:type="paragraph" w:styleId="2">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autoRedefine/>
    <w:qFormat/>
    <w:uiPriority w:val="0"/>
    <w:pPr>
      <w:keepNext/>
      <w:keepLines/>
      <w:spacing w:line="360" w:lineRule="auto"/>
      <w:ind w:firstLine="200" w:firstLineChars="200"/>
      <w:outlineLvl w:val="2"/>
    </w:pPr>
    <w:rPr>
      <w:bCs/>
      <w:szCs w:val="28"/>
    </w:rPr>
  </w:style>
  <w:style w:type="paragraph" w:styleId="5">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rFonts w:ascii="宋体" w:hAnsi="宋体"/>
    </w:rPr>
  </w:style>
  <w:style w:type="paragraph" w:customStyle="1" w:styleId="7">
    <w:name w:val="表头"/>
    <w:basedOn w:val="8"/>
    <w:next w:val="1"/>
    <w:autoRedefine/>
    <w:qFormat/>
    <w:uiPriority w:val="0"/>
    <w:pPr>
      <w:numPr>
        <w:ilvl w:val="0"/>
        <w:numId w:val="3"/>
      </w:numPr>
      <w:adjustRightInd w:val="0"/>
      <w:snapToGrid w:val="0"/>
      <w:jc w:val="center"/>
    </w:pPr>
    <w:rPr>
      <w:b/>
      <w:color w:val="000000"/>
      <w:szCs w:val="21"/>
    </w:rPr>
  </w:style>
  <w:style w:type="paragraph" w:styleId="8">
    <w:name w:val="List"/>
    <w:basedOn w:val="1"/>
    <w:next w:val="1"/>
    <w:autoRedefine/>
    <w:qFormat/>
    <w:uiPriority w:val="0"/>
    <w:pPr>
      <w:ind w:left="200" w:hanging="200" w:hangingChars="200"/>
    </w:pPr>
  </w:style>
  <w:style w:type="paragraph" w:styleId="9">
    <w:name w:val="index 5"/>
    <w:basedOn w:val="1"/>
    <w:next w:val="1"/>
    <w:autoRedefine/>
    <w:qFormat/>
    <w:uiPriority w:val="0"/>
    <w:pPr>
      <w:ind w:left="800" w:leftChars="800"/>
    </w:pPr>
  </w:style>
  <w:style w:type="paragraph" w:styleId="10">
    <w:name w:val="annotation text"/>
    <w:basedOn w:val="1"/>
    <w:autoRedefine/>
    <w:unhideWhenUsed/>
    <w:qFormat/>
    <w:uiPriority w:val="99"/>
    <w:pPr>
      <w:jc w:val="left"/>
    </w:pPr>
  </w:style>
  <w:style w:type="paragraph" w:styleId="11">
    <w:name w:val="Body Text"/>
    <w:basedOn w:val="1"/>
    <w:next w:val="12"/>
    <w:autoRedefine/>
    <w:qFormat/>
    <w:uiPriority w:val="0"/>
    <w:rPr>
      <w:rFonts w:eastAsia="华文中宋"/>
      <w:b/>
      <w:bCs/>
      <w:w w:val="90"/>
      <w:sz w:val="44"/>
    </w:rPr>
  </w:style>
  <w:style w:type="paragraph" w:customStyle="1" w:styleId="1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3">
    <w:name w:val="Block Text"/>
    <w:basedOn w:val="1"/>
    <w:autoRedefine/>
    <w:qFormat/>
    <w:uiPriority w:val="99"/>
    <w:pPr>
      <w:spacing w:line="480" w:lineRule="exact"/>
      <w:ind w:left="-125" w:right="-56" w:firstLine="570"/>
    </w:pPr>
    <w:rPr>
      <w:sz w:val="28"/>
      <w:szCs w:val="24"/>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index heading"/>
    <w:basedOn w:val="1"/>
    <w:next w:val="17"/>
    <w:autoRedefine/>
    <w:qFormat/>
    <w:uiPriority w:val="0"/>
  </w:style>
  <w:style w:type="paragraph" w:styleId="17">
    <w:name w:val="index 1"/>
    <w:basedOn w:val="1"/>
    <w:next w:val="1"/>
    <w:autoRedefine/>
    <w:qFormat/>
    <w:uiPriority w:val="0"/>
  </w:style>
  <w:style w:type="paragraph" w:styleId="18">
    <w:name w:val="Body Text 2"/>
    <w:basedOn w:val="1"/>
    <w:autoRedefine/>
    <w:unhideWhenUsed/>
    <w:qFormat/>
    <w:uiPriority w:val="99"/>
    <w:pPr>
      <w:spacing w:after="120" w:line="480" w:lineRule="auto"/>
    </w:pPr>
  </w:style>
  <w:style w:type="paragraph" w:styleId="19">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2">
    <w:name w:val="page number"/>
    <w:basedOn w:val="21"/>
    <w:autoRedefine/>
    <w:qFormat/>
    <w:uiPriority w:val="0"/>
  </w:style>
  <w:style w:type="paragraph" w:customStyle="1" w:styleId="23">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 w:type="paragraph" w:customStyle="1" w:styleId="24">
    <w:name w:val="Body Text First Indent 21"/>
    <w:basedOn w:val="25"/>
    <w:autoRedefine/>
    <w:qFormat/>
    <w:uiPriority w:val="0"/>
    <w:pPr>
      <w:ind w:left="0" w:leftChars="0" w:firstLine="420"/>
    </w:pPr>
    <w:rPr>
      <w:rFonts w:ascii="Times New Roman" w:hAnsi="Times New Roman"/>
      <w:szCs w:val="22"/>
    </w:rPr>
  </w:style>
  <w:style w:type="paragraph" w:customStyle="1" w:styleId="25">
    <w:name w:val="Body Text Indent1"/>
    <w:basedOn w:val="1"/>
    <w:autoRedefine/>
    <w:qFormat/>
    <w:uiPriority w:val="0"/>
    <w:pPr>
      <w:ind w:left="420" w:leftChars="200"/>
    </w:pPr>
  </w:style>
  <w:style w:type="paragraph" w:customStyle="1" w:styleId="26">
    <w:name w:val="Default"/>
    <w:basedOn w:val="27"/>
    <w:next w:val="28"/>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7">
    <w:name w:val="纯文本1"/>
    <w:basedOn w:val="1"/>
    <w:autoRedefine/>
    <w:qFormat/>
    <w:uiPriority w:val="0"/>
    <w:pPr>
      <w:adjustRightInd w:val="0"/>
      <w:textAlignment w:val="baseline"/>
    </w:pPr>
    <w:rPr>
      <w:rFonts w:ascii="宋体" w:hAnsi="Courier New"/>
      <w:szCs w:val="20"/>
    </w:rPr>
  </w:style>
  <w:style w:type="paragraph" w:customStyle="1" w:styleId="28">
    <w:name w:val="样式1"/>
    <w:basedOn w:val="16"/>
    <w:next w:val="1"/>
    <w:autoRedefine/>
    <w:qFormat/>
    <w:uiPriority w:val="0"/>
    <w:pPr>
      <w:ind w:firstLine="0"/>
    </w:pPr>
    <w:rPr>
      <w:rFonts w:ascii="Times New Roman"/>
      <w:b/>
      <w:sz w:val="30"/>
    </w:rPr>
  </w:style>
  <w:style w:type="paragraph" w:customStyle="1" w:styleId="29">
    <w:name w:val="Char"/>
    <w:basedOn w:val="1"/>
    <w:autoRedefine/>
    <w:qFormat/>
    <w:uiPriority w:val="0"/>
    <w:rPr>
      <w:rFonts w:cs="宋体"/>
      <w:sz w:val="28"/>
    </w:rPr>
  </w:style>
  <w:style w:type="paragraph" w:customStyle="1" w:styleId="30">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31">
    <w:name w:val="表字-书"/>
    <w:basedOn w:val="1"/>
    <w:autoRedefine/>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1665</Words>
  <Characters>1772</Characters>
  <Lines>11</Lines>
  <Paragraphs>3</Paragraphs>
  <TotalTime>40</TotalTime>
  <ScaleCrop>false</ScaleCrop>
  <LinksUpToDate>false</LinksUpToDate>
  <CharactersWithSpaces>1811</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Administrator</cp:lastModifiedBy>
  <cp:lastPrinted>2024-08-12T08:40:18Z</cp:lastPrinted>
  <dcterms:modified xsi:type="dcterms:W3CDTF">2024-08-12T11:31:47Z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D43572194C82430E9224CC4880C58F9B_13</vt:lpwstr>
  </property>
</Properties>
</file>